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32ce70af2c8d3ca295e24bff8d7f0173f47f76"/>
    <w:p>
      <w:pPr>
        <w:pStyle w:val="Heading1"/>
      </w:pPr>
      <w:r>
        <w:t xml:space="preserve">Architectural Proof-of-Concept – POS Retail Clothing Store</w:t>
      </w:r>
    </w:p>
    <w:p>
      <w:pPr>
        <w:pStyle w:val="FirstParagraph"/>
      </w:pPr>
      <w:r>
        <w:rPr>
          <w:b/>
          <w:bCs/>
        </w:rPr>
        <w:t xml:space="preserve">UP Phase:</w:t>
      </w:r>
      <w:r>
        <w:t xml:space="preserve"> </w:t>
      </w:r>
      <w:r>
        <w:t xml:space="preserve">Elaboration – Iteration 1</w:t>
      </w:r>
    </w:p>
    <w:p>
      <w:pPr>
        <w:pStyle w:val="BodyText"/>
      </w:pPr>
      <w:r>
        <w:t xml:space="preserve">Per the</w:t>
      </w:r>
      <w:r>
        <w:t xml:space="preserve"> </w:t>
      </w:r>
      <w:hyperlink r:id="rId9">
        <w:r>
          <w:rPr>
            <w:rStyle w:val="Hyperlink"/>
          </w:rPr>
          <w:t xml:space="preserve">Inception Report</w:t>
        </w:r>
      </w:hyperlink>
      <w:r>
        <w:t xml:space="preserve">, the system commits to a</w:t>
      </w:r>
      <w:r>
        <w:t xml:space="preserve"> </w:t>
      </w:r>
      <w:r>
        <w:rPr>
          <w:b/>
          <w:bCs/>
        </w:rPr>
        <w:t xml:space="preserve">3-tier layered architecture</w:t>
      </w:r>
      <w:r>
        <w:t xml:space="preserve">. This document elaborates that commitment into a concrete proof-of-concept, addressing the highest architectural risk identified in the</w:t>
      </w:r>
      <w:r>
        <w:t xml:space="preserve"> </w:t>
      </w:r>
      <w:hyperlink r:id="rId10">
        <w:r>
          <w:rPr>
            <w:rStyle w:val="Hyperlink"/>
          </w:rPr>
          <w:t xml:space="preserve">Risk List</w:t>
        </w:r>
      </w:hyperlink>
      <w:r>
        <w:t xml:space="preserve">: poor separation of concerns leading to slow, inconsistent, hard-to-test code.</w:t>
      </w:r>
    </w:p>
    <w:bookmarkStart w:id="14" w:name="layered-architecture"/>
    <w:p>
      <w:pPr>
        <w:pStyle w:val="Heading2"/>
      </w:pPr>
      <w:r>
        <w:t xml:space="preserve">Layered Architecture</w:t>
      </w:r>
    </w:p>
    <w:p>
      <w:pPr>
        <w:pStyle w:val="FirstParagraph"/>
      </w:pPr>
      <w:r>
        <w:drawing>
          <wp:inline>
            <wp:extent cx="5334000" cy="1619250"/>
            <wp:effectExtent b="0" l="0" r="0" t="0"/>
            <wp:docPr descr="Diagram 1" title="" id="12" name="Picture"/>
            <a:graphic>
              <a:graphicData uri="http://schemas.openxmlformats.org/drawingml/2006/picture">
                <pic:pic>
                  <pic:nvPicPr>
                    <pic:cNvPr descr="/tmp/claude-1000/-home-martin-Documents-Projects-POS-Retail-Clothing-Store/dd81279a-2a42-4b90-a665-33fba7aae0ff/scratchpad/images/architecture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layer-responsibilities"/>
    <w:p>
      <w:pPr>
        <w:pStyle w:val="Heading2"/>
      </w:pPr>
      <w:r>
        <w:t xml:space="preserve">Layer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Renders screens per role (Cashier, Manager, Admin); captures input; contains no business rules.</w:t>
            </w:r>
          </w:p>
        </w:tc>
        <w:tc>
          <w:tcPr/>
          <w:p>
            <w:pPr>
              <w:pStyle w:val="Compact"/>
            </w:pPr>
            <w:r>
              <w:t xml:space="preserve">Domain/Application layer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/ Application</w:t>
            </w:r>
          </w:p>
        </w:tc>
        <w:tc>
          <w:tcPr/>
          <w:p>
            <w:pPr>
              <w:pStyle w:val="Compact"/>
            </w:pPr>
            <w:r>
              <w:t xml:space="preserve">Implements use-case logic (</w:t>
            </w:r>
            <w:r>
              <w:rPr>
                <w:rStyle w:val="VerbatimChar"/>
              </w:rPr>
              <w:t xml:space="preserve">processSale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generateReport</w:t>
            </w:r>
            <w:r>
              <w:t xml:space="preserve">) and holds the domain model (Sale, ProductVariant, Employee, etc.).</w:t>
            </w:r>
          </w:p>
        </w:tc>
        <w:tc>
          <w:tcPr/>
          <w:p>
            <w:pPr>
              <w:pStyle w:val="Compact"/>
            </w:pPr>
            <w:r>
              <w:t xml:space="preserve">Data Access layer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Translates domain objects to/from persistent storage (repositories/DAOs); isolates SQL from business logic.</w:t>
            </w:r>
          </w:p>
        </w:tc>
        <w:tc>
          <w:tcPr/>
          <w:p>
            <w:pPr>
              <w:pStyle w:val="Compact"/>
            </w:pPr>
            <w:r>
              <w:t xml:space="preserve">Database only</w:t>
            </w:r>
          </w:p>
        </w:tc>
      </w:tr>
    </w:tbl>
    <w:bookmarkEnd w:id="15"/>
    <w:bookmarkStart w:id="16" w:name="why-this-layering-addresses-the-top-risk"/>
    <w:p>
      <w:pPr>
        <w:pStyle w:val="Heading2"/>
      </w:pPr>
      <w:r>
        <w:t xml:space="preserve">Why This Layering Addresses the Top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Poor database design / performance risk</w:t>
      </w:r>
      <w:r>
        <w:t xml:space="preserve"> </w:t>
      </w:r>
      <w:r>
        <w:t xml:space="preserve">(from the risk list) is contained to the Data Access layer — schema or query changes do not ripple into UI or business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vulnerabilities risk</w:t>
      </w:r>
      <w:r>
        <w:t xml:space="preserve"> </w:t>
      </w:r>
      <w:r>
        <w:t xml:space="preserve">is addressed by routing all role-sensitive operations (Manager/Admin screens) through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before reaching the Domain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Testability</w:t>
      </w:r>
      <w:r>
        <w:t xml:space="preserve">: the Domain/Application layer can be unit-tested against the Data Access layer's repository interfaces without a UI or live database, supporting the Construction phase's test-case requirements.</w:t>
      </w:r>
    </w:p>
    <w:bookmarkEnd w:id="16"/>
    <w:bookmarkStart w:id="17" w:name="mapping-to-use-cases"/>
    <w:p>
      <w:pPr>
        <w:pStyle w:val="Heading2"/>
      </w:pPr>
      <w:r>
        <w:t xml:space="preserve">Mapping to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Primary Service</w:t>
            </w:r>
          </w:p>
        </w:tc>
        <w:tc>
          <w:tcPr/>
          <w:p>
            <w:pPr>
              <w:pStyle w:val="Compact"/>
            </w:pPr>
            <w:r>
              <w:t xml:space="preserve">Primary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(UC1)</w:t>
            </w:r>
          </w:p>
        </w:tc>
        <w:tc>
          <w:tcPr/>
          <w:p>
            <w:pPr>
              <w:pStyle w:val="Compact"/>
            </w:pPr>
            <w: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EmployeeRepository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Sale (UC2)</w:t>
            </w:r>
          </w:p>
        </w:tc>
        <w:tc>
          <w:tcPr/>
          <w:p>
            <w:pPr>
              <w:pStyle w:val="Compact"/>
            </w:pPr>
            <w:r>
              <w:t xml:space="preserve">SaleService</w:t>
            </w:r>
          </w:p>
        </w:tc>
        <w:tc>
          <w:tcPr/>
          <w:p>
            <w:pPr>
              <w:pStyle w:val="Compact"/>
            </w:pPr>
            <w:r>
              <w:t xml:space="preserve">SaleRepository, ProductRepository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Inventory – Restock (UC3)</w:t>
            </w:r>
          </w:p>
        </w:tc>
        <w:tc>
          <w:tcPr/>
          <w:p>
            <w:pPr>
              <w:pStyle w:val="Compact"/>
            </w:pPr>
            <w:r>
              <w:t xml:space="preserve">InventoryService</w:t>
            </w:r>
          </w:p>
        </w:tc>
        <w:tc>
          <w:tcPr/>
          <w:p>
            <w:pPr>
              <w:pStyle w:val="Compact"/>
            </w:pPr>
            <w:r>
              <w:t xml:space="preserve">ProductRepository</w:t>
            </w:r>
          </w:p>
        </w:tc>
      </w:tr>
    </w:tbl>
    <w:p>
      <w:pPr>
        <w:pStyle w:val="BodyText"/>
      </w:pPr>
      <w:r>
        <w:t xml:space="preserve">This proof-of-concept will be validated by implementing UC2 (Process Sale) end-to-end through all three layers as the first Construction-phase spike, since it is the highest-value, highest-traffic use case.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inception_report.md" TargetMode="External" /><Relationship Type="http://schemas.openxmlformats.org/officeDocument/2006/relationships/hyperlink" Id="rId10" Target="risk_and_feasi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ception_report.md" TargetMode="External" /><Relationship Type="http://schemas.openxmlformats.org/officeDocument/2006/relationships/hyperlink" Id="rId10" Target="risk_and_feasi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2026-09-06T14:15:54Z</dcterms:created>
  <dcterms:modified xsi:type="dcterms:W3CDTF">2026-09-06T14:15:54Z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