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jc w:val="center"/>
        <w:rPr>
          <w:rFonts w:ascii="Century Gothic" w:hAnsi="Century Gothic"/>
          <w:sz w:val="24"/>
          <w:szCs w:val="24"/>
        </w:rPr>
      </w:pPr>
      <w:r>
        <w:rPr>
          <w:rFonts w:ascii="Century Gothic" w:hAnsi="Century Gothic" w:eastAsia="Candara" w:cs="Candara"/>
          <w:sz w:val="24"/>
          <w:szCs w:val="24"/>
          <w:lang w:val="en-US"/>
        </w:rPr>
        <w:drawing>
          <wp:inline distT="0" distB="0" distL="0" distR="0">
            <wp:extent cx="1833245" cy="1684020"/>
            <wp:effectExtent l="0" t="0" r="0" b="0"/>
            <wp:docPr id="1" name="image1.png" descr="BW_Logo_Primary_Red_RGB"/>
            <wp:cNvGraphicFramePr/>
            <a:graphic xmlns:a="http://schemas.openxmlformats.org/drawingml/2006/main">
              <a:graphicData uri="http://schemas.openxmlformats.org/drawingml/2006/picture">
                <pic:pic xmlns:pic="http://schemas.openxmlformats.org/drawingml/2006/picture">
                  <pic:nvPicPr>
                    <pic:cNvPr id="1" name="image1.png" descr="BW_Logo_Primary_Red_RGB"/>
                    <pic:cNvPicPr/>
                  </pic:nvPicPr>
                  <pic:blipFill>
                    <a:blip r:embed="rId7"/>
                    <a:stretch>
                      <a:fillRect/>
                    </a:stretch>
                  </pic:blipFill>
                  <pic:spPr>
                    <a:xfrm>
                      <a:off x="0" y="0"/>
                      <a:ext cx="1833434" cy="1684325"/>
                    </a:xfrm>
                    <a:prstGeom prst="rect">
                      <a:avLst/>
                    </a:prstGeom>
                  </pic:spPr>
                </pic:pic>
              </a:graphicData>
            </a:graphic>
          </wp:inline>
        </w:drawing>
      </w:r>
    </w:p>
    <w:p>
      <w:pPr>
        <w:pBdr>
          <w:bottom w:val="single" w:color="000000" w:sz="6" w:space="1"/>
        </w:pBdr>
        <w:spacing w:after="0"/>
        <w:jc w:val="center"/>
        <w:rPr>
          <w:rFonts w:ascii="Century Gothic" w:hAnsi="Century Gothic"/>
          <w:sz w:val="24"/>
          <w:szCs w:val="24"/>
        </w:rPr>
      </w:pPr>
    </w:p>
    <w:p>
      <w:pPr>
        <w:pBdr>
          <w:bottom w:val="single" w:color="000000" w:sz="6" w:space="1"/>
        </w:pBdr>
        <w:spacing w:after="0"/>
        <w:jc w:val="center"/>
        <w:rPr>
          <w:rFonts w:ascii="Century Gothic" w:hAnsi="Century Gothic"/>
          <w:sz w:val="24"/>
          <w:szCs w:val="24"/>
        </w:rPr>
      </w:pPr>
    </w:p>
    <w:p>
      <w:pPr>
        <w:pBdr>
          <w:bottom w:val="single" w:color="000000" w:sz="6" w:space="1"/>
        </w:pBdr>
        <w:spacing w:after="0"/>
        <w:jc w:val="center"/>
        <w:rPr>
          <w:rFonts w:ascii="Century Gothic" w:hAnsi="Century Gothic"/>
          <w:sz w:val="24"/>
          <w:szCs w:val="24"/>
        </w:rPr>
      </w:pPr>
    </w:p>
    <w:p>
      <w:pPr>
        <w:pBdr>
          <w:bottom w:val="single" w:color="000000" w:sz="6" w:space="1"/>
        </w:pBdr>
        <w:spacing w:after="0"/>
        <w:jc w:val="center"/>
        <w:rPr>
          <w:rFonts w:ascii="Century Gothic" w:hAnsi="Century Gothic"/>
          <w:sz w:val="24"/>
          <w:szCs w:val="24"/>
        </w:rPr>
      </w:pPr>
      <w:r>
        <w:rPr>
          <w:rFonts w:ascii="Century Gothic" w:hAnsi="Century Gothic"/>
          <w:sz w:val="24"/>
          <w:szCs w:val="24"/>
        </w:rPr>
        <w:t>Concept Note Engagement Framework</w:t>
      </w:r>
    </w:p>
    <w:p>
      <w:pPr>
        <w:rPr>
          <w:rFonts w:ascii="Century Gothic" w:hAnsi="Century Gothic"/>
          <w:b/>
          <w:sz w:val="24"/>
          <w:szCs w:val="24"/>
        </w:rPr>
      </w:pPr>
    </w:p>
    <w:p>
      <w:pPr>
        <w:spacing w:after="0" w:line="240" w:lineRule="auto"/>
        <w:jc w:val="center"/>
        <w:rPr>
          <w:rFonts w:ascii="Century Gothic" w:hAnsi="Century Gothic"/>
          <w:b/>
          <w:sz w:val="24"/>
          <w:szCs w:val="24"/>
        </w:rPr>
      </w:pPr>
      <w:r>
        <w:rPr>
          <w:rFonts w:ascii="Century Gothic" w:hAnsi="Century Gothic"/>
          <w:b/>
          <w:sz w:val="24"/>
          <w:szCs w:val="24"/>
        </w:rPr>
        <w:t>Lusaka City Council</w:t>
      </w:r>
    </w:p>
    <w:p>
      <w:pPr>
        <w:spacing w:after="0" w:line="240" w:lineRule="auto"/>
        <w:jc w:val="center"/>
        <w:rPr>
          <w:rFonts w:ascii="Century Gothic" w:hAnsi="Century Gothic" w:eastAsia="Times New Roman" w:cs="Times New Roman"/>
          <w:b/>
          <w:sz w:val="24"/>
          <w:szCs w:val="24"/>
        </w:rPr>
      </w:pPr>
      <w:r>
        <w:rPr>
          <w:rFonts w:ascii="Century Gothic" w:hAnsi="Century Gothic"/>
          <w:b/>
          <w:sz w:val="24"/>
          <w:szCs w:val="24"/>
        </w:rPr>
        <w:t>December 2023</w:t>
      </w: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rPr>
          <w:rFonts w:ascii="Century Gothic" w:hAnsi="Century Gothic"/>
          <w:b/>
          <w:color w:val="FF0000"/>
          <w:sz w:val="24"/>
          <w:szCs w:val="24"/>
        </w:rPr>
      </w:pPr>
    </w:p>
    <w:p>
      <w:pPr>
        <w:spacing w:after="0" w:line="240" w:lineRule="auto"/>
        <w:jc w:val="center"/>
        <w:rPr>
          <w:rFonts w:ascii="Century Gothic" w:hAnsi="Century Gothic"/>
          <w:b/>
          <w:color w:val="FF0000"/>
          <w:sz w:val="24"/>
          <w:szCs w:val="24"/>
        </w:rPr>
      </w:pPr>
    </w:p>
    <w:p>
      <w:pPr>
        <w:spacing w:after="0" w:line="240" w:lineRule="auto"/>
        <w:jc w:val="center"/>
        <w:rPr>
          <w:rFonts w:ascii="Century Gothic" w:hAnsi="Century Gothic"/>
          <w:b/>
          <w:color w:val="FF0000"/>
          <w:sz w:val="24"/>
          <w:szCs w:val="24"/>
        </w:rPr>
      </w:pPr>
    </w:p>
    <w:p>
      <w:pPr>
        <w:spacing w:after="0" w:line="240" w:lineRule="auto"/>
        <w:jc w:val="center"/>
        <w:rPr>
          <w:rFonts w:ascii="Century Gothic" w:hAnsi="Century Gothic"/>
          <w:b/>
          <w:color w:val="FF0000"/>
          <w:sz w:val="24"/>
          <w:szCs w:val="24"/>
        </w:rPr>
      </w:pPr>
    </w:p>
    <w:p>
      <w:pPr>
        <w:spacing w:after="0" w:line="240" w:lineRule="auto"/>
        <w:jc w:val="center"/>
        <w:rPr>
          <w:rFonts w:ascii="Century Gothic" w:hAnsi="Century Gothic"/>
          <w:b/>
          <w:color w:val="FF0000"/>
          <w:sz w:val="24"/>
          <w:szCs w:val="24"/>
        </w:rPr>
      </w:pPr>
    </w:p>
    <w:p>
      <w:pPr>
        <w:spacing w:after="0" w:line="240" w:lineRule="auto"/>
        <w:jc w:val="center"/>
        <w:rPr>
          <w:rFonts w:ascii="Century Gothic" w:hAnsi="Century Gothic"/>
          <w:b/>
          <w:color w:val="FF0000"/>
          <w:sz w:val="24"/>
          <w:szCs w:val="24"/>
        </w:rPr>
      </w:pPr>
      <w:r>
        <w:rPr>
          <w:rFonts w:ascii="Century Gothic" w:hAnsi="Century Gothic"/>
          <w:b/>
          <w:color w:val="FF0000"/>
          <w:sz w:val="24"/>
          <w:szCs w:val="24"/>
        </w:rPr>
        <w:t>High-Level Engagement Framework</w:t>
      </w:r>
    </w:p>
    <w:p>
      <w:pPr>
        <w:spacing w:after="0" w:line="240" w:lineRule="auto"/>
        <w:rPr>
          <w:rFonts w:ascii="Century Gothic" w:hAnsi="Century Gothic"/>
          <w:b/>
          <w:color w:val="FF0000"/>
          <w:sz w:val="24"/>
          <w:szCs w:val="24"/>
        </w:rPr>
      </w:pPr>
    </w:p>
    <w:tbl>
      <w:tblPr>
        <w:tblStyle w:val="18"/>
        <w:tblW w:w="19440" w:type="dxa"/>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39"/>
        <w:gridCol w:w="2209"/>
        <w:gridCol w:w="8116"/>
        <w:gridCol w:w="85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7" w:hRule="atLeast"/>
        </w:trPr>
        <w:tc>
          <w:tcPr>
            <w:tcW w:w="10864" w:type="dxa"/>
            <w:gridSpan w:val="3"/>
            <w:shd w:val="clear" w:color="auto" w:fill="E7E6E6"/>
          </w:tcPr>
          <w:p>
            <w:pPr>
              <w:spacing w:after="0" w:line="240" w:lineRule="auto"/>
              <w:rPr>
                <w:rFonts w:ascii="Century Gothic" w:hAnsi="Century Gothic"/>
                <w:b/>
                <w:sz w:val="24"/>
                <w:szCs w:val="24"/>
              </w:rPr>
            </w:pPr>
            <w:r>
              <w:rPr>
                <w:rFonts w:ascii="Century Gothic" w:hAnsi="Century Gothic"/>
                <w:b/>
                <w:sz w:val="24"/>
                <w:szCs w:val="24"/>
              </w:rPr>
              <w:t>Big Win/Transformative Agenda</w:t>
            </w:r>
          </w:p>
        </w:tc>
        <w:tc>
          <w:tcPr>
            <w:tcW w:w="8576" w:type="dxa"/>
            <w:shd w:val="clear" w:color="auto" w:fill="E7E6E6"/>
          </w:tcPr>
          <w:p>
            <w:pPr>
              <w:spacing w:after="0" w:line="240" w:lineRule="auto"/>
              <w:rPr>
                <w:rFonts w:ascii="Century Gothic" w:hAnsi="Century Gothic"/>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0"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w:t>
            </w:r>
          </w:p>
        </w:tc>
        <w:tc>
          <w:tcPr>
            <w:tcW w:w="2209" w:type="dxa"/>
          </w:tcPr>
          <w:p>
            <w:pPr>
              <w:spacing w:after="0" w:line="240" w:lineRule="auto"/>
              <w:rPr>
                <w:rFonts w:ascii="Century Gothic" w:hAnsi="Century Gothic"/>
                <w:sz w:val="24"/>
                <w:szCs w:val="24"/>
              </w:rPr>
            </w:pPr>
            <w:r>
              <w:rPr>
                <w:rFonts w:ascii="Century Gothic" w:hAnsi="Century Gothic"/>
                <w:sz w:val="24"/>
                <w:szCs w:val="24"/>
              </w:rPr>
              <w:t xml:space="preserve">What is the big win/transformative agenda that the government wants to achieve? </w:t>
            </w:r>
          </w:p>
          <w:p>
            <w:pPr>
              <w:spacing w:after="0" w:line="240" w:lineRule="auto"/>
              <w:rPr>
                <w:rFonts w:ascii="Century Gothic" w:hAnsi="Century Gothic"/>
                <w:i/>
                <w:sz w:val="24"/>
                <w:szCs w:val="24"/>
              </w:rPr>
            </w:pPr>
            <w:r>
              <w:rPr>
                <w:rFonts w:ascii="Century Gothic" w:hAnsi="Century Gothic"/>
                <w:i/>
                <w:sz w:val="24"/>
                <w:szCs w:val="24"/>
              </w:rPr>
              <w:t>(what is the scale of reach/degree of impact)</w:t>
            </w:r>
          </w:p>
        </w:tc>
        <w:tc>
          <w:tcPr>
            <w:tcW w:w="8116" w:type="dxa"/>
            <w:tcBorders>
              <w:top w:val="single" w:color="000000" w:sz="4" w:space="0"/>
            </w:tcBorders>
          </w:tcPr>
          <w:p>
            <w:pPr>
              <w:pStyle w:val="14"/>
              <w:jc w:val="both"/>
              <w:rPr>
                <w:rStyle w:val="15"/>
                <w:rFonts w:ascii="Century Gothic" w:hAnsi="Century Gothic"/>
                <w:b w:val="0"/>
                <w:color w:val="252525"/>
              </w:rPr>
            </w:pPr>
            <w:r>
              <w:rPr>
                <w:rStyle w:val="15"/>
                <w:rFonts w:ascii="Century Gothic" w:hAnsi="Century Gothic"/>
                <w:b w:val="0"/>
                <w:color w:val="252525"/>
              </w:rPr>
              <w:t>The Transformative Agenda 2030's goal 4, of ensuring inclusive and equitable quality education and promoting lifelong learning opportunities for all, whereby, by 2030, all boys and girls have access to quality early childhood development, care, and pre-primary education so that they are ready for primary education, has been domesticated in the Zambian 8</w:t>
            </w:r>
            <w:r>
              <w:rPr>
                <w:rStyle w:val="15"/>
                <w:rFonts w:ascii="Century Gothic" w:hAnsi="Century Gothic"/>
                <w:b w:val="0"/>
                <w:color w:val="252525"/>
                <w:vertAlign w:val="superscript"/>
              </w:rPr>
              <w:t>th</w:t>
            </w:r>
            <w:r>
              <w:rPr>
                <w:rStyle w:val="15"/>
                <w:rFonts w:ascii="Century Gothic" w:hAnsi="Century Gothic"/>
                <w:b w:val="0"/>
                <w:color w:val="252525"/>
              </w:rPr>
              <w:t xml:space="preserve"> National Development Plan (8NDP). In this plan, the Zambian government, through the strategic development area of human and social development, has made strides in enhancing early childhood development and nutrition to mitigate the negative effects of poor nutrition on cognitive development, physical work capacity, health status, and earnings in adulthood.</w:t>
            </w:r>
          </w:p>
          <w:p>
            <w:pPr>
              <w:pStyle w:val="14"/>
              <w:jc w:val="both"/>
              <w:rPr>
                <w:rFonts w:ascii="Century Gothic" w:hAnsi="Century Gothic"/>
                <w:color w:val="252525"/>
              </w:rPr>
            </w:pPr>
            <w:r>
              <w:rPr>
                <w:rFonts w:ascii="Century Gothic" w:hAnsi="Century Gothic"/>
                <w:color w:val="252525"/>
              </w:rPr>
              <w:t>With an estimated population of about 3.5 million, Lusaka city is home to more than 700,000 children under the age of five years and most of these children are in families living below the poverty datum line given the 23% poverty level in the city.</w:t>
            </w:r>
          </w:p>
          <w:p>
            <w:pPr>
              <w:pStyle w:val="14"/>
              <w:jc w:val="both"/>
              <w:rPr>
                <w:rFonts w:ascii="Century Gothic" w:hAnsi="Century Gothic"/>
                <w:color w:val="252525"/>
              </w:rPr>
            </w:pPr>
            <w:r>
              <w:rPr>
                <w:rFonts w:ascii="Century Gothic" w:hAnsi="Century Gothic"/>
                <w:color w:val="252525"/>
              </w:rPr>
              <w:t>In addition, 70 of the population in the city lives in unplanned settlements with limited access to essential social services such as health, education, water and sanitation.</w:t>
            </w:r>
          </w:p>
          <w:p>
            <w:pPr>
              <w:pStyle w:val="14"/>
              <w:jc w:val="both"/>
              <w:rPr>
                <w:rFonts w:ascii="Century Gothic" w:hAnsi="Century Gothic"/>
                <w:color w:val="252525"/>
              </w:rPr>
            </w:pPr>
            <w:r>
              <w:rPr>
                <w:rFonts w:ascii="Century Gothic" w:hAnsi="Century Gothic"/>
                <w:color w:val="252525"/>
              </w:rPr>
              <w:t>Investing in ECD will reach many children with services that will enable them to grow into responsible adults capable of contributing to the socio</w:t>
            </w:r>
            <w:r>
              <w:rPr>
                <w:rFonts w:hint="default" w:ascii="Century Gothic" w:hAnsi="Century Gothic"/>
                <w:color w:val="252525"/>
                <w:lang w:val="en-US"/>
              </w:rPr>
              <w:t>-</w:t>
            </w:r>
            <w:r>
              <w:rPr>
                <w:rFonts w:ascii="Century Gothic" w:hAnsi="Century Gothic"/>
                <w:color w:val="252525"/>
              </w:rPr>
              <w:t>economic well-being of the city and the country at large.</w:t>
            </w:r>
          </w:p>
          <w:p>
            <w:pPr>
              <w:spacing w:after="0" w:line="240" w:lineRule="auto"/>
              <w:jc w:val="both"/>
              <w:rPr>
                <w:rFonts w:ascii="Century Gothic" w:hAnsi="Century Gothic"/>
                <w:sz w:val="24"/>
                <w:szCs w:val="24"/>
              </w:rPr>
            </w:pPr>
            <w:r>
              <w:rPr>
                <w:rStyle w:val="15"/>
                <w:rFonts w:ascii="Century Gothic" w:hAnsi="Century Gothic"/>
                <w:b w:val="0"/>
                <w:color w:val="252525"/>
                <w:sz w:val="24"/>
                <w:szCs w:val="24"/>
              </w:rPr>
              <w:t> </w:t>
            </w:r>
          </w:p>
        </w:tc>
        <w:tc>
          <w:tcPr>
            <w:tcW w:w="8576" w:type="dxa"/>
            <w:tcBorders>
              <w:top w:val="single" w:color="000000" w:sz="4" w:space="0"/>
            </w:tcBorders>
          </w:tcPr>
          <w:p>
            <w:pPr>
              <w:spacing w:after="0" w:line="240" w:lineRule="auto"/>
              <w:jc w:val="both"/>
              <w:rPr>
                <w:rStyle w:val="15"/>
                <w:rFonts w:ascii="Century Gothic" w:hAnsi="Century Gothic"/>
                <w:b w:val="0"/>
                <w:color w:val="252525"/>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7"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 xml:space="preserve">2. </w:t>
            </w:r>
          </w:p>
        </w:tc>
        <w:tc>
          <w:tcPr>
            <w:tcW w:w="2209" w:type="dxa"/>
          </w:tcPr>
          <w:p>
            <w:pPr>
              <w:spacing w:after="0" w:line="240" w:lineRule="auto"/>
              <w:rPr>
                <w:rFonts w:ascii="Century Gothic" w:hAnsi="Century Gothic"/>
                <w:sz w:val="24"/>
                <w:szCs w:val="24"/>
              </w:rPr>
            </w:pPr>
            <w:r>
              <w:rPr>
                <w:rFonts w:ascii="Century Gothic" w:hAnsi="Century Gothic"/>
                <w:sz w:val="24"/>
                <w:szCs w:val="24"/>
              </w:rPr>
              <w:t>What does success look like for the transformative agenda in 1 year, 3 years, 5 years, and 10 years?</w:t>
            </w:r>
          </w:p>
        </w:tc>
        <w:tc>
          <w:tcPr>
            <w:tcW w:w="8116" w:type="dxa"/>
          </w:tcPr>
          <w:p>
            <w:pPr>
              <w:pStyle w:val="19"/>
              <w:numPr>
                <w:ilvl w:val="0"/>
                <w:numId w:val="1"/>
              </w:numPr>
              <w:spacing w:after="0" w:line="240" w:lineRule="auto"/>
              <w:jc w:val="both"/>
              <w:rPr>
                <w:rFonts w:ascii="Century Gothic" w:hAnsi="Century Gothic"/>
                <w:b/>
                <w:sz w:val="24"/>
                <w:szCs w:val="24"/>
              </w:rPr>
            </w:pPr>
            <w:r>
              <w:rPr>
                <w:rFonts w:ascii="Century Gothic" w:hAnsi="Century Gothic"/>
                <w:b/>
                <w:sz w:val="24"/>
                <w:szCs w:val="24"/>
              </w:rPr>
              <w:t xml:space="preserve">3 years </w:t>
            </w:r>
          </w:p>
          <w:p>
            <w:pPr>
              <w:spacing w:after="0" w:line="240" w:lineRule="auto"/>
              <w:jc w:val="both"/>
              <w:rPr>
                <w:rFonts w:ascii="Century Gothic" w:hAnsi="Century Gothic"/>
                <w:sz w:val="24"/>
                <w:szCs w:val="24"/>
              </w:rPr>
            </w:pPr>
          </w:p>
          <w:p>
            <w:pPr>
              <w:spacing w:after="0" w:line="240" w:lineRule="auto"/>
              <w:jc w:val="both"/>
              <w:rPr>
                <w:rFonts w:ascii="Century Gothic" w:hAnsi="Century Gothic"/>
                <w:sz w:val="24"/>
                <w:szCs w:val="24"/>
              </w:rPr>
            </w:pPr>
            <w:r>
              <w:rPr>
                <w:rFonts w:ascii="Century Gothic" w:hAnsi="Century Gothic"/>
                <w:sz w:val="24"/>
                <w:szCs w:val="24"/>
              </w:rPr>
              <w:t>Success means:</w:t>
            </w:r>
          </w:p>
          <w:p>
            <w:pPr>
              <w:pStyle w:val="19"/>
              <w:numPr>
                <w:ilvl w:val="0"/>
                <w:numId w:val="2"/>
              </w:numPr>
              <w:spacing w:after="0" w:line="240" w:lineRule="auto"/>
              <w:jc w:val="both"/>
              <w:rPr>
                <w:rFonts w:ascii="Century Gothic" w:hAnsi="Century Gothic"/>
                <w:sz w:val="24"/>
                <w:szCs w:val="24"/>
              </w:rPr>
            </w:pPr>
            <w:r>
              <w:rPr>
                <w:rFonts w:ascii="Century Gothic" w:hAnsi="Century Gothic"/>
                <w:sz w:val="24"/>
                <w:szCs w:val="24"/>
              </w:rPr>
              <w:t>increased awareness among community members on the importance of ECD</w:t>
            </w:r>
          </w:p>
          <w:p>
            <w:pPr>
              <w:pStyle w:val="19"/>
              <w:numPr>
                <w:ilvl w:val="0"/>
                <w:numId w:val="2"/>
              </w:numPr>
              <w:spacing w:after="0" w:line="240" w:lineRule="auto"/>
              <w:jc w:val="both"/>
              <w:rPr>
                <w:rFonts w:ascii="Century Gothic" w:hAnsi="Century Gothic"/>
                <w:sz w:val="24"/>
                <w:szCs w:val="24"/>
              </w:rPr>
            </w:pPr>
            <w:r>
              <w:rPr>
                <w:rFonts w:ascii="Century Gothic" w:hAnsi="Century Gothic"/>
                <w:sz w:val="24"/>
                <w:szCs w:val="24"/>
              </w:rPr>
              <w:t>Quality and accessible ECD services were established in all 7 constituencies of the city</w:t>
            </w:r>
          </w:p>
          <w:p>
            <w:pPr>
              <w:pStyle w:val="19"/>
              <w:numPr>
                <w:ilvl w:val="0"/>
                <w:numId w:val="2"/>
              </w:numPr>
              <w:spacing w:after="0" w:line="240" w:lineRule="auto"/>
              <w:jc w:val="both"/>
              <w:rPr>
                <w:rFonts w:ascii="Century Gothic" w:hAnsi="Century Gothic"/>
                <w:sz w:val="24"/>
                <w:szCs w:val="24"/>
              </w:rPr>
            </w:pPr>
            <w:r>
              <w:rPr>
                <w:rFonts w:ascii="Century Gothic" w:hAnsi="Century Gothic"/>
                <w:sz w:val="24"/>
                <w:szCs w:val="24"/>
              </w:rPr>
              <w:t>At least 350,000 vulnerable children reached with quality ECD services</w:t>
            </w:r>
          </w:p>
          <w:p>
            <w:pPr>
              <w:pStyle w:val="19"/>
              <w:numPr>
                <w:ilvl w:val="0"/>
                <w:numId w:val="2"/>
              </w:numPr>
              <w:spacing w:after="0" w:line="240" w:lineRule="auto"/>
              <w:jc w:val="both"/>
              <w:rPr>
                <w:rFonts w:ascii="Century Gothic" w:hAnsi="Century Gothic"/>
                <w:sz w:val="24"/>
                <w:szCs w:val="24"/>
              </w:rPr>
            </w:pPr>
            <w:r>
              <w:rPr>
                <w:rFonts w:ascii="Century Gothic" w:hAnsi="Century Gothic"/>
                <w:sz w:val="24"/>
                <w:szCs w:val="24"/>
              </w:rPr>
              <w:t>Community members are trained in responsible parenting and participating in the provision of services.</w:t>
            </w:r>
          </w:p>
          <w:p>
            <w:pPr>
              <w:pStyle w:val="19"/>
              <w:numPr>
                <w:ilvl w:val="0"/>
                <w:numId w:val="2"/>
              </w:numPr>
              <w:spacing w:after="0" w:line="240" w:lineRule="auto"/>
              <w:jc w:val="both"/>
              <w:rPr>
                <w:rFonts w:ascii="Century Gothic" w:hAnsi="Century Gothic"/>
                <w:sz w:val="24"/>
                <w:szCs w:val="24"/>
              </w:rPr>
            </w:pPr>
            <w:r>
              <w:rPr>
                <w:rFonts w:ascii="Century Gothic" w:hAnsi="Century Gothic"/>
                <w:sz w:val="24"/>
                <w:szCs w:val="24"/>
              </w:rPr>
              <w:t xml:space="preserve">Establishing a citywide </w:t>
            </w:r>
            <w:r>
              <w:rPr>
                <w:rFonts w:ascii="Century Gothic" w:hAnsi="Century Gothic"/>
                <w:sz w:val="24"/>
                <w:szCs w:val="24"/>
                <w:lang w:val="en-US"/>
              </w:rPr>
              <w:t>multi-sectoral</w:t>
            </w:r>
            <w:r>
              <w:rPr>
                <w:rFonts w:ascii="Century Gothic" w:hAnsi="Century Gothic"/>
                <w:sz w:val="24"/>
                <w:szCs w:val="24"/>
              </w:rPr>
              <w:t xml:space="preserve"> coordination mechanism</w:t>
            </w:r>
          </w:p>
          <w:p>
            <w:pPr>
              <w:pStyle w:val="19"/>
              <w:numPr>
                <w:ilvl w:val="0"/>
                <w:numId w:val="2"/>
              </w:numPr>
              <w:spacing w:after="0" w:line="240" w:lineRule="auto"/>
              <w:jc w:val="both"/>
              <w:rPr>
                <w:rFonts w:ascii="Century Gothic" w:hAnsi="Century Gothic"/>
                <w:sz w:val="24"/>
                <w:szCs w:val="24"/>
              </w:rPr>
            </w:pPr>
            <w:r>
              <w:rPr>
                <w:rFonts w:ascii="Century Gothic" w:hAnsi="Century Gothic"/>
                <w:sz w:val="24"/>
                <w:szCs w:val="24"/>
              </w:rPr>
              <w:t xml:space="preserve">Developing a long-term sustainable financing strategy. </w:t>
            </w:r>
          </w:p>
          <w:p>
            <w:pPr>
              <w:spacing w:after="0" w:line="240" w:lineRule="auto"/>
              <w:rPr>
                <w:rFonts w:ascii="Century Gothic" w:hAnsi="Century Gothic"/>
                <w:b/>
                <w:sz w:val="24"/>
                <w:szCs w:val="24"/>
              </w:rPr>
            </w:pPr>
          </w:p>
          <w:p>
            <w:pPr>
              <w:spacing w:after="0" w:line="240" w:lineRule="auto"/>
              <w:rPr>
                <w:rFonts w:ascii="Century Gothic" w:hAnsi="Century Gothic"/>
                <w:b/>
                <w:sz w:val="24"/>
                <w:szCs w:val="24"/>
              </w:rPr>
            </w:pPr>
            <w:r>
              <w:rPr>
                <w:rFonts w:ascii="Century Gothic" w:hAnsi="Century Gothic"/>
                <w:b/>
                <w:sz w:val="24"/>
                <w:szCs w:val="24"/>
              </w:rPr>
              <w:t xml:space="preserve">5 – 10 years indicators  </w:t>
            </w:r>
          </w:p>
          <w:p>
            <w:pPr>
              <w:pStyle w:val="19"/>
              <w:numPr>
                <w:ilvl w:val="0"/>
                <w:numId w:val="3"/>
              </w:numPr>
              <w:spacing w:after="0" w:line="240" w:lineRule="auto"/>
              <w:rPr>
                <w:rFonts w:ascii="Century Gothic" w:hAnsi="Century Gothic"/>
                <w:sz w:val="24"/>
                <w:szCs w:val="24"/>
              </w:rPr>
            </w:pPr>
            <w:r>
              <w:rPr>
                <w:rFonts w:ascii="Century Gothic" w:hAnsi="Century Gothic"/>
                <w:sz w:val="24"/>
                <w:szCs w:val="24"/>
              </w:rPr>
              <w:t xml:space="preserve">Reduced number of children suffering from stunted growth </w:t>
            </w:r>
          </w:p>
          <w:p>
            <w:pPr>
              <w:pStyle w:val="19"/>
              <w:numPr>
                <w:ilvl w:val="0"/>
                <w:numId w:val="3"/>
              </w:numPr>
              <w:spacing w:after="0" w:line="240" w:lineRule="auto"/>
              <w:rPr>
                <w:rFonts w:ascii="Century Gothic" w:hAnsi="Century Gothic"/>
                <w:sz w:val="24"/>
                <w:szCs w:val="24"/>
              </w:rPr>
            </w:pPr>
            <w:r>
              <w:rPr>
                <w:rFonts w:ascii="Century Gothic" w:hAnsi="Century Gothic"/>
                <w:sz w:val="24"/>
                <w:szCs w:val="24"/>
              </w:rPr>
              <w:t xml:space="preserve">EDC programs meet the highest education and developmental  standards </w:t>
            </w:r>
          </w:p>
          <w:p>
            <w:pPr>
              <w:pStyle w:val="19"/>
              <w:numPr>
                <w:ilvl w:val="0"/>
                <w:numId w:val="3"/>
              </w:numPr>
              <w:spacing w:after="0" w:line="240" w:lineRule="auto"/>
              <w:rPr>
                <w:rFonts w:ascii="Century Gothic" w:hAnsi="Century Gothic"/>
                <w:sz w:val="24"/>
                <w:szCs w:val="24"/>
              </w:rPr>
            </w:pPr>
            <w:r>
              <w:rPr>
                <w:rFonts w:ascii="Century Gothic" w:hAnsi="Century Gothic"/>
                <w:sz w:val="24"/>
                <w:szCs w:val="24"/>
              </w:rPr>
              <w:t>EDC policies that are gender and socially inclusive  and  meet the needs of vulnerable children and marginalized groups Increased access to quality ECD services for all children within the city</w:t>
            </w:r>
          </w:p>
          <w:p>
            <w:pPr>
              <w:pStyle w:val="19"/>
              <w:numPr>
                <w:ilvl w:val="0"/>
                <w:numId w:val="3"/>
              </w:numPr>
              <w:spacing w:after="0" w:line="240" w:lineRule="auto"/>
              <w:rPr>
                <w:rFonts w:ascii="Century Gothic" w:hAnsi="Century Gothic"/>
                <w:sz w:val="24"/>
                <w:szCs w:val="24"/>
              </w:rPr>
            </w:pPr>
            <w:r>
              <w:rPr>
                <w:rFonts w:ascii="Century Gothic" w:hAnsi="Century Gothic"/>
                <w:sz w:val="24"/>
                <w:szCs w:val="24"/>
              </w:rPr>
              <w:t>Improved school readiness and educational outcomes for children entering primary schools.</w:t>
            </w:r>
          </w:p>
          <w:p>
            <w:pPr>
              <w:pStyle w:val="19"/>
              <w:numPr>
                <w:ilvl w:val="0"/>
                <w:numId w:val="3"/>
              </w:numPr>
              <w:spacing w:after="0" w:line="240" w:lineRule="auto"/>
              <w:rPr>
                <w:rFonts w:ascii="Century Gothic" w:hAnsi="Century Gothic"/>
                <w:sz w:val="24"/>
                <w:szCs w:val="24"/>
              </w:rPr>
            </w:pPr>
            <w:r>
              <w:rPr>
                <w:rFonts w:ascii="Century Gothic" w:hAnsi="Century Gothic"/>
                <w:sz w:val="24"/>
                <w:szCs w:val="24"/>
              </w:rPr>
              <w:t>Strengthened parental and caregiver capacity in providing nurturing and stimulating environments for children.</w:t>
            </w:r>
          </w:p>
          <w:p>
            <w:pPr>
              <w:pStyle w:val="19"/>
              <w:numPr>
                <w:ilvl w:val="0"/>
                <w:numId w:val="3"/>
              </w:numPr>
              <w:spacing w:after="0" w:line="240" w:lineRule="auto"/>
              <w:rPr>
                <w:rFonts w:ascii="Century Gothic" w:hAnsi="Century Gothic"/>
                <w:sz w:val="24"/>
                <w:szCs w:val="24"/>
              </w:rPr>
            </w:pPr>
            <w:r>
              <w:rPr>
                <w:rFonts w:ascii="Century Gothic" w:hAnsi="Century Gothic"/>
                <w:sz w:val="24"/>
                <w:szCs w:val="24"/>
              </w:rPr>
              <w:t>ECD services scaled up to ward level.</w:t>
            </w:r>
          </w:p>
          <w:p>
            <w:pPr>
              <w:pStyle w:val="19"/>
              <w:numPr>
                <w:ilvl w:val="0"/>
                <w:numId w:val="3"/>
              </w:numPr>
              <w:spacing w:after="0" w:line="240" w:lineRule="auto"/>
              <w:rPr>
                <w:rFonts w:ascii="Century Gothic" w:hAnsi="Century Gothic"/>
                <w:b/>
                <w:sz w:val="24"/>
                <w:szCs w:val="24"/>
              </w:rPr>
            </w:pPr>
            <w:r>
              <w:rPr>
                <w:rFonts w:ascii="Century Gothic" w:hAnsi="Century Gothic"/>
                <w:sz w:val="24"/>
                <w:szCs w:val="24"/>
              </w:rPr>
              <w:t xml:space="preserve">ECD is integrated into the work of the City Council with dedicated staff and budgets. </w:t>
            </w:r>
          </w:p>
        </w:tc>
        <w:tc>
          <w:tcPr>
            <w:tcW w:w="8576" w:type="dxa"/>
          </w:tcPr>
          <w:p>
            <w:pPr>
              <w:pStyle w:val="19"/>
              <w:numPr>
                <w:ilvl w:val="0"/>
                <w:numId w:val="3"/>
              </w:numPr>
              <w:spacing w:after="0" w:line="240" w:lineRule="auto"/>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1"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3.</w:t>
            </w:r>
          </w:p>
        </w:tc>
        <w:tc>
          <w:tcPr>
            <w:tcW w:w="2209" w:type="dxa"/>
          </w:tcPr>
          <w:p>
            <w:pPr>
              <w:spacing w:after="0" w:line="240" w:lineRule="auto"/>
              <w:rPr>
                <w:rFonts w:ascii="Century Gothic" w:hAnsi="Century Gothic"/>
                <w:sz w:val="24"/>
                <w:szCs w:val="24"/>
              </w:rPr>
            </w:pPr>
            <w:r>
              <w:rPr>
                <w:rFonts w:ascii="Century Gothic" w:hAnsi="Century Gothic"/>
                <w:sz w:val="24"/>
                <w:szCs w:val="24"/>
              </w:rPr>
              <w:t>How is the transformative agenda aligned with the country's drivers of the demographic dividend?</w:t>
            </w:r>
          </w:p>
        </w:tc>
        <w:tc>
          <w:tcPr>
            <w:tcW w:w="8116" w:type="dxa"/>
          </w:tcPr>
          <w:p>
            <w:pPr>
              <w:spacing w:after="0" w:line="240" w:lineRule="auto"/>
              <w:jc w:val="both"/>
              <w:rPr>
                <w:rFonts w:ascii="Century Gothic" w:hAnsi="Century Gothic"/>
                <w:b/>
                <w:sz w:val="24"/>
                <w:szCs w:val="24"/>
              </w:rPr>
            </w:pPr>
            <w:r>
              <w:rPr>
                <w:rFonts w:ascii="Century Gothic" w:hAnsi="Century Gothic"/>
                <w:sz w:val="24"/>
                <w:szCs w:val="24"/>
              </w:rPr>
              <w:t xml:space="preserve">Given the improved child survival rates, high fertility rates and the rapid urbanisation experienced in the recent past, the number of children needing ECD services is anticipated to rise significantly. </w:t>
            </w:r>
          </w:p>
        </w:tc>
        <w:tc>
          <w:tcPr>
            <w:tcW w:w="8576" w:type="dxa"/>
          </w:tcPr>
          <w:p>
            <w:pPr>
              <w:spacing w:after="0" w:line="240" w:lineRule="auto"/>
              <w:jc w:val="both"/>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0"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4.</w:t>
            </w:r>
          </w:p>
        </w:tc>
        <w:tc>
          <w:tcPr>
            <w:tcW w:w="2209" w:type="dxa"/>
          </w:tcPr>
          <w:p>
            <w:pPr>
              <w:spacing w:after="0" w:line="240" w:lineRule="auto"/>
              <w:rPr>
                <w:rFonts w:ascii="Century Gothic" w:hAnsi="Century Gothic"/>
                <w:sz w:val="24"/>
                <w:szCs w:val="24"/>
              </w:rPr>
            </w:pPr>
            <w:r>
              <w:rPr>
                <w:rFonts w:ascii="Century Gothic" w:hAnsi="Century Gothic"/>
                <w:sz w:val="24"/>
                <w:szCs w:val="24"/>
              </w:rPr>
              <w:t xml:space="preserve">Are there any high-level strategic documents in place to support implementation? </w:t>
            </w:r>
            <w:r>
              <w:rPr>
                <w:rFonts w:ascii="Century Gothic" w:hAnsi="Century Gothic"/>
                <w:i/>
                <w:sz w:val="24"/>
                <w:szCs w:val="24"/>
              </w:rPr>
              <w:t>(e.g., strategic plans)</w:t>
            </w:r>
          </w:p>
        </w:tc>
        <w:tc>
          <w:tcPr>
            <w:tcW w:w="8116" w:type="dxa"/>
          </w:tcPr>
          <w:p>
            <w:pPr>
              <w:spacing w:after="0" w:line="240" w:lineRule="auto"/>
              <w:rPr>
                <w:rFonts w:ascii="Century Gothic" w:hAnsi="Century Gothic"/>
                <w:b/>
                <w:sz w:val="24"/>
                <w:szCs w:val="24"/>
              </w:rPr>
            </w:pPr>
            <w:r>
              <w:rPr>
                <w:rFonts w:ascii="Century Gothic" w:hAnsi="Century Gothic"/>
                <w:b/>
                <w:sz w:val="24"/>
                <w:szCs w:val="24"/>
              </w:rPr>
              <w:t>Sector-specific policies and plans that guide the provision of ECD services include:</w:t>
            </w:r>
          </w:p>
          <w:p>
            <w:pPr>
              <w:pStyle w:val="19"/>
              <w:numPr>
                <w:ilvl w:val="-1"/>
                <w:numId w:val="0"/>
              </w:numPr>
              <w:spacing w:after="0" w:line="240" w:lineRule="auto"/>
              <w:ind w:left="0" w:firstLine="0"/>
              <w:jc w:val="both"/>
              <w:rPr>
                <w:rFonts w:ascii="Century Gothic" w:hAnsi="Century Gothic"/>
                <w:sz w:val="24"/>
                <w:szCs w:val="24"/>
              </w:rPr>
            </w:pPr>
          </w:p>
          <w:p>
            <w:pPr>
              <w:pStyle w:val="19"/>
              <w:numPr>
                <w:ilvl w:val="0"/>
                <w:numId w:val="4"/>
              </w:numPr>
              <w:spacing w:after="0" w:line="240" w:lineRule="auto"/>
              <w:jc w:val="both"/>
              <w:rPr>
                <w:rFonts w:ascii="Century Gothic" w:hAnsi="Century Gothic"/>
                <w:sz w:val="24"/>
                <w:szCs w:val="24"/>
              </w:rPr>
            </w:pPr>
            <w:r>
              <w:rPr>
                <w:rFonts w:ascii="Century Gothic" w:hAnsi="Century Gothic"/>
                <w:sz w:val="24"/>
                <w:szCs w:val="24"/>
              </w:rPr>
              <w:t xml:space="preserve">Zambia National Health Strategic Plan </w:t>
            </w:r>
            <w:r>
              <w:rPr>
                <w:rFonts w:ascii="Century Gothic" w:hAnsi="Century Gothic"/>
                <w:sz w:val="24"/>
                <w:szCs w:val="24"/>
              </w:rPr>
              <w:tab/>
            </w:r>
          </w:p>
          <w:p>
            <w:pPr>
              <w:pStyle w:val="19"/>
              <w:numPr>
                <w:ilvl w:val="0"/>
                <w:numId w:val="4"/>
              </w:numPr>
              <w:spacing w:after="0" w:line="240" w:lineRule="auto"/>
              <w:jc w:val="both"/>
              <w:rPr>
                <w:rFonts w:ascii="Century Gothic" w:hAnsi="Century Gothic"/>
                <w:sz w:val="24"/>
                <w:szCs w:val="24"/>
              </w:rPr>
            </w:pPr>
            <w:r>
              <w:rPr>
                <w:rFonts w:ascii="Century Gothic" w:hAnsi="Century Gothic"/>
                <w:sz w:val="24"/>
                <w:szCs w:val="24"/>
              </w:rPr>
              <w:t>National Food &amp; Nutrition Policy</w:t>
            </w:r>
            <w:r>
              <w:rPr>
                <w:rFonts w:ascii="Century Gothic" w:hAnsi="Century Gothic"/>
                <w:sz w:val="24"/>
                <w:szCs w:val="24"/>
              </w:rPr>
              <w:tab/>
            </w:r>
            <w:r>
              <w:rPr>
                <w:rFonts w:ascii="Century Gothic" w:hAnsi="Century Gothic"/>
                <w:sz w:val="24"/>
                <w:szCs w:val="24"/>
              </w:rPr>
              <w:tab/>
            </w:r>
          </w:p>
          <w:p>
            <w:pPr>
              <w:pStyle w:val="19"/>
              <w:numPr>
                <w:ilvl w:val="0"/>
                <w:numId w:val="4"/>
              </w:numPr>
              <w:spacing w:after="0" w:line="240" w:lineRule="auto"/>
              <w:jc w:val="both"/>
              <w:rPr>
                <w:rFonts w:ascii="Century Gothic" w:hAnsi="Century Gothic"/>
                <w:sz w:val="24"/>
                <w:szCs w:val="24"/>
              </w:rPr>
            </w:pPr>
            <w:r>
              <w:rPr>
                <w:rFonts w:ascii="Century Gothic" w:hAnsi="Century Gothic"/>
                <w:sz w:val="24"/>
                <w:szCs w:val="24"/>
              </w:rPr>
              <w:t>National School Health and Nutrition Policy</w:t>
            </w:r>
          </w:p>
          <w:p>
            <w:pPr>
              <w:pStyle w:val="19"/>
              <w:numPr>
                <w:ilvl w:val="0"/>
                <w:numId w:val="4"/>
              </w:numPr>
              <w:spacing w:after="0" w:line="240" w:lineRule="auto"/>
              <w:jc w:val="both"/>
              <w:rPr>
                <w:rFonts w:ascii="Century Gothic" w:hAnsi="Century Gothic"/>
                <w:sz w:val="24"/>
                <w:szCs w:val="24"/>
              </w:rPr>
            </w:pPr>
            <w:r>
              <w:rPr>
                <w:rFonts w:ascii="Century Gothic" w:hAnsi="Century Gothic"/>
                <w:sz w:val="24"/>
                <w:szCs w:val="24"/>
              </w:rPr>
              <w:t>Vision 2030</w:t>
            </w:r>
            <w:r>
              <w:rPr>
                <w:rFonts w:ascii="Century Gothic" w:hAnsi="Century Gothic"/>
                <w:sz w:val="24"/>
                <w:szCs w:val="24"/>
              </w:rPr>
              <w:tab/>
            </w:r>
            <w:r>
              <w:rPr>
                <w:rFonts w:ascii="Century Gothic" w:hAnsi="Century Gothic"/>
                <w:sz w:val="24"/>
                <w:szCs w:val="24"/>
              </w:rPr>
              <w:tab/>
            </w:r>
          </w:p>
          <w:p>
            <w:pPr>
              <w:pStyle w:val="19"/>
              <w:numPr>
                <w:ilvl w:val="0"/>
                <w:numId w:val="4"/>
              </w:numPr>
              <w:spacing w:after="0" w:line="240" w:lineRule="auto"/>
              <w:jc w:val="both"/>
              <w:rPr>
                <w:rFonts w:ascii="Century Gothic" w:hAnsi="Century Gothic"/>
                <w:sz w:val="24"/>
                <w:szCs w:val="24"/>
              </w:rPr>
            </w:pPr>
            <w:r>
              <w:rPr>
                <w:rFonts w:ascii="Century Gothic" w:hAnsi="Century Gothic"/>
                <w:sz w:val="24"/>
                <w:szCs w:val="24"/>
              </w:rPr>
              <w:t>Education and Skills Sector Plan (2017-2021)</w:t>
            </w:r>
          </w:p>
          <w:p>
            <w:pPr>
              <w:pStyle w:val="19"/>
              <w:numPr>
                <w:ilvl w:val="0"/>
                <w:numId w:val="4"/>
              </w:numPr>
              <w:spacing w:after="0" w:line="240" w:lineRule="auto"/>
              <w:jc w:val="both"/>
              <w:rPr>
                <w:rFonts w:ascii="Century Gothic" w:hAnsi="Century Gothic"/>
                <w:sz w:val="24"/>
                <w:szCs w:val="24"/>
              </w:rPr>
            </w:pPr>
            <w:r>
              <w:rPr>
                <w:rFonts w:ascii="Century Gothic" w:hAnsi="Century Gothic"/>
                <w:sz w:val="24"/>
                <w:szCs w:val="24"/>
              </w:rPr>
              <w:t xml:space="preserve">National Child Policy </w:t>
            </w:r>
          </w:p>
          <w:p>
            <w:pPr>
              <w:pStyle w:val="19"/>
              <w:numPr>
                <w:ilvl w:val="0"/>
                <w:numId w:val="4"/>
              </w:numPr>
              <w:spacing w:after="0" w:line="240" w:lineRule="auto"/>
              <w:jc w:val="both"/>
              <w:rPr>
                <w:rFonts w:ascii="Century Gothic" w:hAnsi="Century Gothic"/>
                <w:sz w:val="24"/>
                <w:szCs w:val="24"/>
              </w:rPr>
            </w:pPr>
            <w:r>
              <w:rPr>
                <w:rFonts w:ascii="Century Gothic" w:hAnsi="Century Gothic"/>
                <w:sz w:val="24"/>
                <w:szCs w:val="24"/>
              </w:rPr>
              <w:t>National Decentralisation Policy (2023 )</w:t>
            </w:r>
          </w:p>
          <w:p>
            <w:pPr>
              <w:pStyle w:val="19"/>
              <w:numPr>
                <w:ilvl w:val="0"/>
                <w:numId w:val="4"/>
              </w:numPr>
              <w:spacing w:after="0" w:line="240" w:lineRule="auto"/>
              <w:jc w:val="both"/>
              <w:rPr>
                <w:rFonts w:ascii="Century Gothic" w:hAnsi="Century Gothic"/>
                <w:sz w:val="24"/>
                <w:szCs w:val="24"/>
              </w:rPr>
            </w:pPr>
            <w:r>
              <w:rPr>
                <w:rFonts w:ascii="Century Gothic" w:hAnsi="Century Gothic"/>
                <w:sz w:val="24"/>
                <w:szCs w:val="24"/>
              </w:rPr>
              <w:t>Urban and Regional Planning Act ( 2015)</w:t>
            </w:r>
          </w:p>
          <w:p>
            <w:pPr>
              <w:pStyle w:val="19"/>
              <w:numPr>
                <w:ilvl w:val="0"/>
                <w:numId w:val="4"/>
              </w:numPr>
              <w:spacing w:after="0" w:line="240" w:lineRule="auto"/>
              <w:jc w:val="both"/>
              <w:rPr>
                <w:rFonts w:ascii="Century Gothic" w:hAnsi="Century Gothic"/>
                <w:sz w:val="24"/>
                <w:szCs w:val="24"/>
              </w:rPr>
            </w:pPr>
            <w:r>
              <w:rPr>
                <w:rFonts w:ascii="Century Gothic" w:hAnsi="Century Gothic"/>
                <w:sz w:val="24"/>
                <w:szCs w:val="24"/>
              </w:rPr>
              <w:t>8</w:t>
            </w:r>
            <w:r>
              <w:rPr>
                <w:rFonts w:ascii="Century Gothic" w:hAnsi="Century Gothic"/>
                <w:sz w:val="24"/>
                <w:szCs w:val="24"/>
                <w:vertAlign w:val="superscript"/>
              </w:rPr>
              <w:t>th</w:t>
            </w:r>
            <w:r>
              <w:rPr>
                <w:rFonts w:ascii="Century Gothic" w:hAnsi="Century Gothic"/>
                <w:sz w:val="24"/>
                <w:szCs w:val="24"/>
              </w:rPr>
              <w:t xml:space="preserve"> National Development Plan </w:t>
            </w:r>
          </w:p>
        </w:tc>
        <w:tc>
          <w:tcPr>
            <w:tcW w:w="8576" w:type="dxa"/>
          </w:tcPr>
          <w:p>
            <w:pPr>
              <w:pStyle w:val="19"/>
              <w:numPr>
                <w:ilvl w:val="0"/>
                <w:numId w:val="4"/>
              </w:numPr>
              <w:spacing w:after="0" w:line="240" w:lineRule="auto"/>
              <w:jc w:val="both"/>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7" w:hRule="atLeast"/>
        </w:trPr>
        <w:tc>
          <w:tcPr>
            <w:tcW w:w="10864" w:type="dxa"/>
            <w:gridSpan w:val="3"/>
            <w:shd w:val="clear" w:color="auto" w:fill="E7E6E6"/>
          </w:tcPr>
          <w:p>
            <w:pPr>
              <w:spacing w:after="0" w:line="240" w:lineRule="auto"/>
              <w:rPr>
                <w:b/>
                <w:sz w:val="24"/>
                <w:szCs w:val="24"/>
              </w:rPr>
            </w:pPr>
            <w:r>
              <w:rPr>
                <w:b/>
                <w:sz w:val="24"/>
                <w:szCs w:val="24"/>
              </w:rPr>
              <w:t>Implementation/Coordination/Governance</w:t>
            </w:r>
          </w:p>
        </w:tc>
        <w:tc>
          <w:tcPr>
            <w:tcW w:w="8576" w:type="dxa"/>
            <w:shd w:val="clear" w:color="auto" w:fill="E7E6E6"/>
          </w:tcPr>
          <w:p>
            <w:pPr>
              <w:spacing w:after="0" w:line="240" w:lineRule="auto"/>
              <w:rPr>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0"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5</w:t>
            </w:r>
          </w:p>
        </w:tc>
        <w:tc>
          <w:tcPr>
            <w:tcW w:w="2209" w:type="dxa"/>
          </w:tcPr>
          <w:p>
            <w:pPr>
              <w:spacing w:after="0" w:line="240" w:lineRule="auto"/>
              <w:rPr>
                <w:rFonts w:ascii="Century Gothic" w:hAnsi="Century Gothic"/>
                <w:sz w:val="24"/>
                <w:szCs w:val="24"/>
              </w:rPr>
            </w:pPr>
            <w:r>
              <w:rPr>
                <w:rFonts w:ascii="Century Gothic" w:hAnsi="Century Gothic"/>
                <w:sz w:val="24"/>
                <w:szCs w:val="24"/>
              </w:rPr>
              <w:t xml:space="preserve">Who do you need to implement the transformative agenda </w:t>
            </w:r>
            <w:r>
              <w:rPr>
                <w:rFonts w:ascii="Century Gothic" w:hAnsi="Century Gothic"/>
                <w:i/>
                <w:sz w:val="24"/>
                <w:szCs w:val="24"/>
              </w:rPr>
              <w:t>(internal and external stakeholders)</w:t>
            </w:r>
            <w:r>
              <w:rPr>
                <w:rFonts w:ascii="Century Gothic" w:hAnsi="Century Gothic"/>
                <w:sz w:val="24"/>
                <w:szCs w:val="24"/>
              </w:rPr>
              <w:t>?</w:t>
            </w:r>
          </w:p>
          <w:p>
            <w:pPr>
              <w:spacing w:after="0" w:line="240" w:lineRule="auto"/>
              <w:rPr>
                <w:rFonts w:ascii="Century Gothic" w:hAnsi="Century Gothic"/>
                <w:sz w:val="24"/>
                <w:szCs w:val="24"/>
              </w:rPr>
            </w:pPr>
            <w:r>
              <w:rPr>
                <w:rFonts w:ascii="Century Gothic" w:hAnsi="Century Gothic"/>
                <w:sz w:val="24"/>
                <w:szCs w:val="24"/>
              </w:rPr>
              <w:t>What is the level of engagement of each stakeholder?</w:t>
            </w:r>
          </w:p>
        </w:tc>
        <w:tc>
          <w:tcPr>
            <w:tcW w:w="8116" w:type="dxa"/>
          </w:tcPr>
          <w:p>
            <w:pPr>
              <w:spacing w:after="0" w:line="240" w:lineRule="auto"/>
              <w:rPr>
                <w:rFonts w:ascii="Century Gothic" w:hAnsi="Century Gothic"/>
                <w:b/>
                <w:sz w:val="24"/>
                <w:szCs w:val="24"/>
              </w:rPr>
            </w:pPr>
            <w:r>
              <w:rPr>
                <w:rFonts w:ascii="Century Gothic" w:hAnsi="Century Gothic"/>
                <w:sz w:val="24"/>
                <w:szCs w:val="24"/>
              </w:rPr>
              <w:t>Ministry of Education, Ministry of Health, Ministry of Community Development, Ministry of Local Government and Rural Development, Ward Development Committees</w:t>
            </w:r>
            <w:r>
              <w:rPr>
                <w:rFonts w:ascii="Century Gothic" w:hAnsi="Century Gothic"/>
                <w:b/>
                <w:sz w:val="24"/>
                <w:szCs w:val="24"/>
              </w:rPr>
              <w:t xml:space="preserve">, </w:t>
            </w:r>
            <w:r>
              <w:rPr>
                <w:rFonts w:ascii="Century Gothic" w:hAnsi="Century Gothic"/>
                <w:sz w:val="24"/>
                <w:szCs w:val="24"/>
              </w:rPr>
              <w:t>Ward Councillors, various departments in Council, USAID, UNICEF, CSOs</w:t>
            </w:r>
          </w:p>
          <w:p>
            <w:pPr>
              <w:spacing w:after="0" w:line="240" w:lineRule="auto"/>
              <w:rPr>
                <w:rFonts w:ascii="Century Gothic" w:hAnsi="Century Gothic"/>
                <w:b/>
                <w:sz w:val="24"/>
                <w:szCs w:val="24"/>
              </w:rPr>
            </w:pPr>
          </w:p>
          <w:p>
            <w:pPr>
              <w:spacing w:after="0" w:line="240" w:lineRule="auto"/>
              <w:rPr>
                <w:rFonts w:ascii="Century Gothic" w:hAnsi="Century Gothic"/>
                <w:b/>
                <w:sz w:val="24"/>
                <w:szCs w:val="24"/>
              </w:rPr>
            </w:pPr>
            <w:r>
              <w:rPr>
                <w:rFonts w:ascii="Century Gothic" w:hAnsi="Century Gothic"/>
                <w:b/>
                <w:sz w:val="24"/>
                <w:szCs w:val="24"/>
              </w:rPr>
              <w:t>Levels of engagement</w:t>
            </w:r>
          </w:p>
          <w:p>
            <w:pPr>
              <w:spacing w:after="0" w:line="240" w:lineRule="auto"/>
              <w:rPr>
                <w:rFonts w:ascii="Century Gothic" w:hAnsi="Century Gothic"/>
                <w:b/>
                <w:sz w:val="24"/>
                <w:szCs w:val="24"/>
              </w:rPr>
            </w:pPr>
            <w:r>
              <w:rPr>
                <w:rFonts w:ascii="Century Gothic" w:hAnsi="Century Gothic"/>
                <w:b/>
                <w:sz w:val="24"/>
                <w:szCs w:val="24"/>
              </w:rPr>
              <w:t xml:space="preserve">Informing: </w:t>
            </w:r>
          </w:p>
          <w:p>
            <w:pPr>
              <w:spacing w:after="0" w:line="240" w:lineRule="auto"/>
              <w:rPr>
                <w:rFonts w:ascii="Century Gothic" w:hAnsi="Century Gothic"/>
                <w:sz w:val="24"/>
                <w:szCs w:val="24"/>
              </w:rPr>
            </w:pPr>
            <w:r>
              <w:rPr>
                <w:rFonts w:ascii="Century Gothic" w:hAnsi="Century Gothic"/>
                <w:sz w:val="24"/>
                <w:szCs w:val="24"/>
              </w:rPr>
              <w:t>Various Departments of the Council, Ministry of Local Government and Rural Development</w:t>
            </w:r>
          </w:p>
          <w:p>
            <w:pPr>
              <w:spacing w:after="0" w:line="240" w:lineRule="auto"/>
              <w:rPr>
                <w:rFonts w:ascii="Century Gothic" w:hAnsi="Century Gothic"/>
                <w:sz w:val="24"/>
                <w:szCs w:val="24"/>
              </w:rPr>
            </w:pPr>
          </w:p>
          <w:p>
            <w:pPr>
              <w:spacing w:after="0" w:line="240" w:lineRule="auto"/>
              <w:rPr>
                <w:rFonts w:ascii="Century Gothic" w:hAnsi="Century Gothic"/>
                <w:b/>
                <w:sz w:val="24"/>
                <w:szCs w:val="24"/>
              </w:rPr>
            </w:pPr>
            <w:r>
              <w:rPr>
                <w:rFonts w:ascii="Century Gothic" w:hAnsi="Century Gothic"/>
                <w:b/>
                <w:sz w:val="24"/>
                <w:szCs w:val="24"/>
              </w:rPr>
              <w:t>Consulting:</w:t>
            </w:r>
          </w:p>
          <w:p>
            <w:pPr>
              <w:spacing w:after="0" w:line="240" w:lineRule="auto"/>
              <w:rPr>
                <w:rFonts w:ascii="Century Gothic" w:hAnsi="Century Gothic"/>
                <w:sz w:val="24"/>
                <w:szCs w:val="24"/>
              </w:rPr>
            </w:pPr>
            <w:r>
              <w:rPr>
                <w:rFonts w:ascii="Century Gothic" w:hAnsi="Century Gothic"/>
                <w:sz w:val="24"/>
                <w:szCs w:val="24"/>
              </w:rPr>
              <w:t xml:space="preserve">Ward Development Committees, Ward Councillors, UNICEF, USAID, CSOs, Ministry of Education, Ministry of Community Development, Ministry of Health, WFP </w:t>
            </w:r>
          </w:p>
          <w:p>
            <w:pPr>
              <w:spacing w:after="0" w:line="240" w:lineRule="auto"/>
              <w:rPr>
                <w:rFonts w:ascii="Century Gothic" w:hAnsi="Century Gothic"/>
                <w:sz w:val="24"/>
                <w:szCs w:val="24"/>
              </w:rPr>
            </w:pPr>
          </w:p>
          <w:p>
            <w:pPr>
              <w:spacing w:after="0" w:line="240" w:lineRule="auto"/>
              <w:rPr>
                <w:rFonts w:ascii="Century Gothic" w:hAnsi="Century Gothic"/>
                <w:b/>
                <w:sz w:val="24"/>
                <w:szCs w:val="24"/>
              </w:rPr>
            </w:pPr>
            <w:r>
              <w:rPr>
                <w:rFonts w:ascii="Century Gothic" w:hAnsi="Century Gothic"/>
                <w:b/>
                <w:sz w:val="24"/>
                <w:szCs w:val="24"/>
              </w:rPr>
              <w:t xml:space="preserve">Involving: </w:t>
            </w:r>
          </w:p>
          <w:p>
            <w:pPr>
              <w:spacing w:after="0" w:line="240" w:lineRule="auto"/>
              <w:rPr>
                <w:rFonts w:ascii="Century Gothic" w:hAnsi="Century Gothic"/>
                <w:sz w:val="24"/>
                <w:szCs w:val="24"/>
              </w:rPr>
            </w:pPr>
            <w:r>
              <w:rPr>
                <w:rFonts w:ascii="Century Gothic" w:hAnsi="Century Gothic"/>
                <w:sz w:val="24"/>
                <w:szCs w:val="24"/>
              </w:rPr>
              <w:t>Ward Development Committees, Ward Councillors, UNICEF, USAID, Ministry of Education, Ministry of Community Development, Ministry of Health</w:t>
            </w:r>
          </w:p>
          <w:p>
            <w:pPr>
              <w:spacing w:after="0" w:line="240" w:lineRule="auto"/>
              <w:rPr>
                <w:rFonts w:ascii="Century Gothic" w:hAnsi="Century Gothic"/>
                <w:b/>
                <w:sz w:val="24"/>
                <w:szCs w:val="24"/>
              </w:rPr>
            </w:pPr>
          </w:p>
          <w:p>
            <w:pPr>
              <w:spacing w:after="0" w:line="240" w:lineRule="auto"/>
              <w:rPr>
                <w:rFonts w:ascii="Century Gothic" w:hAnsi="Century Gothic"/>
                <w:b/>
                <w:sz w:val="24"/>
                <w:szCs w:val="24"/>
              </w:rPr>
            </w:pPr>
            <w:r>
              <w:rPr>
                <w:rFonts w:ascii="Century Gothic" w:hAnsi="Century Gothic"/>
                <w:b/>
                <w:sz w:val="24"/>
                <w:szCs w:val="24"/>
              </w:rPr>
              <w:t>Collaboration:</w:t>
            </w:r>
          </w:p>
          <w:p>
            <w:pPr>
              <w:spacing w:after="0" w:line="240" w:lineRule="auto"/>
              <w:rPr>
                <w:rFonts w:ascii="Century Gothic" w:hAnsi="Century Gothic"/>
                <w:sz w:val="24"/>
                <w:szCs w:val="24"/>
              </w:rPr>
            </w:pPr>
            <w:r>
              <w:rPr>
                <w:rFonts w:ascii="Century Gothic" w:hAnsi="Century Gothic"/>
                <w:sz w:val="24"/>
                <w:szCs w:val="24"/>
              </w:rPr>
              <w:t>Ward Development Committees, Ward Councillors, UNICEF, USAID, Ministry of Education, Ministry of Community Development, Ministry of Health, WFP</w:t>
            </w:r>
          </w:p>
          <w:p>
            <w:pPr>
              <w:spacing w:after="0" w:line="240" w:lineRule="auto"/>
              <w:rPr>
                <w:rFonts w:ascii="Century Gothic" w:hAnsi="Century Gothic"/>
                <w:b/>
                <w:sz w:val="24"/>
                <w:szCs w:val="24"/>
              </w:rPr>
            </w:pPr>
          </w:p>
        </w:tc>
        <w:tc>
          <w:tcPr>
            <w:tcW w:w="8576" w:type="dxa"/>
          </w:tcPr>
          <w:p>
            <w:pPr>
              <w:spacing w:after="0" w:line="240" w:lineRule="auto"/>
              <w:rPr>
                <w:rFonts w:ascii="Century Gothic" w:hAnsi="Century Gothic"/>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0"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6.</w:t>
            </w:r>
          </w:p>
        </w:tc>
        <w:tc>
          <w:tcPr>
            <w:tcW w:w="2209" w:type="dxa"/>
          </w:tcPr>
          <w:p>
            <w:pPr>
              <w:spacing w:after="0" w:line="240" w:lineRule="auto"/>
              <w:rPr>
                <w:rFonts w:ascii="Century Gothic" w:hAnsi="Century Gothic"/>
                <w:sz w:val="24"/>
                <w:szCs w:val="24"/>
              </w:rPr>
            </w:pPr>
            <w:r>
              <w:rPr>
                <w:rFonts w:ascii="Century Gothic" w:hAnsi="Century Gothic"/>
                <w:sz w:val="24"/>
                <w:szCs w:val="24"/>
              </w:rPr>
              <w:t>Do you have the right team to execute?</w:t>
            </w:r>
          </w:p>
        </w:tc>
        <w:tc>
          <w:tcPr>
            <w:tcW w:w="8116" w:type="dxa"/>
          </w:tcPr>
          <w:p>
            <w:pPr>
              <w:spacing w:after="0" w:line="240" w:lineRule="auto"/>
              <w:rPr>
                <w:rFonts w:ascii="Century Gothic" w:hAnsi="Century Gothic"/>
                <w:b w:val="0"/>
                <w:sz w:val="24"/>
                <w:szCs w:val="24"/>
              </w:rPr>
            </w:pPr>
            <w:r>
              <w:rPr>
                <w:rFonts w:ascii="Century Gothic" w:hAnsi="Century Gothic"/>
                <w:sz w:val="24"/>
                <w:szCs w:val="24"/>
              </w:rPr>
              <w:t>whereas the ECD services will be provided within the existing systems in which case the human resources to implement the program are already in place. However, there will be a need to define the institutional arrangements and capacity building to facilitate smooth implementation.</w:t>
            </w:r>
          </w:p>
        </w:tc>
        <w:tc>
          <w:tcPr>
            <w:tcW w:w="8576" w:type="dxa"/>
          </w:tcPr>
          <w:p>
            <w:pPr>
              <w:spacing w:after="0" w:line="240" w:lineRule="auto"/>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7.</w:t>
            </w:r>
          </w:p>
        </w:tc>
        <w:tc>
          <w:tcPr>
            <w:tcW w:w="2209" w:type="dxa"/>
          </w:tcPr>
          <w:p>
            <w:pPr>
              <w:spacing w:after="0" w:line="240" w:lineRule="auto"/>
              <w:rPr>
                <w:rFonts w:ascii="Century Gothic" w:hAnsi="Century Gothic"/>
                <w:sz w:val="24"/>
                <w:szCs w:val="24"/>
              </w:rPr>
            </w:pPr>
            <w:r>
              <w:rPr>
                <w:rFonts w:ascii="Century Gothic" w:hAnsi="Century Gothic"/>
                <w:sz w:val="24"/>
                <w:szCs w:val="24"/>
              </w:rPr>
              <w:t>What governance structures are in place to support effective implementation and coordination?</w:t>
            </w:r>
          </w:p>
        </w:tc>
        <w:tc>
          <w:tcPr>
            <w:tcW w:w="8116" w:type="dxa"/>
          </w:tcPr>
          <w:p>
            <w:pPr>
              <w:spacing w:after="0" w:line="240" w:lineRule="auto"/>
              <w:jc w:val="both"/>
              <w:rPr>
                <w:rFonts w:ascii="Century Gothic" w:hAnsi="Century Gothic"/>
                <w:sz w:val="24"/>
                <w:szCs w:val="24"/>
              </w:rPr>
            </w:pPr>
            <w:r>
              <w:rPr>
                <w:rFonts w:ascii="Century Gothic" w:hAnsi="Century Gothic"/>
                <w:sz w:val="24"/>
                <w:szCs w:val="24"/>
              </w:rPr>
              <w:t xml:space="preserve">Civic Leaders headed by the Mayor, Council Management headed by the Town Clerk, adequate members of staff from various departments, members of staff from devolved ministries, and Ward Development Committees </w:t>
            </w:r>
          </w:p>
        </w:tc>
        <w:tc>
          <w:tcPr>
            <w:tcW w:w="8576" w:type="dxa"/>
          </w:tcPr>
          <w:p>
            <w:pPr>
              <w:spacing w:after="0" w:line="240" w:lineRule="auto"/>
              <w:jc w:val="both"/>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28"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8.</w:t>
            </w:r>
          </w:p>
        </w:tc>
        <w:tc>
          <w:tcPr>
            <w:tcW w:w="2209" w:type="dxa"/>
          </w:tcPr>
          <w:p>
            <w:pPr>
              <w:spacing w:after="0" w:line="240" w:lineRule="auto"/>
              <w:rPr>
                <w:rFonts w:ascii="Century Gothic" w:hAnsi="Century Gothic"/>
                <w:sz w:val="24"/>
                <w:szCs w:val="24"/>
              </w:rPr>
            </w:pPr>
            <w:r>
              <w:rPr>
                <w:rFonts w:ascii="Century Gothic" w:hAnsi="Century Gothic"/>
                <w:sz w:val="24"/>
                <w:szCs w:val="24"/>
              </w:rPr>
              <w:t>What mechanisms are in place to ensure constant engagement between program personnel and senior leadership?</w:t>
            </w:r>
          </w:p>
        </w:tc>
        <w:tc>
          <w:tcPr>
            <w:tcW w:w="8116" w:type="dxa"/>
          </w:tcPr>
          <w:p>
            <w:pPr>
              <w:spacing w:after="0" w:line="240" w:lineRule="auto"/>
              <w:jc w:val="both"/>
              <w:rPr>
                <w:rFonts w:ascii="Century Gothic" w:hAnsi="Century Gothic"/>
                <w:b/>
                <w:sz w:val="24"/>
                <w:szCs w:val="24"/>
              </w:rPr>
            </w:pPr>
            <w:r>
              <w:rPr>
                <w:rFonts w:ascii="Century Gothic" w:hAnsi="Century Gothic"/>
                <w:sz w:val="24"/>
                <w:szCs w:val="24"/>
              </w:rPr>
              <w:t xml:space="preserve">Programmes personnel conduct weekly meetings where weekly reports </w:t>
            </w:r>
            <w:r>
              <w:rPr>
                <w:rFonts w:ascii="Century Gothic" w:hAnsi="Century Gothic"/>
                <w:sz w:val="24"/>
                <w:szCs w:val="24"/>
                <w:u w:val="single"/>
              </w:rPr>
              <w:t>are</w:t>
            </w:r>
            <w:r>
              <w:rPr>
                <w:rFonts w:ascii="Century Gothic" w:hAnsi="Century Gothic"/>
                <w:sz w:val="24"/>
                <w:szCs w:val="24"/>
              </w:rPr>
              <w:t xml:space="preserve"> submitted to the Director of Housing and Social Services who later submits the reports and plans to senior management who meet weekly for management meetings</w:t>
            </w:r>
            <w:r>
              <w:rPr>
                <w:rFonts w:ascii="Century Gothic" w:hAnsi="Century Gothic"/>
                <w:b/>
                <w:sz w:val="24"/>
                <w:szCs w:val="24"/>
              </w:rPr>
              <w:t xml:space="preserve">. </w:t>
            </w:r>
          </w:p>
        </w:tc>
        <w:tc>
          <w:tcPr>
            <w:tcW w:w="8576" w:type="dxa"/>
          </w:tcPr>
          <w:p>
            <w:pPr>
              <w:spacing w:after="0" w:line="240" w:lineRule="auto"/>
              <w:jc w:val="both"/>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5" w:hRule="atLeast"/>
        </w:trPr>
        <w:tc>
          <w:tcPr>
            <w:tcW w:w="10864" w:type="dxa"/>
            <w:gridSpan w:val="3"/>
            <w:shd w:val="clear" w:color="auto" w:fill="E7E6E6"/>
          </w:tcPr>
          <w:p>
            <w:pPr>
              <w:spacing w:after="0" w:line="240" w:lineRule="auto"/>
              <w:rPr>
                <w:rFonts w:ascii="Century Gothic" w:hAnsi="Century Gothic"/>
                <w:b/>
                <w:sz w:val="24"/>
                <w:szCs w:val="24"/>
              </w:rPr>
            </w:pPr>
            <w:r>
              <w:rPr>
                <w:rFonts w:ascii="Century Gothic" w:hAnsi="Century Gothic"/>
                <w:b/>
                <w:sz w:val="24"/>
                <w:szCs w:val="24"/>
              </w:rPr>
              <w:t>Performance Management and Data Systems</w:t>
            </w:r>
          </w:p>
        </w:tc>
        <w:tc>
          <w:tcPr>
            <w:tcW w:w="8576" w:type="dxa"/>
            <w:shd w:val="clear" w:color="auto" w:fill="E7E6E6"/>
          </w:tcPr>
          <w:p>
            <w:pPr>
              <w:spacing w:after="0" w:line="240" w:lineRule="auto"/>
              <w:rPr>
                <w:rFonts w:ascii="Century Gothic" w:hAnsi="Century Gothic"/>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0"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9.</w:t>
            </w:r>
          </w:p>
        </w:tc>
        <w:tc>
          <w:tcPr>
            <w:tcW w:w="2209" w:type="dxa"/>
          </w:tcPr>
          <w:p>
            <w:pPr>
              <w:spacing w:after="0" w:line="240" w:lineRule="auto"/>
              <w:rPr>
                <w:rFonts w:ascii="Century Gothic" w:hAnsi="Century Gothic"/>
                <w:sz w:val="24"/>
                <w:szCs w:val="24"/>
              </w:rPr>
            </w:pPr>
            <w:r>
              <w:rPr>
                <w:rFonts w:ascii="Century Gothic" w:hAnsi="Century Gothic"/>
                <w:sz w:val="24"/>
                <w:szCs w:val="24"/>
              </w:rPr>
              <w:t>What are the milestones you will track if you are to know you are on track?</w:t>
            </w:r>
          </w:p>
        </w:tc>
        <w:tc>
          <w:tcPr>
            <w:tcW w:w="8116" w:type="dxa"/>
          </w:tcPr>
          <w:p>
            <w:pPr>
              <w:pBdr>
                <w:top w:val="none" w:color="auto" w:sz="0" w:space="0"/>
                <w:left w:val="none" w:color="auto" w:sz="0" w:space="0"/>
                <w:bottom w:val="none" w:color="auto" w:sz="0" w:space="0"/>
                <w:right w:val="none" w:color="auto" w:sz="0" w:space="0"/>
                <w:between w:val="none" w:color="auto" w:sz="0" w:space="0"/>
              </w:pBdr>
              <w:spacing w:after="0" w:line="259" w:lineRule="auto"/>
              <w:rPr>
                <w:rFonts w:ascii="Century Gothic" w:hAnsi="Century Gothic"/>
                <w:b/>
                <w:bCs/>
                <w:color w:val="000000"/>
                <w:sz w:val="24"/>
                <w:szCs w:val="24"/>
              </w:rPr>
            </w:pPr>
            <w:r>
              <w:rPr>
                <w:rFonts w:ascii="Century Gothic" w:hAnsi="Century Gothic"/>
                <w:b/>
                <w:bCs/>
                <w:color w:val="000000"/>
                <w:sz w:val="24"/>
                <w:szCs w:val="24"/>
              </w:rPr>
              <w:t xml:space="preserve">MILESTONES </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59" w:lineRule="auto"/>
              <w:rPr>
                <w:rFonts w:ascii="Century Gothic" w:hAnsi="Century Gothic"/>
                <w:color w:val="000000"/>
                <w:sz w:val="24"/>
                <w:szCs w:val="24"/>
              </w:rPr>
            </w:pPr>
            <w:r>
              <w:rPr>
                <w:rFonts w:ascii="Century Gothic" w:hAnsi="Century Gothic"/>
                <w:color w:val="000000"/>
                <w:sz w:val="24"/>
                <w:szCs w:val="24"/>
              </w:rPr>
              <w:t>Number of caregivers trained in parenting.</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59" w:lineRule="auto"/>
              <w:rPr>
                <w:rFonts w:ascii="Century Gothic" w:hAnsi="Century Gothic"/>
                <w:color w:val="000000"/>
                <w:sz w:val="24"/>
                <w:szCs w:val="24"/>
              </w:rPr>
            </w:pPr>
            <w:r>
              <w:rPr>
                <w:rFonts w:ascii="Century Gothic" w:hAnsi="Century Gothic"/>
                <w:color w:val="000000"/>
                <w:sz w:val="24"/>
                <w:szCs w:val="24"/>
              </w:rPr>
              <w:t>ECD providers trained, recruited and deployed</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59" w:lineRule="auto"/>
              <w:rPr>
                <w:rFonts w:ascii="Century Gothic" w:hAnsi="Century Gothic"/>
                <w:color w:val="000000"/>
                <w:sz w:val="24"/>
                <w:szCs w:val="24"/>
              </w:rPr>
            </w:pPr>
            <w:r>
              <w:rPr>
                <w:rFonts w:ascii="Century Gothic" w:hAnsi="Century Gothic"/>
                <w:color w:val="000000"/>
                <w:sz w:val="24"/>
                <w:szCs w:val="24"/>
              </w:rPr>
              <w:t>Number of children reached with quality ECD services</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59" w:lineRule="auto"/>
              <w:rPr>
                <w:rFonts w:ascii="Century Gothic" w:hAnsi="Century Gothic"/>
                <w:color w:val="000000"/>
                <w:sz w:val="24"/>
                <w:szCs w:val="24"/>
              </w:rPr>
            </w:pPr>
            <w:r>
              <w:rPr>
                <w:rFonts w:ascii="Century Gothic" w:hAnsi="Century Gothic"/>
                <w:color w:val="000000"/>
                <w:sz w:val="24"/>
                <w:szCs w:val="24"/>
              </w:rPr>
              <w:t>Number of ECD centres established</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160" w:line="259" w:lineRule="auto"/>
              <w:rPr>
                <w:rFonts w:ascii="Century Gothic" w:hAnsi="Century Gothic"/>
                <w:color w:val="000000"/>
                <w:sz w:val="24"/>
                <w:szCs w:val="24"/>
              </w:rPr>
            </w:pPr>
            <w:r>
              <w:rPr>
                <w:rFonts w:ascii="Century Gothic" w:hAnsi="Century Gothic"/>
                <w:color w:val="000000"/>
                <w:sz w:val="24"/>
                <w:szCs w:val="24"/>
              </w:rPr>
              <w:t>number of children starting school with prior exposure to ECD services</w:t>
            </w:r>
          </w:p>
          <w:p>
            <w:pPr>
              <w:spacing w:after="0" w:line="240" w:lineRule="auto"/>
              <w:rPr>
                <w:rFonts w:ascii="Century Gothic" w:hAnsi="Century Gothic"/>
                <w:sz w:val="24"/>
                <w:szCs w:val="24"/>
              </w:rPr>
            </w:pPr>
          </w:p>
          <w:p>
            <w:pPr>
              <w:spacing w:after="0" w:line="240" w:lineRule="auto"/>
              <w:rPr>
                <w:rFonts w:ascii="Century Gothic" w:hAnsi="Century Gothic"/>
                <w:sz w:val="24"/>
                <w:szCs w:val="24"/>
              </w:rPr>
            </w:pPr>
          </w:p>
        </w:tc>
        <w:tc>
          <w:tcPr>
            <w:tcW w:w="8576" w:type="dxa"/>
          </w:tcPr>
          <w:p>
            <w:pPr>
              <w:spacing w:after="0" w:line="240" w:lineRule="auto"/>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0"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10.</w:t>
            </w:r>
          </w:p>
        </w:tc>
        <w:tc>
          <w:tcPr>
            <w:tcW w:w="2209" w:type="dxa"/>
          </w:tcPr>
          <w:p>
            <w:pPr>
              <w:spacing w:after="0" w:line="240" w:lineRule="auto"/>
              <w:rPr>
                <w:rFonts w:ascii="Century Gothic" w:hAnsi="Century Gothic"/>
                <w:sz w:val="24"/>
                <w:szCs w:val="24"/>
              </w:rPr>
            </w:pPr>
            <w:r>
              <w:rPr>
                <w:rFonts w:ascii="Century Gothic" w:hAnsi="Century Gothic"/>
                <w:sz w:val="24"/>
                <w:szCs w:val="24"/>
              </w:rPr>
              <w:t xml:space="preserve">What has been the progress to date in relation to the big win? </w:t>
            </w:r>
          </w:p>
          <w:p>
            <w:pPr>
              <w:spacing w:after="0" w:line="240" w:lineRule="auto"/>
              <w:rPr>
                <w:rFonts w:ascii="Century Gothic" w:hAnsi="Century Gothic"/>
                <w:sz w:val="24"/>
                <w:szCs w:val="24"/>
              </w:rPr>
            </w:pPr>
            <w:r>
              <w:rPr>
                <w:rFonts w:ascii="Century Gothic" w:hAnsi="Century Gothic"/>
                <w:sz w:val="24"/>
                <w:szCs w:val="24"/>
              </w:rPr>
              <w:t>Which interventions are already ongoing and which ones are yet to be rolled out?</w:t>
            </w:r>
          </w:p>
        </w:tc>
        <w:tc>
          <w:tcPr>
            <w:tcW w:w="8116" w:type="dxa"/>
          </w:tcPr>
          <w:p>
            <w:pPr>
              <w:spacing w:after="0" w:line="240" w:lineRule="auto"/>
              <w:jc w:val="both"/>
              <w:rPr>
                <w:rFonts w:ascii="Century Gothic" w:hAnsi="Century Gothic"/>
                <w:sz w:val="24"/>
                <w:szCs w:val="24"/>
              </w:rPr>
            </w:pPr>
            <w:r>
              <w:rPr>
                <w:rFonts w:ascii="Century Gothic" w:hAnsi="Century Gothic"/>
                <w:sz w:val="24"/>
                <w:szCs w:val="24"/>
              </w:rPr>
              <w:t xml:space="preserve">In the last quarter, Lusaka City Council has enrolled 194 (88 girls and 106 boys) early learners in its 5 early learning facilities. </w:t>
            </w:r>
          </w:p>
          <w:p>
            <w:pPr>
              <w:spacing w:after="0" w:line="240" w:lineRule="auto"/>
              <w:jc w:val="both"/>
              <w:rPr>
                <w:rFonts w:ascii="Century Gothic" w:hAnsi="Century Gothic"/>
                <w:sz w:val="24"/>
                <w:szCs w:val="24"/>
              </w:rPr>
            </w:pPr>
          </w:p>
          <w:p>
            <w:pPr>
              <w:spacing w:after="0" w:line="240" w:lineRule="auto"/>
              <w:jc w:val="both"/>
              <w:rPr>
                <w:rFonts w:ascii="Century Gothic" w:hAnsi="Century Gothic"/>
                <w:sz w:val="24"/>
                <w:szCs w:val="24"/>
              </w:rPr>
            </w:pPr>
            <w:r>
              <w:rPr>
                <w:rFonts w:ascii="Century Gothic" w:hAnsi="Century Gothic"/>
                <w:sz w:val="24"/>
                <w:szCs w:val="24"/>
              </w:rPr>
              <w:t xml:space="preserve">The school feeding program is </w:t>
            </w:r>
            <w:r>
              <w:rPr>
                <w:rFonts w:ascii="Century Gothic" w:hAnsi="Century Gothic"/>
                <w:sz w:val="24"/>
                <w:szCs w:val="24"/>
                <w:lang w:val="en-US"/>
              </w:rPr>
              <w:t>under way</w:t>
            </w:r>
            <w:r>
              <w:rPr>
                <w:rFonts w:ascii="Century Gothic" w:hAnsi="Century Gothic"/>
                <w:sz w:val="24"/>
                <w:szCs w:val="24"/>
              </w:rPr>
              <w:t xml:space="preserve"> at one learning facility and is yet to be rolled out to the other four facilities. One learning facility was recently rehabilitated and rehabilitation of the other four centres is yet to be rolled out. There is a lot more to be done to meet the needs of the population.</w:t>
            </w:r>
          </w:p>
          <w:p>
            <w:pPr>
              <w:spacing w:after="0" w:line="240" w:lineRule="auto"/>
              <w:jc w:val="both"/>
              <w:rPr>
                <w:rFonts w:ascii="Century Gothic" w:hAnsi="Century Gothic"/>
                <w:sz w:val="24"/>
                <w:szCs w:val="24"/>
              </w:rPr>
            </w:pPr>
          </w:p>
          <w:p>
            <w:pPr>
              <w:spacing w:after="0" w:line="240" w:lineRule="auto"/>
              <w:jc w:val="both"/>
              <w:rPr>
                <w:rFonts w:ascii="Century Gothic" w:hAnsi="Century Gothic"/>
                <w:b/>
                <w:sz w:val="24"/>
                <w:szCs w:val="24"/>
              </w:rPr>
            </w:pPr>
          </w:p>
        </w:tc>
        <w:tc>
          <w:tcPr>
            <w:tcW w:w="8576" w:type="dxa"/>
          </w:tcPr>
          <w:p>
            <w:pPr>
              <w:spacing w:after="0" w:line="240" w:lineRule="auto"/>
              <w:jc w:val="both"/>
              <w:rPr>
                <w:rFonts w:ascii="Century Gothic" w:hAnsi="Century Gothic"/>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4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11.</w:t>
            </w:r>
          </w:p>
        </w:tc>
        <w:tc>
          <w:tcPr>
            <w:tcW w:w="2209" w:type="dxa"/>
          </w:tcPr>
          <w:p>
            <w:pPr>
              <w:spacing w:after="0" w:line="240" w:lineRule="auto"/>
              <w:rPr>
                <w:rFonts w:ascii="Century Gothic" w:hAnsi="Century Gothic"/>
                <w:sz w:val="24"/>
                <w:szCs w:val="24"/>
              </w:rPr>
            </w:pPr>
            <w:r>
              <w:rPr>
                <w:rFonts w:ascii="Century Gothic" w:hAnsi="Century Gothic"/>
                <w:sz w:val="24"/>
                <w:szCs w:val="24"/>
              </w:rPr>
              <w:t>What systems are in place to support evidence-based decision-making and the use of data to drive the implementation of the transformative agenda? What critical gaps have you identified?</w:t>
            </w:r>
          </w:p>
          <w:p>
            <w:pPr>
              <w:spacing w:after="0" w:line="240" w:lineRule="auto"/>
              <w:rPr>
                <w:rFonts w:ascii="Century Gothic" w:hAnsi="Century Gothic"/>
                <w:i/>
                <w:sz w:val="24"/>
                <w:szCs w:val="24"/>
              </w:rPr>
            </w:pPr>
            <w:r>
              <w:rPr>
                <w:rFonts w:ascii="Century Gothic" w:hAnsi="Century Gothic"/>
                <w:i/>
                <w:sz w:val="24"/>
                <w:szCs w:val="24"/>
              </w:rPr>
              <w:t>e.g. baseline studies; dashboards; scorecards</w:t>
            </w:r>
          </w:p>
        </w:tc>
        <w:tc>
          <w:tcPr>
            <w:tcW w:w="8116" w:type="dxa"/>
          </w:tcPr>
          <w:p>
            <w:pPr>
              <w:spacing w:after="0" w:line="240" w:lineRule="auto"/>
              <w:jc w:val="both"/>
              <w:rPr>
                <w:rFonts w:ascii="Century Gothic" w:hAnsi="Century Gothic"/>
                <w:sz w:val="24"/>
                <w:szCs w:val="24"/>
              </w:rPr>
            </w:pPr>
            <w:r>
              <w:rPr>
                <w:rFonts w:ascii="Century Gothic" w:hAnsi="Century Gothic"/>
                <w:sz w:val="24"/>
                <w:szCs w:val="24"/>
              </w:rPr>
              <w:t>The National Government shall, about the powers</w:t>
            </w:r>
          </w:p>
          <w:p>
            <w:pPr>
              <w:spacing w:after="0" w:line="240" w:lineRule="auto"/>
              <w:jc w:val="both"/>
              <w:rPr>
                <w:rFonts w:ascii="Century Gothic" w:hAnsi="Century Gothic"/>
                <w:sz w:val="24"/>
                <w:szCs w:val="24"/>
              </w:rPr>
            </w:pPr>
            <w:r>
              <w:rPr>
                <w:rFonts w:ascii="Century Gothic" w:hAnsi="Century Gothic"/>
                <w:sz w:val="24"/>
                <w:szCs w:val="24"/>
              </w:rPr>
              <w:t>and functions of a local authority conferred by the local government ACT  No. 2 of 2019  of the laws of Zambia  shall collect, consolidate, analyse and disseminate data from a local authority to facilitate decision-making at both</w:t>
            </w:r>
          </w:p>
          <w:p>
            <w:pPr>
              <w:spacing w:after="0" w:line="240" w:lineRule="auto"/>
              <w:jc w:val="both"/>
              <w:rPr>
                <w:rFonts w:ascii="Century Gothic" w:hAnsi="Century Gothic"/>
                <w:sz w:val="24"/>
                <w:szCs w:val="24"/>
              </w:rPr>
            </w:pPr>
            <w:r>
              <w:rPr>
                <w:rFonts w:ascii="Century Gothic" w:hAnsi="Century Gothic"/>
                <w:sz w:val="24"/>
                <w:szCs w:val="24"/>
              </w:rPr>
              <w:t>national and local level, as well as to improve</w:t>
            </w:r>
          </w:p>
          <w:p>
            <w:pPr>
              <w:spacing w:after="0" w:line="240" w:lineRule="auto"/>
              <w:jc w:val="both"/>
              <w:rPr>
                <w:rFonts w:ascii="Century Gothic" w:hAnsi="Century Gothic"/>
                <w:sz w:val="24"/>
                <w:szCs w:val="24"/>
              </w:rPr>
            </w:pPr>
            <w:r>
              <w:rPr>
                <w:rFonts w:ascii="Century Gothic" w:hAnsi="Century Gothic"/>
                <w:sz w:val="24"/>
                <w:szCs w:val="24"/>
              </w:rPr>
              <w:t>transparency and accountability</w:t>
            </w:r>
          </w:p>
          <w:p>
            <w:pPr>
              <w:spacing w:after="0" w:line="240" w:lineRule="auto"/>
              <w:jc w:val="both"/>
              <w:rPr>
                <w:rFonts w:ascii="Century Gothic" w:hAnsi="Century Gothic"/>
                <w:sz w:val="24"/>
                <w:szCs w:val="24"/>
              </w:rPr>
            </w:pPr>
          </w:p>
          <w:p>
            <w:pPr>
              <w:spacing w:after="0" w:line="240" w:lineRule="auto"/>
              <w:jc w:val="both"/>
              <w:rPr>
                <w:rFonts w:ascii="Century Gothic" w:hAnsi="Century Gothic"/>
                <w:sz w:val="24"/>
                <w:szCs w:val="24"/>
              </w:rPr>
            </w:pPr>
            <w:r>
              <w:rPr>
                <w:rFonts w:ascii="Century Gothic" w:hAnsi="Century Gothic"/>
                <w:sz w:val="24"/>
                <w:szCs w:val="24"/>
              </w:rPr>
              <w:t>Lusaka City Council and other partners are currently working on a performance management system to achieve the Mayor's Legacy goal of Improving Solid Waste Management for a clean and climate-smart Lusaka city by May 2026. It is from this performance management system that lessons will be learnt and rolled out to other departments (Department of Housing and Social Services) where data will be generated for decision-making.</w:t>
            </w:r>
          </w:p>
          <w:p>
            <w:pPr>
              <w:spacing w:after="0" w:line="240" w:lineRule="auto"/>
              <w:jc w:val="both"/>
              <w:rPr>
                <w:rFonts w:ascii="Century Gothic" w:hAnsi="Century Gothic"/>
                <w:sz w:val="24"/>
                <w:szCs w:val="24"/>
              </w:rPr>
            </w:pPr>
            <w:r>
              <w:rPr>
                <w:rFonts w:ascii="Century Gothic" w:hAnsi="Century Gothic"/>
                <w:sz w:val="24"/>
                <w:szCs w:val="24"/>
              </w:rPr>
              <w:t xml:space="preserve"> </w:t>
            </w:r>
          </w:p>
          <w:p>
            <w:pPr>
              <w:spacing w:after="0" w:line="240" w:lineRule="auto"/>
              <w:jc w:val="both"/>
              <w:rPr>
                <w:rFonts w:ascii="Century Gothic" w:hAnsi="Century Gothic"/>
                <w:sz w:val="24"/>
                <w:szCs w:val="24"/>
              </w:rPr>
            </w:pPr>
            <w:r>
              <w:rPr>
                <w:rFonts w:ascii="Century Gothic" w:hAnsi="Century Gothic"/>
                <w:b/>
                <w:sz w:val="24"/>
                <w:szCs w:val="24"/>
              </w:rPr>
              <w:t>Critical gaps</w:t>
            </w:r>
            <w:r>
              <w:rPr>
                <w:rFonts w:ascii="Century Gothic" w:hAnsi="Century Gothic"/>
                <w:sz w:val="24"/>
                <w:szCs w:val="24"/>
              </w:rPr>
              <w:t xml:space="preserve"> identified are:</w:t>
            </w:r>
          </w:p>
          <w:p>
            <w:pPr>
              <w:pStyle w:val="19"/>
              <w:numPr>
                <w:ilvl w:val="0"/>
                <w:numId w:val="6"/>
              </w:numPr>
              <w:spacing w:after="0" w:line="240" w:lineRule="auto"/>
              <w:jc w:val="both"/>
              <w:rPr>
                <w:rFonts w:ascii="Century Gothic" w:hAnsi="Century Gothic"/>
                <w:sz w:val="24"/>
                <w:szCs w:val="24"/>
              </w:rPr>
            </w:pPr>
            <w:r>
              <w:rPr>
                <w:rFonts w:ascii="Century Gothic" w:hAnsi="Century Gothic"/>
                <w:sz w:val="24"/>
                <w:szCs w:val="24"/>
              </w:rPr>
              <w:t>Lack of a coordination platform for the many stakeholders in the ECD sub</w:t>
            </w:r>
            <w:r>
              <w:rPr>
                <w:rFonts w:hint="default" w:ascii="Century Gothic" w:hAnsi="Century Gothic"/>
                <w:sz w:val="24"/>
                <w:szCs w:val="24"/>
                <w:lang w:val="en-US"/>
              </w:rPr>
              <w:t>-</w:t>
            </w:r>
            <w:r>
              <w:rPr>
                <w:rFonts w:ascii="Century Gothic" w:hAnsi="Century Gothic"/>
                <w:sz w:val="24"/>
                <w:szCs w:val="24"/>
              </w:rPr>
              <w:t>sector</w:t>
            </w:r>
          </w:p>
          <w:p>
            <w:pPr>
              <w:pStyle w:val="19"/>
              <w:numPr>
                <w:ilvl w:val="0"/>
                <w:numId w:val="6"/>
              </w:numPr>
              <w:spacing w:after="0" w:line="240" w:lineRule="auto"/>
              <w:jc w:val="both"/>
              <w:rPr>
                <w:rFonts w:ascii="Century Gothic" w:hAnsi="Century Gothic"/>
                <w:sz w:val="24"/>
                <w:szCs w:val="24"/>
              </w:rPr>
            </w:pPr>
            <w:r>
              <w:rPr>
                <w:rFonts w:ascii="Century Gothic" w:hAnsi="Century Gothic"/>
                <w:sz w:val="24"/>
                <w:szCs w:val="24"/>
              </w:rPr>
              <w:t>the considerable funding gaps that exist in Zambia for early learning facilities managed by Lusaka City Council</w:t>
            </w:r>
          </w:p>
          <w:p>
            <w:pPr>
              <w:pStyle w:val="19"/>
              <w:numPr>
                <w:ilvl w:val="0"/>
                <w:numId w:val="6"/>
              </w:numPr>
              <w:spacing w:after="0" w:line="240" w:lineRule="auto"/>
              <w:jc w:val="both"/>
              <w:rPr>
                <w:rFonts w:ascii="Century Gothic" w:hAnsi="Century Gothic"/>
                <w:sz w:val="24"/>
                <w:szCs w:val="24"/>
              </w:rPr>
            </w:pPr>
            <w:r>
              <w:rPr>
                <w:rFonts w:ascii="Century Gothic" w:hAnsi="Century Gothic"/>
                <w:sz w:val="24"/>
                <w:szCs w:val="24"/>
              </w:rPr>
              <w:t xml:space="preserve">Additionally, limited up-to-date early childhood development data and statistics. </w:t>
            </w:r>
          </w:p>
        </w:tc>
        <w:tc>
          <w:tcPr>
            <w:tcW w:w="8576" w:type="dxa"/>
          </w:tcPr>
          <w:p>
            <w:pPr>
              <w:pStyle w:val="19"/>
              <w:numPr>
                <w:ilvl w:val="0"/>
                <w:numId w:val="6"/>
              </w:numPr>
              <w:spacing w:after="0" w:line="240" w:lineRule="auto"/>
              <w:jc w:val="both"/>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0" w:hRule="atLeast"/>
        </w:trPr>
        <w:tc>
          <w:tcPr>
            <w:tcW w:w="10864" w:type="dxa"/>
            <w:gridSpan w:val="3"/>
            <w:shd w:val="clear" w:color="auto" w:fill="E7E6E6"/>
          </w:tcPr>
          <w:p>
            <w:pPr>
              <w:spacing w:after="0" w:line="240" w:lineRule="auto"/>
              <w:rPr>
                <w:rFonts w:ascii="Century Gothic" w:hAnsi="Century Gothic"/>
                <w:b/>
                <w:sz w:val="24"/>
                <w:szCs w:val="24"/>
              </w:rPr>
            </w:pPr>
            <w:r>
              <w:rPr>
                <w:rFonts w:ascii="Century Gothic" w:hAnsi="Century Gothic"/>
                <w:b/>
                <w:sz w:val="24"/>
                <w:szCs w:val="24"/>
              </w:rPr>
              <w:t>Th</w:t>
            </w:r>
          </w:p>
          <w:p>
            <w:pPr>
              <w:spacing w:after="0" w:line="240" w:lineRule="auto"/>
              <w:rPr>
                <w:rFonts w:ascii="Century Gothic" w:hAnsi="Century Gothic"/>
                <w:b/>
                <w:sz w:val="24"/>
                <w:szCs w:val="24"/>
              </w:rPr>
            </w:pPr>
          </w:p>
        </w:tc>
        <w:tc>
          <w:tcPr>
            <w:tcW w:w="8576" w:type="dxa"/>
            <w:shd w:val="clear" w:color="auto" w:fill="E7E6E6"/>
          </w:tcPr>
          <w:p>
            <w:pPr>
              <w:spacing w:after="0" w:line="240" w:lineRule="auto"/>
              <w:rPr>
                <w:rFonts w:ascii="Century Gothic" w:hAnsi="Century Gothic"/>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12.</w:t>
            </w:r>
          </w:p>
        </w:tc>
        <w:tc>
          <w:tcPr>
            <w:tcW w:w="2209" w:type="dxa"/>
          </w:tcPr>
          <w:p>
            <w:pPr>
              <w:spacing w:after="0" w:line="240" w:lineRule="auto"/>
              <w:rPr>
                <w:rFonts w:ascii="Century Gothic" w:hAnsi="Century Gothic"/>
                <w:sz w:val="24"/>
                <w:szCs w:val="24"/>
              </w:rPr>
            </w:pPr>
            <w:r>
              <w:rPr>
                <w:rFonts w:ascii="Century Gothic" w:hAnsi="Century Gothic"/>
                <w:sz w:val="24"/>
                <w:szCs w:val="24"/>
              </w:rPr>
              <w:t>How does the government intend to finance the transformative agenda?</w:t>
            </w:r>
          </w:p>
          <w:p>
            <w:pPr>
              <w:spacing w:after="0" w:line="240" w:lineRule="auto"/>
              <w:rPr>
                <w:rFonts w:ascii="Century Gothic" w:hAnsi="Century Gothic"/>
                <w:sz w:val="24"/>
                <w:szCs w:val="24"/>
              </w:rPr>
            </w:pPr>
            <w:r>
              <w:rPr>
                <w:rFonts w:ascii="Century Gothic" w:hAnsi="Century Gothic"/>
                <w:sz w:val="24"/>
                <w:szCs w:val="24"/>
              </w:rPr>
              <w:t>How much has been mobilized to date?</w:t>
            </w:r>
          </w:p>
          <w:p>
            <w:pPr>
              <w:numPr>
                <w:ilvl w:val="0"/>
                <w:numId w:val="7"/>
              </w:numPr>
              <w:pBdr>
                <w:top w:val="none" w:color="auto" w:sz="0" w:space="0"/>
                <w:left w:val="none" w:color="auto" w:sz="0" w:space="0"/>
                <w:bottom w:val="none" w:color="auto" w:sz="0" w:space="0"/>
                <w:right w:val="none" w:color="auto" w:sz="0" w:space="0"/>
                <w:between w:val="none" w:color="auto" w:sz="0" w:space="0"/>
              </w:pBdr>
              <w:spacing w:after="160" w:line="259" w:lineRule="auto"/>
              <w:ind w:left="166" w:hanging="166"/>
              <w:rPr>
                <w:rFonts w:ascii="Century Gothic" w:hAnsi="Century Gothic"/>
                <w:i/>
                <w:color w:val="000000"/>
                <w:sz w:val="24"/>
                <w:szCs w:val="24"/>
              </w:rPr>
            </w:pPr>
            <w:r>
              <w:rPr>
                <w:rFonts w:ascii="Century Gothic" w:hAnsi="Century Gothic"/>
                <w:i/>
                <w:color w:val="000000"/>
                <w:sz w:val="24"/>
                <w:szCs w:val="24"/>
              </w:rPr>
              <w:t>Reflect on value for money (expected impact vs. funding required)</w:t>
            </w:r>
          </w:p>
        </w:tc>
        <w:tc>
          <w:tcPr>
            <w:tcW w:w="8116" w:type="dxa"/>
          </w:tcPr>
          <w:p>
            <w:pPr>
              <w:pStyle w:val="12"/>
              <w:rPr>
                <w:rFonts w:ascii="Century Gothic" w:hAnsi="Century Gothic"/>
                <w:b/>
                <w:sz w:val="24"/>
                <w:szCs w:val="24"/>
              </w:rPr>
            </w:pPr>
            <w:r>
              <w:rPr>
                <w:rFonts w:ascii="Century Gothic" w:hAnsi="Century Gothic"/>
                <w:sz w:val="24"/>
                <w:szCs w:val="24"/>
              </w:rPr>
              <w:t xml:space="preserve">Through the </w:t>
            </w:r>
            <w:r>
              <w:rPr>
                <w:rFonts w:ascii="Century Gothic" w:hAnsi="Century Gothic"/>
                <w:b/>
                <w:sz w:val="24"/>
                <w:szCs w:val="24"/>
              </w:rPr>
              <w:t>2023</w:t>
            </w:r>
            <w:r>
              <w:rPr>
                <w:rFonts w:ascii="Century Gothic" w:hAnsi="Century Gothic"/>
                <w:sz w:val="24"/>
                <w:szCs w:val="24"/>
              </w:rPr>
              <w:t xml:space="preserve"> output-based budget, the government intends to finance early childhood education with an estimated amount of </w:t>
            </w:r>
            <w:r>
              <w:rPr>
                <w:rFonts w:ascii="Century Gothic" w:hAnsi="Century Gothic"/>
                <w:b/>
                <w:sz w:val="24"/>
                <w:szCs w:val="24"/>
              </w:rPr>
              <w:t>K 301 187 986.</w:t>
            </w:r>
          </w:p>
          <w:p>
            <w:pPr>
              <w:pStyle w:val="12"/>
              <w:rPr>
                <w:rFonts w:hint="default"/>
                <w:bCs/>
                <w:lang w:val="en-US"/>
              </w:rPr>
            </w:pPr>
            <w:r>
              <w:rPr>
                <w:rFonts w:hint="default" w:ascii="Century Gothic" w:hAnsi="Century Gothic"/>
                <w:b w:val="0"/>
                <w:bCs/>
                <w:sz w:val="24"/>
                <w:szCs w:val="24"/>
                <w:lang w:val="en-US"/>
              </w:rPr>
              <w:t xml:space="preserve">LCC  has </w:t>
            </w:r>
            <w:r>
              <w:rPr>
                <w:rFonts w:hint="default" w:ascii="Century Gothic" w:hAnsi="Century Gothic"/>
                <w:b w:val="0"/>
                <w:bCs/>
                <w:sz w:val="24"/>
                <w:szCs w:val="24"/>
                <w:lang w:val="en-US"/>
              </w:rPr>
              <w:t xml:space="preserve"> no dedicated budget for early childhood development </w:t>
            </w:r>
            <w:r>
              <w:rPr>
                <w:rFonts w:hint="default" w:ascii="Century Gothic" w:hAnsi="Century Gothic"/>
                <w:b w:val="0"/>
                <w:bCs/>
                <w:sz w:val="24"/>
                <w:szCs w:val="24"/>
                <w:lang w:val="en-US"/>
              </w:rPr>
              <w:t xml:space="preserve">but currently recognises it has a priority for development  of the city and it contributes to the cities vision of having a  clean , green and healthy city for everyone who lives, works and does business in Lusaka </w:t>
            </w:r>
          </w:p>
          <w:p>
            <w:pPr>
              <w:spacing w:after="0" w:line="240" w:lineRule="auto"/>
              <w:rPr>
                <w:rFonts w:hint="default" w:ascii="Century Gothic" w:hAnsi="Century Gothic"/>
                <w:sz w:val="24"/>
                <w:szCs w:val="24"/>
                <w:lang w:val="en-US"/>
              </w:rPr>
            </w:pPr>
          </w:p>
        </w:tc>
        <w:tc>
          <w:tcPr>
            <w:tcW w:w="8576" w:type="dxa"/>
          </w:tcPr>
          <w:p>
            <w:pPr>
              <w:spacing w:after="0" w:line="240" w:lineRule="auto"/>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2"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13.</w:t>
            </w:r>
          </w:p>
        </w:tc>
        <w:tc>
          <w:tcPr>
            <w:tcW w:w="2209" w:type="dxa"/>
          </w:tcPr>
          <w:p>
            <w:pPr>
              <w:spacing w:after="0" w:line="240" w:lineRule="auto"/>
              <w:rPr>
                <w:rFonts w:ascii="Century Gothic" w:hAnsi="Century Gothic"/>
                <w:sz w:val="24"/>
                <w:szCs w:val="24"/>
              </w:rPr>
            </w:pPr>
            <w:r>
              <w:rPr>
                <w:rFonts w:ascii="Century Gothic" w:hAnsi="Century Gothic"/>
                <w:sz w:val="24"/>
                <w:szCs w:val="24"/>
              </w:rPr>
              <w:t>Is there a bankable plan in place to support additional resource mobilization?</w:t>
            </w:r>
          </w:p>
        </w:tc>
        <w:tc>
          <w:tcPr>
            <w:tcW w:w="8116" w:type="dxa"/>
          </w:tcPr>
          <w:p>
            <w:pPr>
              <w:pBdr>
                <w:top w:val="none" w:color="auto" w:sz="0" w:space="0"/>
                <w:left w:val="none" w:color="auto" w:sz="0" w:space="0"/>
                <w:bottom w:val="none" w:color="auto" w:sz="0" w:space="0"/>
                <w:right w:val="none" w:color="auto" w:sz="0" w:space="0"/>
                <w:between w:val="none" w:color="auto" w:sz="0" w:space="0"/>
              </w:pBdr>
              <w:spacing w:after="160" w:line="259" w:lineRule="auto"/>
              <w:jc w:val="both"/>
              <w:rPr>
                <w:rFonts w:ascii="Century Gothic" w:hAnsi="Century Gothic"/>
                <w:sz w:val="24"/>
                <w:szCs w:val="24"/>
              </w:rPr>
            </w:pPr>
            <w:r>
              <w:rPr>
                <w:rFonts w:hint="default" w:ascii="Century Gothic" w:hAnsi="Century Gothic"/>
                <w:sz w:val="24"/>
                <w:szCs w:val="24"/>
                <w:lang w:val="en-US"/>
              </w:rPr>
              <w:t xml:space="preserve">A </w:t>
            </w:r>
            <w:r>
              <w:rPr>
                <w:rFonts w:ascii="Century Gothic" w:hAnsi="Century Gothic"/>
                <w:sz w:val="24"/>
                <w:szCs w:val="24"/>
              </w:rPr>
              <w:t>resource mobilisation strategy and plan will have to be developed as part of the year 1 activities.</w:t>
            </w:r>
          </w:p>
          <w:p>
            <w:pPr>
              <w:pBdr>
                <w:top w:val="none" w:color="auto" w:sz="0" w:space="0"/>
                <w:left w:val="none" w:color="auto" w:sz="0" w:space="0"/>
                <w:bottom w:val="none" w:color="auto" w:sz="0" w:space="0"/>
                <w:right w:val="none" w:color="auto" w:sz="0" w:space="0"/>
                <w:between w:val="none" w:color="auto" w:sz="0" w:space="0"/>
              </w:pBdr>
              <w:spacing w:after="160" w:line="259" w:lineRule="auto"/>
              <w:rPr>
                <w:rFonts w:ascii="Century Gothic" w:hAnsi="Century Gothic"/>
                <w:b/>
                <w:sz w:val="24"/>
                <w:szCs w:val="24"/>
              </w:rPr>
            </w:pPr>
          </w:p>
        </w:tc>
        <w:tc>
          <w:tcPr>
            <w:tcW w:w="8576" w:type="dxa"/>
          </w:tcPr>
          <w:p>
            <w:pPr>
              <w:pBdr>
                <w:top w:val="none" w:color="auto" w:sz="0" w:space="0"/>
                <w:left w:val="none" w:color="auto" w:sz="0" w:space="0"/>
                <w:bottom w:val="none" w:color="auto" w:sz="0" w:space="0"/>
                <w:right w:val="none" w:color="auto" w:sz="0" w:space="0"/>
                <w:between w:val="none" w:color="auto" w:sz="0" w:space="0"/>
              </w:pBdr>
              <w:spacing w:after="160" w:line="259" w:lineRule="auto"/>
              <w:rPr>
                <w:rFonts w:ascii="Century Gothic" w:hAnsi="Century Gothic"/>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14.</w:t>
            </w:r>
          </w:p>
        </w:tc>
        <w:tc>
          <w:tcPr>
            <w:tcW w:w="2209" w:type="dxa"/>
          </w:tcPr>
          <w:p>
            <w:pPr>
              <w:spacing w:after="0" w:line="240" w:lineRule="auto"/>
              <w:rPr>
                <w:rFonts w:ascii="Century Gothic" w:hAnsi="Century Gothic"/>
                <w:sz w:val="24"/>
                <w:szCs w:val="24"/>
              </w:rPr>
            </w:pPr>
            <w:r>
              <w:rPr>
                <w:rFonts w:ascii="Century Gothic" w:hAnsi="Century Gothic"/>
                <w:sz w:val="24"/>
                <w:szCs w:val="24"/>
              </w:rPr>
              <w:t xml:space="preserve">What has the government done to reallocate resources and prioritize the transformative agenda? </w:t>
            </w:r>
          </w:p>
        </w:tc>
        <w:tc>
          <w:tcPr>
            <w:tcW w:w="8116" w:type="dxa"/>
          </w:tcPr>
          <w:p>
            <w:pPr>
              <w:spacing w:after="0" w:line="240" w:lineRule="auto"/>
              <w:jc w:val="both"/>
              <w:rPr>
                <w:rFonts w:ascii="Century Gothic" w:hAnsi="Century Gothic"/>
                <w:sz w:val="24"/>
                <w:szCs w:val="24"/>
              </w:rPr>
            </w:pPr>
            <w:r>
              <w:rPr>
                <w:rFonts w:ascii="Century Gothic" w:hAnsi="Century Gothic"/>
                <w:sz w:val="24"/>
                <w:szCs w:val="24"/>
              </w:rPr>
              <w:t xml:space="preserve">The government of Zambia recently launched the decentralisation policy. With this policy, devolved functions from the national to the sub-national and sub-structure levels to enhance efficiency in the delivery and access to public services. Fiscal resources are being reallocated to the local authorities to support the implementation of decentralised functions. Additionally, several government departments including early childhood education have been devolved to the local authorities. </w:t>
            </w:r>
          </w:p>
        </w:tc>
        <w:tc>
          <w:tcPr>
            <w:tcW w:w="8576" w:type="dxa"/>
          </w:tcPr>
          <w:p>
            <w:pPr>
              <w:spacing w:after="0" w:line="240" w:lineRule="auto"/>
              <w:jc w:val="both"/>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trPr>
        <w:tc>
          <w:tcPr>
            <w:tcW w:w="10864" w:type="dxa"/>
            <w:gridSpan w:val="3"/>
            <w:shd w:val="clear" w:color="auto" w:fill="E7E6E6"/>
          </w:tcPr>
          <w:p>
            <w:pPr>
              <w:spacing w:after="0" w:line="240" w:lineRule="auto"/>
              <w:rPr>
                <w:rFonts w:ascii="Century Gothic" w:hAnsi="Century Gothic"/>
                <w:b/>
                <w:sz w:val="24"/>
                <w:szCs w:val="24"/>
              </w:rPr>
            </w:pPr>
            <w:r>
              <w:rPr>
                <w:rFonts w:ascii="Century Gothic" w:hAnsi="Century Gothic"/>
                <w:b/>
                <w:sz w:val="24"/>
                <w:szCs w:val="24"/>
              </w:rPr>
              <w:t>Practicing Good Politics</w:t>
            </w:r>
          </w:p>
        </w:tc>
        <w:tc>
          <w:tcPr>
            <w:tcW w:w="8576" w:type="dxa"/>
            <w:shd w:val="clear" w:color="auto" w:fill="E7E6E6"/>
          </w:tcPr>
          <w:p>
            <w:pPr>
              <w:spacing w:after="0" w:line="240" w:lineRule="auto"/>
              <w:rPr>
                <w:rFonts w:ascii="Century Gothic" w:hAnsi="Century Gothic"/>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15.</w:t>
            </w:r>
          </w:p>
        </w:tc>
        <w:tc>
          <w:tcPr>
            <w:tcW w:w="2209" w:type="dxa"/>
          </w:tcPr>
          <w:p>
            <w:pPr>
              <w:spacing w:after="0" w:line="240" w:lineRule="auto"/>
              <w:rPr>
                <w:rFonts w:ascii="Century Gothic" w:hAnsi="Century Gothic"/>
                <w:sz w:val="24"/>
                <w:szCs w:val="24"/>
              </w:rPr>
            </w:pPr>
            <w:r>
              <w:rPr>
                <w:rFonts w:ascii="Century Gothic" w:hAnsi="Century Gothic"/>
                <w:sz w:val="24"/>
                <w:szCs w:val="24"/>
              </w:rPr>
              <w:t>What communication and branding strategies does the government use to advance the transformative agenda?</w:t>
            </w:r>
          </w:p>
        </w:tc>
        <w:tc>
          <w:tcPr>
            <w:tcW w:w="8116" w:type="dxa"/>
          </w:tcPr>
          <w:p>
            <w:pPr>
              <w:spacing w:after="0" w:line="240" w:lineRule="auto"/>
              <w:jc w:val="both"/>
              <w:rPr>
                <w:rFonts w:ascii="Century Gothic" w:hAnsi="Century Gothic"/>
                <w:sz w:val="24"/>
                <w:szCs w:val="24"/>
              </w:rPr>
            </w:pPr>
            <w:r>
              <w:rPr>
                <w:rFonts w:ascii="Century Gothic" w:hAnsi="Century Gothic"/>
                <w:sz w:val="24"/>
                <w:szCs w:val="24"/>
              </w:rPr>
              <w:t>The government formulates policies and strategies to advance ECD in the country. Avenues such as commemorations of important days such as Child Health Week, International Literacy Day and Day of an African Child are also used by the government to communicate the value of ECD.</w:t>
            </w:r>
          </w:p>
        </w:tc>
        <w:tc>
          <w:tcPr>
            <w:tcW w:w="8576" w:type="dxa"/>
          </w:tcPr>
          <w:p>
            <w:pPr>
              <w:spacing w:after="0" w:line="240" w:lineRule="auto"/>
              <w:jc w:val="both"/>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16.</w:t>
            </w:r>
          </w:p>
        </w:tc>
        <w:tc>
          <w:tcPr>
            <w:tcW w:w="2209" w:type="dxa"/>
          </w:tcPr>
          <w:p>
            <w:pPr>
              <w:spacing w:after="0" w:line="240" w:lineRule="auto"/>
              <w:rPr>
                <w:rFonts w:ascii="Century Gothic" w:hAnsi="Century Gothic"/>
                <w:sz w:val="24"/>
                <w:szCs w:val="24"/>
              </w:rPr>
            </w:pPr>
            <w:r>
              <w:rPr>
                <w:rFonts w:ascii="Century Gothic" w:hAnsi="Century Gothic"/>
                <w:sz w:val="24"/>
                <w:szCs w:val="24"/>
              </w:rPr>
              <w:t>How does the government engage with the community and other external stakeholders to get feedback?</w:t>
            </w:r>
          </w:p>
        </w:tc>
        <w:tc>
          <w:tcPr>
            <w:tcW w:w="8116" w:type="dxa"/>
          </w:tcPr>
          <w:p>
            <w:pPr>
              <w:spacing w:after="0" w:line="240" w:lineRule="auto"/>
              <w:jc w:val="both"/>
              <w:rPr>
                <w:rFonts w:ascii="Century Gothic" w:hAnsi="Century Gothic"/>
                <w:sz w:val="24"/>
                <w:szCs w:val="24"/>
              </w:rPr>
            </w:pPr>
            <w:r>
              <w:rPr>
                <w:rFonts w:ascii="Century Gothic" w:hAnsi="Century Gothic"/>
                <w:sz w:val="24"/>
                <w:szCs w:val="24"/>
              </w:rPr>
              <w:t xml:space="preserve">The government engages with community members through Ward Development Committees which have been constitutionally established to facilitate engagements with the community. Additionally, through the Single Window Initiative, single-window entry points have been established in various wards where information on social protection services can be obtained. A case management system is established where stakeholders where case management forms, case assessment forms, grievance management forms and referral forms are available for engagement. </w:t>
            </w:r>
          </w:p>
        </w:tc>
        <w:tc>
          <w:tcPr>
            <w:tcW w:w="8576" w:type="dxa"/>
          </w:tcPr>
          <w:p>
            <w:pPr>
              <w:spacing w:after="0" w:line="240" w:lineRule="auto"/>
              <w:jc w:val="both"/>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17.</w:t>
            </w:r>
          </w:p>
        </w:tc>
        <w:tc>
          <w:tcPr>
            <w:tcW w:w="2209" w:type="dxa"/>
          </w:tcPr>
          <w:p>
            <w:pPr>
              <w:spacing w:after="0" w:line="240" w:lineRule="auto"/>
              <w:rPr>
                <w:rFonts w:ascii="Century Gothic" w:hAnsi="Century Gothic"/>
                <w:sz w:val="24"/>
                <w:szCs w:val="24"/>
              </w:rPr>
            </w:pPr>
            <w:r>
              <w:rPr>
                <w:rFonts w:ascii="Century Gothic" w:hAnsi="Century Gothic"/>
                <w:sz w:val="24"/>
                <w:szCs w:val="24"/>
              </w:rPr>
              <w:t>Which other government ministries (government leaders)</w:t>
            </w:r>
          </w:p>
        </w:tc>
        <w:tc>
          <w:tcPr>
            <w:tcW w:w="8116" w:type="dxa"/>
          </w:tcPr>
          <w:p>
            <w:pPr>
              <w:spacing w:after="0" w:line="240" w:lineRule="auto"/>
              <w:rPr>
                <w:rFonts w:ascii="Century Gothic" w:hAnsi="Century Gothic"/>
                <w:sz w:val="24"/>
                <w:szCs w:val="24"/>
              </w:rPr>
            </w:pPr>
            <w:r>
              <w:rPr>
                <w:rFonts w:ascii="Century Gothic" w:hAnsi="Century Gothic"/>
                <w:sz w:val="24"/>
                <w:szCs w:val="24"/>
              </w:rPr>
              <w:t>Ministry of Local Government and Chiefs, Ministry of Education, Ministry of Health, Ministry of Community Development, District Administrative Officers</w:t>
            </w:r>
          </w:p>
        </w:tc>
        <w:tc>
          <w:tcPr>
            <w:tcW w:w="8576" w:type="dxa"/>
          </w:tcPr>
          <w:p>
            <w:pPr>
              <w:spacing w:after="0" w:line="240" w:lineRule="auto"/>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trPr>
        <w:tc>
          <w:tcPr>
            <w:tcW w:w="10864" w:type="dxa"/>
            <w:gridSpan w:val="3"/>
            <w:shd w:val="clear" w:color="auto" w:fill="E7E6E6"/>
          </w:tcPr>
          <w:p>
            <w:pPr>
              <w:spacing w:after="0" w:line="240" w:lineRule="auto"/>
              <w:rPr>
                <w:rFonts w:ascii="Century Gothic" w:hAnsi="Century Gothic"/>
                <w:sz w:val="24"/>
                <w:szCs w:val="24"/>
              </w:rPr>
            </w:pPr>
            <w:r>
              <w:rPr>
                <w:rFonts w:ascii="Century Gothic" w:hAnsi="Century Gothic"/>
                <w:sz w:val="24"/>
                <w:szCs w:val="24"/>
              </w:rPr>
              <w:t>Leadership Potential</w:t>
            </w:r>
          </w:p>
        </w:tc>
        <w:tc>
          <w:tcPr>
            <w:tcW w:w="8576" w:type="dxa"/>
            <w:shd w:val="clear" w:color="auto" w:fill="E7E6E6"/>
          </w:tcPr>
          <w:p>
            <w:pPr>
              <w:spacing w:after="0" w:line="240" w:lineRule="auto"/>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18.</w:t>
            </w:r>
          </w:p>
        </w:tc>
        <w:tc>
          <w:tcPr>
            <w:tcW w:w="2209" w:type="dxa"/>
          </w:tcPr>
          <w:p>
            <w:pPr>
              <w:spacing w:after="0" w:line="240" w:lineRule="auto"/>
              <w:rPr>
                <w:rFonts w:ascii="Century Gothic" w:hAnsi="Century Gothic"/>
                <w:sz w:val="24"/>
                <w:szCs w:val="24"/>
              </w:rPr>
            </w:pPr>
            <w:r>
              <w:rPr>
                <w:rFonts w:ascii="Century Gothic" w:hAnsi="Century Gothic"/>
                <w:sz w:val="24"/>
                <w:szCs w:val="24"/>
              </w:rPr>
              <w:t>What are the key political complexities that the leadership anticipates and how will it respond to ensure success? What is the political enabling environment like?</w:t>
            </w:r>
          </w:p>
        </w:tc>
        <w:tc>
          <w:tcPr>
            <w:tcW w:w="8116" w:type="dxa"/>
          </w:tcPr>
          <w:p>
            <w:pPr>
              <w:spacing w:after="0" w:line="240" w:lineRule="auto"/>
              <w:rPr>
                <w:rFonts w:ascii="Century Gothic" w:hAnsi="Century Gothic"/>
                <w:sz w:val="24"/>
                <w:szCs w:val="24"/>
              </w:rPr>
            </w:pPr>
            <w:r>
              <w:rPr>
                <w:rFonts w:ascii="Century Gothic" w:hAnsi="Century Gothic"/>
                <w:sz w:val="24"/>
                <w:szCs w:val="24"/>
              </w:rPr>
              <w:t>The slow implementation of fiscal decentralisation to local authorities especially in areas of health, education and agriculture</w:t>
            </w:r>
          </w:p>
          <w:p>
            <w:pPr>
              <w:spacing w:after="0" w:line="240" w:lineRule="auto"/>
              <w:rPr>
                <w:rFonts w:ascii="Century Gothic" w:hAnsi="Century Gothic"/>
                <w:sz w:val="24"/>
                <w:szCs w:val="24"/>
              </w:rPr>
            </w:pPr>
            <w:r>
              <w:rPr>
                <w:rFonts w:ascii="Century Gothic" w:hAnsi="Century Gothic"/>
                <w:sz w:val="24"/>
                <w:szCs w:val="24"/>
              </w:rPr>
              <w:t>Lusaka is strategically located because it is a provincial capital for all the government departments.</w:t>
            </w:r>
          </w:p>
          <w:p>
            <w:pPr>
              <w:spacing w:after="0" w:line="240" w:lineRule="auto"/>
              <w:jc w:val="both"/>
              <w:rPr>
                <w:rFonts w:ascii="Century Gothic" w:hAnsi="Century Gothic"/>
                <w:sz w:val="24"/>
                <w:szCs w:val="24"/>
              </w:rPr>
            </w:pPr>
            <w:r>
              <w:rPr>
                <w:rFonts w:ascii="Century Gothic" w:hAnsi="Century Gothic"/>
                <w:sz w:val="24"/>
                <w:szCs w:val="24"/>
              </w:rPr>
              <w:t>The political enabling environment is very favourable for the implementation of programs and projects. Lusaka City Council for example, has elected civic leaders (37 Councillors and a Deputy Mayor) and a Mayor who are on top of things to ensure that the Council provides services to the public. Supporting this political structure are Ward Development Committees and Constituency Development Fund Committees, which ensure community engagement and communication with the community and prudent use of the Constituency Development Fund respectively. Therefore, this political structure makes the execution of programs successful</w:t>
            </w:r>
          </w:p>
        </w:tc>
        <w:tc>
          <w:tcPr>
            <w:tcW w:w="8576" w:type="dxa"/>
          </w:tcPr>
          <w:p>
            <w:pPr>
              <w:spacing w:after="0" w:line="240" w:lineRule="auto"/>
              <w:jc w:val="both"/>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19.</w:t>
            </w:r>
          </w:p>
        </w:tc>
        <w:tc>
          <w:tcPr>
            <w:tcW w:w="2209" w:type="dxa"/>
          </w:tcPr>
          <w:p>
            <w:pPr>
              <w:spacing w:after="0" w:line="240" w:lineRule="auto"/>
              <w:rPr>
                <w:rFonts w:ascii="Century Gothic" w:hAnsi="Century Gothic"/>
                <w:sz w:val="24"/>
                <w:szCs w:val="24"/>
              </w:rPr>
            </w:pPr>
            <w:r>
              <w:rPr>
                <w:rFonts w:ascii="Century Gothic" w:hAnsi="Century Gothic"/>
                <w:sz w:val="24"/>
                <w:szCs w:val="24"/>
              </w:rPr>
              <w:t xml:space="preserve">How does the leadership view their role and capacity situation to effectively drive program success? </w:t>
            </w:r>
          </w:p>
          <w:p>
            <w:pPr>
              <w:spacing w:after="0" w:line="240" w:lineRule="auto"/>
              <w:rPr>
                <w:rFonts w:ascii="Century Gothic" w:hAnsi="Century Gothic"/>
                <w:sz w:val="24"/>
                <w:szCs w:val="24"/>
              </w:rPr>
            </w:pPr>
            <w:r>
              <w:rPr>
                <w:rFonts w:ascii="Century Gothic" w:hAnsi="Century Gothic"/>
                <w:sz w:val="24"/>
                <w:szCs w:val="24"/>
              </w:rPr>
              <w:t>What support do they need?</w:t>
            </w:r>
          </w:p>
        </w:tc>
        <w:tc>
          <w:tcPr>
            <w:tcW w:w="8116" w:type="dxa"/>
          </w:tcPr>
          <w:p>
            <w:pPr>
              <w:pBdr>
                <w:top w:val="none" w:color="auto" w:sz="0" w:space="0"/>
                <w:left w:val="none" w:color="auto" w:sz="0" w:space="0"/>
                <w:bottom w:val="none" w:color="auto" w:sz="0" w:space="0"/>
                <w:right w:val="none" w:color="auto" w:sz="0" w:space="0"/>
                <w:between w:val="none" w:color="auto" w:sz="0" w:space="0"/>
              </w:pBdr>
              <w:spacing w:after="160" w:line="259" w:lineRule="auto"/>
              <w:jc w:val="both"/>
              <w:rPr>
                <w:rFonts w:ascii="Century Gothic" w:hAnsi="Century Gothic"/>
                <w:color w:val="000000"/>
                <w:sz w:val="24"/>
                <w:szCs w:val="24"/>
              </w:rPr>
            </w:pPr>
            <w:r>
              <w:rPr>
                <w:rFonts w:ascii="Century Gothic" w:hAnsi="Century Gothic"/>
                <w:sz w:val="24"/>
                <w:szCs w:val="24"/>
              </w:rPr>
              <w:t xml:space="preserve">Leadership view their role as oversight and advocacy and empowering them with knowledge will help in their advocacy role. </w:t>
            </w:r>
          </w:p>
        </w:tc>
        <w:tc>
          <w:tcPr>
            <w:tcW w:w="8576" w:type="dxa"/>
          </w:tcPr>
          <w:p>
            <w:pPr>
              <w:pBdr>
                <w:top w:val="none" w:color="auto" w:sz="0" w:space="0"/>
                <w:left w:val="none" w:color="auto" w:sz="0" w:space="0"/>
                <w:bottom w:val="none" w:color="auto" w:sz="0" w:space="0"/>
                <w:right w:val="none" w:color="auto" w:sz="0" w:space="0"/>
                <w:between w:val="none" w:color="auto" w:sz="0" w:space="0"/>
              </w:pBdr>
              <w:spacing w:after="160" w:line="259" w:lineRule="auto"/>
              <w:jc w:val="both"/>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20.</w:t>
            </w:r>
          </w:p>
        </w:tc>
        <w:tc>
          <w:tcPr>
            <w:tcW w:w="2209" w:type="dxa"/>
          </w:tcPr>
          <w:p>
            <w:pPr>
              <w:spacing w:after="0" w:line="240" w:lineRule="auto"/>
              <w:rPr>
                <w:rFonts w:ascii="Century Gothic" w:hAnsi="Century Gothic"/>
                <w:sz w:val="24"/>
                <w:szCs w:val="24"/>
              </w:rPr>
            </w:pPr>
            <w:r>
              <w:rPr>
                <w:rFonts w:ascii="Century Gothic" w:hAnsi="Century Gothic"/>
                <w:sz w:val="24"/>
                <w:szCs w:val="24"/>
              </w:rPr>
              <w:t>How widely shared is the vision/transformative agenda across key leadership points within government? Is there a need to raise interest across key leaders?</w:t>
            </w:r>
          </w:p>
          <w:p>
            <w:pPr>
              <w:spacing w:after="0" w:line="240" w:lineRule="auto"/>
              <w:rPr>
                <w:rFonts w:ascii="Century Gothic" w:hAnsi="Century Gothic"/>
                <w:i/>
                <w:sz w:val="24"/>
                <w:szCs w:val="24"/>
              </w:rPr>
            </w:pPr>
            <w:r>
              <w:rPr>
                <w:rFonts w:ascii="Century Gothic" w:hAnsi="Century Gothic"/>
                <w:i/>
                <w:sz w:val="24"/>
                <w:szCs w:val="24"/>
              </w:rPr>
              <w:t>e.g. conduct site visits; facilitate experience-sharing exercises</w:t>
            </w:r>
          </w:p>
        </w:tc>
        <w:tc>
          <w:tcPr>
            <w:tcW w:w="8116" w:type="dxa"/>
          </w:tcPr>
          <w:p>
            <w:pPr>
              <w:pBdr>
                <w:top w:val="none" w:color="auto" w:sz="0" w:space="0"/>
                <w:left w:val="none" w:color="auto" w:sz="0" w:space="0"/>
                <w:bottom w:val="none" w:color="auto" w:sz="0" w:space="0"/>
                <w:right w:val="none" w:color="auto" w:sz="0" w:space="0"/>
                <w:between w:val="none" w:color="auto" w:sz="0" w:space="0"/>
              </w:pBdr>
              <w:spacing w:after="160" w:line="259" w:lineRule="auto"/>
              <w:rPr>
                <w:rFonts w:ascii="Century Gothic" w:hAnsi="Century Gothic"/>
                <w:sz w:val="24"/>
                <w:szCs w:val="24"/>
              </w:rPr>
            </w:pPr>
            <w:r>
              <w:rPr>
                <w:rFonts w:ascii="Century Gothic" w:hAnsi="Century Gothic"/>
                <w:sz w:val="24"/>
                <w:szCs w:val="24"/>
              </w:rPr>
              <w:t>Not very widely shared.</w:t>
            </w:r>
          </w:p>
          <w:p>
            <w:pPr>
              <w:pBdr>
                <w:top w:val="none" w:color="auto" w:sz="0" w:space="0"/>
                <w:left w:val="none" w:color="auto" w:sz="0" w:space="0"/>
                <w:bottom w:val="none" w:color="auto" w:sz="0" w:space="0"/>
                <w:right w:val="none" w:color="auto" w:sz="0" w:space="0"/>
                <w:between w:val="none" w:color="auto" w:sz="0" w:space="0"/>
              </w:pBdr>
              <w:spacing w:after="160" w:line="259" w:lineRule="auto"/>
              <w:rPr>
                <w:rFonts w:ascii="Century Gothic" w:hAnsi="Century Gothic"/>
                <w:sz w:val="24"/>
                <w:szCs w:val="24"/>
              </w:rPr>
            </w:pPr>
          </w:p>
          <w:p>
            <w:pPr>
              <w:pBdr>
                <w:top w:val="none" w:color="auto" w:sz="0" w:space="0"/>
                <w:left w:val="none" w:color="auto" w:sz="0" w:space="0"/>
                <w:bottom w:val="none" w:color="auto" w:sz="0" w:space="0"/>
                <w:right w:val="none" w:color="auto" w:sz="0" w:space="0"/>
                <w:between w:val="none" w:color="auto" w:sz="0" w:space="0"/>
              </w:pBdr>
              <w:spacing w:after="160" w:line="259" w:lineRule="auto"/>
              <w:rPr>
                <w:rFonts w:ascii="Century Gothic" w:hAnsi="Century Gothic"/>
                <w:color w:val="000000"/>
                <w:sz w:val="24"/>
                <w:szCs w:val="24"/>
              </w:rPr>
            </w:pPr>
            <w:r>
              <w:rPr>
                <w:rFonts w:ascii="Century Gothic" w:hAnsi="Century Gothic"/>
                <w:sz w:val="24"/>
                <w:szCs w:val="24"/>
              </w:rPr>
              <w:t xml:space="preserve">There is a need to raise awareness of the importance and value of early childhood development to local authorities, Ward Councillors, Constituency Development Fund Committees and Ward Development Committees. Experience sharing exercises and site visits to areas where Early Childhood Development (ECD) is being implemented. Key leaders in local authorities (top senior management) should also be made aware of the value of ECD as they play an important role in the allocation of funds </w:t>
            </w:r>
          </w:p>
        </w:tc>
        <w:tc>
          <w:tcPr>
            <w:tcW w:w="8576" w:type="dxa"/>
          </w:tcPr>
          <w:p>
            <w:pPr>
              <w:pBdr>
                <w:top w:val="none" w:color="auto" w:sz="0" w:space="0"/>
                <w:left w:val="none" w:color="auto" w:sz="0" w:space="0"/>
                <w:bottom w:val="none" w:color="auto" w:sz="0" w:space="0"/>
                <w:right w:val="none" w:color="auto" w:sz="0" w:space="0"/>
                <w:between w:val="none" w:color="auto" w:sz="0" w:space="0"/>
              </w:pBdr>
              <w:spacing w:after="160" w:line="259" w:lineRule="auto"/>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7" w:hRule="atLeast"/>
        </w:trPr>
        <w:tc>
          <w:tcPr>
            <w:tcW w:w="10864" w:type="dxa"/>
            <w:gridSpan w:val="3"/>
            <w:shd w:val="clear" w:color="auto" w:fill="E7E6E6"/>
          </w:tcPr>
          <w:p>
            <w:pPr>
              <w:spacing w:after="0" w:line="240" w:lineRule="auto"/>
              <w:rPr>
                <w:rFonts w:ascii="Century Gothic" w:hAnsi="Century Gothic"/>
                <w:b/>
                <w:sz w:val="24"/>
                <w:szCs w:val="24"/>
              </w:rPr>
            </w:pPr>
            <w:r>
              <w:rPr>
                <w:rFonts w:ascii="Century Gothic" w:hAnsi="Century Gothic"/>
                <w:b/>
                <w:sz w:val="24"/>
                <w:szCs w:val="24"/>
              </w:rPr>
              <w:t>Potential for Leverage</w:t>
            </w:r>
          </w:p>
        </w:tc>
        <w:tc>
          <w:tcPr>
            <w:tcW w:w="8576" w:type="dxa"/>
            <w:shd w:val="clear" w:color="auto" w:fill="E7E6E6"/>
          </w:tcPr>
          <w:p>
            <w:pPr>
              <w:spacing w:after="0" w:line="240" w:lineRule="auto"/>
              <w:rPr>
                <w:rFonts w:ascii="Century Gothic" w:hAnsi="Century Gothic"/>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21.</w:t>
            </w:r>
          </w:p>
        </w:tc>
        <w:tc>
          <w:tcPr>
            <w:tcW w:w="2209" w:type="dxa"/>
          </w:tcPr>
          <w:p>
            <w:pPr>
              <w:spacing w:after="0" w:line="240" w:lineRule="auto"/>
              <w:rPr>
                <w:rFonts w:ascii="Century Gothic" w:hAnsi="Century Gothic"/>
                <w:sz w:val="24"/>
                <w:szCs w:val="24"/>
              </w:rPr>
            </w:pPr>
            <w:r>
              <w:rPr>
                <w:rFonts w:ascii="Century Gothic" w:hAnsi="Century Gothic"/>
                <w:sz w:val="24"/>
                <w:szCs w:val="24"/>
              </w:rPr>
              <w:t>What is the potential for leverage from this investment?</w:t>
            </w:r>
          </w:p>
          <w:p>
            <w:pPr>
              <w:spacing w:after="0" w:line="240" w:lineRule="auto"/>
              <w:rPr>
                <w:rFonts w:ascii="Century Gothic" w:hAnsi="Century Gothic"/>
                <w:i/>
                <w:sz w:val="24"/>
                <w:szCs w:val="24"/>
              </w:rPr>
            </w:pPr>
            <w:r>
              <w:rPr>
                <w:rFonts w:ascii="Century Gothic" w:hAnsi="Century Gothic"/>
                <w:i/>
                <w:sz w:val="24"/>
                <w:szCs w:val="24"/>
              </w:rPr>
              <w:t>e.g. Other ongoing projects that can unlock more resources; Other funders willing to co-fund; massive potential for impact</w:t>
            </w:r>
          </w:p>
        </w:tc>
        <w:tc>
          <w:tcPr>
            <w:tcW w:w="8116" w:type="dxa"/>
          </w:tcPr>
          <w:p>
            <w:pPr>
              <w:pBdr>
                <w:top w:val="none" w:color="auto" w:sz="0" w:space="0"/>
                <w:left w:val="none" w:color="auto" w:sz="0" w:space="0"/>
                <w:bottom w:val="none" w:color="auto" w:sz="0" w:space="0"/>
                <w:right w:val="none" w:color="auto" w:sz="0" w:space="0"/>
                <w:between w:val="none" w:color="auto" w:sz="0" w:space="0"/>
              </w:pBdr>
              <w:spacing w:after="160" w:line="259" w:lineRule="auto"/>
              <w:rPr>
                <w:rFonts w:ascii="Century Gothic" w:hAnsi="Century Gothic"/>
                <w:color w:val="000000"/>
                <w:sz w:val="24"/>
                <w:szCs w:val="24"/>
              </w:rPr>
            </w:pPr>
            <w:r>
              <w:rPr>
                <w:rFonts w:ascii="Century Gothic" w:hAnsi="Century Gothic"/>
                <w:sz w:val="24"/>
                <w:szCs w:val="24"/>
              </w:rPr>
              <w:t xml:space="preserve">There is great potential for ECD investment in Zambia. UNICEF and other partners have invested in the formulation of the National </w:t>
            </w:r>
            <w:r>
              <w:rPr>
                <w:rFonts w:ascii="Century Gothic" w:hAnsi="Century Gothic"/>
                <w:sz w:val="24"/>
                <w:szCs w:val="24"/>
                <w:lang w:val="en-US"/>
              </w:rPr>
              <w:t>Multi sector</w:t>
            </w:r>
            <w:r>
              <w:rPr>
                <w:rFonts w:ascii="Century Gothic" w:hAnsi="Century Gothic"/>
                <w:sz w:val="24"/>
                <w:szCs w:val="24"/>
              </w:rPr>
              <w:t xml:space="preserve"> ECD Policy and Strategic framework. This is key for it will serve as the rallying point for national efforts to improve investments in ECD. Additionally, there is potential for collaboration with various stakeholders and funders such as USAID, UNICEF, SAVE the Children, Child Fund </w:t>
            </w:r>
            <w:r>
              <w:rPr>
                <w:rFonts w:hint="default" w:ascii="Century Gothic" w:hAnsi="Century Gothic"/>
                <w:sz w:val="24"/>
                <w:szCs w:val="24"/>
                <w:lang w:val="en-US"/>
              </w:rPr>
              <w:t xml:space="preserve">among others </w:t>
            </w:r>
            <w:bookmarkStart w:id="0" w:name="_GoBack"/>
            <w:bookmarkEnd w:id="0"/>
            <w:r>
              <w:rPr>
                <w:rFonts w:ascii="Century Gothic" w:hAnsi="Century Gothic"/>
                <w:sz w:val="24"/>
                <w:szCs w:val="24"/>
              </w:rPr>
              <w:t xml:space="preserve">. </w:t>
            </w:r>
          </w:p>
        </w:tc>
        <w:tc>
          <w:tcPr>
            <w:tcW w:w="8576" w:type="dxa"/>
          </w:tcPr>
          <w:p>
            <w:pPr>
              <w:pBdr>
                <w:top w:val="none" w:color="auto" w:sz="0" w:space="0"/>
                <w:left w:val="none" w:color="auto" w:sz="0" w:space="0"/>
                <w:bottom w:val="none" w:color="auto" w:sz="0" w:space="0"/>
                <w:right w:val="none" w:color="auto" w:sz="0" w:space="0"/>
                <w:between w:val="none" w:color="auto" w:sz="0" w:space="0"/>
              </w:pBdr>
              <w:spacing w:after="160" w:line="259" w:lineRule="auto"/>
              <w:rPr>
                <w:rFonts w:ascii="Century Gothic" w:hAnsi="Century Gothic"/>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3" w:hRule="atLeast"/>
        </w:trPr>
        <w:tc>
          <w:tcPr>
            <w:tcW w:w="539" w:type="dxa"/>
            <w:shd w:val="clear" w:color="auto" w:fill="E7E6E6"/>
          </w:tcPr>
          <w:p>
            <w:pPr>
              <w:spacing w:after="0" w:line="240" w:lineRule="auto"/>
              <w:rPr>
                <w:rFonts w:ascii="Century Gothic" w:hAnsi="Century Gothic"/>
                <w:b/>
                <w:sz w:val="24"/>
                <w:szCs w:val="24"/>
              </w:rPr>
            </w:pPr>
            <w:r>
              <w:rPr>
                <w:rFonts w:ascii="Century Gothic" w:hAnsi="Century Gothic"/>
                <w:b/>
                <w:sz w:val="24"/>
                <w:szCs w:val="24"/>
              </w:rPr>
              <w:t>22.</w:t>
            </w:r>
          </w:p>
        </w:tc>
        <w:tc>
          <w:tcPr>
            <w:tcW w:w="2209" w:type="dxa"/>
          </w:tcPr>
          <w:p>
            <w:pPr>
              <w:spacing w:after="0" w:line="240" w:lineRule="auto"/>
              <w:rPr>
                <w:rFonts w:ascii="Century Gothic" w:hAnsi="Century Gothic"/>
                <w:sz w:val="24"/>
                <w:szCs w:val="24"/>
              </w:rPr>
            </w:pPr>
            <w:r>
              <w:rPr>
                <w:rFonts w:ascii="Century Gothic" w:hAnsi="Century Gothic"/>
                <w:sz w:val="24"/>
                <w:szCs w:val="24"/>
              </w:rPr>
              <w:t>Looking at the whole landscape, to what extent is the investment from Big Win strategic/important for the broader vision of the government?</w:t>
            </w:r>
          </w:p>
        </w:tc>
        <w:tc>
          <w:tcPr>
            <w:tcW w:w="8116" w:type="dxa"/>
          </w:tcPr>
          <w:p>
            <w:pPr>
              <w:pBdr>
                <w:top w:val="none" w:color="auto" w:sz="0" w:space="0"/>
                <w:left w:val="none" w:color="auto" w:sz="0" w:space="0"/>
                <w:bottom w:val="none" w:color="auto" w:sz="0" w:space="0"/>
                <w:right w:val="none" w:color="auto" w:sz="0" w:space="0"/>
                <w:between w:val="none" w:color="auto" w:sz="0" w:space="0"/>
              </w:pBdr>
              <w:spacing w:after="160" w:line="259" w:lineRule="auto"/>
              <w:jc w:val="both"/>
              <w:rPr>
                <w:rFonts w:ascii="Century Gothic" w:hAnsi="Century Gothic"/>
                <w:sz w:val="24"/>
                <w:szCs w:val="24"/>
              </w:rPr>
            </w:pPr>
            <w:r>
              <w:rPr>
                <w:rFonts w:ascii="Century Gothic" w:hAnsi="Century Gothic"/>
                <w:sz w:val="24"/>
                <w:szCs w:val="24"/>
              </w:rPr>
              <w:t>The Government has set itself a goal to become a prosperous middle-income country by the year 2030 and to achieve this, ther</w:t>
            </w:r>
            <w:r>
              <w:rPr>
                <w:rFonts w:hint="default" w:ascii="Century Gothic" w:hAnsi="Century Gothic"/>
                <w:sz w:val="24"/>
                <w:szCs w:val="24"/>
                <w:lang w:val="en-US"/>
              </w:rPr>
              <w:t>e</w:t>
            </w:r>
            <w:r>
              <w:rPr>
                <w:rFonts w:ascii="Century Gothic" w:hAnsi="Century Gothic"/>
                <w:sz w:val="24"/>
                <w:szCs w:val="24"/>
              </w:rPr>
              <w:t xml:space="preserve"> is a need for a healthy and productive workforce. In this regard, the government has prioritised Human Capacity Development to create a workforce that will drive economic development. ECD is critical in ensuring that children grow into productive adults to support economic transformation.</w:t>
            </w:r>
          </w:p>
          <w:p>
            <w:pPr>
              <w:pBdr>
                <w:top w:val="none" w:color="auto" w:sz="0" w:space="0"/>
                <w:left w:val="none" w:color="auto" w:sz="0" w:space="0"/>
                <w:bottom w:val="none" w:color="auto" w:sz="0" w:space="0"/>
                <w:right w:val="none" w:color="auto" w:sz="0" w:space="0"/>
                <w:between w:val="none" w:color="auto" w:sz="0" w:space="0"/>
              </w:pBdr>
              <w:spacing w:after="160" w:line="259" w:lineRule="auto"/>
              <w:jc w:val="both"/>
              <w:rPr>
                <w:rFonts w:ascii="Century Gothic" w:hAnsi="Century Gothic"/>
                <w:color w:val="000000"/>
                <w:sz w:val="24"/>
                <w:szCs w:val="24"/>
              </w:rPr>
            </w:pPr>
            <w:r>
              <w:rPr>
                <w:rFonts w:ascii="Century Gothic" w:hAnsi="Century Gothic"/>
                <w:sz w:val="24"/>
                <w:szCs w:val="24"/>
              </w:rPr>
              <w:t xml:space="preserve">The investment from Big Win is very important because it will highlight the important role that local authorities have and will need to play in the advancement of early childhood development.  ECD is one of the most neglected components, which requires focused attention in government budgets. Several early learning centres under the jurisdiction of the Lusaka City Council are dilapidated and require renovation. </w:t>
            </w:r>
          </w:p>
        </w:tc>
        <w:tc>
          <w:tcPr>
            <w:tcW w:w="8576" w:type="dxa"/>
          </w:tcPr>
          <w:p>
            <w:pPr>
              <w:pBdr>
                <w:top w:val="none" w:color="auto" w:sz="0" w:space="0"/>
                <w:left w:val="none" w:color="auto" w:sz="0" w:space="0"/>
                <w:bottom w:val="none" w:color="auto" w:sz="0" w:space="0"/>
                <w:right w:val="none" w:color="auto" w:sz="0" w:space="0"/>
                <w:between w:val="none" w:color="auto" w:sz="0" w:space="0"/>
              </w:pBdr>
              <w:spacing w:after="160" w:line="259" w:lineRule="auto"/>
              <w:jc w:val="both"/>
              <w:rPr>
                <w:rFonts w:ascii="Century Gothic" w:hAnsi="Century Gothic"/>
                <w:sz w:val="24"/>
                <w:szCs w:val="24"/>
              </w:rPr>
            </w:pPr>
          </w:p>
        </w:tc>
      </w:tr>
    </w:tbl>
    <w:p>
      <w:pPr>
        <w:spacing w:after="0" w:line="240" w:lineRule="auto"/>
        <w:rPr>
          <w:rFonts w:ascii="Century Gothic" w:hAnsi="Century Gothic"/>
          <w:b/>
          <w:color w:val="FF0000"/>
          <w:sz w:val="24"/>
          <w:szCs w:val="24"/>
        </w:rPr>
      </w:pPr>
    </w:p>
    <w:sectPr>
      <w:footerReference r:id="rId5" w:type="default"/>
      <w:pgSz w:w="11906" w:h="16838"/>
      <w:pgMar w:top="1440" w:right="1440" w:bottom="1440" w:left="1440"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Century Gothic">
    <w:panose1 w:val="020B0502020202020204"/>
    <w:charset w:val="00"/>
    <w:family w:val="swiss"/>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4</w:t>
    </w:r>
    <w:r>
      <w:rPr>
        <w:color w:val="000000"/>
      </w:rPr>
      <w:fldChar w:fldCharType="end"/>
    </w:r>
  </w:p>
  <w:p>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076F8"/>
    <w:multiLevelType w:val="multilevel"/>
    <w:tmpl w:val="064076F8"/>
    <w:lvl w:ilvl="0" w:tentative="0">
      <w:start w:val="1"/>
      <w:numFmt w:val="bullet"/>
      <w:lvlText w:val=""/>
      <w:lvlJc w:val="left"/>
      <w:pPr>
        <w:ind w:left="785" w:hanging="360"/>
      </w:pPr>
      <w:rPr>
        <w:rFonts w:hint="default" w:ascii="Symbol" w:hAnsi="Symbol"/>
      </w:rPr>
    </w:lvl>
    <w:lvl w:ilvl="1" w:tentative="0">
      <w:start w:val="1"/>
      <w:numFmt w:val="bullet"/>
      <w:lvlText w:val="o"/>
      <w:lvlJc w:val="left"/>
      <w:pPr>
        <w:ind w:left="1505" w:hanging="360"/>
      </w:pPr>
      <w:rPr>
        <w:rFonts w:hint="default" w:ascii="Courier New" w:hAnsi="Courier New" w:cs="Courier New"/>
      </w:rPr>
    </w:lvl>
    <w:lvl w:ilvl="2" w:tentative="0">
      <w:start w:val="1"/>
      <w:numFmt w:val="bullet"/>
      <w:lvlText w:val=""/>
      <w:lvlJc w:val="left"/>
      <w:pPr>
        <w:ind w:left="2225" w:hanging="360"/>
      </w:pPr>
      <w:rPr>
        <w:rFonts w:hint="default" w:ascii="Wingdings" w:hAnsi="Wingdings"/>
      </w:rPr>
    </w:lvl>
    <w:lvl w:ilvl="3" w:tentative="0">
      <w:start w:val="1"/>
      <w:numFmt w:val="bullet"/>
      <w:lvlText w:val=""/>
      <w:lvlJc w:val="left"/>
      <w:pPr>
        <w:ind w:left="2945" w:hanging="360"/>
      </w:pPr>
      <w:rPr>
        <w:rFonts w:hint="default" w:ascii="Symbol" w:hAnsi="Symbol"/>
      </w:rPr>
    </w:lvl>
    <w:lvl w:ilvl="4" w:tentative="0">
      <w:start w:val="1"/>
      <w:numFmt w:val="bullet"/>
      <w:lvlText w:val="o"/>
      <w:lvlJc w:val="left"/>
      <w:pPr>
        <w:ind w:left="3665" w:hanging="360"/>
      </w:pPr>
      <w:rPr>
        <w:rFonts w:hint="default" w:ascii="Courier New" w:hAnsi="Courier New" w:cs="Courier New"/>
      </w:rPr>
    </w:lvl>
    <w:lvl w:ilvl="5" w:tentative="0">
      <w:start w:val="1"/>
      <w:numFmt w:val="bullet"/>
      <w:lvlText w:val=""/>
      <w:lvlJc w:val="left"/>
      <w:pPr>
        <w:ind w:left="4385" w:hanging="360"/>
      </w:pPr>
      <w:rPr>
        <w:rFonts w:hint="default" w:ascii="Wingdings" w:hAnsi="Wingdings"/>
      </w:rPr>
    </w:lvl>
    <w:lvl w:ilvl="6" w:tentative="0">
      <w:start w:val="1"/>
      <w:numFmt w:val="bullet"/>
      <w:lvlText w:val=""/>
      <w:lvlJc w:val="left"/>
      <w:pPr>
        <w:ind w:left="5105" w:hanging="360"/>
      </w:pPr>
      <w:rPr>
        <w:rFonts w:hint="default" w:ascii="Symbol" w:hAnsi="Symbol"/>
      </w:rPr>
    </w:lvl>
    <w:lvl w:ilvl="7" w:tentative="0">
      <w:start w:val="1"/>
      <w:numFmt w:val="bullet"/>
      <w:lvlText w:val="o"/>
      <w:lvlJc w:val="left"/>
      <w:pPr>
        <w:ind w:left="5825" w:hanging="360"/>
      </w:pPr>
      <w:rPr>
        <w:rFonts w:hint="default" w:ascii="Courier New" w:hAnsi="Courier New" w:cs="Courier New"/>
      </w:rPr>
    </w:lvl>
    <w:lvl w:ilvl="8" w:tentative="0">
      <w:start w:val="1"/>
      <w:numFmt w:val="bullet"/>
      <w:lvlText w:val=""/>
      <w:lvlJc w:val="left"/>
      <w:pPr>
        <w:ind w:left="6545" w:hanging="360"/>
      </w:pPr>
      <w:rPr>
        <w:rFonts w:hint="default" w:ascii="Wingdings" w:hAnsi="Wingdings"/>
      </w:rPr>
    </w:lvl>
  </w:abstractNum>
  <w:abstractNum w:abstractNumId="1">
    <w:nsid w:val="27FB7D7C"/>
    <w:multiLevelType w:val="multilevel"/>
    <w:tmpl w:val="27FB7D7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DFA0455"/>
    <w:multiLevelType w:val="multilevel"/>
    <w:tmpl w:val="2DFA045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8D57373"/>
    <w:multiLevelType w:val="multilevel"/>
    <w:tmpl w:val="38D5737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99329A8"/>
    <w:multiLevelType w:val="multilevel"/>
    <w:tmpl w:val="599329A8"/>
    <w:lvl w:ilvl="0" w:tentative="0">
      <w:start w:val="5"/>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5FBA1F77"/>
    <w:multiLevelType w:val="multilevel"/>
    <w:tmpl w:val="5FBA1F7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4137B05"/>
    <w:multiLevelType w:val="multilevel"/>
    <w:tmpl w:val="64137B05"/>
    <w:lvl w:ilvl="0" w:tentative="0">
      <w:start w:val="1"/>
      <w:numFmt w:val="bullet"/>
      <w:lvlText w:val=""/>
      <w:lvlJc w:val="left"/>
      <w:pPr>
        <w:ind w:left="785" w:hanging="360"/>
      </w:pPr>
      <w:rPr>
        <w:rFonts w:hint="default" w:ascii="Symbol" w:hAnsi="Symbol"/>
      </w:rPr>
    </w:lvl>
    <w:lvl w:ilvl="1" w:tentative="0">
      <w:start w:val="1"/>
      <w:numFmt w:val="bullet"/>
      <w:lvlText w:val="o"/>
      <w:lvlJc w:val="left"/>
      <w:pPr>
        <w:ind w:left="1505" w:hanging="360"/>
      </w:pPr>
      <w:rPr>
        <w:rFonts w:hint="default" w:ascii="Courier New" w:hAnsi="Courier New" w:cs="Courier New"/>
      </w:rPr>
    </w:lvl>
    <w:lvl w:ilvl="2" w:tentative="0">
      <w:start w:val="1"/>
      <w:numFmt w:val="bullet"/>
      <w:lvlText w:val=""/>
      <w:lvlJc w:val="left"/>
      <w:pPr>
        <w:ind w:left="2225" w:hanging="360"/>
      </w:pPr>
      <w:rPr>
        <w:rFonts w:hint="default" w:ascii="Wingdings" w:hAnsi="Wingdings"/>
      </w:rPr>
    </w:lvl>
    <w:lvl w:ilvl="3" w:tentative="0">
      <w:start w:val="1"/>
      <w:numFmt w:val="bullet"/>
      <w:lvlText w:val=""/>
      <w:lvlJc w:val="left"/>
      <w:pPr>
        <w:ind w:left="2945" w:hanging="360"/>
      </w:pPr>
      <w:rPr>
        <w:rFonts w:hint="default" w:ascii="Symbol" w:hAnsi="Symbol"/>
      </w:rPr>
    </w:lvl>
    <w:lvl w:ilvl="4" w:tentative="0">
      <w:start w:val="1"/>
      <w:numFmt w:val="bullet"/>
      <w:lvlText w:val="o"/>
      <w:lvlJc w:val="left"/>
      <w:pPr>
        <w:ind w:left="3665" w:hanging="360"/>
      </w:pPr>
      <w:rPr>
        <w:rFonts w:hint="default" w:ascii="Courier New" w:hAnsi="Courier New" w:cs="Courier New"/>
      </w:rPr>
    </w:lvl>
    <w:lvl w:ilvl="5" w:tentative="0">
      <w:start w:val="1"/>
      <w:numFmt w:val="bullet"/>
      <w:lvlText w:val=""/>
      <w:lvlJc w:val="left"/>
      <w:pPr>
        <w:ind w:left="4385" w:hanging="360"/>
      </w:pPr>
      <w:rPr>
        <w:rFonts w:hint="default" w:ascii="Wingdings" w:hAnsi="Wingdings"/>
      </w:rPr>
    </w:lvl>
    <w:lvl w:ilvl="6" w:tentative="0">
      <w:start w:val="1"/>
      <w:numFmt w:val="bullet"/>
      <w:lvlText w:val=""/>
      <w:lvlJc w:val="left"/>
      <w:pPr>
        <w:ind w:left="5105" w:hanging="360"/>
      </w:pPr>
      <w:rPr>
        <w:rFonts w:hint="default" w:ascii="Symbol" w:hAnsi="Symbol"/>
      </w:rPr>
    </w:lvl>
    <w:lvl w:ilvl="7" w:tentative="0">
      <w:start w:val="1"/>
      <w:numFmt w:val="bullet"/>
      <w:lvlText w:val="o"/>
      <w:lvlJc w:val="left"/>
      <w:pPr>
        <w:ind w:left="5825" w:hanging="360"/>
      </w:pPr>
      <w:rPr>
        <w:rFonts w:hint="default" w:ascii="Courier New" w:hAnsi="Courier New" w:cs="Courier New"/>
      </w:rPr>
    </w:lvl>
    <w:lvl w:ilvl="8" w:tentative="0">
      <w:start w:val="1"/>
      <w:numFmt w:val="bullet"/>
      <w:lvlText w:val=""/>
      <w:lvlJc w:val="left"/>
      <w:pPr>
        <w:ind w:left="6545" w:hanging="360"/>
      </w:pPr>
      <w:rPr>
        <w:rFonts w:hint="default" w:ascii="Wingdings" w:hAnsi="Wingdings"/>
      </w:rPr>
    </w:lvl>
  </w:abstractNum>
  <w:num w:numId="1">
    <w:abstractNumId w:val="1"/>
  </w:num>
  <w:num w:numId="2">
    <w:abstractNumId w:val="0"/>
  </w:num>
  <w:num w:numId="3">
    <w:abstractNumId w:val="3"/>
  </w:num>
  <w:num w:numId="4">
    <w:abstractNumId w:val="5"/>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trackRevision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428"/>
    <w:rsid w:val="000A30B4"/>
    <w:rsid w:val="00113264"/>
    <w:rsid w:val="00211892"/>
    <w:rsid w:val="00254BE6"/>
    <w:rsid w:val="002A4144"/>
    <w:rsid w:val="00306955"/>
    <w:rsid w:val="00357102"/>
    <w:rsid w:val="003C4559"/>
    <w:rsid w:val="00593839"/>
    <w:rsid w:val="00667027"/>
    <w:rsid w:val="006E0BAA"/>
    <w:rsid w:val="007150F8"/>
    <w:rsid w:val="00764C9C"/>
    <w:rsid w:val="008D611F"/>
    <w:rsid w:val="008F40C9"/>
    <w:rsid w:val="00950852"/>
    <w:rsid w:val="009A3428"/>
    <w:rsid w:val="00A10120"/>
    <w:rsid w:val="00A40A03"/>
    <w:rsid w:val="00AA14D6"/>
    <w:rsid w:val="00B81BD4"/>
    <w:rsid w:val="00BC50DA"/>
    <w:rsid w:val="00BE77A1"/>
    <w:rsid w:val="00C00AA5"/>
    <w:rsid w:val="00C2128D"/>
    <w:rsid w:val="00D15188"/>
    <w:rsid w:val="00DF2DF3"/>
    <w:rsid w:val="00E044EE"/>
    <w:rsid w:val="00E674D0"/>
    <w:rsid w:val="00EE2FC3"/>
    <w:rsid w:val="00F365A3"/>
    <w:rsid w:val="00F70818"/>
    <w:rsid w:val="00FA3305"/>
    <w:rsid w:val="00FB398C"/>
    <w:rsid w:val="00FE3197"/>
    <w:rsid w:val="0D837E81"/>
    <w:rsid w:val="23530D4C"/>
    <w:rsid w:val="2E9736FD"/>
    <w:rsid w:val="597204CD"/>
    <w:rsid w:val="5E6E1DE8"/>
    <w:rsid w:val="75471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GB" w:eastAsia="en-US" w:bidi="ar-SA"/>
    </w:rPr>
  </w:style>
  <w:style w:type="paragraph" w:styleId="2">
    <w:name w:val="heading 1"/>
    <w:basedOn w:val="1"/>
    <w:next w:val="1"/>
    <w:uiPriority w:val="0"/>
    <w:pPr>
      <w:keepNext/>
      <w:keepLines/>
      <w:spacing w:before="240" w:after="0"/>
      <w:outlineLvl w:val="0"/>
    </w:pPr>
    <w:rPr>
      <w:color w:val="2E75B5"/>
      <w:sz w:val="32"/>
      <w:szCs w:val="32"/>
    </w:rPr>
  </w:style>
  <w:style w:type="paragraph" w:styleId="3">
    <w:name w:val="heading 2"/>
    <w:basedOn w:val="1"/>
    <w:next w:val="1"/>
    <w:uiPriority w:val="0"/>
    <w:pPr>
      <w:keepNext/>
      <w:keepLines/>
      <w:spacing w:before="40" w:after="0"/>
      <w:outlineLvl w:val="1"/>
    </w:pPr>
    <w:rPr>
      <w:color w:val="2E75B5"/>
      <w:sz w:val="26"/>
      <w:szCs w:val="26"/>
    </w:rPr>
  </w:style>
  <w:style w:type="paragraph" w:styleId="4">
    <w:name w:val="heading 3"/>
    <w:basedOn w:val="1"/>
    <w:next w:val="1"/>
    <w:uiPriority w:val="0"/>
    <w:pPr>
      <w:keepNext/>
      <w:keepLines/>
      <w:spacing w:before="200" w:after="0" w:line="276" w:lineRule="auto"/>
      <w:outlineLvl w:val="2"/>
    </w:pPr>
    <w:rPr>
      <w:rFonts w:ascii="Cambria" w:hAnsi="Cambria" w:eastAsia="Cambria" w:cs="Cambria"/>
      <w:b/>
      <w:color w:val="4F81BD"/>
    </w:rPr>
  </w:style>
  <w:style w:type="paragraph" w:styleId="5">
    <w:name w:val="heading 4"/>
    <w:basedOn w:val="1"/>
    <w:next w:val="1"/>
    <w:uiPriority w:val="0"/>
    <w:pPr>
      <w:keepNext/>
      <w:keepLines/>
      <w:spacing w:before="200" w:after="0" w:line="276" w:lineRule="auto"/>
      <w:outlineLvl w:val="3"/>
    </w:pPr>
    <w:rPr>
      <w:rFonts w:ascii="Cambria" w:hAnsi="Cambria" w:eastAsia="Cambria" w:cs="Cambria"/>
      <w:b/>
      <w:i/>
      <w:color w:val="4F81BD"/>
    </w:rPr>
  </w:style>
  <w:style w:type="paragraph" w:styleId="6">
    <w:name w:val="heading 5"/>
    <w:basedOn w:val="1"/>
    <w:next w:val="1"/>
    <w:uiPriority w:val="0"/>
    <w:pPr>
      <w:keepNext/>
      <w:keepLines/>
      <w:spacing w:before="200" w:after="0" w:line="276" w:lineRule="auto"/>
      <w:outlineLvl w:val="4"/>
    </w:pPr>
    <w:rPr>
      <w:rFonts w:ascii="Cambria" w:hAnsi="Cambria" w:eastAsia="Cambria" w:cs="Cambria"/>
      <w:color w:val="243F60"/>
    </w:rPr>
  </w:style>
  <w:style w:type="paragraph" w:styleId="7">
    <w:name w:val="heading 6"/>
    <w:basedOn w:val="1"/>
    <w:next w:val="1"/>
    <w:uiPriority w:val="0"/>
    <w:pPr>
      <w:keepNext/>
      <w:keepLines/>
      <w:spacing w:before="200" w:after="0" w:line="276" w:lineRule="auto"/>
      <w:outlineLvl w:val="5"/>
    </w:pPr>
    <w:rPr>
      <w:rFonts w:ascii="Cambria" w:hAnsi="Cambria" w:eastAsia="Cambria" w:cs="Cambria"/>
      <w:i/>
      <w:color w:val="243F6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0"/>
    <w:semiHidden/>
    <w:unhideWhenUsed/>
    <w:qFormat/>
    <w:uiPriority w:val="99"/>
    <w:pPr>
      <w:spacing w:after="0" w:line="240" w:lineRule="auto"/>
    </w:pPr>
    <w:rPr>
      <w:rFonts w:ascii="Segoe UI" w:hAnsi="Segoe UI" w:cs="Segoe UI"/>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21"/>
    <w:semiHidden/>
    <w:unhideWhenUsed/>
    <w:qFormat/>
    <w:uiPriority w:val="99"/>
    <w:pPr>
      <w:spacing w:line="240" w:lineRule="auto"/>
    </w:pPr>
    <w:rPr>
      <w:sz w:val="20"/>
      <w:szCs w:val="20"/>
    </w:rPr>
  </w:style>
  <w:style w:type="paragraph" w:styleId="13">
    <w:name w:val="annotation subject"/>
    <w:basedOn w:val="12"/>
    <w:next w:val="12"/>
    <w:link w:val="22"/>
    <w:semiHidden/>
    <w:unhideWhenUsed/>
    <w:qFormat/>
    <w:uiPriority w:val="99"/>
    <w:rPr>
      <w:b/>
      <w:bCs/>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5">
    <w:name w:val="Strong"/>
    <w:basedOn w:val="8"/>
    <w:qFormat/>
    <w:uiPriority w:val="22"/>
    <w:rPr>
      <w:b/>
      <w:bCs/>
    </w:rPr>
  </w:style>
  <w:style w:type="paragraph" w:styleId="16">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0"/>
    <w:pPr>
      <w:spacing w:after="0" w:line="240" w:lineRule="auto"/>
    </w:pPr>
    <w:rPr>
      <w:sz w:val="56"/>
      <w:szCs w:val="56"/>
    </w:rPr>
  </w:style>
  <w:style w:type="table" w:customStyle="1" w:styleId="18">
    <w:name w:val="_Style 11"/>
    <w:basedOn w:val="9"/>
    <w:qFormat/>
    <w:uiPriority w:val="0"/>
    <w:pPr>
      <w:spacing w:after="0" w:line="240" w:lineRule="auto"/>
    </w:pPr>
  </w:style>
  <w:style w:type="paragraph" w:styleId="19">
    <w:name w:val="List Paragraph"/>
    <w:basedOn w:val="1"/>
    <w:qFormat/>
    <w:uiPriority w:val="34"/>
    <w:pPr>
      <w:ind w:left="720"/>
      <w:contextualSpacing/>
    </w:pPr>
  </w:style>
  <w:style w:type="character" w:customStyle="1" w:styleId="20">
    <w:name w:val="Balloon Text Char"/>
    <w:basedOn w:val="8"/>
    <w:link w:val="10"/>
    <w:semiHidden/>
    <w:qFormat/>
    <w:uiPriority w:val="99"/>
    <w:rPr>
      <w:rFonts w:ascii="Segoe UI" w:hAnsi="Segoe UI" w:cs="Segoe UI"/>
      <w:sz w:val="18"/>
      <w:szCs w:val="18"/>
    </w:rPr>
  </w:style>
  <w:style w:type="character" w:customStyle="1" w:styleId="21">
    <w:name w:val="Comment Text Char"/>
    <w:basedOn w:val="8"/>
    <w:link w:val="12"/>
    <w:semiHidden/>
    <w:qFormat/>
    <w:uiPriority w:val="99"/>
    <w:rPr>
      <w:sz w:val="20"/>
      <w:szCs w:val="20"/>
    </w:rPr>
  </w:style>
  <w:style w:type="character" w:customStyle="1" w:styleId="22">
    <w:name w:val="Comment Subject Char"/>
    <w:basedOn w:val="21"/>
    <w:link w:val="13"/>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E82/0qje+C3ZPxm66752OVjtQ==">CgMxLjA4AHIhMVd6UGpkVGRSb0c4b0FRemdGaUpmeWk4WjdaTmNwbXRr</go:docsCustomData>
</go:gDocsCustomXmlDataStorage>
</file>

<file path=customXml/itemProps1.xml><?xml version="1.0" encoding="utf-8"?>
<ds:datastoreItem xmlns:ds="http://schemas.openxmlformats.org/officeDocument/2006/customXml" ds:itemID="{2C5344AA-6AC5-4DCB-A554-8EEC82E9900B}">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12</Pages>
  <Words>3086</Words>
  <Characters>17592</Characters>
  <Lines>146</Lines>
  <Paragraphs>41</Paragraphs>
  <TotalTime>250</TotalTime>
  <ScaleCrop>false</ScaleCrop>
  <LinksUpToDate>false</LinksUpToDate>
  <CharactersWithSpaces>20637</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2023-12-13T09:02:00Z</dcterms:created>
  <dc:creator>FUNGA</dc:creator>
  <cp:lastModifiedBy>BWALYA FUNGA</cp:lastModifiedBy>
  <dcterms:modified xsi:type="dcterms:W3CDTF">2023-12-15T00:13:39Z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DE0885CE3F95414AA7DC84F3AF1D5504_13</vt:lpwstr>
  </property>
  <property fmtid="{D5CDD505-2E9C-101B-9397-08002B2CF9AE}" pid="3" name="KSOProductBuildVer">
    <vt:lpwstr>2057-12.2.0.13359</vt:lpwstr>
  </property>
</Properties>
</file>