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B80D" w14:textId="77777777" w:rsidR="00306276" w:rsidRDefault="00B8615E" w:rsidP="00503C18">
      <w:pPr>
        <w:pStyle w:val="Heading1"/>
        <w:jc w:val="both"/>
      </w:pPr>
      <w:bookmarkStart w:id="0" w:name="_GoBack"/>
      <w:bookmarkEnd w:id="0"/>
      <w:r>
        <w:t>Summary</w:t>
      </w:r>
    </w:p>
    <w:p w14:paraId="416DC72E" w14:textId="24B67621" w:rsidR="003F5E98" w:rsidRDefault="003839CB" w:rsidP="00503C18">
      <w:pPr>
        <w:ind w:left="360"/>
        <w:jc w:val="both"/>
      </w:pPr>
      <w:r>
        <w:t xml:space="preserve">As part of GMS project scope GE has proposed to provide </w:t>
      </w:r>
      <w:r w:rsidR="00936A71">
        <w:t xml:space="preserve">the </w:t>
      </w:r>
      <w:r>
        <w:t xml:space="preserve">Network Connectivity </w:t>
      </w:r>
      <w:r w:rsidR="001903E0">
        <w:t>Analytic</w:t>
      </w:r>
      <w:r>
        <w:t xml:space="preserve"> to SCE</w:t>
      </w:r>
      <w:r w:rsidR="001903E0">
        <w:t xml:space="preserve"> </w:t>
      </w:r>
      <w:r w:rsidR="008E12B3">
        <w:t>in</w:t>
      </w:r>
      <w:r w:rsidR="001903E0">
        <w:t xml:space="preserve"> Release 2 which is tentatively scheduled to be in production in 2023</w:t>
      </w:r>
      <w:r>
        <w:t xml:space="preserve">. </w:t>
      </w:r>
      <w:r w:rsidR="00437DF3" w:rsidRPr="000A2FA4">
        <w:t xml:space="preserve">Network Connectivity application </w:t>
      </w:r>
      <w:r w:rsidR="00B8615E" w:rsidRPr="000A2FA4">
        <w:t>is expected to leverage increased precision in remote monitoring capabilities (</w:t>
      </w:r>
      <w:r w:rsidR="002029F2">
        <w:t>OMS outage events, AMI-Reads, AMI-Events</w:t>
      </w:r>
      <w:r w:rsidR="00B8615E" w:rsidRPr="000A2FA4">
        <w:t>), combined with constraints identified through GI</w:t>
      </w:r>
      <w:r w:rsidR="002029F2">
        <w:t>S Network Topological and GIS Geospatial</w:t>
      </w:r>
      <w:r w:rsidR="00B8615E" w:rsidRPr="000A2FA4">
        <w:t xml:space="preserve"> analytics to expose inaccuracies in the </w:t>
      </w:r>
      <w:r w:rsidR="0075770D">
        <w:t xml:space="preserve">Customer Information System (CIS) of record and the GIS Network Topological model </w:t>
      </w:r>
      <w:r w:rsidR="0075770D" w:rsidRPr="000A2FA4">
        <w:t>(</w:t>
      </w:r>
      <w:r w:rsidR="0075770D">
        <w:t>specifically</w:t>
      </w:r>
      <w:r w:rsidR="0075770D" w:rsidRPr="000A2FA4">
        <w:t xml:space="preserve"> </w:t>
      </w:r>
      <w:r w:rsidR="0075770D">
        <w:t>customer-</w:t>
      </w:r>
      <w:r w:rsidR="0075770D" w:rsidRPr="000A2FA4">
        <w:t>to</w:t>
      </w:r>
      <w:r w:rsidR="0075770D">
        <w:t>-</w:t>
      </w:r>
      <w:r w:rsidR="0075770D" w:rsidRPr="000A2FA4">
        <w:t>transformer</w:t>
      </w:r>
      <w:r w:rsidR="0075770D">
        <w:t xml:space="preserve"> association in CIS</w:t>
      </w:r>
      <w:r w:rsidR="0075770D" w:rsidRPr="000A2FA4">
        <w:t>,</w:t>
      </w:r>
      <w:r w:rsidR="0075770D">
        <w:t xml:space="preserve"> and </w:t>
      </w:r>
      <w:r w:rsidR="0075770D" w:rsidRPr="000A2FA4">
        <w:t>transformer</w:t>
      </w:r>
      <w:r w:rsidR="0075770D">
        <w:t>-</w:t>
      </w:r>
      <w:r w:rsidR="0075770D" w:rsidRPr="000A2FA4">
        <w:t>to</w:t>
      </w:r>
      <w:r w:rsidR="0075770D">
        <w:t>-</w:t>
      </w:r>
      <w:r w:rsidR="0075770D" w:rsidRPr="000A2FA4">
        <w:t>feeder</w:t>
      </w:r>
      <w:r w:rsidR="0075770D">
        <w:t>-</w:t>
      </w:r>
      <w:r w:rsidR="0075770D" w:rsidRPr="000A2FA4">
        <w:t>section</w:t>
      </w:r>
      <w:r w:rsidR="0075770D">
        <w:t xml:space="preserve"> and transformer-to-phase associations in GIS</w:t>
      </w:r>
      <w:r w:rsidR="0075770D" w:rsidRPr="000A2FA4">
        <w:t>)</w:t>
      </w:r>
      <w:r w:rsidR="0075770D">
        <w:t>.</w:t>
      </w:r>
    </w:p>
    <w:p w14:paraId="70EC9FF0" w14:textId="60247D58" w:rsidR="00CC57CA" w:rsidRDefault="001903E0" w:rsidP="00503C18">
      <w:pPr>
        <w:ind w:left="360"/>
        <w:jc w:val="both"/>
      </w:pPr>
      <w:r>
        <w:t xml:space="preserve">SCE is requesting GE if </w:t>
      </w:r>
      <w:r w:rsidR="00936A71">
        <w:t xml:space="preserve">the </w:t>
      </w:r>
      <w:r>
        <w:t xml:space="preserve">Network Connectivity </w:t>
      </w:r>
      <w:r w:rsidR="00936A71">
        <w:t xml:space="preserve">Analytic </w:t>
      </w:r>
      <w:r>
        <w:t xml:space="preserve">can be delivered sooner as this will help them correct </w:t>
      </w:r>
      <w:r w:rsidR="00936A71">
        <w:t>the errors mentioned above</w:t>
      </w:r>
      <w:r w:rsidR="007316ED">
        <w:t xml:space="preserve">, in anticipation of an ADMS roll-out and other </w:t>
      </w:r>
      <w:r w:rsidR="00DC69BD">
        <w:t>d</w:t>
      </w:r>
      <w:r w:rsidR="007316ED">
        <w:t xml:space="preserve">istribution </w:t>
      </w:r>
      <w:r w:rsidR="00DC69BD">
        <w:t>a</w:t>
      </w:r>
      <w:r w:rsidR="007316ED">
        <w:t xml:space="preserve">utomation and </w:t>
      </w:r>
      <w:r w:rsidR="00DC69BD">
        <w:t>g</w:t>
      </w:r>
      <w:r w:rsidR="007316ED">
        <w:t xml:space="preserve">rid </w:t>
      </w:r>
      <w:r w:rsidR="00DC69BD">
        <w:t>p</w:t>
      </w:r>
      <w:r w:rsidR="007316ED">
        <w:t>lanning priorities</w:t>
      </w:r>
      <w:r>
        <w:t xml:space="preserve">. To accommodate the request, GE is proposing to </w:t>
      </w:r>
      <w:r w:rsidR="00936A71">
        <w:t xml:space="preserve">use a pre-production version of the software to integrate </w:t>
      </w:r>
      <w:r w:rsidR="00386845">
        <w:t xml:space="preserve">the required </w:t>
      </w:r>
      <w:r w:rsidR="008C6A87">
        <w:t>source data</w:t>
      </w:r>
      <w:r w:rsidR="00F91210">
        <w:t>, and to</w:t>
      </w:r>
      <w:r w:rsidR="00386845">
        <w:t xml:space="preserve"> run the analytics </w:t>
      </w:r>
      <w:r w:rsidR="00F91210">
        <w:t>to</w:t>
      </w:r>
      <w:r w:rsidR="00386845">
        <w:t xml:space="preserve"> obtain the </w:t>
      </w:r>
      <w:r w:rsidR="00DC69BD">
        <w:t xml:space="preserve">mismatch </w:t>
      </w:r>
      <w:r w:rsidR="00386845">
        <w:t>predictions and recommended changes to CIS and GIS</w:t>
      </w:r>
      <w:r w:rsidR="00F91210">
        <w:t xml:space="preserve"> for the entire SCE distribution system</w:t>
      </w:r>
      <w:r w:rsidR="00386845">
        <w:t>.</w:t>
      </w:r>
    </w:p>
    <w:p w14:paraId="2B7EFE50" w14:textId="17ABF09A" w:rsidR="00B8615E" w:rsidRDefault="00B8615E" w:rsidP="00503C18">
      <w:pPr>
        <w:ind w:left="360"/>
        <w:jc w:val="both"/>
      </w:pPr>
      <w:r>
        <w:t xml:space="preserve">The key features of the </w:t>
      </w:r>
      <w:r w:rsidR="00DC69BD">
        <w:t xml:space="preserve">project </w:t>
      </w:r>
      <w:r w:rsidR="001903E0">
        <w:t xml:space="preserve">will </w:t>
      </w:r>
      <w:r>
        <w:t>include:</w:t>
      </w:r>
    </w:p>
    <w:p w14:paraId="014F4476" w14:textId="2D535D71" w:rsidR="00F53818" w:rsidRDefault="00F53818" w:rsidP="00F53818">
      <w:pPr>
        <w:pStyle w:val="ListParagraph"/>
        <w:numPr>
          <w:ilvl w:val="0"/>
          <w:numId w:val="5"/>
        </w:numPr>
        <w:jc w:val="both"/>
      </w:pPr>
      <w:r>
        <w:t>GE will provide information to SCE detailing the required and optional data inputs to the analytic and their exact data load formats.  SCE will need to first extract the required data from Hadoop (or other sources) and transform it into the reference data load files, adhering to the file format, headers, data types and data formats.</w:t>
      </w:r>
    </w:p>
    <w:p w14:paraId="41EF0B4B" w14:textId="7E87CDE7" w:rsidR="00B8615E" w:rsidRDefault="00F56B17" w:rsidP="008D5372">
      <w:pPr>
        <w:pStyle w:val="ListParagraph"/>
        <w:numPr>
          <w:ilvl w:val="0"/>
          <w:numId w:val="5"/>
        </w:numPr>
        <w:jc w:val="both"/>
      </w:pPr>
      <w:r>
        <w:t xml:space="preserve">GE will </w:t>
      </w:r>
      <w:r w:rsidR="00CC57CA">
        <w:t xml:space="preserve">deploy an </w:t>
      </w:r>
      <w:r w:rsidR="00437DF3">
        <w:t xml:space="preserve">on-prem </w:t>
      </w:r>
      <w:r w:rsidR="00CC57CA">
        <w:t xml:space="preserve">data-fabric </w:t>
      </w:r>
      <w:r w:rsidR="00555AA7">
        <w:t>instance with</w:t>
      </w:r>
      <w:r w:rsidR="00CC57CA">
        <w:t xml:space="preserve"> a</w:t>
      </w:r>
      <w:r w:rsidR="00437DF3">
        <w:t xml:space="preserve"> limited </w:t>
      </w:r>
      <w:r w:rsidR="00CC57CA">
        <w:t xml:space="preserve">set of </w:t>
      </w:r>
      <w:r w:rsidR="000E502A">
        <w:t>functionalities</w:t>
      </w:r>
      <w:r w:rsidR="00437DF3">
        <w:t xml:space="preserve"> </w:t>
      </w:r>
      <w:r w:rsidR="00CC57CA">
        <w:t xml:space="preserve">that will </w:t>
      </w:r>
      <w:r w:rsidR="00437DF3">
        <w:t xml:space="preserve">support </w:t>
      </w:r>
      <w:r w:rsidR="00DC69BD">
        <w:t xml:space="preserve">ETL </w:t>
      </w:r>
      <w:r w:rsidR="00CC57CA">
        <w:t xml:space="preserve">data integration and execution of the </w:t>
      </w:r>
      <w:r w:rsidR="008E12B3">
        <w:t>N</w:t>
      </w:r>
      <w:r w:rsidR="00437DF3">
        <w:t xml:space="preserve">etwork </w:t>
      </w:r>
      <w:r w:rsidR="008E12B3">
        <w:t>C</w:t>
      </w:r>
      <w:r w:rsidR="00437DF3">
        <w:t xml:space="preserve">onnectivity </w:t>
      </w:r>
      <w:r w:rsidR="008E12B3">
        <w:t>analytic</w:t>
      </w:r>
      <w:r w:rsidR="00437DF3">
        <w:t>.</w:t>
      </w:r>
      <w:r w:rsidR="008D5372">
        <w:t xml:space="preserve"> </w:t>
      </w:r>
    </w:p>
    <w:p w14:paraId="0971079B" w14:textId="11AD1DFF" w:rsidR="006762DB" w:rsidRDefault="006762DB" w:rsidP="008D5372">
      <w:pPr>
        <w:pStyle w:val="ListParagraph"/>
        <w:numPr>
          <w:ilvl w:val="0"/>
          <w:numId w:val="5"/>
        </w:numPr>
        <w:jc w:val="both"/>
      </w:pPr>
      <w:r>
        <w:t>GE will configure and execute the analytic against the initial ETL prepared by SCE</w:t>
      </w:r>
      <w:r w:rsidR="005E281B">
        <w:t xml:space="preserve"> (see Data Input Summary)</w:t>
      </w:r>
      <w:r>
        <w:t xml:space="preserve">, after which time SCE will be provided with documentation on how to re-run the analytic should they choose to correct the source CIS and GIS and re-execute against the same historic data </w:t>
      </w:r>
      <w:r w:rsidR="005E281B">
        <w:t>time-series data.</w:t>
      </w:r>
    </w:p>
    <w:p w14:paraId="177C9105" w14:textId="16EC81EC" w:rsidR="001C183B" w:rsidRDefault="001C183B" w:rsidP="008D5372">
      <w:pPr>
        <w:pStyle w:val="ListParagraph"/>
        <w:numPr>
          <w:ilvl w:val="0"/>
          <w:numId w:val="5"/>
        </w:numPr>
        <w:jc w:val="both"/>
      </w:pPr>
      <w:r>
        <w:t xml:space="preserve">The outputs of the Network Connectivity </w:t>
      </w:r>
      <w:r w:rsidR="00654C03">
        <w:t>Analytic</w:t>
      </w:r>
      <w:r>
        <w:t xml:space="preserve"> will be stored in the data-</w:t>
      </w:r>
      <w:r w:rsidR="004D354D">
        <w:t>fabric</w:t>
      </w:r>
      <w:r w:rsidR="00654C03">
        <w:t>’s S3 compatible file storage system</w:t>
      </w:r>
      <w:r>
        <w:t>.</w:t>
      </w:r>
      <w:r w:rsidR="00180CDE">
        <w:t xml:space="preserve">  It is th</w:t>
      </w:r>
      <w:r w:rsidR="004E2659">
        <w:t>ese</w:t>
      </w:r>
      <w:r w:rsidR="00180CDE">
        <w:t xml:space="preserve"> </w:t>
      </w:r>
      <w:r w:rsidR="00654C03">
        <w:t>files</w:t>
      </w:r>
      <w:r w:rsidR="00180CDE">
        <w:t xml:space="preserve">, </w:t>
      </w:r>
      <w:r w:rsidR="00654C03">
        <w:t xml:space="preserve">the results, </w:t>
      </w:r>
      <w:r w:rsidR="00180CDE">
        <w:t xml:space="preserve">which will enable SCE to </w:t>
      </w:r>
      <w:r w:rsidR="004E2659">
        <w:t>discover data mismatches and consider making the recommended changes</w:t>
      </w:r>
      <w:r w:rsidR="00180CDE">
        <w:t xml:space="preserve"> </w:t>
      </w:r>
      <w:r w:rsidR="00ED2407">
        <w:t>in</w:t>
      </w:r>
      <w:r w:rsidR="00180CDE">
        <w:t xml:space="preserve"> the</w:t>
      </w:r>
      <w:r w:rsidR="00ED2407">
        <w:t>ir</w:t>
      </w:r>
      <w:r w:rsidR="00180CDE">
        <w:t xml:space="preserve"> CIS and GIS systems of record. </w:t>
      </w:r>
      <w:r>
        <w:t xml:space="preserve"> </w:t>
      </w:r>
    </w:p>
    <w:p w14:paraId="4BE624A6" w14:textId="77777777" w:rsidR="00AB09C6" w:rsidRDefault="00AB09C6" w:rsidP="00503C18">
      <w:pPr>
        <w:pStyle w:val="ListParagraph"/>
        <w:jc w:val="both"/>
      </w:pPr>
    </w:p>
    <w:p w14:paraId="5BA15F90" w14:textId="05AD502C" w:rsidR="00B8615E" w:rsidRDefault="00B8615E" w:rsidP="00503C18">
      <w:pPr>
        <w:pStyle w:val="Heading1"/>
        <w:jc w:val="both"/>
      </w:pPr>
      <w:r>
        <w:t>Data In</w:t>
      </w:r>
      <w:r w:rsidR="00EB17CD">
        <w:t>puts</w:t>
      </w:r>
      <w:r w:rsidR="00E5436C">
        <w:t xml:space="preserve"> Summary</w:t>
      </w:r>
    </w:p>
    <w:p w14:paraId="7478A51B" w14:textId="772D2650" w:rsidR="00CC25D3" w:rsidRDefault="000B58DB" w:rsidP="00273398">
      <w:r>
        <w:t>GE will provide the</w:t>
      </w:r>
      <w:r w:rsidR="00912790">
        <w:t xml:space="preserve"> </w:t>
      </w:r>
      <w:r w:rsidR="007D3086">
        <w:t>data requirements from each source system</w:t>
      </w:r>
      <w:r w:rsidR="00912790">
        <w:t xml:space="preserve">, along with detailed descriptions of each column’s CIM-based semantic, and data type and format requirements to SCE.  SCE will be required to perform the ETL of their data from Hadoop and/or other source systems into the data loading files that GE provides.  </w:t>
      </w:r>
    </w:p>
    <w:p w14:paraId="6A2D9A40" w14:textId="25B55459" w:rsidR="000F37A9" w:rsidRDefault="000F37A9" w:rsidP="00273398">
      <w:r>
        <w:t>After the initial execution performed by GE, SCE will be able to take the results and make changes back to their CIS and GIS systems of record.  After correcting changes (manually), SCE will have the option of re-executing their CIS and GIS ETL processes, and re-</w:t>
      </w:r>
      <w:r w:rsidR="004F17E3">
        <w:t>ingesting their</w:t>
      </w:r>
      <w:r w:rsidR="008001A7">
        <w:t xml:space="preserve"> corrected </w:t>
      </w:r>
      <w:r w:rsidR="004F17E3">
        <w:t>CIS and GIS</w:t>
      </w:r>
      <w:r w:rsidR="008001A7">
        <w:t xml:space="preserve"> data</w:t>
      </w:r>
      <w:r w:rsidR="004F17E3">
        <w:t xml:space="preserve">, and </w:t>
      </w:r>
      <w:r w:rsidR="008001A7">
        <w:t>re-</w:t>
      </w:r>
      <w:r>
        <w:t xml:space="preserve">running the analytic </w:t>
      </w:r>
      <w:r w:rsidR="004F17E3">
        <w:t xml:space="preserve">against the same time-series </w:t>
      </w:r>
      <w:r w:rsidR="00DD34B6">
        <w:t xml:space="preserve">data </w:t>
      </w:r>
      <w:r>
        <w:t xml:space="preserve">to check for improvements in the number of errors and convergence towards an acceptable mismatch rate.  </w:t>
      </w:r>
    </w:p>
    <w:p w14:paraId="58DC0143" w14:textId="1A23C306" w:rsidR="00D9141D" w:rsidRPr="00D9141D" w:rsidRDefault="00403263" w:rsidP="00273398">
      <w:r>
        <w:lastRenderedPageBreak/>
        <w:t>In anticipation of the</w:t>
      </w:r>
      <w:r w:rsidR="00190924">
        <w:t xml:space="preserve"> full detailed</w:t>
      </w:r>
      <w:r>
        <w:t xml:space="preserve"> data requirements</w:t>
      </w:r>
      <w:r w:rsidR="00190924">
        <w:t xml:space="preserve">, </w:t>
      </w:r>
      <w:r>
        <w:t>b</w:t>
      </w:r>
      <w:r w:rsidR="00912790">
        <w:t>elow is a high</w:t>
      </w:r>
      <w:r w:rsidR="00025F7B">
        <w:t>-</w:t>
      </w:r>
      <w:r w:rsidR="00912790">
        <w:t>level summary of the data which is supported by the Network Connectivity Analytic:</w:t>
      </w:r>
    </w:p>
    <w:tbl>
      <w:tblPr>
        <w:tblW w:w="7006" w:type="dxa"/>
        <w:tblInd w:w="602" w:type="dxa"/>
        <w:tblCellMar>
          <w:left w:w="0" w:type="dxa"/>
          <w:right w:w="0" w:type="dxa"/>
        </w:tblCellMar>
        <w:tblLook w:val="04A0" w:firstRow="1" w:lastRow="0" w:firstColumn="1" w:lastColumn="0" w:noHBand="0" w:noVBand="1"/>
      </w:tblPr>
      <w:tblGrid>
        <w:gridCol w:w="2336"/>
        <w:gridCol w:w="2336"/>
        <w:gridCol w:w="2334"/>
      </w:tblGrid>
      <w:tr w:rsidR="00187220" w14:paraId="43770AFF" w14:textId="77777777" w:rsidTr="00273398">
        <w:tc>
          <w:tcPr>
            <w:tcW w:w="2336" w:type="dxa"/>
            <w:tcBorders>
              <w:top w:val="single" w:sz="8" w:space="0" w:color="auto"/>
              <w:left w:val="single" w:sz="8" w:space="0" w:color="auto"/>
              <w:bottom w:val="single" w:sz="8" w:space="0" w:color="auto"/>
              <w:right w:val="single" w:sz="8" w:space="0" w:color="auto"/>
            </w:tcBorders>
            <w:shd w:val="clear" w:color="auto" w:fill="AEAAAA"/>
            <w:tcMar>
              <w:top w:w="0" w:type="dxa"/>
              <w:left w:w="108" w:type="dxa"/>
              <w:bottom w:w="0" w:type="dxa"/>
              <w:right w:w="108" w:type="dxa"/>
            </w:tcMar>
            <w:hideMark/>
          </w:tcPr>
          <w:p w14:paraId="0B293B0A" w14:textId="77777777" w:rsidR="00187220" w:rsidRDefault="00187220" w:rsidP="00503C18">
            <w:pPr>
              <w:jc w:val="both"/>
              <w:rPr>
                <w:b/>
                <w:bCs/>
                <w:color w:val="000000"/>
              </w:rPr>
            </w:pPr>
            <w:r>
              <w:rPr>
                <w:b/>
                <w:bCs/>
                <w:color w:val="000000"/>
              </w:rPr>
              <w:t>Data Source</w:t>
            </w:r>
          </w:p>
        </w:tc>
        <w:tc>
          <w:tcPr>
            <w:tcW w:w="2336" w:type="dxa"/>
            <w:tcBorders>
              <w:top w:val="single" w:sz="8" w:space="0" w:color="auto"/>
              <w:left w:val="nil"/>
              <w:bottom w:val="single" w:sz="8" w:space="0" w:color="auto"/>
              <w:right w:val="single" w:sz="8" w:space="0" w:color="auto"/>
            </w:tcBorders>
            <w:shd w:val="clear" w:color="auto" w:fill="AEAAAA"/>
            <w:tcMar>
              <w:top w:w="0" w:type="dxa"/>
              <w:left w:w="108" w:type="dxa"/>
              <w:bottom w:w="0" w:type="dxa"/>
              <w:right w:w="108" w:type="dxa"/>
            </w:tcMar>
            <w:hideMark/>
          </w:tcPr>
          <w:p w14:paraId="47CA9DFD" w14:textId="18C296C8" w:rsidR="00187220" w:rsidRDefault="00403263" w:rsidP="00503C18">
            <w:pPr>
              <w:jc w:val="both"/>
              <w:rPr>
                <w:b/>
                <w:bCs/>
                <w:color w:val="000000"/>
              </w:rPr>
            </w:pPr>
            <w:r>
              <w:rPr>
                <w:b/>
                <w:bCs/>
                <w:color w:val="000000"/>
              </w:rPr>
              <w:t>Brief Description</w:t>
            </w:r>
          </w:p>
        </w:tc>
        <w:tc>
          <w:tcPr>
            <w:tcW w:w="2334" w:type="dxa"/>
            <w:tcBorders>
              <w:top w:val="single" w:sz="8" w:space="0" w:color="auto"/>
              <w:left w:val="nil"/>
              <w:bottom w:val="single" w:sz="8" w:space="0" w:color="auto"/>
              <w:right w:val="single" w:sz="8" w:space="0" w:color="auto"/>
            </w:tcBorders>
            <w:shd w:val="clear" w:color="auto" w:fill="AEAAAA"/>
            <w:tcMar>
              <w:top w:w="0" w:type="dxa"/>
              <w:left w:w="108" w:type="dxa"/>
              <w:bottom w:w="0" w:type="dxa"/>
              <w:right w:w="108" w:type="dxa"/>
            </w:tcMar>
            <w:hideMark/>
          </w:tcPr>
          <w:p w14:paraId="431BC4F5" w14:textId="7C1F2BDA" w:rsidR="00187220" w:rsidRDefault="00187220" w:rsidP="00503C18">
            <w:pPr>
              <w:jc w:val="both"/>
              <w:rPr>
                <w:b/>
                <w:bCs/>
                <w:color w:val="000000"/>
              </w:rPr>
            </w:pPr>
            <w:r>
              <w:rPr>
                <w:b/>
                <w:bCs/>
                <w:color w:val="000000"/>
              </w:rPr>
              <w:t>Characteristics</w:t>
            </w:r>
          </w:p>
        </w:tc>
      </w:tr>
      <w:tr w:rsidR="00187220" w14:paraId="1108F928"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EDA643" w14:textId="38CC2937" w:rsidR="00187220" w:rsidRDefault="00187220" w:rsidP="00FE2899">
            <w:pPr>
              <w:rPr>
                <w:color w:val="000000"/>
              </w:rPr>
            </w:pPr>
            <w:r>
              <w:rPr>
                <w:color w:val="000000"/>
              </w:rPr>
              <w:t>GIS-Network</w:t>
            </w:r>
            <w:r w:rsidR="00FE2899">
              <w:rPr>
                <w:color w:val="000000"/>
              </w:rPr>
              <w:t xml:space="preserve"> (CIM based including phase details)</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60103912" w14:textId="2E41E07D" w:rsidR="00187220" w:rsidRDefault="006D4506" w:rsidP="00FE2899">
            <w:pPr>
              <w:rPr>
                <w:color w:val="000000"/>
              </w:rPr>
            </w:pPr>
            <w:r>
              <w:t xml:space="preserve">Substation </w:t>
            </w:r>
            <w:r w:rsidR="00187220" w:rsidRPr="00503C18">
              <w:t xml:space="preserve">to </w:t>
            </w:r>
            <w:r w:rsidR="00482990">
              <w:t>t</w:t>
            </w:r>
            <w:r w:rsidR="00482990" w:rsidRPr="00503C18">
              <w:t>ransformer</w:t>
            </w:r>
            <w:r w:rsidR="00482990">
              <w:t xml:space="preserve"> n</w:t>
            </w:r>
            <w:r w:rsidR="00187220" w:rsidRPr="00503C18">
              <w:t>etwork</w:t>
            </w:r>
            <w:r w:rsidR="00403263">
              <w:t xml:space="preserve"> topology and location data</w:t>
            </w:r>
            <w:r w:rsidR="00403263" w:rsidRPr="00503C18">
              <w:t>.</w:t>
            </w:r>
            <w:r w:rsidR="00403263">
              <w:t xml:space="preserve">  Also, m</w:t>
            </w:r>
            <w:r w:rsidR="00403263" w:rsidRPr="00503C18">
              <w:t xml:space="preserve">ounting </w:t>
            </w:r>
            <w:r w:rsidR="00187220" w:rsidRPr="00503C18">
              <w:t>positions of XFMR</w:t>
            </w:r>
            <w:r w:rsidR="00403263">
              <w:t>s</w:t>
            </w:r>
            <w:r w:rsidR="00187220" w:rsidRPr="00503C18">
              <w:t xml:space="preserve">, and NO/NC </w:t>
            </w:r>
            <w:r w:rsidR="00403263">
              <w:t xml:space="preserve">as-built </w:t>
            </w:r>
            <w:r w:rsidR="00187220" w:rsidRPr="00503C18">
              <w:t xml:space="preserve">state of switchgear. </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7CECEF67" w14:textId="77777777" w:rsidR="00187220" w:rsidRDefault="00187220" w:rsidP="00FE2899">
            <w:pPr>
              <w:rPr>
                <w:color w:val="000000"/>
              </w:rPr>
            </w:pPr>
            <w:r>
              <w:rPr>
                <w:color w:val="000000"/>
              </w:rPr>
              <w:t xml:space="preserve">Most recent as-built snapshot of entire distribution network </w:t>
            </w:r>
          </w:p>
          <w:p w14:paraId="696A547C" w14:textId="7FCD2418" w:rsidR="00190924" w:rsidRDefault="00190924" w:rsidP="00FE2899">
            <w:pPr>
              <w:rPr>
                <w:color w:val="000000"/>
              </w:rPr>
            </w:pPr>
            <w:r>
              <w:rPr>
                <w:color w:val="000000"/>
              </w:rPr>
              <w:t>(required)</w:t>
            </w:r>
          </w:p>
        </w:tc>
      </w:tr>
      <w:tr w:rsidR="00187220" w14:paraId="47F498A0"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B2E34" w14:textId="77777777" w:rsidR="00187220" w:rsidRDefault="00187220" w:rsidP="00FE2899">
            <w:pPr>
              <w:rPr>
                <w:color w:val="000000"/>
              </w:rPr>
            </w:pPr>
            <w:r>
              <w:rPr>
                <w:color w:val="000000"/>
              </w:rPr>
              <w:t>EAM</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7F383CFB" w14:textId="3873392F" w:rsidR="00187220" w:rsidRDefault="00187220" w:rsidP="00FE2899">
            <w:pPr>
              <w:rPr>
                <w:color w:val="000000"/>
              </w:rPr>
            </w:pPr>
            <w:r>
              <w:rPr>
                <w:color w:val="000000"/>
              </w:rPr>
              <w:t xml:space="preserve">Smart </w:t>
            </w:r>
            <w:r w:rsidR="00482990">
              <w:rPr>
                <w:color w:val="000000"/>
              </w:rPr>
              <w:t>meter</w:t>
            </w:r>
            <w:r>
              <w:rPr>
                <w:color w:val="000000"/>
              </w:rPr>
              <w:t xml:space="preserve">, XFMR, switchgear, conductors’ </w:t>
            </w:r>
            <w:r w:rsidR="00403263">
              <w:rPr>
                <w:color w:val="000000"/>
              </w:rPr>
              <w:t xml:space="preserve">descriptive </w:t>
            </w:r>
            <w:r>
              <w:rPr>
                <w:color w:val="000000"/>
              </w:rPr>
              <w:t>attributes.</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5948D7B6" w14:textId="77777777" w:rsidR="00187220" w:rsidRDefault="00187220" w:rsidP="00FE2899">
            <w:pPr>
              <w:rPr>
                <w:color w:val="000000"/>
              </w:rPr>
            </w:pPr>
            <w:r>
              <w:rPr>
                <w:color w:val="000000"/>
              </w:rPr>
              <w:t>Most recent snapshot</w:t>
            </w:r>
          </w:p>
          <w:p w14:paraId="2B885CF3" w14:textId="6855BFAE" w:rsidR="00190924" w:rsidRDefault="00190924" w:rsidP="00FE2899">
            <w:pPr>
              <w:rPr>
                <w:color w:val="000000"/>
              </w:rPr>
            </w:pPr>
            <w:r>
              <w:rPr>
                <w:color w:val="000000"/>
              </w:rPr>
              <w:t>(required)</w:t>
            </w:r>
          </w:p>
        </w:tc>
      </w:tr>
      <w:tr w:rsidR="00187220" w14:paraId="6010FE72"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00AC5" w14:textId="77777777" w:rsidR="00187220" w:rsidRDefault="00187220" w:rsidP="00FE2899">
            <w:pPr>
              <w:rPr>
                <w:color w:val="000000"/>
              </w:rPr>
            </w:pPr>
            <w:r>
              <w:rPr>
                <w:color w:val="000000"/>
              </w:rPr>
              <w:t>OMS</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69F9D678" w14:textId="68002A4B" w:rsidR="00187220" w:rsidRDefault="00187220" w:rsidP="00FE2899">
            <w:pPr>
              <w:rPr>
                <w:color w:val="000000"/>
              </w:rPr>
            </w:pPr>
            <w:r>
              <w:rPr>
                <w:color w:val="000000"/>
              </w:rPr>
              <w:t xml:space="preserve">Event start/end time, </w:t>
            </w:r>
            <w:r w:rsidR="00482990">
              <w:rPr>
                <w:color w:val="000000"/>
              </w:rPr>
              <w:t>operating device</w:t>
            </w:r>
            <w:r w:rsidR="00493ECC">
              <w:rPr>
                <w:color w:val="000000"/>
              </w:rPr>
              <w:t>, XFMRs impacted by outage.</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0A75FA22" w14:textId="77777777" w:rsidR="001C527C" w:rsidRDefault="00187220" w:rsidP="00FE2899">
            <w:pPr>
              <w:rPr>
                <w:color w:val="000000"/>
              </w:rPr>
            </w:pPr>
            <w:proofErr w:type="gramStart"/>
            <w:r>
              <w:rPr>
                <w:color w:val="000000"/>
              </w:rPr>
              <w:t>1 year</w:t>
            </w:r>
            <w:proofErr w:type="gramEnd"/>
            <w:r>
              <w:rPr>
                <w:color w:val="000000"/>
              </w:rPr>
              <w:t xml:space="preserve"> Historical load</w:t>
            </w:r>
            <w:r w:rsidR="001C527C">
              <w:rPr>
                <w:color w:val="000000"/>
              </w:rPr>
              <w:t xml:space="preserve"> </w:t>
            </w:r>
          </w:p>
          <w:p w14:paraId="30A5AE8F" w14:textId="2899E9FB" w:rsidR="00190924" w:rsidRDefault="00190924" w:rsidP="00FE2899">
            <w:pPr>
              <w:rPr>
                <w:color w:val="000000"/>
              </w:rPr>
            </w:pPr>
            <w:r>
              <w:rPr>
                <w:color w:val="000000"/>
              </w:rPr>
              <w:t>(required)</w:t>
            </w:r>
          </w:p>
        </w:tc>
      </w:tr>
      <w:tr w:rsidR="00187220" w14:paraId="12AF0CAE"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FE3E2C" w14:textId="77777777" w:rsidR="00187220" w:rsidRDefault="00187220" w:rsidP="00FE2899">
            <w:pPr>
              <w:rPr>
                <w:color w:val="000000"/>
              </w:rPr>
            </w:pPr>
            <w:r>
              <w:rPr>
                <w:color w:val="000000"/>
              </w:rPr>
              <w:t>CIS</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62A3E0E5" w14:textId="25CA56BB" w:rsidR="00187220" w:rsidRDefault="00187220" w:rsidP="00FE2899">
            <w:pPr>
              <w:rPr>
                <w:color w:val="000000"/>
              </w:rPr>
            </w:pPr>
            <w:r>
              <w:rPr>
                <w:color w:val="000000"/>
              </w:rPr>
              <w:t xml:space="preserve">Meter to XFMR key, </w:t>
            </w:r>
            <w:r w:rsidR="00E67BB9">
              <w:rPr>
                <w:color w:val="000000"/>
              </w:rPr>
              <w:t>usage point</w:t>
            </w:r>
            <w:r w:rsidR="00793BEB">
              <w:rPr>
                <w:color w:val="000000"/>
              </w:rPr>
              <w:t xml:space="preserve"> and service location ids and</w:t>
            </w:r>
            <w:r w:rsidR="006D4506">
              <w:rPr>
                <w:color w:val="000000"/>
              </w:rPr>
              <w:t xml:space="preserve"> </w:t>
            </w:r>
            <w:r>
              <w:rPr>
                <w:color w:val="000000"/>
              </w:rPr>
              <w:t>coordinates, account status history, meter type/form.</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4DA5C081" w14:textId="77777777" w:rsidR="00187220" w:rsidRDefault="00187220" w:rsidP="00FE2899">
            <w:pPr>
              <w:rPr>
                <w:color w:val="000000"/>
              </w:rPr>
            </w:pPr>
            <w:r>
              <w:rPr>
                <w:color w:val="000000"/>
              </w:rPr>
              <w:t>Most recent snapshot.</w:t>
            </w:r>
          </w:p>
          <w:p w14:paraId="43F792E6" w14:textId="2F4DA265" w:rsidR="00190924" w:rsidRDefault="00190924" w:rsidP="00FE2899">
            <w:pPr>
              <w:rPr>
                <w:color w:val="000000"/>
              </w:rPr>
            </w:pPr>
            <w:r>
              <w:rPr>
                <w:color w:val="000000"/>
              </w:rPr>
              <w:t>(required)</w:t>
            </w:r>
          </w:p>
        </w:tc>
      </w:tr>
      <w:tr w:rsidR="000E502A" w14:paraId="4AF52878"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0562D3" w14:textId="35A99AC8" w:rsidR="000E502A" w:rsidRDefault="000E502A" w:rsidP="000E502A">
            <w:pPr>
              <w:rPr>
                <w:color w:val="000000"/>
              </w:rPr>
            </w:pPr>
            <w:r>
              <w:rPr>
                <w:color w:val="000000"/>
              </w:rPr>
              <w:t>AMI-EndDeviceEvent</w:t>
            </w:r>
          </w:p>
        </w:tc>
        <w:tc>
          <w:tcPr>
            <w:tcW w:w="2336" w:type="dxa"/>
            <w:tcBorders>
              <w:top w:val="nil"/>
              <w:left w:val="nil"/>
              <w:bottom w:val="single" w:sz="8" w:space="0" w:color="auto"/>
              <w:right w:val="single" w:sz="8" w:space="0" w:color="auto"/>
            </w:tcBorders>
            <w:tcMar>
              <w:top w:w="0" w:type="dxa"/>
              <w:left w:w="108" w:type="dxa"/>
              <w:bottom w:w="0" w:type="dxa"/>
              <w:right w:w="108" w:type="dxa"/>
            </w:tcMar>
          </w:tcPr>
          <w:p w14:paraId="30AD2A9F" w14:textId="2F274C16" w:rsidR="000E502A" w:rsidRDefault="000E502A" w:rsidP="000E502A">
            <w:pPr>
              <w:rPr>
                <w:color w:val="000000"/>
              </w:rPr>
            </w:pPr>
            <w:r>
              <w:rPr>
                <w:color w:val="000000"/>
              </w:rPr>
              <w:t>Outage and Power on Events</w:t>
            </w:r>
          </w:p>
        </w:tc>
        <w:tc>
          <w:tcPr>
            <w:tcW w:w="2334" w:type="dxa"/>
            <w:tcBorders>
              <w:top w:val="nil"/>
              <w:left w:val="nil"/>
              <w:bottom w:val="single" w:sz="8" w:space="0" w:color="auto"/>
              <w:right w:val="single" w:sz="8" w:space="0" w:color="auto"/>
            </w:tcBorders>
            <w:tcMar>
              <w:top w:w="0" w:type="dxa"/>
              <w:left w:w="108" w:type="dxa"/>
              <w:bottom w:w="0" w:type="dxa"/>
              <w:right w:w="108" w:type="dxa"/>
            </w:tcMar>
          </w:tcPr>
          <w:p w14:paraId="1068F3D5" w14:textId="77777777" w:rsidR="000E502A" w:rsidRDefault="000E502A" w:rsidP="000E502A">
            <w:pPr>
              <w:rPr>
                <w:color w:val="000000"/>
              </w:rPr>
            </w:pPr>
            <w:proofErr w:type="gramStart"/>
            <w:r>
              <w:rPr>
                <w:color w:val="000000"/>
              </w:rPr>
              <w:t>1 year</w:t>
            </w:r>
            <w:proofErr w:type="gramEnd"/>
            <w:r>
              <w:rPr>
                <w:color w:val="000000"/>
              </w:rPr>
              <w:t xml:space="preserve"> Historical load.</w:t>
            </w:r>
          </w:p>
          <w:p w14:paraId="7E48D3E0" w14:textId="255EFBBC" w:rsidR="000E502A" w:rsidRDefault="000E502A" w:rsidP="000E502A">
            <w:pPr>
              <w:rPr>
                <w:color w:val="000000"/>
              </w:rPr>
            </w:pPr>
            <w:r>
              <w:rPr>
                <w:color w:val="000000"/>
              </w:rPr>
              <w:t>(required)</w:t>
            </w:r>
          </w:p>
        </w:tc>
      </w:tr>
      <w:tr w:rsidR="000E502A" w14:paraId="6693F9FC"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6180C" w14:textId="77777777" w:rsidR="000E502A" w:rsidRDefault="000E502A" w:rsidP="000E502A">
            <w:pPr>
              <w:rPr>
                <w:color w:val="000000"/>
              </w:rPr>
            </w:pPr>
            <w:r>
              <w:rPr>
                <w:color w:val="000000"/>
              </w:rPr>
              <w:t>AMI-MeterRead</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13555DFA" w14:textId="77777777" w:rsidR="000E502A" w:rsidRDefault="000E502A" w:rsidP="000E502A">
            <w:pPr>
              <w:rPr>
                <w:color w:val="000000"/>
              </w:rPr>
            </w:pPr>
            <w:r>
              <w:rPr>
                <w:color w:val="000000"/>
              </w:rPr>
              <w:t>Daily interval Consumption (MWh)</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54CA6DB8" w14:textId="77777777" w:rsidR="000E502A" w:rsidRDefault="000E502A" w:rsidP="000E502A">
            <w:pPr>
              <w:rPr>
                <w:color w:val="000000"/>
              </w:rPr>
            </w:pPr>
            <w:proofErr w:type="gramStart"/>
            <w:r>
              <w:rPr>
                <w:color w:val="000000"/>
              </w:rPr>
              <w:t>1 year</w:t>
            </w:r>
            <w:proofErr w:type="gramEnd"/>
            <w:r>
              <w:rPr>
                <w:color w:val="000000"/>
              </w:rPr>
              <w:t xml:space="preserve"> Historical load.</w:t>
            </w:r>
          </w:p>
          <w:p w14:paraId="4D02FC96" w14:textId="5FAFA31A" w:rsidR="000E502A" w:rsidRPr="00273398" w:rsidRDefault="000E502A" w:rsidP="000E502A">
            <w:r>
              <w:t>(optional)</w:t>
            </w:r>
          </w:p>
        </w:tc>
      </w:tr>
      <w:tr w:rsidR="000E502A" w14:paraId="41DA591B"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EA353A" w14:textId="77777777" w:rsidR="000E502A" w:rsidRDefault="000E502A" w:rsidP="000E502A">
            <w:pPr>
              <w:rPr>
                <w:color w:val="000000"/>
              </w:rPr>
            </w:pPr>
            <w:r>
              <w:rPr>
                <w:color w:val="000000"/>
              </w:rPr>
              <w:t>AMI-MeterRead</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1508D581" w14:textId="77777777" w:rsidR="000E502A" w:rsidRDefault="000E502A" w:rsidP="000E502A">
            <w:pPr>
              <w:rPr>
                <w:color w:val="000000"/>
              </w:rPr>
            </w:pPr>
            <w:r>
              <w:rPr>
                <w:color w:val="000000"/>
              </w:rPr>
              <w:t>Daily interval Voltage (V)</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22AECA01" w14:textId="77777777" w:rsidR="000E502A" w:rsidRDefault="000E502A" w:rsidP="000E502A">
            <w:pPr>
              <w:rPr>
                <w:color w:val="000000"/>
              </w:rPr>
            </w:pPr>
            <w:proofErr w:type="gramStart"/>
            <w:r>
              <w:rPr>
                <w:color w:val="000000"/>
              </w:rPr>
              <w:t>1 year</w:t>
            </w:r>
            <w:proofErr w:type="gramEnd"/>
            <w:r>
              <w:rPr>
                <w:color w:val="000000"/>
              </w:rPr>
              <w:t xml:space="preserve"> Historical load.</w:t>
            </w:r>
          </w:p>
          <w:p w14:paraId="0EF36AC4" w14:textId="5F7C8769" w:rsidR="000E502A" w:rsidRDefault="000E502A" w:rsidP="000E502A">
            <w:pPr>
              <w:rPr>
                <w:color w:val="000000"/>
              </w:rPr>
            </w:pPr>
            <w:r>
              <w:rPr>
                <w:color w:val="000000"/>
              </w:rPr>
              <w:t>(optional)</w:t>
            </w:r>
          </w:p>
        </w:tc>
      </w:tr>
      <w:tr w:rsidR="000E502A" w14:paraId="49FFF50D" w14:textId="77777777" w:rsidTr="00273398">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E1AB4" w14:textId="77777777" w:rsidR="000E502A" w:rsidRDefault="000E502A" w:rsidP="000E502A">
            <w:pPr>
              <w:rPr>
                <w:color w:val="000000"/>
              </w:rPr>
            </w:pPr>
            <w:r>
              <w:rPr>
                <w:color w:val="000000"/>
              </w:rPr>
              <w:t>GIS-Landbase</w:t>
            </w:r>
          </w:p>
        </w:tc>
        <w:tc>
          <w:tcPr>
            <w:tcW w:w="2336" w:type="dxa"/>
            <w:tcBorders>
              <w:top w:val="nil"/>
              <w:left w:val="nil"/>
              <w:bottom w:val="single" w:sz="8" w:space="0" w:color="auto"/>
              <w:right w:val="single" w:sz="8" w:space="0" w:color="auto"/>
            </w:tcBorders>
            <w:tcMar>
              <w:top w:w="0" w:type="dxa"/>
              <w:left w:w="108" w:type="dxa"/>
              <w:bottom w:w="0" w:type="dxa"/>
              <w:right w:w="108" w:type="dxa"/>
            </w:tcMar>
            <w:hideMark/>
          </w:tcPr>
          <w:p w14:paraId="1F1347EE" w14:textId="77777777" w:rsidR="000E502A" w:rsidRDefault="000E502A" w:rsidP="000E502A">
            <w:pPr>
              <w:rPr>
                <w:color w:val="000000"/>
              </w:rPr>
            </w:pPr>
            <w:r>
              <w:rPr>
                <w:color w:val="000000"/>
              </w:rPr>
              <w:t>Road, water, other boundaries</w:t>
            </w:r>
          </w:p>
        </w:tc>
        <w:tc>
          <w:tcPr>
            <w:tcW w:w="2334" w:type="dxa"/>
            <w:tcBorders>
              <w:top w:val="nil"/>
              <w:left w:val="nil"/>
              <w:bottom w:val="single" w:sz="8" w:space="0" w:color="auto"/>
              <w:right w:val="single" w:sz="8" w:space="0" w:color="auto"/>
            </w:tcBorders>
            <w:tcMar>
              <w:top w:w="0" w:type="dxa"/>
              <w:left w:w="108" w:type="dxa"/>
              <w:bottom w:w="0" w:type="dxa"/>
              <w:right w:w="108" w:type="dxa"/>
            </w:tcMar>
            <w:hideMark/>
          </w:tcPr>
          <w:p w14:paraId="0651D8B9" w14:textId="77777777" w:rsidR="000E502A" w:rsidRDefault="000E502A" w:rsidP="000E502A">
            <w:pPr>
              <w:rPr>
                <w:color w:val="000000"/>
              </w:rPr>
            </w:pPr>
            <w:r>
              <w:rPr>
                <w:color w:val="000000"/>
              </w:rPr>
              <w:t>Most recent snapshot</w:t>
            </w:r>
          </w:p>
          <w:p w14:paraId="41BB3573" w14:textId="2D626653" w:rsidR="000E502A" w:rsidRDefault="000E502A" w:rsidP="000E502A">
            <w:pPr>
              <w:rPr>
                <w:color w:val="000000"/>
              </w:rPr>
            </w:pPr>
            <w:r>
              <w:rPr>
                <w:color w:val="000000"/>
              </w:rPr>
              <w:t>(optional)</w:t>
            </w:r>
          </w:p>
        </w:tc>
      </w:tr>
    </w:tbl>
    <w:p w14:paraId="7B68DA25" w14:textId="77777777" w:rsidR="00B8615E" w:rsidRDefault="00B8615E" w:rsidP="00503C18">
      <w:pPr>
        <w:jc w:val="both"/>
      </w:pPr>
    </w:p>
    <w:p w14:paraId="0085C943" w14:textId="78BD9B5C" w:rsidR="00F06ABF" w:rsidRDefault="00482990" w:rsidP="00F06ABF">
      <w:pPr>
        <w:pStyle w:val="Heading1"/>
        <w:jc w:val="both"/>
      </w:pPr>
      <w:r>
        <w:lastRenderedPageBreak/>
        <w:t>Description of Analytic Modules</w:t>
      </w:r>
    </w:p>
    <w:p w14:paraId="68EADED9" w14:textId="1F1B129F" w:rsidR="001E2A1D" w:rsidRDefault="00482990" w:rsidP="00F06ABF">
      <w:pPr>
        <w:ind w:left="720"/>
        <w:jc w:val="both"/>
      </w:pPr>
      <w:r>
        <w:t xml:space="preserve">The Network Connectivity analytic </w:t>
      </w:r>
      <w:r w:rsidR="00F70892">
        <w:t>performs a series of separate algorithms</w:t>
      </w:r>
      <w:r w:rsidR="00BE25F6">
        <w:t xml:space="preserve"> against the data collection</w:t>
      </w:r>
      <w:r w:rsidR="00F70892">
        <w:t>.  Each algorithm provides its own output when it detects evidence of a mismatch in the Customer or GIS data</w:t>
      </w:r>
      <w:r w:rsidR="00AF4A73">
        <w:t xml:space="preserve"> (mismatch records)</w:t>
      </w:r>
      <w:r w:rsidR="00F70892">
        <w:t xml:space="preserve">.  A subsequent </w:t>
      </w:r>
      <w:r w:rsidR="004754CD">
        <w:t>phase</w:t>
      </w:r>
      <w:r w:rsidR="00F70892">
        <w:t xml:space="preserve"> of analysis collects the set of all </w:t>
      </w:r>
      <w:r w:rsidR="004754CD">
        <w:t>mismatch meta data</w:t>
      </w:r>
      <w:r w:rsidR="00F70892">
        <w:t xml:space="preserve"> from these separate algorithms</w:t>
      </w:r>
      <w:r w:rsidR="004754CD">
        <w:t>, de-duplicates</w:t>
      </w:r>
      <w:r w:rsidR="00F70892">
        <w:t xml:space="preserve"> and </w:t>
      </w:r>
      <w:r w:rsidR="004754CD">
        <w:t xml:space="preserve">performs </w:t>
      </w:r>
      <w:r w:rsidR="00060B8E">
        <w:t>hypothesis testing</w:t>
      </w:r>
      <w:r w:rsidR="004754CD">
        <w:t xml:space="preserve"> to discover recommended changes (</w:t>
      </w:r>
      <w:r w:rsidR="00AF4A73">
        <w:t>recommendation records</w:t>
      </w:r>
      <w:r w:rsidR="004754CD">
        <w:t>) for the meter</w:t>
      </w:r>
      <w:r w:rsidR="00B211FE">
        <w:t xml:space="preserve"> associations</w:t>
      </w:r>
      <w:r w:rsidR="004754CD">
        <w:t xml:space="preserve"> and </w:t>
      </w:r>
      <w:r w:rsidR="00B211FE">
        <w:t xml:space="preserve">transformer connections </w:t>
      </w:r>
      <w:r w:rsidR="004754CD">
        <w:t>which better fit the data</w:t>
      </w:r>
      <w:r w:rsidR="001E2A1D">
        <w:t>.</w:t>
      </w:r>
    </w:p>
    <w:p w14:paraId="2786C0B8" w14:textId="75F363FB" w:rsidR="00F06ABF" w:rsidRDefault="001E2A1D" w:rsidP="00F06ABF">
      <w:pPr>
        <w:ind w:left="720"/>
        <w:jc w:val="both"/>
      </w:pPr>
      <w:r>
        <w:t xml:space="preserve">Below is a brief description of </w:t>
      </w:r>
      <w:r w:rsidR="0059791F">
        <w:t xml:space="preserve">some of </w:t>
      </w:r>
      <w:r>
        <w:t xml:space="preserve">the algorithms which operate against the data described above: </w:t>
      </w:r>
      <w:r w:rsidR="00F70892">
        <w:t xml:space="preserve"> </w:t>
      </w:r>
    </w:p>
    <w:p w14:paraId="680A12FA" w14:textId="16451360" w:rsidR="00E20C0A" w:rsidRDefault="00E20C0A" w:rsidP="00273398">
      <w:pPr>
        <w:pStyle w:val="Heading2"/>
        <w:ind w:firstLine="720"/>
        <w:jc w:val="both"/>
      </w:pPr>
      <w:r>
        <w:t>Distance based Analysis</w:t>
      </w:r>
    </w:p>
    <w:p w14:paraId="154F8FD1" w14:textId="23977EED" w:rsidR="00E20C0A" w:rsidRDefault="00E20C0A" w:rsidP="00F06ABF">
      <w:pPr>
        <w:ind w:left="720"/>
        <w:jc w:val="both"/>
      </w:pPr>
      <w:r>
        <w:t xml:space="preserve">Distance based analysis detects meters which are too far away from their reported service transformer and flags them for mismatch analysis.  </w:t>
      </w:r>
    </w:p>
    <w:p w14:paraId="779C2138" w14:textId="05ED17F4" w:rsidR="00F06ABF" w:rsidRDefault="00F06ABF" w:rsidP="00273398">
      <w:pPr>
        <w:pStyle w:val="Heading2"/>
        <w:ind w:firstLine="720"/>
        <w:jc w:val="both"/>
      </w:pPr>
      <w:r>
        <w:t xml:space="preserve">Transformer Outage </w:t>
      </w:r>
      <w:r w:rsidR="004E65C0">
        <w:t>Algorithm</w:t>
      </w:r>
    </w:p>
    <w:p w14:paraId="3BB34689" w14:textId="31E07A78" w:rsidR="00F06ABF" w:rsidRDefault="00F06ABF" w:rsidP="00F06ABF">
      <w:pPr>
        <w:ind w:left="720"/>
        <w:jc w:val="both"/>
      </w:pPr>
      <w:r>
        <w:t xml:space="preserve">The </w:t>
      </w:r>
      <w:r w:rsidR="00B55CD4">
        <w:t xml:space="preserve">transformer outage </w:t>
      </w:r>
      <w:r w:rsidR="004E65C0">
        <w:t xml:space="preserve">algorithm evaluates each historic OMS outage event to determine if the </w:t>
      </w:r>
      <w:r w:rsidR="004754CD">
        <w:t xml:space="preserve">impacted transformers can be found to have </w:t>
      </w:r>
      <w:r w:rsidR="00C757A4">
        <w:t xml:space="preserve">a high proportion of consistent </w:t>
      </w:r>
      <w:r w:rsidR="004E65C0">
        <w:t>AMI-Outage</w:t>
      </w:r>
      <w:r w:rsidR="004754CD">
        <w:t xml:space="preserve"> AMI-</w:t>
      </w:r>
      <w:r w:rsidR="004E65C0">
        <w:t>Power-on events</w:t>
      </w:r>
      <w:r w:rsidR="004754CD">
        <w:t xml:space="preserve"> and AMI-Consumption</w:t>
      </w:r>
      <w:r w:rsidR="00C757A4">
        <w:t xml:space="preserve"> data</w:t>
      </w:r>
      <w:r w:rsidR="004E65C0">
        <w:t>.</w:t>
      </w:r>
      <w:r w:rsidR="00C757A4">
        <w:t xml:space="preserve">  If not, the transformer is flagged for mismatch analysis.  If a small proportion of meters disagree, then they are flagged for mismatch analysis. </w:t>
      </w:r>
      <w:r w:rsidR="004E65C0">
        <w:t xml:space="preserve">  </w:t>
      </w:r>
    </w:p>
    <w:p w14:paraId="67A5C843" w14:textId="0BC7130E" w:rsidR="00F06ABF" w:rsidRDefault="00E20C0A" w:rsidP="00273398">
      <w:pPr>
        <w:pStyle w:val="Heading2"/>
        <w:jc w:val="both"/>
      </w:pPr>
      <w:r>
        <w:tab/>
      </w:r>
      <w:r w:rsidR="00F06ABF">
        <w:t>Landbase Analysis</w:t>
      </w:r>
    </w:p>
    <w:p w14:paraId="5E00B204" w14:textId="66B07776" w:rsidR="00F06ABF" w:rsidRDefault="00C757A4" w:rsidP="00F06ABF">
      <w:pPr>
        <w:ind w:left="720"/>
        <w:jc w:val="both"/>
      </w:pPr>
      <w:r>
        <w:t>Land base analysis detects smart meter locations, and distribution asset locations which are</w:t>
      </w:r>
      <w:r w:rsidR="00ED3113">
        <w:t xml:space="preserve"> reported to be</w:t>
      </w:r>
      <w:r>
        <w:t xml:space="preserve"> contained in </w:t>
      </w:r>
      <w:r w:rsidR="00ED3113">
        <w:t xml:space="preserve">invalid regions, and flags for mismatch.  It also will detect if </w:t>
      </w:r>
      <w:r w:rsidR="00A52141">
        <w:t>secondary service drops would likely</w:t>
      </w:r>
      <w:r w:rsidR="00ED3113">
        <w:t xml:space="preserve"> intersect with invalid regions like highways, ditches, waterways or other boundaries. </w:t>
      </w:r>
    </w:p>
    <w:p w14:paraId="5BBA3112" w14:textId="72A1CA49" w:rsidR="00F06ABF" w:rsidRDefault="00E20C0A" w:rsidP="00273398">
      <w:pPr>
        <w:pStyle w:val="Heading2"/>
        <w:jc w:val="both"/>
      </w:pPr>
      <w:r>
        <w:tab/>
      </w:r>
      <w:r w:rsidR="00CF3D7F">
        <w:t>Recommendation Algorithms</w:t>
      </w:r>
    </w:p>
    <w:p w14:paraId="10F975C7" w14:textId="43DA5652" w:rsidR="00F06ABF" w:rsidRDefault="00CF3D7F" w:rsidP="00F06ABF">
      <w:pPr>
        <w:ind w:left="720"/>
        <w:jc w:val="both"/>
      </w:pPr>
      <w:r>
        <w:t xml:space="preserve">The recommendation algorithms consider alternative connections for smart meters to transformers where they better match the other </w:t>
      </w:r>
      <w:r w:rsidR="00317B71">
        <w:t xml:space="preserve">meter </w:t>
      </w:r>
      <w:r>
        <w:t>population</w:t>
      </w:r>
      <w:r w:rsidR="00317B71">
        <w:t xml:space="preserve"> in terms of available data</w:t>
      </w:r>
      <w:r>
        <w:t xml:space="preserve">.  For transformer mismatches a connectivity model service is used to discover potential locally based alternative phase(s) for the transformer, as well as different connection locations including on different feeders nearby.  </w:t>
      </w:r>
    </w:p>
    <w:p w14:paraId="3ED91734" w14:textId="75A3BAC7" w:rsidR="006F75B7" w:rsidRDefault="00AE0275" w:rsidP="006F75B7">
      <w:pPr>
        <w:pStyle w:val="Heading1"/>
        <w:jc w:val="both"/>
      </w:pPr>
      <w:r>
        <w:t>Project Scope</w:t>
      </w:r>
    </w:p>
    <w:p w14:paraId="295C0C3F" w14:textId="1F170BC0" w:rsidR="006F75B7" w:rsidRDefault="006F75B7" w:rsidP="006F75B7">
      <w:pPr>
        <w:ind w:left="360"/>
        <w:jc w:val="both"/>
      </w:pPr>
      <w:r>
        <w:t xml:space="preserve">For this project </w:t>
      </w:r>
      <w:r w:rsidRPr="00AB09C6">
        <w:rPr>
          <w:b/>
        </w:rPr>
        <w:t>GE will provide</w:t>
      </w:r>
      <w:r w:rsidR="00AE0275">
        <w:rPr>
          <w:b/>
        </w:rPr>
        <w:t xml:space="preserve"> the following deliverables:</w:t>
      </w:r>
    </w:p>
    <w:p w14:paraId="4B4E8502" w14:textId="3C680A9E" w:rsidR="006F75B7" w:rsidRDefault="009535B8" w:rsidP="006F75B7">
      <w:pPr>
        <w:pStyle w:val="ListParagraph"/>
        <w:numPr>
          <w:ilvl w:val="0"/>
          <w:numId w:val="3"/>
        </w:numPr>
        <w:ind w:left="1080"/>
        <w:jc w:val="both"/>
      </w:pPr>
      <w:r>
        <w:t xml:space="preserve">W1: </w:t>
      </w:r>
      <w:r w:rsidR="006F75B7">
        <w:t>Complete specification of the data requirements to run the Network Connectivity analytic in its non-continuous mode (see Data Input Summary for high level data description).</w:t>
      </w:r>
    </w:p>
    <w:p w14:paraId="7F1EDFA8" w14:textId="231E9BDF" w:rsidR="009E7F0A" w:rsidRDefault="00BF2606" w:rsidP="00AE0275">
      <w:pPr>
        <w:pStyle w:val="ListParagraph"/>
        <w:numPr>
          <w:ilvl w:val="0"/>
          <w:numId w:val="3"/>
        </w:numPr>
        <w:ind w:left="1080"/>
        <w:jc w:val="both"/>
      </w:pPr>
      <w:r>
        <w:t xml:space="preserve">W1: </w:t>
      </w:r>
      <w:r w:rsidR="006F75B7">
        <w:t>Sample columnar data file(s) for each data type (GIS, EAM, OMS etc.) in the supported ingestion format (file type, column headers, column data type, data format)</w:t>
      </w:r>
    </w:p>
    <w:p w14:paraId="36ACA41E" w14:textId="79F003BA" w:rsidR="006F75B7" w:rsidRPr="00273398" w:rsidRDefault="006F75B7" w:rsidP="006F75B7">
      <w:pPr>
        <w:pStyle w:val="ListParagraph"/>
        <w:numPr>
          <w:ilvl w:val="0"/>
          <w:numId w:val="3"/>
        </w:numPr>
        <w:ind w:left="1080"/>
        <w:jc w:val="both"/>
      </w:pPr>
      <w:r>
        <w:t>On-</w:t>
      </w:r>
      <w:r w:rsidR="007B782F">
        <w:t>premises</w:t>
      </w:r>
      <w:r>
        <w:t xml:space="preserve"> installation of a data fabric historian on SCE server</w:t>
      </w:r>
      <w:r w:rsidRPr="00555AA7">
        <w:t>s.</w:t>
      </w:r>
    </w:p>
    <w:p w14:paraId="1820D1FE" w14:textId="77777777" w:rsidR="006F75B7" w:rsidRDefault="006F75B7" w:rsidP="006F75B7">
      <w:pPr>
        <w:pStyle w:val="ListParagraph"/>
        <w:numPr>
          <w:ilvl w:val="0"/>
          <w:numId w:val="3"/>
        </w:numPr>
        <w:ind w:left="1080"/>
        <w:jc w:val="both"/>
      </w:pPr>
      <w:r>
        <w:t>Installation of the Network Connectivity analytic solution (without that Application’s User Interface).</w:t>
      </w:r>
    </w:p>
    <w:p w14:paraId="3E24AE80" w14:textId="77777777" w:rsidR="006F75B7" w:rsidRDefault="006F75B7" w:rsidP="006F75B7">
      <w:pPr>
        <w:pStyle w:val="ListParagraph"/>
        <w:numPr>
          <w:ilvl w:val="0"/>
          <w:numId w:val="3"/>
        </w:numPr>
        <w:ind w:left="1080"/>
        <w:jc w:val="both"/>
      </w:pPr>
      <w:r>
        <w:t>Ingestion of SCE’s data once GE receives it in the supported ingestion format (as in (2) above).</w:t>
      </w:r>
    </w:p>
    <w:p w14:paraId="20474B4E" w14:textId="3920CD1D" w:rsidR="006F75B7" w:rsidRDefault="006F75B7" w:rsidP="006F75B7">
      <w:pPr>
        <w:pStyle w:val="ListParagraph"/>
        <w:numPr>
          <w:ilvl w:val="0"/>
          <w:numId w:val="3"/>
        </w:numPr>
        <w:ind w:left="1080"/>
        <w:jc w:val="both"/>
      </w:pPr>
      <w:r>
        <w:lastRenderedPageBreak/>
        <w:t xml:space="preserve">Configuration of the Network Connectivity analytic’s settings to optimize results based on SCE’s distribution </w:t>
      </w:r>
      <w:r w:rsidR="00555AA7">
        <w:t>standards, geography</w:t>
      </w:r>
      <w:r>
        <w:t xml:space="preserve"> and data.</w:t>
      </w:r>
    </w:p>
    <w:p w14:paraId="6A20AAE7" w14:textId="4E89E963" w:rsidR="006F75B7" w:rsidRDefault="006F75B7" w:rsidP="006F75B7">
      <w:pPr>
        <w:pStyle w:val="ListParagraph"/>
        <w:numPr>
          <w:ilvl w:val="0"/>
          <w:numId w:val="3"/>
        </w:numPr>
        <w:ind w:left="1080"/>
        <w:jc w:val="both"/>
      </w:pPr>
      <w:r>
        <w:t xml:space="preserve">Analytic results, specifically: mismatches and recommended changes to Customer-to-Transformer associations, and to Transformer-to-feeder/phase connections for the </w:t>
      </w:r>
      <w:r w:rsidR="002A5B78">
        <w:t>portion of the network provided to GE by SCE in the initial ETL (up to the entire network)</w:t>
      </w:r>
    </w:p>
    <w:p w14:paraId="3063B7D2" w14:textId="01184F88" w:rsidR="003A1FBC" w:rsidRDefault="003A1FBC" w:rsidP="006F75B7">
      <w:pPr>
        <w:pStyle w:val="ListParagraph"/>
        <w:numPr>
          <w:ilvl w:val="0"/>
          <w:numId w:val="3"/>
        </w:numPr>
        <w:ind w:left="1080"/>
        <w:jc w:val="both"/>
      </w:pPr>
      <w:r>
        <w:t xml:space="preserve"> User instructions on how to perform subsequent CIS and GIS data-load jobs of the corrected data, so that SCE can re-run the analytics against the same historic data sets.</w:t>
      </w:r>
    </w:p>
    <w:p w14:paraId="73D4C393" w14:textId="169F5630" w:rsidR="00AE0275" w:rsidRDefault="00AE0275" w:rsidP="00076BE7">
      <w:pPr>
        <w:ind w:left="360"/>
        <w:jc w:val="both"/>
      </w:pPr>
      <w:r>
        <w:t xml:space="preserve">For this project </w:t>
      </w:r>
      <w:r w:rsidRPr="00076BE7">
        <w:rPr>
          <w:b/>
        </w:rPr>
        <w:t>SCE will provide the following deliverables</w:t>
      </w:r>
      <w:r w:rsidRPr="00076BE7">
        <w:t>:</w:t>
      </w:r>
    </w:p>
    <w:p w14:paraId="09CF614F" w14:textId="1BCB4B84" w:rsidR="00AE0275" w:rsidRDefault="00AE0275" w:rsidP="00076BE7">
      <w:pPr>
        <w:pStyle w:val="ListParagraph"/>
        <w:numPr>
          <w:ilvl w:val="0"/>
          <w:numId w:val="8"/>
        </w:numPr>
        <w:ind w:left="1080"/>
        <w:jc w:val="both"/>
      </w:pPr>
      <w:r>
        <w:t xml:space="preserve">Complete set of </w:t>
      </w:r>
      <w:r w:rsidR="000773B7">
        <w:t xml:space="preserve">the required and </w:t>
      </w:r>
      <w:r w:rsidR="00EC6CBB">
        <w:t xml:space="preserve">any elected </w:t>
      </w:r>
      <w:r w:rsidR="000773B7">
        <w:t xml:space="preserve">optional ETL data files, </w:t>
      </w:r>
      <w:r>
        <w:t>populated</w:t>
      </w:r>
      <w:r w:rsidR="000773B7">
        <w:t xml:space="preserve">, and </w:t>
      </w:r>
      <w:r>
        <w:t>complying with all aspects of file format, column headers, data types and foreign-key relationships across data files.</w:t>
      </w:r>
    </w:p>
    <w:p w14:paraId="3B2DE196" w14:textId="7D003A7D" w:rsidR="0096702F" w:rsidRDefault="003D680F" w:rsidP="00076BE7">
      <w:pPr>
        <w:pStyle w:val="ListParagraph"/>
        <w:numPr>
          <w:ilvl w:val="0"/>
          <w:numId w:val="8"/>
        </w:numPr>
        <w:ind w:left="1080"/>
        <w:jc w:val="both"/>
      </w:pPr>
      <w:r>
        <w:t xml:space="preserve">Each individual </w:t>
      </w:r>
      <w:r w:rsidR="00032DF2">
        <w:t xml:space="preserve">populated </w:t>
      </w:r>
      <w:r>
        <w:t xml:space="preserve">ETL data file will be provided to </w:t>
      </w:r>
      <w:r w:rsidR="001612D0">
        <w:t xml:space="preserve">a secure </w:t>
      </w:r>
      <w:r>
        <w:t>GE</w:t>
      </w:r>
      <w:r w:rsidR="001612D0">
        <w:t xml:space="preserve"> Box Folder</w:t>
      </w:r>
      <w:r>
        <w:t xml:space="preserve"> at the schedule shown</w:t>
      </w:r>
      <w:r w:rsidR="00233AF5">
        <w:t xml:space="preserve"> below:</w:t>
      </w:r>
    </w:p>
    <w:p w14:paraId="18527EB7" w14:textId="7FF83FF1" w:rsidR="00233AF5" w:rsidRDefault="00233AF5" w:rsidP="00076BE7">
      <w:pPr>
        <w:pStyle w:val="ListParagraph"/>
        <w:numPr>
          <w:ilvl w:val="0"/>
          <w:numId w:val="9"/>
        </w:numPr>
        <w:ind w:left="1800"/>
        <w:jc w:val="both"/>
      </w:pPr>
      <w:r>
        <w:t>W4 – GIS-Network</w:t>
      </w:r>
      <w:r w:rsidR="00CB5583">
        <w:t xml:space="preserve"> and EAM</w:t>
      </w:r>
    </w:p>
    <w:p w14:paraId="2CD7EA19" w14:textId="1316E3F3" w:rsidR="00A56024" w:rsidRDefault="00A56024" w:rsidP="00076BE7">
      <w:pPr>
        <w:pStyle w:val="ListParagraph"/>
        <w:numPr>
          <w:ilvl w:val="0"/>
          <w:numId w:val="9"/>
        </w:numPr>
        <w:ind w:left="1800"/>
        <w:jc w:val="both"/>
      </w:pPr>
      <w:r>
        <w:t>W7 – CIS</w:t>
      </w:r>
    </w:p>
    <w:p w14:paraId="4DF3B8AA" w14:textId="276CF78C" w:rsidR="00A56024" w:rsidRDefault="00A56024" w:rsidP="00076BE7">
      <w:pPr>
        <w:pStyle w:val="ListParagraph"/>
        <w:numPr>
          <w:ilvl w:val="0"/>
          <w:numId w:val="9"/>
        </w:numPr>
        <w:ind w:left="1800"/>
        <w:jc w:val="both"/>
      </w:pPr>
      <w:r>
        <w:t>W10 – OMS</w:t>
      </w:r>
    </w:p>
    <w:p w14:paraId="0F924706" w14:textId="6E616A2D" w:rsidR="00A56024" w:rsidRDefault="00A56024" w:rsidP="00076BE7">
      <w:pPr>
        <w:pStyle w:val="ListParagraph"/>
        <w:numPr>
          <w:ilvl w:val="0"/>
          <w:numId w:val="9"/>
        </w:numPr>
        <w:ind w:left="1800"/>
        <w:jc w:val="both"/>
      </w:pPr>
      <w:r>
        <w:t>W13 – AMI-Events</w:t>
      </w:r>
    </w:p>
    <w:p w14:paraId="2A331FBC" w14:textId="63FC119B" w:rsidR="00A56024" w:rsidRDefault="00A56024" w:rsidP="00076BE7">
      <w:pPr>
        <w:pStyle w:val="ListParagraph"/>
        <w:numPr>
          <w:ilvl w:val="0"/>
          <w:numId w:val="9"/>
        </w:numPr>
        <w:ind w:left="1800"/>
        <w:jc w:val="both"/>
      </w:pPr>
      <w:r>
        <w:t>W16 – AMI-Voltage</w:t>
      </w:r>
    </w:p>
    <w:p w14:paraId="52956A0F" w14:textId="77777777" w:rsidR="00555DB7" w:rsidRDefault="00A56024" w:rsidP="00076BE7">
      <w:pPr>
        <w:pStyle w:val="ListParagraph"/>
        <w:numPr>
          <w:ilvl w:val="0"/>
          <w:numId w:val="9"/>
        </w:numPr>
        <w:ind w:left="1800"/>
        <w:jc w:val="both"/>
      </w:pPr>
      <w:r>
        <w:t>W19 – AMI-Consumption</w:t>
      </w:r>
    </w:p>
    <w:p w14:paraId="583C6603" w14:textId="333A4FC7" w:rsidR="00A56024" w:rsidRDefault="00555DB7" w:rsidP="00076BE7">
      <w:pPr>
        <w:pStyle w:val="ListParagraph"/>
        <w:numPr>
          <w:ilvl w:val="0"/>
          <w:numId w:val="9"/>
        </w:numPr>
        <w:ind w:left="1800"/>
        <w:jc w:val="both"/>
      </w:pPr>
      <w:r>
        <w:t>W22 – GIS-Landbase</w:t>
      </w:r>
      <w:r w:rsidR="00A56024">
        <w:t xml:space="preserve"> </w:t>
      </w:r>
    </w:p>
    <w:p w14:paraId="139B26BE" w14:textId="586AC06C" w:rsidR="00AB09C6" w:rsidRDefault="00AB09C6" w:rsidP="00503C18">
      <w:pPr>
        <w:pStyle w:val="Heading1"/>
        <w:jc w:val="both"/>
      </w:pPr>
      <w:r>
        <w:t>H/W Requirements</w:t>
      </w:r>
    </w:p>
    <w:p w14:paraId="4229FD59" w14:textId="4FC5C927" w:rsidR="00AB09C6" w:rsidRDefault="00AB09C6" w:rsidP="00BB7B1F">
      <w:pPr>
        <w:ind w:left="720"/>
        <w:jc w:val="both"/>
      </w:pPr>
      <w:r>
        <w:t>SCE to provide the below needed hardware for this pilot</w:t>
      </w:r>
      <w:r w:rsidR="00D662CE">
        <w:t>:</w:t>
      </w:r>
    </w:p>
    <w:tbl>
      <w:tblPr>
        <w:tblStyle w:val="TableGrid"/>
        <w:tblW w:w="0" w:type="auto"/>
        <w:tblInd w:w="720" w:type="dxa"/>
        <w:tblLook w:val="04A0" w:firstRow="1" w:lastRow="0" w:firstColumn="1" w:lastColumn="0" w:noHBand="0" w:noVBand="1"/>
      </w:tblPr>
      <w:tblGrid>
        <w:gridCol w:w="2965"/>
        <w:gridCol w:w="5665"/>
      </w:tblGrid>
      <w:tr w:rsidR="00232BFD" w14:paraId="2C301BE6" w14:textId="77777777" w:rsidTr="000A4318">
        <w:tc>
          <w:tcPr>
            <w:tcW w:w="2965" w:type="dxa"/>
          </w:tcPr>
          <w:p w14:paraId="7020D43D" w14:textId="77777777" w:rsidR="00232BFD" w:rsidRPr="000A4318" w:rsidRDefault="00232BFD" w:rsidP="000A4318">
            <w:pPr>
              <w:jc w:val="both"/>
            </w:pPr>
            <w:r w:rsidRPr="000A4318">
              <w:t>VM’s</w:t>
            </w:r>
          </w:p>
        </w:tc>
        <w:tc>
          <w:tcPr>
            <w:tcW w:w="5665" w:type="dxa"/>
          </w:tcPr>
          <w:p w14:paraId="367B1DB9" w14:textId="77777777" w:rsidR="00232BFD" w:rsidRPr="000A4318" w:rsidRDefault="00232BFD" w:rsidP="000A4318">
            <w:pPr>
              <w:jc w:val="both"/>
            </w:pPr>
            <w:r w:rsidRPr="000A4318">
              <w:t>12</w:t>
            </w:r>
          </w:p>
        </w:tc>
      </w:tr>
      <w:tr w:rsidR="00232BFD" w14:paraId="7052876D" w14:textId="77777777" w:rsidTr="000A4318">
        <w:tc>
          <w:tcPr>
            <w:tcW w:w="2965" w:type="dxa"/>
          </w:tcPr>
          <w:p w14:paraId="4CAB0A4A" w14:textId="5713EB56" w:rsidR="00232BFD" w:rsidRPr="000A4318" w:rsidRDefault="00232BFD" w:rsidP="000A4318">
            <w:pPr>
              <w:jc w:val="both"/>
            </w:pPr>
            <w:r>
              <w:t xml:space="preserve">Total vCPU </w:t>
            </w:r>
          </w:p>
        </w:tc>
        <w:tc>
          <w:tcPr>
            <w:tcW w:w="5665" w:type="dxa"/>
          </w:tcPr>
          <w:p w14:paraId="58B69A83" w14:textId="77777777" w:rsidR="00232BFD" w:rsidRPr="000A4318" w:rsidRDefault="00232BFD" w:rsidP="000A4318">
            <w:pPr>
              <w:jc w:val="both"/>
            </w:pPr>
            <w:r w:rsidRPr="000A4318">
              <w:t>136</w:t>
            </w:r>
          </w:p>
        </w:tc>
      </w:tr>
      <w:tr w:rsidR="00232BFD" w14:paraId="3F64E4FB" w14:textId="77777777" w:rsidTr="000A4318">
        <w:tc>
          <w:tcPr>
            <w:tcW w:w="2965" w:type="dxa"/>
          </w:tcPr>
          <w:p w14:paraId="292259C2" w14:textId="371325D8" w:rsidR="00232BFD" w:rsidRPr="000A4318" w:rsidRDefault="00232BFD" w:rsidP="000A4318">
            <w:pPr>
              <w:jc w:val="both"/>
            </w:pPr>
            <w:r w:rsidRPr="00BF2B16">
              <w:t>Total Memory (GB</w:t>
            </w:r>
            <w:r>
              <w:t>)</w:t>
            </w:r>
          </w:p>
        </w:tc>
        <w:tc>
          <w:tcPr>
            <w:tcW w:w="5665" w:type="dxa"/>
          </w:tcPr>
          <w:p w14:paraId="25DA3661" w14:textId="77777777" w:rsidR="00232BFD" w:rsidRPr="000A4318" w:rsidRDefault="00232BFD" w:rsidP="000A4318">
            <w:pPr>
              <w:jc w:val="both"/>
            </w:pPr>
            <w:r w:rsidRPr="000A4318">
              <w:t>1024</w:t>
            </w:r>
          </w:p>
        </w:tc>
      </w:tr>
      <w:tr w:rsidR="00232BFD" w14:paraId="7AB064F3" w14:textId="77777777" w:rsidTr="000A4318">
        <w:tc>
          <w:tcPr>
            <w:tcW w:w="2965" w:type="dxa"/>
          </w:tcPr>
          <w:p w14:paraId="1CB13E70" w14:textId="77777777" w:rsidR="00232BFD" w:rsidRDefault="00232BFD" w:rsidP="000A4318">
            <w:pPr>
              <w:jc w:val="both"/>
              <w:rPr>
                <w:highlight w:val="yellow"/>
              </w:rPr>
            </w:pPr>
            <w:r w:rsidRPr="00BF2B16">
              <w:t>Total Storage (TB)</w:t>
            </w:r>
          </w:p>
        </w:tc>
        <w:tc>
          <w:tcPr>
            <w:tcW w:w="5665" w:type="dxa"/>
          </w:tcPr>
          <w:p w14:paraId="56B50C94" w14:textId="77777777" w:rsidR="00232BFD" w:rsidRPr="000A4318" w:rsidRDefault="00232BFD" w:rsidP="000A4318">
            <w:pPr>
              <w:jc w:val="both"/>
            </w:pPr>
            <w:r w:rsidRPr="000A4318">
              <w:t>77</w:t>
            </w:r>
          </w:p>
        </w:tc>
      </w:tr>
    </w:tbl>
    <w:p w14:paraId="0AAE7339" w14:textId="77777777" w:rsidR="00AB09C6" w:rsidRDefault="00AB09C6" w:rsidP="00503C18">
      <w:pPr>
        <w:jc w:val="both"/>
      </w:pPr>
    </w:p>
    <w:p w14:paraId="618707CE" w14:textId="77777777" w:rsidR="00B8615E" w:rsidRDefault="00B8615E" w:rsidP="00503C18">
      <w:pPr>
        <w:pStyle w:val="Heading1"/>
        <w:jc w:val="both"/>
      </w:pPr>
      <w:r>
        <w:t>Timelines</w:t>
      </w:r>
    </w:p>
    <w:p w14:paraId="14434939" w14:textId="77777777" w:rsidR="00BB0129" w:rsidRPr="00BB0129" w:rsidRDefault="00BB0129" w:rsidP="00BB0129">
      <w:pPr>
        <w:ind w:left="720"/>
        <w:jc w:val="both"/>
      </w:pPr>
      <w:r>
        <w:t>Below is proposed timeline. Actual schedule of milestones will be provided at the project kickoff.</w:t>
      </w:r>
    </w:p>
    <w:tbl>
      <w:tblPr>
        <w:tblStyle w:val="TableGrid"/>
        <w:tblW w:w="0" w:type="auto"/>
        <w:tblInd w:w="720" w:type="dxa"/>
        <w:tblLook w:val="04A0" w:firstRow="1" w:lastRow="0" w:firstColumn="1" w:lastColumn="0" w:noHBand="0" w:noVBand="1"/>
      </w:tblPr>
      <w:tblGrid>
        <w:gridCol w:w="805"/>
        <w:gridCol w:w="5698"/>
        <w:gridCol w:w="2127"/>
      </w:tblGrid>
      <w:tr w:rsidR="001F7078" w14:paraId="2002E510" w14:textId="77777777" w:rsidTr="001F7078">
        <w:tc>
          <w:tcPr>
            <w:tcW w:w="805" w:type="dxa"/>
            <w:shd w:val="clear" w:color="auto" w:fill="E7E6E6" w:themeFill="background2"/>
          </w:tcPr>
          <w:p w14:paraId="298363D7" w14:textId="69D817F1" w:rsidR="001F7078" w:rsidRPr="00CD79B4" w:rsidRDefault="001F7078" w:rsidP="00CD79B4">
            <w:pPr>
              <w:jc w:val="center"/>
              <w:rPr>
                <w:b/>
              </w:rPr>
            </w:pPr>
            <w:r>
              <w:rPr>
                <w:b/>
              </w:rPr>
              <w:t>Id</w:t>
            </w:r>
          </w:p>
        </w:tc>
        <w:tc>
          <w:tcPr>
            <w:tcW w:w="5698" w:type="dxa"/>
            <w:shd w:val="clear" w:color="auto" w:fill="E7E6E6" w:themeFill="background2"/>
          </w:tcPr>
          <w:p w14:paraId="745CCBF2" w14:textId="77EF119B" w:rsidR="001F7078" w:rsidRPr="00CD79B4" w:rsidRDefault="001F7078" w:rsidP="00CD79B4">
            <w:pPr>
              <w:jc w:val="center"/>
              <w:rPr>
                <w:b/>
              </w:rPr>
            </w:pPr>
            <w:r w:rsidRPr="00CD79B4">
              <w:rPr>
                <w:b/>
              </w:rPr>
              <w:t>Tasks</w:t>
            </w:r>
          </w:p>
        </w:tc>
        <w:tc>
          <w:tcPr>
            <w:tcW w:w="2127" w:type="dxa"/>
            <w:shd w:val="clear" w:color="auto" w:fill="E7E6E6" w:themeFill="background2"/>
          </w:tcPr>
          <w:p w14:paraId="2709049E" w14:textId="77777777" w:rsidR="001F7078" w:rsidRPr="00CD79B4" w:rsidRDefault="001F7078" w:rsidP="00CD79B4">
            <w:pPr>
              <w:jc w:val="center"/>
              <w:rPr>
                <w:b/>
              </w:rPr>
            </w:pPr>
            <w:r w:rsidRPr="00CD79B4">
              <w:rPr>
                <w:b/>
              </w:rPr>
              <w:t>Relative Calendar Week</w:t>
            </w:r>
          </w:p>
        </w:tc>
      </w:tr>
      <w:tr w:rsidR="001F7078" w14:paraId="698E0FC5" w14:textId="77777777" w:rsidTr="001F7078">
        <w:tc>
          <w:tcPr>
            <w:tcW w:w="805" w:type="dxa"/>
          </w:tcPr>
          <w:p w14:paraId="1FB504D5" w14:textId="221B71C9" w:rsidR="001F7078" w:rsidRPr="0060541A" w:rsidRDefault="001F7078" w:rsidP="0060541A">
            <w:pPr>
              <w:tabs>
                <w:tab w:val="left" w:pos="1170"/>
              </w:tabs>
              <w:jc w:val="both"/>
            </w:pPr>
            <w:r>
              <w:t>1</w:t>
            </w:r>
          </w:p>
        </w:tc>
        <w:tc>
          <w:tcPr>
            <w:tcW w:w="5698" w:type="dxa"/>
          </w:tcPr>
          <w:p w14:paraId="2A1A4B1D" w14:textId="309A04C0" w:rsidR="001F7078" w:rsidRDefault="001F7078" w:rsidP="0060541A">
            <w:pPr>
              <w:tabs>
                <w:tab w:val="left" w:pos="1170"/>
              </w:tabs>
              <w:jc w:val="both"/>
            </w:pPr>
            <w:r w:rsidRPr="0060541A">
              <w:t>Project Kickoff</w:t>
            </w:r>
          </w:p>
        </w:tc>
        <w:tc>
          <w:tcPr>
            <w:tcW w:w="2127" w:type="dxa"/>
          </w:tcPr>
          <w:p w14:paraId="4DC06922" w14:textId="77777777" w:rsidR="001F7078" w:rsidRDefault="001F7078" w:rsidP="00BB0129">
            <w:pPr>
              <w:jc w:val="both"/>
            </w:pPr>
            <w:r w:rsidRPr="00CD79B4">
              <w:t>W</w:t>
            </w:r>
            <w:r>
              <w:t>1</w:t>
            </w:r>
            <w:r w:rsidRPr="00CD79B4">
              <w:t>-W2</w:t>
            </w:r>
          </w:p>
        </w:tc>
      </w:tr>
      <w:tr w:rsidR="001F7078" w14:paraId="0AF1F37D" w14:textId="77777777" w:rsidTr="001F7078">
        <w:tc>
          <w:tcPr>
            <w:tcW w:w="805" w:type="dxa"/>
          </w:tcPr>
          <w:p w14:paraId="1EF0ECF9" w14:textId="11E901D1" w:rsidR="001F7078" w:rsidRDefault="001F7078" w:rsidP="00BB0129">
            <w:pPr>
              <w:jc w:val="both"/>
            </w:pPr>
            <w:r>
              <w:t>2</w:t>
            </w:r>
          </w:p>
        </w:tc>
        <w:tc>
          <w:tcPr>
            <w:tcW w:w="5698" w:type="dxa"/>
          </w:tcPr>
          <w:p w14:paraId="09FFF148" w14:textId="55C80FC4" w:rsidR="001F7078" w:rsidRDefault="00182E23" w:rsidP="00BB0129">
            <w:pPr>
              <w:jc w:val="both"/>
            </w:pPr>
            <w:r>
              <w:t xml:space="preserve">Data </w:t>
            </w:r>
            <w:r w:rsidR="001F7078">
              <w:t>Requirements</w:t>
            </w:r>
            <w:r w:rsidR="001F7078" w:rsidRPr="0060541A">
              <w:t xml:space="preserve"> Workout</w:t>
            </w:r>
          </w:p>
        </w:tc>
        <w:tc>
          <w:tcPr>
            <w:tcW w:w="2127" w:type="dxa"/>
          </w:tcPr>
          <w:p w14:paraId="3AD7FC2C" w14:textId="77777777" w:rsidR="001F7078" w:rsidRDefault="001F7078" w:rsidP="00BB0129">
            <w:pPr>
              <w:jc w:val="both"/>
            </w:pPr>
            <w:r w:rsidRPr="00CD79B4">
              <w:t>W3-W4</w:t>
            </w:r>
          </w:p>
        </w:tc>
      </w:tr>
      <w:tr w:rsidR="001F7078" w14:paraId="6CF9CCD0" w14:textId="77777777" w:rsidTr="001F7078">
        <w:tc>
          <w:tcPr>
            <w:tcW w:w="805" w:type="dxa"/>
          </w:tcPr>
          <w:p w14:paraId="2AA55249" w14:textId="32F76194" w:rsidR="001F7078" w:rsidRDefault="001F7078" w:rsidP="00BB0129">
            <w:pPr>
              <w:jc w:val="both"/>
            </w:pPr>
            <w:r>
              <w:t>3</w:t>
            </w:r>
          </w:p>
        </w:tc>
        <w:tc>
          <w:tcPr>
            <w:tcW w:w="5698" w:type="dxa"/>
          </w:tcPr>
          <w:p w14:paraId="7F16AB2B" w14:textId="1BBFDD9B" w:rsidR="001F7078" w:rsidRDefault="001F7078" w:rsidP="00BB0129">
            <w:pPr>
              <w:jc w:val="both"/>
            </w:pPr>
            <w:r>
              <w:t xml:space="preserve">Project Plans, </w:t>
            </w:r>
            <w:r w:rsidRPr="0060541A">
              <w:t>Design Document</w:t>
            </w:r>
            <w:r>
              <w:t>s</w:t>
            </w:r>
          </w:p>
        </w:tc>
        <w:tc>
          <w:tcPr>
            <w:tcW w:w="2127" w:type="dxa"/>
          </w:tcPr>
          <w:p w14:paraId="23B189A2" w14:textId="77777777" w:rsidR="001F7078" w:rsidRDefault="001F7078" w:rsidP="00BB0129">
            <w:pPr>
              <w:jc w:val="both"/>
            </w:pPr>
            <w:r w:rsidRPr="00CD79B4">
              <w:t>W5-W8</w:t>
            </w:r>
          </w:p>
        </w:tc>
      </w:tr>
      <w:tr w:rsidR="001F7078" w14:paraId="0871BC7C" w14:textId="77777777" w:rsidTr="001F7078">
        <w:tc>
          <w:tcPr>
            <w:tcW w:w="805" w:type="dxa"/>
          </w:tcPr>
          <w:p w14:paraId="2EE7C391" w14:textId="57673C83" w:rsidR="001F7078" w:rsidRPr="0060541A" w:rsidRDefault="001F7078" w:rsidP="00BB0129">
            <w:pPr>
              <w:jc w:val="both"/>
            </w:pPr>
            <w:r>
              <w:t>4</w:t>
            </w:r>
          </w:p>
        </w:tc>
        <w:tc>
          <w:tcPr>
            <w:tcW w:w="5698" w:type="dxa"/>
          </w:tcPr>
          <w:p w14:paraId="463333E9" w14:textId="23527F3B" w:rsidR="001F7078" w:rsidRDefault="001F7078" w:rsidP="00BB0129">
            <w:pPr>
              <w:jc w:val="both"/>
            </w:pPr>
            <w:r w:rsidRPr="0060541A">
              <w:t>Development/Decoupling</w:t>
            </w:r>
            <w:r>
              <w:t xml:space="preserve"> NC from Grid Director</w:t>
            </w:r>
          </w:p>
        </w:tc>
        <w:tc>
          <w:tcPr>
            <w:tcW w:w="2127" w:type="dxa"/>
          </w:tcPr>
          <w:p w14:paraId="355B3E4C" w14:textId="77777777" w:rsidR="001F7078" w:rsidRDefault="001F7078" w:rsidP="00BB0129">
            <w:pPr>
              <w:jc w:val="both"/>
            </w:pPr>
            <w:r w:rsidRPr="00CD79B4">
              <w:t>W9-W20</w:t>
            </w:r>
          </w:p>
        </w:tc>
      </w:tr>
      <w:tr w:rsidR="001F7078" w14:paraId="2A27C1FE" w14:textId="77777777" w:rsidTr="001F7078">
        <w:tc>
          <w:tcPr>
            <w:tcW w:w="805" w:type="dxa"/>
          </w:tcPr>
          <w:p w14:paraId="0075A839" w14:textId="2E894DF3" w:rsidR="001F7078" w:rsidRPr="0060541A" w:rsidRDefault="001F7078" w:rsidP="00BB0129">
            <w:pPr>
              <w:jc w:val="both"/>
            </w:pPr>
            <w:r>
              <w:t>5</w:t>
            </w:r>
          </w:p>
        </w:tc>
        <w:tc>
          <w:tcPr>
            <w:tcW w:w="5698" w:type="dxa"/>
          </w:tcPr>
          <w:p w14:paraId="0E58907B" w14:textId="7DD0BED8" w:rsidR="001F7078" w:rsidRDefault="001F7078" w:rsidP="00BB0129">
            <w:pPr>
              <w:jc w:val="both"/>
            </w:pPr>
            <w:r w:rsidRPr="0060541A">
              <w:t xml:space="preserve">Data </w:t>
            </w:r>
            <w:r w:rsidR="00EE093A">
              <w:t>Review</w:t>
            </w:r>
            <w:r w:rsidR="00905251">
              <w:t>/Accept</w:t>
            </w:r>
            <w:r w:rsidR="00EE093A">
              <w:t xml:space="preserve"> </w:t>
            </w:r>
            <w:r w:rsidRPr="0060541A">
              <w:t>Workout</w:t>
            </w:r>
          </w:p>
        </w:tc>
        <w:tc>
          <w:tcPr>
            <w:tcW w:w="2127" w:type="dxa"/>
          </w:tcPr>
          <w:p w14:paraId="76AB7155" w14:textId="77777777" w:rsidR="001F7078" w:rsidRDefault="001F7078" w:rsidP="00BB0129">
            <w:pPr>
              <w:jc w:val="both"/>
            </w:pPr>
            <w:r w:rsidRPr="00CD79B4">
              <w:t>W21-W22</w:t>
            </w:r>
          </w:p>
        </w:tc>
      </w:tr>
      <w:tr w:rsidR="001F7078" w14:paraId="54382A00" w14:textId="77777777" w:rsidTr="001F7078">
        <w:tc>
          <w:tcPr>
            <w:tcW w:w="805" w:type="dxa"/>
          </w:tcPr>
          <w:p w14:paraId="27A52A90" w14:textId="64802D61" w:rsidR="001F7078" w:rsidRPr="0060541A" w:rsidRDefault="001F7078" w:rsidP="00BB0129">
            <w:pPr>
              <w:jc w:val="both"/>
            </w:pPr>
            <w:r>
              <w:t>6</w:t>
            </w:r>
          </w:p>
        </w:tc>
        <w:tc>
          <w:tcPr>
            <w:tcW w:w="5698" w:type="dxa"/>
          </w:tcPr>
          <w:p w14:paraId="5249E758" w14:textId="4C3658FB" w:rsidR="001F7078" w:rsidRDefault="00EC3771" w:rsidP="00BB0129">
            <w:pPr>
              <w:jc w:val="both"/>
            </w:pPr>
            <w:r>
              <w:t>Deployment at SCE</w:t>
            </w:r>
          </w:p>
        </w:tc>
        <w:tc>
          <w:tcPr>
            <w:tcW w:w="2127" w:type="dxa"/>
          </w:tcPr>
          <w:p w14:paraId="783CEC0A" w14:textId="1A4AECDA" w:rsidR="001F7078" w:rsidRDefault="0004517B" w:rsidP="00BB0129">
            <w:pPr>
              <w:jc w:val="both"/>
            </w:pPr>
            <w:r w:rsidRPr="00CD79B4">
              <w:t>W2</w:t>
            </w:r>
            <w:r w:rsidR="00EC3771">
              <w:t>3</w:t>
            </w:r>
            <w:r w:rsidR="001F7078" w:rsidRPr="00CD79B4">
              <w:t>-W</w:t>
            </w:r>
            <w:r w:rsidR="00CB7F11">
              <w:t>2</w:t>
            </w:r>
            <w:r w:rsidR="00EC3771">
              <w:t>6</w:t>
            </w:r>
            <w:r w:rsidR="001F7078" w:rsidRPr="00CD79B4">
              <w:tab/>
            </w:r>
          </w:p>
        </w:tc>
      </w:tr>
      <w:tr w:rsidR="00EC3771" w14:paraId="3092185C" w14:textId="77777777" w:rsidTr="001F7078">
        <w:tc>
          <w:tcPr>
            <w:tcW w:w="805" w:type="dxa"/>
          </w:tcPr>
          <w:p w14:paraId="26012481" w14:textId="6FBD4168" w:rsidR="00EC3771" w:rsidRDefault="00EC3771" w:rsidP="00BB0129">
            <w:pPr>
              <w:jc w:val="both"/>
            </w:pPr>
            <w:r>
              <w:t>7</w:t>
            </w:r>
          </w:p>
        </w:tc>
        <w:tc>
          <w:tcPr>
            <w:tcW w:w="5698" w:type="dxa"/>
          </w:tcPr>
          <w:p w14:paraId="14E23FDC" w14:textId="77366514" w:rsidR="00EC3771" w:rsidRPr="0060541A" w:rsidDel="00CB7F11" w:rsidRDefault="00EC3771" w:rsidP="00BB0129">
            <w:pPr>
              <w:jc w:val="both"/>
            </w:pPr>
            <w:r>
              <w:t xml:space="preserve">Analytic Configuration </w:t>
            </w:r>
          </w:p>
        </w:tc>
        <w:tc>
          <w:tcPr>
            <w:tcW w:w="2127" w:type="dxa"/>
          </w:tcPr>
          <w:p w14:paraId="46B889FA" w14:textId="0DEB03F2" w:rsidR="00EC3771" w:rsidRPr="00CD79B4" w:rsidDel="0004517B" w:rsidRDefault="00EC3771" w:rsidP="00BB0129">
            <w:pPr>
              <w:jc w:val="both"/>
            </w:pPr>
            <w:r>
              <w:t>W26-W28</w:t>
            </w:r>
          </w:p>
        </w:tc>
      </w:tr>
      <w:tr w:rsidR="001F7078" w14:paraId="20BB706A" w14:textId="77777777" w:rsidTr="001F7078">
        <w:tc>
          <w:tcPr>
            <w:tcW w:w="805" w:type="dxa"/>
          </w:tcPr>
          <w:p w14:paraId="77F20CD9" w14:textId="0F46C82C" w:rsidR="001F7078" w:rsidRPr="0060541A" w:rsidRDefault="005F0B98" w:rsidP="00BB0129">
            <w:pPr>
              <w:jc w:val="both"/>
            </w:pPr>
            <w:r>
              <w:t>8</w:t>
            </w:r>
          </w:p>
        </w:tc>
        <w:tc>
          <w:tcPr>
            <w:tcW w:w="5698" w:type="dxa"/>
          </w:tcPr>
          <w:p w14:paraId="09B03146" w14:textId="476D1D38" w:rsidR="001F7078" w:rsidRDefault="00EF3FCF" w:rsidP="00BB0129">
            <w:pPr>
              <w:jc w:val="both"/>
            </w:pPr>
            <w:r>
              <w:t xml:space="preserve">Run Analytics and optimize </w:t>
            </w:r>
          </w:p>
        </w:tc>
        <w:tc>
          <w:tcPr>
            <w:tcW w:w="2127" w:type="dxa"/>
          </w:tcPr>
          <w:p w14:paraId="475EF3CA" w14:textId="2979E9C9" w:rsidR="001F7078" w:rsidRDefault="001F7078" w:rsidP="00BB0129">
            <w:pPr>
              <w:jc w:val="both"/>
            </w:pPr>
            <w:r w:rsidRPr="00CD79B4">
              <w:t>W29-</w:t>
            </w:r>
            <w:r w:rsidR="00EF3FCF" w:rsidRPr="00CD79B4">
              <w:t>W</w:t>
            </w:r>
            <w:r w:rsidR="00EF3FCF">
              <w:t>36</w:t>
            </w:r>
          </w:p>
        </w:tc>
      </w:tr>
      <w:tr w:rsidR="001F7078" w14:paraId="1CB3F5DA" w14:textId="77777777" w:rsidTr="001F7078">
        <w:tc>
          <w:tcPr>
            <w:tcW w:w="805" w:type="dxa"/>
          </w:tcPr>
          <w:p w14:paraId="3FD19625" w14:textId="5EDD8A34" w:rsidR="001F7078" w:rsidRPr="0060541A" w:rsidRDefault="005F0F4B" w:rsidP="00BB0129">
            <w:pPr>
              <w:jc w:val="both"/>
            </w:pPr>
            <w:r>
              <w:t>9</w:t>
            </w:r>
          </w:p>
        </w:tc>
        <w:tc>
          <w:tcPr>
            <w:tcW w:w="5698" w:type="dxa"/>
          </w:tcPr>
          <w:p w14:paraId="29EE02FC" w14:textId="3D99AF66" w:rsidR="001F7078" w:rsidRPr="0060541A" w:rsidRDefault="001F7078" w:rsidP="00BB0129">
            <w:pPr>
              <w:jc w:val="both"/>
            </w:pPr>
            <w:r w:rsidRPr="0060541A">
              <w:t>Handover</w:t>
            </w:r>
            <w:r>
              <w:t xml:space="preserve"> Analytic results </w:t>
            </w:r>
            <w:r w:rsidR="00D8314A">
              <w:t xml:space="preserve">and user instructions </w:t>
            </w:r>
            <w:r>
              <w:t xml:space="preserve">to SCE </w:t>
            </w:r>
          </w:p>
        </w:tc>
        <w:tc>
          <w:tcPr>
            <w:tcW w:w="2127" w:type="dxa"/>
          </w:tcPr>
          <w:p w14:paraId="2AF539B7" w14:textId="0770D923" w:rsidR="001F7078" w:rsidRDefault="000D025D" w:rsidP="00BB0129">
            <w:pPr>
              <w:jc w:val="both"/>
            </w:pPr>
            <w:r w:rsidRPr="00CD79B4">
              <w:t>W</w:t>
            </w:r>
            <w:r>
              <w:t>37</w:t>
            </w:r>
            <w:r w:rsidR="001F7078" w:rsidRPr="00CD79B4">
              <w:t>-</w:t>
            </w:r>
            <w:r w:rsidRPr="00CD79B4">
              <w:t>W</w:t>
            </w:r>
            <w:r>
              <w:t>38</w:t>
            </w:r>
          </w:p>
        </w:tc>
      </w:tr>
    </w:tbl>
    <w:p w14:paraId="3EEB73E7" w14:textId="77777777" w:rsidR="000A2FA4" w:rsidRDefault="000A2FA4" w:rsidP="00BB0129">
      <w:pPr>
        <w:ind w:left="720"/>
        <w:jc w:val="both"/>
      </w:pPr>
    </w:p>
    <w:p w14:paraId="69CA383C" w14:textId="77777777" w:rsidR="000A2FA4" w:rsidRDefault="000A2FA4" w:rsidP="00503C18">
      <w:pPr>
        <w:pStyle w:val="Heading1"/>
        <w:jc w:val="both"/>
      </w:pPr>
      <w:r>
        <w:t>Assumptions</w:t>
      </w:r>
    </w:p>
    <w:p w14:paraId="4F62C35C" w14:textId="77777777" w:rsidR="0047290E" w:rsidRDefault="004D0BEA" w:rsidP="00F53818">
      <w:pPr>
        <w:pStyle w:val="ListParagraph"/>
        <w:numPr>
          <w:ilvl w:val="0"/>
          <w:numId w:val="4"/>
        </w:numPr>
        <w:jc w:val="both"/>
      </w:pPr>
      <w:r>
        <w:t xml:space="preserve">GE Delivery Engineers will have access to the SCE </w:t>
      </w:r>
      <w:r w:rsidR="0047290E">
        <w:t xml:space="preserve">IT </w:t>
      </w:r>
      <w:r>
        <w:t>infrastructure</w:t>
      </w:r>
      <w:r w:rsidR="0047290E">
        <w:t xml:space="preserve"> such that the data fabric and analytic code can be deployed.</w:t>
      </w:r>
    </w:p>
    <w:p w14:paraId="59C7E5F0" w14:textId="0DE5909C" w:rsidR="004D0BEA" w:rsidRDefault="0047290E" w:rsidP="00F53818">
      <w:pPr>
        <w:pStyle w:val="ListParagraph"/>
        <w:numPr>
          <w:ilvl w:val="0"/>
          <w:numId w:val="4"/>
        </w:numPr>
        <w:jc w:val="both"/>
      </w:pPr>
      <w:r>
        <w:t>GE Delivery Engineers will be granted access to the deployed system, and the ETL data files, so that they can be ingested into the data fabric, and so that the analytic can be configured and executed.</w:t>
      </w:r>
      <w:r w:rsidR="004D0BEA">
        <w:t xml:space="preserve"> </w:t>
      </w:r>
    </w:p>
    <w:p w14:paraId="02CC69F3" w14:textId="5745E0FB" w:rsidR="00F53818" w:rsidRDefault="00F53818" w:rsidP="00F53818">
      <w:pPr>
        <w:pStyle w:val="ListParagraph"/>
        <w:numPr>
          <w:ilvl w:val="0"/>
          <w:numId w:val="4"/>
        </w:numPr>
        <w:jc w:val="both"/>
      </w:pPr>
      <w:r>
        <w:t>For this pilot, data-fabric/historian functionalities will be limited to support Network Connectivity analytics’ analysis and reporting functions and is not intended and/or will not be configured to support any other applications,</w:t>
      </w:r>
      <w:r w:rsidR="00A21ED2">
        <w:t xml:space="preserve"> data ingestion,</w:t>
      </w:r>
      <w:r w:rsidR="003E3086">
        <w:t xml:space="preserve"> analytic development,</w:t>
      </w:r>
      <w:r>
        <w:t xml:space="preserve"> integrations, use-cases or APIs.</w:t>
      </w:r>
    </w:p>
    <w:p w14:paraId="41182FCB" w14:textId="793F0C6B" w:rsidR="00F53818" w:rsidRDefault="00F53818" w:rsidP="00F53818">
      <w:pPr>
        <w:pStyle w:val="ListParagraph"/>
        <w:numPr>
          <w:ilvl w:val="0"/>
          <w:numId w:val="4"/>
        </w:numPr>
        <w:jc w:val="both"/>
      </w:pPr>
      <w:r>
        <w:t xml:space="preserve">GE is currently developing the new user interface of the Network Connectivity Analytic, and so no UI will be used for this project. The new user interface will however be available in the subsequent production release of the Network Connectivity analytic, but for this project the analytic will be configurable and executable in a headless mode a via command line interface.  </w:t>
      </w:r>
    </w:p>
    <w:p w14:paraId="1D820F53" w14:textId="34C67903" w:rsidR="00F53818" w:rsidRDefault="00F53818" w:rsidP="003923D7">
      <w:pPr>
        <w:pStyle w:val="ListParagraph"/>
        <w:numPr>
          <w:ilvl w:val="0"/>
          <w:numId w:val="4"/>
        </w:numPr>
        <w:jc w:val="both"/>
      </w:pPr>
      <w:r>
        <w:t>Data inputs will be loaded only as batch files for this project, in lieu of the future periodic or real-time data ingested through the OSB interface as part of the broader GMS project.</w:t>
      </w:r>
    </w:p>
    <w:p w14:paraId="1B1EC3C0" w14:textId="3BCC05B8" w:rsidR="00087EBC" w:rsidRDefault="000A2FA4" w:rsidP="00FE7755">
      <w:pPr>
        <w:pStyle w:val="ListParagraph"/>
        <w:numPr>
          <w:ilvl w:val="0"/>
          <w:numId w:val="4"/>
        </w:numPr>
        <w:jc w:val="both"/>
      </w:pPr>
      <w:r>
        <w:t xml:space="preserve">This version of </w:t>
      </w:r>
      <w:r w:rsidR="004F1DCB">
        <w:t>analytic</w:t>
      </w:r>
      <w:r>
        <w:t xml:space="preserve"> is pre-production release. While GE will provide all the necessary support and critical fixes necessary for the </w:t>
      </w:r>
      <w:r w:rsidR="003407DC">
        <w:t xml:space="preserve">intended </w:t>
      </w:r>
      <w:r>
        <w:t xml:space="preserve">usage of the </w:t>
      </w:r>
      <w:r w:rsidR="004A4B5B">
        <w:t>application, GE</w:t>
      </w:r>
      <w:r w:rsidR="00087EBC">
        <w:t xml:space="preserve"> is not committing to support this </w:t>
      </w:r>
      <w:r w:rsidR="003407DC">
        <w:t>deployment</w:t>
      </w:r>
      <w:r w:rsidR="00087EBC">
        <w:t xml:space="preserve"> for longer term.</w:t>
      </w:r>
    </w:p>
    <w:p w14:paraId="064867FB" w14:textId="4DEC416C" w:rsidR="00BE777A" w:rsidRDefault="00BE777A" w:rsidP="00503C18">
      <w:pPr>
        <w:pStyle w:val="ListParagraph"/>
        <w:numPr>
          <w:ilvl w:val="0"/>
          <w:numId w:val="4"/>
        </w:numPr>
        <w:jc w:val="both"/>
      </w:pPr>
      <w:r>
        <w:t xml:space="preserve">GE will </w:t>
      </w:r>
      <w:r w:rsidR="00FE7755">
        <w:t xml:space="preserve">perform configuration of the </w:t>
      </w:r>
      <w:r>
        <w:t xml:space="preserve">algorithm </w:t>
      </w:r>
      <w:r w:rsidR="00FE7755">
        <w:t xml:space="preserve">settings </w:t>
      </w:r>
      <w:r>
        <w:t xml:space="preserve">to adjust for SCE </w:t>
      </w:r>
      <w:r w:rsidR="00FE7755">
        <w:t xml:space="preserve">service territory and </w:t>
      </w:r>
      <w:r>
        <w:t xml:space="preserve">data </w:t>
      </w:r>
      <w:r w:rsidR="00E742DA">
        <w:t>sets,</w:t>
      </w:r>
      <w:r>
        <w:t xml:space="preserve"> but GE </w:t>
      </w:r>
      <w:r w:rsidR="00FE7755">
        <w:t xml:space="preserve">will not </w:t>
      </w:r>
      <w:r w:rsidR="00835D8C">
        <w:t>re-design</w:t>
      </w:r>
      <w:r w:rsidR="00FE7755">
        <w:t xml:space="preserve"> the algorith</w:t>
      </w:r>
      <w:r w:rsidR="00835D8C">
        <w:t>mic approaches</w:t>
      </w:r>
      <w:r w:rsidR="00FE7755">
        <w:t xml:space="preserve"> themselves and </w:t>
      </w:r>
      <w:r>
        <w:t xml:space="preserve">provides no guarantees to the quality of analysis results. </w:t>
      </w:r>
    </w:p>
    <w:p w14:paraId="22C9C9BF" w14:textId="1EA45DA0" w:rsidR="00BE777A" w:rsidRDefault="00BE777A" w:rsidP="00503C18">
      <w:pPr>
        <w:pStyle w:val="ListParagraph"/>
        <w:numPr>
          <w:ilvl w:val="0"/>
          <w:numId w:val="4"/>
        </w:numPr>
        <w:jc w:val="both"/>
      </w:pPr>
      <w:r>
        <w:t xml:space="preserve">SCE will be getting </w:t>
      </w:r>
      <w:r w:rsidR="00064C45">
        <w:t xml:space="preserve">the </w:t>
      </w:r>
      <w:r>
        <w:t xml:space="preserve">production release as part of the GMS scope at </w:t>
      </w:r>
      <w:r w:rsidR="00A70699">
        <w:t xml:space="preserve">the </w:t>
      </w:r>
      <w:r>
        <w:t>agreed upon schedule. GE provides no commitment to port the ingested data from the pilot application to the production release</w:t>
      </w:r>
      <w:r w:rsidR="00917446">
        <w:t xml:space="preserve"> version</w:t>
      </w:r>
      <w:r>
        <w:t>.</w:t>
      </w:r>
    </w:p>
    <w:p w14:paraId="41ED2B43" w14:textId="766A96CA" w:rsidR="006E7BB2" w:rsidRDefault="006E7BB2" w:rsidP="00503C18">
      <w:pPr>
        <w:pStyle w:val="ListParagraph"/>
        <w:numPr>
          <w:ilvl w:val="0"/>
          <w:numId w:val="4"/>
        </w:numPr>
        <w:jc w:val="both"/>
      </w:pPr>
      <w:r>
        <w:t xml:space="preserve">SCE will </w:t>
      </w:r>
      <w:r w:rsidR="00FE7755">
        <w:t>comply with</w:t>
      </w:r>
      <w:r>
        <w:t xml:space="preserve"> the ETL data specifications</w:t>
      </w:r>
      <w:r w:rsidR="00FE7755">
        <w:t xml:space="preserve"> and</w:t>
      </w:r>
      <w:r>
        <w:t xml:space="preserve">, </w:t>
      </w:r>
      <w:r w:rsidR="00FE7755">
        <w:t xml:space="preserve">including the creation or extraction of those columns which are shown to be </w:t>
      </w:r>
      <w:r w:rsidR="00FC3F94">
        <w:t xml:space="preserve">common identifiers </w:t>
      </w:r>
      <w:r w:rsidR="00FE7755">
        <w:t xml:space="preserve">across data-sets </w:t>
      </w:r>
      <w:r w:rsidR="00FC3F94">
        <w:t>(</w:t>
      </w:r>
      <w:r w:rsidR="002523EE">
        <w:t>e.g.</w:t>
      </w:r>
      <w:r w:rsidR="00FC3F94">
        <w:t xml:space="preserve"> </w:t>
      </w:r>
      <w:r w:rsidR="00FE7755">
        <w:t xml:space="preserve">foreign-keys, or </w:t>
      </w:r>
      <w:r>
        <w:t>MRID field</w:t>
      </w:r>
      <w:r w:rsidR="00FC3F94">
        <w:t>s)</w:t>
      </w:r>
      <w:r>
        <w:t>.</w:t>
      </w:r>
    </w:p>
    <w:p w14:paraId="501A1CBD" w14:textId="0138CD62" w:rsidR="00D12F1C" w:rsidRDefault="00D12F1C" w:rsidP="00503C18">
      <w:pPr>
        <w:pStyle w:val="ListParagraph"/>
        <w:numPr>
          <w:ilvl w:val="0"/>
          <w:numId w:val="4"/>
        </w:numPr>
        <w:jc w:val="both"/>
      </w:pPr>
      <w:r>
        <w:t xml:space="preserve">SCE’s data sources may not have uniform coverage across the entire distribution system or continuous over the historic time-frame used.  Therefore, the Network Connectivity analytic’s results are expected to be </w:t>
      </w:r>
      <w:r w:rsidR="00A31EA8">
        <w:t xml:space="preserve">non-uniform in terms of confidence and </w:t>
      </w:r>
      <w:r w:rsidR="00F2134B">
        <w:t>recommendations</w:t>
      </w:r>
      <w:r w:rsidR="00A31EA8">
        <w:t xml:space="preserve"> </w:t>
      </w:r>
      <w:r w:rsidR="008A1A43">
        <w:t>consequently</w:t>
      </w:r>
      <w:r w:rsidR="00A31EA8">
        <w:t>.</w:t>
      </w:r>
    </w:p>
    <w:p w14:paraId="324D7BC1" w14:textId="0A922482" w:rsidR="00B8615E" w:rsidRDefault="004B1BE4" w:rsidP="005475D6">
      <w:pPr>
        <w:pStyle w:val="ListParagraph"/>
        <w:numPr>
          <w:ilvl w:val="0"/>
          <w:numId w:val="4"/>
        </w:numPr>
        <w:jc w:val="both"/>
      </w:pPr>
      <w:r>
        <w:t>GE will not provide the source code of the Data Fabric or the Network Connectivity analytic, unlike the future GMS project and associated source co</w:t>
      </w:r>
      <w:r w:rsidR="005475D6">
        <w:t>de.</w:t>
      </w:r>
    </w:p>
    <w:p w14:paraId="238F52BD" w14:textId="0388B6B4" w:rsidR="003D6759" w:rsidRDefault="003D6759" w:rsidP="005475D6">
      <w:pPr>
        <w:pStyle w:val="ListParagraph"/>
        <w:numPr>
          <w:ilvl w:val="0"/>
          <w:numId w:val="4"/>
        </w:numPr>
        <w:jc w:val="both"/>
      </w:pPr>
      <w:r>
        <w:t xml:space="preserve">GE and SCE will </w:t>
      </w:r>
      <w:r w:rsidR="00BF5FDB">
        <w:t>collaborate to identify the most accurate source of location data related to their customer service locations</w:t>
      </w:r>
      <w:r w:rsidR="00F14B7F">
        <w:t xml:space="preserve"> (often redundant sources with variable accuracy).</w:t>
      </w:r>
    </w:p>
    <w:sectPr w:rsidR="003D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C0506"/>
    <w:multiLevelType w:val="hybridMultilevel"/>
    <w:tmpl w:val="AF70F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EA24B7"/>
    <w:multiLevelType w:val="hybridMultilevel"/>
    <w:tmpl w:val="579C5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D0706"/>
    <w:multiLevelType w:val="hybridMultilevel"/>
    <w:tmpl w:val="53708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5690D"/>
    <w:multiLevelType w:val="hybridMultilevel"/>
    <w:tmpl w:val="B1301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338A9"/>
    <w:multiLevelType w:val="hybridMultilevel"/>
    <w:tmpl w:val="EE306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8704F4"/>
    <w:multiLevelType w:val="hybridMultilevel"/>
    <w:tmpl w:val="2D1AC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66D2D"/>
    <w:multiLevelType w:val="hybridMultilevel"/>
    <w:tmpl w:val="5784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E192A"/>
    <w:multiLevelType w:val="hybridMultilevel"/>
    <w:tmpl w:val="F1B43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0029D"/>
    <w:multiLevelType w:val="hybridMultilevel"/>
    <w:tmpl w:val="F1B43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8"/>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DrL5hyaNWa1P2GYkeWzcFx5zwMsHOcgNAr0CdDX3DGz9Y4ZByoFzjCBZal7xtTi0LCrV2H7NvhNc0I6/TR5/GA==" w:salt="uA5hPtNxGlP1LOPfP0fo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5E"/>
    <w:rsid w:val="00003CFC"/>
    <w:rsid w:val="00016E5C"/>
    <w:rsid w:val="00025F7B"/>
    <w:rsid w:val="00032DF2"/>
    <w:rsid w:val="00044C9A"/>
    <w:rsid w:val="0004517B"/>
    <w:rsid w:val="00057F4B"/>
    <w:rsid w:val="00060B8E"/>
    <w:rsid w:val="00064C45"/>
    <w:rsid w:val="00076BE7"/>
    <w:rsid w:val="000773B7"/>
    <w:rsid w:val="00087EBC"/>
    <w:rsid w:val="000A2FA4"/>
    <w:rsid w:val="000B58DB"/>
    <w:rsid w:val="000C5452"/>
    <w:rsid w:val="000D025D"/>
    <w:rsid w:val="000D2F10"/>
    <w:rsid w:val="000E502A"/>
    <w:rsid w:val="000F37A9"/>
    <w:rsid w:val="00104C58"/>
    <w:rsid w:val="00105544"/>
    <w:rsid w:val="001315CB"/>
    <w:rsid w:val="00147F9A"/>
    <w:rsid w:val="001612D0"/>
    <w:rsid w:val="00180CDE"/>
    <w:rsid w:val="00182E23"/>
    <w:rsid w:val="00187220"/>
    <w:rsid w:val="001903E0"/>
    <w:rsid w:val="00190924"/>
    <w:rsid w:val="001B4B50"/>
    <w:rsid w:val="001B54D7"/>
    <w:rsid w:val="001C183B"/>
    <w:rsid w:val="001C527C"/>
    <w:rsid w:val="001E2A1D"/>
    <w:rsid w:val="001E6BF8"/>
    <w:rsid w:val="001F46D1"/>
    <w:rsid w:val="001F7078"/>
    <w:rsid w:val="002029F2"/>
    <w:rsid w:val="002047A0"/>
    <w:rsid w:val="0021729C"/>
    <w:rsid w:val="00232BFD"/>
    <w:rsid w:val="00233AF5"/>
    <w:rsid w:val="002523EE"/>
    <w:rsid w:val="00273398"/>
    <w:rsid w:val="00297025"/>
    <w:rsid w:val="002A5B78"/>
    <w:rsid w:val="002A6C00"/>
    <w:rsid w:val="002C218B"/>
    <w:rsid w:val="002C2794"/>
    <w:rsid w:val="002D2349"/>
    <w:rsid w:val="00306276"/>
    <w:rsid w:val="00311D41"/>
    <w:rsid w:val="00317B71"/>
    <w:rsid w:val="003407DC"/>
    <w:rsid w:val="00356C7D"/>
    <w:rsid w:val="003814D8"/>
    <w:rsid w:val="003839CB"/>
    <w:rsid w:val="00386845"/>
    <w:rsid w:val="00391AB4"/>
    <w:rsid w:val="003923D7"/>
    <w:rsid w:val="003A1FBC"/>
    <w:rsid w:val="003D6759"/>
    <w:rsid w:val="003D680F"/>
    <w:rsid w:val="003E3086"/>
    <w:rsid w:val="003F5E98"/>
    <w:rsid w:val="00403263"/>
    <w:rsid w:val="004038B1"/>
    <w:rsid w:val="00405389"/>
    <w:rsid w:val="00423A1C"/>
    <w:rsid w:val="004322D4"/>
    <w:rsid w:val="00437DF3"/>
    <w:rsid w:val="0047290E"/>
    <w:rsid w:val="004754CD"/>
    <w:rsid w:val="00482990"/>
    <w:rsid w:val="00490F8F"/>
    <w:rsid w:val="00493ECC"/>
    <w:rsid w:val="00495B01"/>
    <w:rsid w:val="004A4B5B"/>
    <w:rsid w:val="004B1BE4"/>
    <w:rsid w:val="004C31AA"/>
    <w:rsid w:val="004D0BEA"/>
    <w:rsid w:val="004D354D"/>
    <w:rsid w:val="004D68FE"/>
    <w:rsid w:val="004E2659"/>
    <w:rsid w:val="004E65C0"/>
    <w:rsid w:val="004F17E3"/>
    <w:rsid w:val="004F1DCB"/>
    <w:rsid w:val="00502A95"/>
    <w:rsid w:val="00503C18"/>
    <w:rsid w:val="00504502"/>
    <w:rsid w:val="00521C1B"/>
    <w:rsid w:val="00536D59"/>
    <w:rsid w:val="005456B0"/>
    <w:rsid w:val="005475D6"/>
    <w:rsid w:val="00555AA7"/>
    <w:rsid w:val="00555DB7"/>
    <w:rsid w:val="005737AA"/>
    <w:rsid w:val="0057472A"/>
    <w:rsid w:val="0059791F"/>
    <w:rsid w:val="005D055D"/>
    <w:rsid w:val="005E1E52"/>
    <w:rsid w:val="005E281B"/>
    <w:rsid w:val="005F0B98"/>
    <w:rsid w:val="005F0F4B"/>
    <w:rsid w:val="0060541A"/>
    <w:rsid w:val="00651112"/>
    <w:rsid w:val="00654C03"/>
    <w:rsid w:val="006611D7"/>
    <w:rsid w:val="00662003"/>
    <w:rsid w:val="006762DB"/>
    <w:rsid w:val="00683FF4"/>
    <w:rsid w:val="006A2A13"/>
    <w:rsid w:val="006B5D17"/>
    <w:rsid w:val="006B72B0"/>
    <w:rsid w:val="006D4506"/>
    <w:rsid w:val="006D5E6C"/>
    <w:rsid w:val="006E7BB2"/>
    <w:rsid w:val="006F1179"/>
    <w:rsid w:val="006F75B7"/>
    <w:rsid w:val="007316ED"/>
    <w:rsid w:val="0073455D"/>
    <w:rsid w:val="0074031E"/>
    <w:rsid w:val="007544F2"/>
    <w:rsid w:val="0075770D"/>
    <w:rsid w:val="00775123"/>
    <w:rsid w:val="00793BEB"/>
    <w:rsid w:val="007A6BC0"/>
    <w:rsid w:val="007B782F"/>
    <w:rsid w:val="007D3086"/>
    <w:rsid w:val="008001A7"/>
    <w:rsid w:val="00804D59"/>
    <w:rsid w:val="0083123D"/>
    <w:rsid w:val="00835D8C"/>
    <w:rsid w:val="00843212"/>
    <w:rsid w:val="00864E8D"/>
    <w:rsid w:val="008905C1"/>
    <w:rsid w:val="008A14E2"/>
    <w:rsid w:val="008A1A43"/>
    <w:rsid w:val="008B2DF8"/>
    <w:rsid w:val="008C6A87"/>
    <w:rsid w:val="008D5372"/>
    <w:rsid w:val="008E12B3"/>
    <w:rsid w:val="008F1615"/>
    <w:rsid w:val="00904618"/>
    <w:rsid w:val="00905251"/>
    <w:rsid w:val="00912790"/>
    <w:rsid w:val="00917446"/>
    <w:rsid w:val="00925A65"/>
    <w:rsid w:val="009325E3"/>
    <w:rsid w:val="00936A71"/>
    <w:rsid w:val="009535B8"/>
    <w:rsid w:val="00961308"/>
    <w:rsid w:val="0096702F"/>
    <w:rsid w:val="009A53D6"/>
    <w:rsid w:val="009C262C"/>
    <w:rsid w:val="009D2012"/>
    <w:rsid w:val="009D603C"/>
    <w:rsid w:val="009E7F0A"/>
    <w:rsid w:val="009F3F9E"/>
    <w:rsid w:val="009F65F7"/>
    <w:rsid w:val="00A07130"/>
    <w:rsid w:val="00A11443"/>
    <w:rsid w:val="00A21ED2"/>
    <w:rsid w:val="00A31EA8"/>
    <w:rsid w:val="00A52141"/>
    <w:rsid w:val="00A56024"/>
    <w:rsid w:val="00A70699"/>
    <w:rsid w:val="00AB09C6"/>
    <w:rsid w:val="00AE0275"/>
    <w:rsid w:val="00AF4A73"/>
    <w:rsid w:val="00B211FE"/>
    <w:rsid w:val="00B230BD"/>
    <w:rsid w:val="00B51623"/>
    <w:rsid w:val="00B55CD4"/>
    <w:rsid w:val="00B74519"/>
    <w:rsid w:val="00B77A18"/>
    <w:rsid w:val="00B8615E"/>
    <w:rsid w:val="00B87A58"/>
    <w:rsid w:val="00BB0129"/>
    <w:rsid w:val="00BB522F"/>
    <w:rsid w:val="00BB7B1F"/>
    <w:rsid w:val="00BE25F6"/>
    <w:rsid w:val="00BE491E"/>
    <w:rsid w:val="00BE67F5"/>
    <w:rsid w:val="00BE777A"/>
    <w:rsid w:val="00BF1448"/>
    <w:rsid w:val="00BF2606"/>
    <w:rsid w:val="00BF2AF4"/>
    <w:rsid w:val="00BF5C82"/>
    <w:rsid w:val="00BF5FDB"/>
    <w:rsid w:val="00C041F1"/>
    <w:rsid w:val="00C41B8A"/>
    <w:rsid w:val="00C443A6"/>
    <w:rsid w:val="00C55FBA"/>
    <w:rsid w:val="00C57852"/>
    <w:rsid w:val="00C757A4"/>
    <w:rsid w:val="00C83C1B"/>
    <w:rsid w:val="00C87EF0"/>
    <w:rsid w:val="00CA23DF"/>
    <w:rsid w:val="00CB5583"/>
    <w:rsid w:val="00CB7F11"/>
    <w:rsid w:val="00CC25D3"/>
    <w:rsid w:val="00CC57CA"/>
    <w:rsid w:val="00CD3029"/>
    <w:rsid w:val="00CD3948"/>
    <w:rsid w:val="00CD79B4"/>
    <w:rsid w:val="00CF3D7F"/>
    <w:rsid w:val="00D00358"/>
    <w:rsid w:val="00D12F1C"/>
    <w:rsid w:val="00D1337A"/>
    <w:rsid w:val="00D5534D"/>
    <w:rsid w:val="00D60796"/>
    <w:rsid w:val="00D662CE"/>
    <w:rsid w:val="00D830B4"/>
    <w:rsid w:val="00D8314A"/>
    <w:rsid w:val="00D87020"/>
    <w:rsid w:val="00D9141D"/>
    <w:rsid w:val="00DC0BB9"/>
    <w:rsid w:val="00DC69BD"/>
    <w:rsid w:val="00DD1B82"/>
    <w:rsid w:val="00DD34B6"/>
    <w:rsid w:val="00DF33A4"/>
    <w:rsid w:val="00DF64B6"/>
    <w:rsid w:val="00E20C0A"/>
    <w:rsid w:val="00E24447"/>
    <w:rsid w:val="00E5436C"/>
    <w:rsid w:val="00E65A5A"/>
    <w:rsid w:val="00E67BB9"/>
    <w:rsid w:val="00E703C6"/>
    <w:rsid w:val="00E742DA"/>
    <w:rsid w:val="00E77F91"/>
    <w:rsid w:val="00E86495"/>
    <w:rsid w:val="00E94528"/>
    <w:rsid w:val="00EB17CD"/>
    <w:rsid w:val="00EC3771"/>
    <w:rsid w:val="00EC6CBB"/>
    <w:rsid w:val="00ED2407"/>
    <w:rsid w:val="00ED3113"/>
    <w:rsid w:val="00EE093A"/>
    <w:rsid w:val="00EF3FCF"/>
    <w:rsid w:val="00F06ABF"/>
    <w:rsid w:val="00F10DE7"/>
    <w:rsid w:val="00F14B7F"/>
    <w:rsid w:val="00F15EFA"/>
    <w:rsid w:val="00F2134B"/>
    <w:rsid w:val="00F45C53"/>
    <w:rsid w:val="00F53818"/>
    <w:rsid w:val="00F54963"/>
    <w:rsid w:val="00F56AFA"/>
    <w:rsid w:val="00F56B17"/>
    <w:rsid w:val="00F70892"/>
    <w:rsid w:val="00F91210"/>
    <w:rsid w:val="00F9780B"/>
    <w:rsid w:val="00FA2A3D"/>
    <w:rsid w:val="00FA724A"/>
    <w:rsid w:val="00FC3F94"/>
    <w:rsid w:val="00FE2899"/>
    <w:rsid w:val="00FE7755"/>
    <w:rsid w:val="00FF0399"/>
    <w:rsid w:val="00FF5C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DDAC"/>
  <w15:chartTrackingRefBased/>
  <w15:docId w15:val="{6825217D-FC40-4230-86C3-155EB48C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F3"/>
    <w:pPr>
      <w:ind w:left="720"/>
      <w:contextualSpacing/>
    </w:pPr>
  </w:style>
  <w:style w:type="character" w:customStyle="1" w:styleId="Heading1Char">
    <w:name w:val="Heading 1 Char"/>
    <w:basedOn w:val="DefaultParagraphFont"/>
    <w:link w:val="Heading1"/>
    <w:uiPriority w:val="9"/>
    <w:rsid w:val="000A2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52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5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1B8A"/>
    <w:rPr>
      <w:sz w:val="16"/>
      <w:szCs w:val="16"/>
    </w:rPr>
  </w:style>
  <w:style w:type="paragraph" w:styleId="CommentText">
    <w:name w:val="annotation text"/>
    <w:basedOn w:val="Normal"/>
    <w:link w:val="CommentTextChar"/>
    <w:uiPriority w:val="99"/>
    <w:semiHidden/>
    <w:unhideWhenUsed/>
    <w:rsid w:val="00C41B8A"/>
    <w:pPr>
      <w:spacing w:line="240" w:lineRule="auto"/>
    </w:pPr>
    <w:rPr>
      <w:sz w:val="20"/>
      <w:szCs w:val="20"/>
    </w:rPr>
  </w:style>
  <w:style w:type="character" w:customStyle="1" w:styleId="CommentTextChar">
    <w:name w:val="Comment Text Char"/>
    <w:basedOn w:val="DefaultParagraphFont"/>
    <w:link w:val="CommentText"/>
    <w:uiPriority w:val="99"/>
    <w:semiHidden/>
    <w:rsid w:val="00C41B8A"/>
    <w:rPr>
      <w:sz w:val="20"/>
      <w:szCs w:val="20"/>
    </w:rPr>
  </w:style>
  <w:style w:type="paragraph" w:styleId="CommentSubject">
    <w:name w:val="annotation subject"/>
    <w:basedOn w:val="CommentText"/>
    <w:next w:val="CommentText"/>
    <w:link w:val="CommentSubjectChar"/>
    <w:uiPriority w:val="99"/>
    <w:semiHidden/>
    <w:unhideWhenUsed/>
    <w:rsid w:val="00C41B8A"/>
    <w:rPr>
      <w:b/>
      <w:bCs/>
    </w:rPr>
  </w:style>
  <w:style w:type="character" w:customStyle="1" w:styleId="CommentSubjectChar">
    <w:name w:val="Comment Subject Char"/>
    <w:basedOn w:val="CommentTextChar"/>
    <w:link w:val="CommentSubject"/>
    <w:uiPriority w:val="99"/>
    <w:semiHidden/>
    <w:rsid w:val="00C41B8A"/>
    <w:rPr>
      <w:b/>
      <w:bCs/>
      <w:sz w:val="20"/>
      <w:szCs w:val="20"/>
    </w:rPr>
  </w:style>
  <w:style w:type="paragraph" w:styleId="BalloonText">
    <w:name w:val="Balloon Text"/>
    <w:basedOn w:val="Normal"/>
    <w:link w:val="BalloonTextChar"/>
    <w:uiPriority w:val="99"/>
    <w:semiHidden/>
    <w:unhideWhenUsed/>
    <w:rsid w:val="00C41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B8A"/>
    <w:rPr>
      <w:rFonts w:ascii="Segoe UI" w:hAnsi="Segoe UI" w:cs="Segoe UI"/>
      <w:sz w:val="18"/>
      <w:szCs w:val="18"/>
    </w:rPr>
  </w:style>
  <w:style w:type="paragraph" w:styleId="Revision">
    <w:name w:val="Revision"/>
    <w:hidden/>
    <w:uiPriority w:val="99"/>
    <w:semiHidden/>
    <w:rsid w:val="00025F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81948">
      <w:bodyDiv w:val="1"/>
      <w:marLeft w:val="0"/>
      <w:marRight w:val="0"/>
      <w:marTop w:val="0"/>
      <w:marBottom w:val="0"/>
      <w:divBdr>
        <w:top w:val="none" w:sz="0" w:space="0" w:color="auto"/>
        <w:left w:val="none" w:sz="0" w:space="0" w:color="auto"/>
        <w:bottom w:val="none" w:sz="0" w:space="0" w:color="auto"/>
        <w:right w:val="none" w:sz="0" w:space="0" w:color="auto"/>
      </w:divBdr>
      <w:divsChild>
        <w:div w:id="1451707223">
          <w:marLeft w:val="0"/>
          <w:marRight w:val="0"/>
          <w:marTop w:val="0"/>
          <w:marBottom w:val="0"/>
          <w:divBdr>
            <w:top w:val="none" w:sz="0" w:space="0" w:color="auto"/>
            <w:left w:val="none" w:sz="0" w:space="0" w:color="auto"/>
            <w:bottom w:val="none" w:sz="0" w:space="0" w:color="auto"/>
            <w:right w:val="none" w:sz="0" w:space="0" w:color="auto"/>
          </w:divBdr>
        </w:div>
        <w:div w:id="1601445603">
          <w:marLeft w:val="0"/>
          <w:marRight w:val="0"/>
          <w:marTop w:val="0"/>
          <w:marBottom w:val="0"/>
          <w:divBdr>
            <w:top w:val="none" w:sz="0" w:space="0" w:color="auto"/>
            <w:left w:val="none" w:sz="0" w:space="0" w:color="auto"/>
            <w:bottom w:val="none" w:sz="0" w:space="0" w:color="auto"/>
            <w:right w:val="none" w:sz="0" w:space="0" w:color="auto"/>
          </w:divBdr>
        </w:div>
        <w:div w:id="2096975694">
          <w:marLeft w:val="0"/>
          <w:marRight w:val="0"/>
          <w:marTop w:val="0"/>
          <w:marBottom w:val="0"/>
          <w:divBdr>
            <w:top w:val="none" w:sz="0" w:space="0" w:color="auto"/>
            <w:left w:val="none" w:sz="0" w:space="0" w:color="auto"/>
            <w:bottom w:val="none" w:sz="0" w:space="0" w:color="auto"/>
            <w:right w:val="none" w:sz="0" w:space="0" w:color="auto"/>
          </w:divBdr>
        </w:div>
        <w:div w:id="1979261066">
          <w:marLeft w:val="0"/>
          <w:marRight w:val="0"/>
          <w:marTop w:val="0"/>
          <w:marBottom w:val="0"/>
          <w:divBdr>
            <w:top w:val="none" w:sz="0" w:space="0" w:color="auto"/>
            <w:left w:val="none" w:sz="0" w:space="0" w:color="auto"/>
            <w:bottom w:val="none" w:sz="0" w:space="0" w:color="auto"/>
            <w:right w:val="none" w:sz="0" w:space="0" w:color="auto"/>
          </w:divBdr>
        </w:div>
        <w:div w:id="1646156839">
          <w:marLeft w:val="0"/>
          <w:marRight w:val="0"/>
          <w:marTop w:val="0"/>
          <w:marBottom w:val="0"/>
          <w:divBdr>
            <w:top w:val="none" w:sz="0" w:space="0" w:color="auto"/>
            <w:left w:val="none" w:sz="0" w:space="0" w:color="auto"/>
            <w:bottom w:val="none" w:sz="0" w:space="0" w:color="auto"/>
            <w:right w:val="none" w:sz="0" w:space="0" w:color="auto"/>
          </w:divBdr>
        </w:div>
        <w:div w:id="2002585432">
          <w:marLeft w:val="0"/>
          <w:marRight w:val="0"/>
          <w:marTop w:val="0"/>
          <w:marBottom w:val="0"/>
          <w:divBdr>
            <w:top w:val="none" w:sz="0" w:space="0" w:color="auto"/>
            <w:left w:val="none" w:sz="0" w:space="0" w:color="auto"/>
            <w:bottom w:val="none" w:sz="0" w:space="0" w:color="auto"/>
            <w:right w:val="none" w:sz="0" w:space="0" w:color="auto"/>
          </w:divBdr>
        </w:div>
        <w:div w:id="1146168829">
          <w:marLeft w:val="0"/>
          <w:marRight w:val="0"/>
          <w:marTop w:val="0"/>
          <w:marBottom w:val="0"/>
          <w:divBdr>
            <w:top w:val="none" w:sz="0" w:space="0" w:color="auto"/>
            <w:left w:val="none" w:sz="0" w:space="0" w:color="auto"/>
            <w:bottom w:val="none" w:sz="0" w:space="0" w:color="auto"/>
            <w:right w:val="none" w:sz="0" w:space="0" w:color="auto"/>
          </w:divBdr>
        </w:div>
        <w:div w:id="1661155959">
          <w:marLeft w:val="0"/>
          <w:marRight w:val="0"/>
          <w:marTop w:val="0"/>
          <w:marBottom w:val="0"/>
          <w:divBdr>
            <w:top w:val="none" w:sz="0" w:space="0" w:color="auto"/>
            <w:left w:val="none" w:sz="0" w:space="0" w:color="auto"/>
            <w:bottom w:val="none" w:sz="0" w:space="0" w:color="auto"/>
            <w:right w:val="none" w:sz="0" w:space="0" w:color="auto"/>
          </w:divBdr>
        </w:div>
        <w:div w:id="2035769287">
          <w:marLeft w:val="0"/>
          <w:marRight w:val="0"/>
          <w:marTop w:val="0"/>
          <w:marBottom w:val="0"/>
          <w:divBdr>
            <w:top w:val="none" w:sz="0" w:space="0" w:color="auto"/>
            <w:left w:val="none" w:sz="0" w:space="0" w:color="auto"/>
            <w:bottom w:val="none" w:sz="0" w:space="0" w:color="auto"/>
            <w:right w:val="none" w:sz="0" w:space="0" w:color="auto"/>
          </w:divBdr>
        </w:div>
        <w:div w:id="1731221120">
          <w:marLeft w:val="0"/>
          <w:marRight w:val="0"/>
          <w:marTop w:val="0"/>
          <w:marBottom w:val="0"/>
          <w:divBdr>
            <w:top w:val="none" w:sz="0" w:space="0" w:color="auto"/>
            <w:left w:val="none" w:sz="0" w:space="0" w:color="auto"/>
            <w:bottom w:val="none" w:sz="0" w:space="0" w:color="auto"/>
            <w:right w:val="none" w:sz="0" w:space="0" w:color="auto"/>
          </w:divBdr>
        </w:div>
        <w:div w:id="94908895">
          <w:marLeft w:val="0"/>
          <w:marRight w:val="0"/>
          <w:marTop w:val="0"/>
          <w:marBottom w:val="0"/>
          <w:divBdr>
            <w:top w:val="none" w:sz="0" w:space="0" w:color="auto"/>
            <w:left w:val="none" w:sz="0" w:space="0" w:color="auto"/>
            <w:bottom w:val="none" w:sz="0" w:space="0" w:color="auto"/>
            <w:right w:val="none" w:sz="0" w:space="0" w:color="auto"/>
          </w:divBdr>
        </w:div>
        <w:div w:id="1622149465">
          <w:marLeft w:val="0"/>
          <w:marRight w:val="0"/>
          <w:marTop w:val="0"/>
          <w:marBottom w:val="0"/>
          <w:divBdr>
            <w:top w:val="none" w:sz="0" w:space="0" w:color="auto"/>
            <w:left w:val="none" w:sz="0" w:space="0" w:color="auto"/>
            <w:bottom w:val="none" w:sz="0" w:space="0" w:color="auto"/>
            <w:right w:val="none" w:sz="0" w:space="0" w:color="auto"/>
          </w:divBdr>
        </w:div>
      </w:divsChild>
    </w:div>
    <w:div w:id="1241717378">
      <w:bodyDiv w:val="1"/>
      <w:marLeft w:val="0"/>
      <w:marRight w:val="0"/>
      <w:marTop w:val="0"/>
      <w:marBottom w:val="0"/>
      <w:divBdr>
        <w:top w:val="none" w:sz="0" w:space="0" w:color="auto"/>
        <w:left w:val="none" w:sz="0" w:space="0" w:color="auto"/>
        <w:bottom w:val="none" w:sz="0" w:space="0" w:color="auto"/>
        <w:right w:val="none" w:sz="0" w:space="0" w:color="auto"/>
      </w:divBdr>
    </w:div>
    <w:div w:id="1658150219">
      <w:bodyDiv w:val="1"/>
      <w:marLeft w:val="0"/>
      <w:marRight w:val="0"/>
      <w:marTop w:val="0"/>
      <w:marBottom w:val="0"/>
      <w:divBdr>
        <w:top w:val="none" w:sz="0" w:space="0" w:color="auto"/>
        <w:left w:val="none" w:sz="0" w:space="0" w:color="auto"/>
        <w:bottom w:val="none" w:sz="0" w:space="0" w:color="auto"/>
        <w:right w:val="none" w:sz="0" w:space="0" w:color="auto"/>
      </w:divBdr>
      <w:divsChild>
        <w:div w:id="450589408">
          <w:marLeft w:val="0"/>
          <w:marRight w:val="0"/>
          <w:marTop w:val="0"/>
          <w:marBottom w:val="0"/>
          <w:divBdr>
            <w:top w:val="none" w:sz="0" w:space="0" w:color="auto"/>
            <w:left w:val="none" w:sz="0" w:space="0" w:color="auto"/>
            <w:bottom w:val="none" w:sz="0" w:space="0" w:color="auto"/>
            <w:right w:val="none" w:sz="0" w:space="0" w:color="auto"/>
          </w:divBdr>
        </w:div>
        <w:div w:id="535392970">
          <w:marLeft w:val="0"/>
          <w:marRight w:val="0"/>
          <w:marTop w:val="0"/>
          <w:marBottom w:val="0"/>
          <w:divBdr>
            <w:top w:val="none" w:sz="0" w:space="0" w:color="auto"/>
            <w:left w:val="none" w:sz="0" w:space="0" w:color="auto"/>
            <w:bottom w:val="none" w:sz="0" w:space="0" w:color="auto"/>
            <w:right w:val="none" w:sz="0" w:space="0" w:color="auto"/>
          </w:divBdr>
        </w:div>
        <w:div w:id="1572233379">
          <w:marLeft w:val="0"/>
          <w:marRight w:val="0"/>
          <w:marTop w:val="0"/>
          <w:marBottom w:val="0"/>
          <w:divBdr>
            <w:top w:val="none" w:sz="0" w:space="0" w:color="auto"/>
            <w:left w:val="none" w:sz="0" w:space="0" w:color="auto"/>
            <w:bottom w:val="none" w:sz="0" w:space="0" w:color="auto"/>
            <w:right w:val="none" w:sz="0" w:space="0" w:color="auto"/>
          </w:divBdr>
        </w:div>
        <w:div w:id="1749880054">
          <w:marLeft w:val="0"/>
          <w:marRight w:val="0"/>
          <w:marTop w:val="0"/>
          <w:marBottom w:val="0"/>
          <w:divBdr>
            <w:top w:val="none" w:sz="0" w:space="0" w:color="auto"/>
            <w:left w:val="none" w:sz="0" w:space="0" w:color="auto"/>
            <w:bottom w:val="none" w:sz="0" w:space="0" w:color="auto"/>
            <w:right w:val="none" w:sz="0" w:space="0" w:color="auto"/>
          </w:divBdr>
        </w:div>
        <w:div w:id="1266310389">
          <w:marLeft w:val="0"/>
          <w:marRight w:val="0"/>
          <w:marTop w:val="0"/>
          <w:marBottom w:val="0"/>
          <w:divBdr>
            <w:top w:val="none" w:sz="0" w:space="0" w:color="auto"/>
            <w:left w:val="none" w:sz="0" w:space="0" w:color="auto"/>
            <w:bottom w:val="none" w:sz="0" w:space="0" w:color="auto"/>
            <w:right w:val="none" w:sz="0" w:space="0" w:color="auto"/>
          </w:divBdr>
        </w:div>
        <w:div w:id="1462767108">
          <w:marLeft w:val="0"/>
          <w:marRight w:val="0"/>
          <w:marTop w:val="0"/>
          <w:marBottom w:val="0"/>
          <w:divBdr>
            <w:top w:val="none" w:sz="0" w:space="0" w:color="auto"/>
            <w:left w:val="none" w:sz="0" w:space="0" w:color="auto"/>
            <w:bottom w:val="none" w:sz="0" w:space="0" w:color="auto"/>
            <w:right w:val="none" w:sz="0" w:space="0" w:color="auto"/>
          </w:divBdr>
        </w:div>
        <w:div w:id="896431983">
          <w:marLeft w:val="0"/>
          <w:marRight w:val="0"/>
          <w:marTop w:val="0"/>
          <w:marBottom w:val="0"/>
          <w:divBdr>
            <w:top w:val="none" w:sz="0" w:space="0" w:color="auto"/>
            <w:left w:val="none" w:sz="0" w:space="0" w:color="auto"/>
            <w:bottom w:val="none" w:sz="0" w:space="0" w:color="auto"/>
            <w:right w:val="none" w:sz="0" w:space="0" w:color="auto"/>
          </w:divBdr>
        </w:div>
        <w:div w:id="77292168">
          <w:marLeft w:val="0"/>
          <w:marRight w:val="0"/>
          <w:marTop w:val="0"/>
          <w:marBottom w:val="0"/>
          <w:divBdr>
            <w:top w:val="none" w:sz="0" w:space="0" w:color="auto"/>
            <w:left w:val="none" w:sz="0" w:space="0" w:color="auto"/>
            <w:bottom w:val="none" w:sz="0" w:space="0" w:color="auto"/>
            <w:right w:val="none" w:sz="0" w:space="0" w:color="auto"/>
          </w:divBdr>
        </w:div>
        <w:div w:id="707947259">
          <w:marLeft w:val="0"/>
          <w:marRight w:val="0"/>
          <w:marTop w:val="0"/>
          <w:marBottom w:val="0"/>
          <w:divBdr>
            <w:top w:val="none" w:sz="0" w:space="0" w:color="auto"/>
            <w:left w:val="none" w:sz="0" w:space="0" w:color="auto"/>
            <w:bottom w:val="none" w:sz="0" w:space="0" w:color="auto"/>
            <w:right w:val="none" w:sz="0" w:space="0" w:color="auto"/>
          </w:divBdr>
        </w:div>
        <w:div w:id="1024749105">
          <w:marLeft w:val="0"/>
          <w:marRight w:val="0"/>
          <w:marTop w:val="0"/>
          <w:marBottom w:val="0"/>
          <w:divBdr>
            <w:top w:val="none" w:sz="0" w:space="0" w:color="auto"/>
            <w:left w:val="none" w:sz="0" w:space="0" w:color="auto"/>
            <w:bottom w:val="none" w:sz="0" w:space="0" w:color="auto"/>
            <w:right w:val="none" w:sz="0" w:space="0" w:color="auto"/>
          </w:divBdr>
        </w:div>
        <w:div w:id="2102873492">
          <w:marLeft w:val="0"/>
          <w:marRight w:val="0"/>
          <w:marTop w:val="0"/>
          <w:marBottom w:val="0"/>
          <w:divBdr>
            <w:top w:val="none" w:sz="0" w:space="0" w:color="auto"/>
            <w:left w:val="none" w:sz="0" w:space="0" w:color="auto"/>
            <w:bottom w:val="none" w:sz="0" w:space="0" w:color="auto"/>
            <w:right w:val="none" w:sz="0" w:space="0" w:color="auto"/>
          </w:divBdr>
        </w:div>
        <w:div w:id="1115178549">
          <w:marLeft w:val="0"/>
          <w:marRight w:val="0"/>
          <w:marTop w:val="0"/>
          <w:marBottom w:val="0"/>
          <w:divBdr>
            <w:top w:val="none" w:sz="0" w:space="0" w:color="auto"/>
            <w:left w:val="none" w:sz="0" w:space="0" w:color="auto"/>
            <w:bottom w:val="none" w:sz="0" w:space="0" w:color="auto"/>
            <w:right w:val="none" w:sz="0" w:space="0" w:color="auto"/>
          </w:divBdr>
        </w:div>
        <w:div w:id="201603696">
          <w:marLeft w:val="0"/>
          <w:marRight w:val="0"/>
          <w:marTop w:val="0"/>
          <w:marBottom w:val="0"/>
          <w:divBdr>
            <w:top w:val="none" w:sz="0" w:space="0" w:color="auto"/>
            <w:left w:val="none" w:sz="0" w:space="0" w:color="auto"/>
            <w:bottom w:val="none" w:sz="0" w:space="0" w:color="auto"/>
            <w:right w:val="none" w:sz="0" w:space="0" w:color="auto"/>
          </w:divBdr>
        </w:div>
        <w:div w:id="29573054">
          <w:marLeft w:val="0"/>
          <w:marRight w:val="0"/>
          <w:marTop w:val="0"/>
          <w:marBottom w:val="0"/>
          <w:divBdr>
            <w:top w:val="none" w:sz="0" w:space="0" w:color="auto"/>
            <w:left w:val="none" w:sz="0" w:space="0" w:color="auto"/>
            <w:bottom w:val="none" w:sz="0" w:space="0" w:color="auto"/>
            <w:right w:val="none" w:sz="0" w:space="0" w:color="auto"/>
          </w:divBdr>
        </w:div>
        <w:div w:id="63336080">
          <w:marLeft w:val="0"/>
          <w:marRight w:val="0"/>
          <w:marTop w:val="0"/>
          <w:marBottom w:val="0"/>
          <w:divBdr>
            <w:top w:val="none" w:sz="0" w:space="0" w:color="auto"/>
            <w:left w:val="none" w:sz="0" w:space="0" w:color="auto"/>
            <w:bottom w:val="none" w:sz="0" w:space="0" w:color="auto"/>
            <w:right w:val="none" w:sz="0" w:space="0" w:color="auto"/>
          </w:divBdr>
        </w:div>
        <w:div w:id="945964402">
          <w:marLeft w:val="0"/>
          <w:marRight w:val="0"/>
          <w:marTop w:val="0"/>
          <w:marBottom w:val="0"/>
          <w:divBdr>
            <w:top w:val="none" w:sz="0" w:space="0" w:color="auto"/>
            <w:left w:val="none" w:sz="0" w:space="0" w:color="auto"/>
            <w:bottom w:val="none" w:sz="0" w:space="0" w:color="auto"/>
            <w:right w:val="none" w:sz="0" w:space="0" w:color="auto"/>
          </w:divBdr>
        </w:div>
        <w:div w:id="970790209">
          <w:marLeft w:val="0"/>
          <w:marRight w:val="0"/>
          <w:marTop w:val="0"/>
          <w:marBottom w:val="0"/>
          <w:divBdr>
            <w:top w:val="none" w:sz="0" w:space="0" w:color="auto"/>
            <w:left w:val="none" w:sz="0" w:space="0" w:color="auto"/>
            <w:bottom w:val="none" w:sz="0" w:space="0" w:color="auto"/>
            <w:right w:val="none" w:sz="0" w:space="0" w:color="auto"/>
          </w:divBdr>
        </w:div>
        <w:div w:id="1895578412">
          <w:marLeft w:val="0"/>
          <w:marRight w:val="0"/>
          <w:marTop w:val="0"/>
          <w:marBottom w:val="0"/>
          <w:divBdr>
            <w:top w:val="none" w:sz="0" w:space="0" w:color="auto"/>
            <w:left w:val="none" w:sz="0" w:space="0" w:color="auto"/>
            <w:bottom w:val="none" w:sz="0" w:space="0" w:color="auto"/>
            <w:right w:val="none" w:sz="0" w:space="0" w:color="auto"/>
          </w:divBdr>
        </w:div>
        <w:div w:id="341904031">
          <w:marLeft w:val="0"/>
          <w:marRight w:val="0"/>
          <w:marTop w:val="0"/>
          <w:marBottom w:val="0"/>
          <w:divBdr>
            <w:top w:val="none" w:sz="0" w:space="0" w:color="auto"/>
            <w:left w:val="none" w:sz="0" w:space="0" w:color="auto"/>
            <w:bottom w:val="none" w:sz="0" w:space="0" w:color="auto"/>
            <w:right w:val="none" w:sz="0" w:space="0" w:color="auto"/>
          </w:divBdr>
        </w:div>
        <w:div w:id="55474267">
          <w:marLeft w:val="0"/>
          <w:marRight w:val="0"/>
          <w:marTop w:val="0"/>
          <w:marBottom w:val="0"/>
          <w:divBdr>
            <w:top w:val="none" w:sz="0" w:space="0" w:color="auto"/>
            <w:left w:val="none" w:sz="0" w:space="0" w:color="auto"/>
            <w:bottom w:val="none" w:sz="0" w:space="0" w:color="auto"/>
            <w:right w:val="none" w:sz="0" w:space="0" w:color="auto"/>
          </w:divBdr>
        </w:div>
        <w:div w:id="1680346753">
          <w:marLeft w:val="0"/>
          <w:marRight w:val="0"/>
          <w:marTop w:val="0"/>
          <w:marBottom w:val="0"/>
          <w:divBdr>
            <w:top w:val="none" w:sz="0" w:space="0" w:color="auto"/>
            <w:left w:val="none" w:sz="0" w:space="0" w:color="auto"/>
            <w:bottom w:val="none" w:sz="0" w:space="0" w:color="auto"/>
            <w:right w:val="none" w:sz="0" w:space="0" w:color="auto"/>
          </w:divBdr>
        </w:div>
        <w:div w:id="1952198005">
          <w:marLeft w:val="0"/>
          <w:marRight w:val="0"/>
          <w:marTop w:val="0"/>
          <w:marBottom w:val="0"/>
          <w:divBdr>
            <w:top w:val="none" w:sz="0" w:space="0" w:color="auto"/>
            <w:left w:val="none" w:sz="0" w:space="0" w:color="auto"/>
            <w:bottom w:val="none" w:sz="0" w:space="0" w:color="auto"/>
            <w:right w:val="none" w:sz="0" w:space="0" w:color="auto"/>
          </w:divBdr>
        </w:div>
        <w:div w:id="1733691821">
          <w:marLeft w:val="0"/>
          <w:marRight w:val="0"/>
          <w:marTop w:val="0"/>
          <w:marBottom w:val="0"/>
          <w:divBdr>
            <w:top w:val="none" w:sz="0" w:space="0" w:color="auto"/>
            <w:left w:val="none" w:sz="0" w:space="0" w:color="auto"/>
            <w:bottom w:val="none" w:sz="0" w:space="0" w:color="auto"/>
            <w:right w:val="none" w:sz="0" w:space="0" w:color="auto"/>
          </w:divBdr>
        </w:div>
        <w:div w:id="815562563">
          <w:marLeft w:val="0"/>
          <w:marRight w:val="0"/>
          <w:marTop w:val="0"/>
          <w:marBottom w:val="0"/>
          <w:divBdr>
            <w:top w:val="none" w:sz="0" w:space="0" w:color="auto"/>
            <w:left w:val="none" w:sz="0" w:space="0" w:color="auto"/>
            <w:bottom w:val="none" w:sz="0" w:space="0" w:color="auto"/>
            <w:right w:val="none" w:sz="0" w:space="0" w:color="auto"/>
          </w:divBdr>
        </w:div>
        <w:div w:id="1627539785">
          <w:marLeft w:val="0"/>
          <w:marRight w:val="0"/>
          <w:marTop w:val="0"/>
          <w:marBottom w:val="0"/>
          <w:divBdr>
            <w:top w:val="none" w:sz="0" w:space="0" w:color="auto"/>
            <w:left w:val="none" w:sz="0" w:space="0" w:color="auto"/>
            <w:bottom w:val="none" w:sz="0" w:space="0" w:color="auto"/>
            <w:right w:val="none" w:sz="0" w:space="0" w:color="auto"/>
          </w:divBdr>
        </w:div>
        <w:div w:id="115950299">
          <w:marLeft w:val="0"/>
          <w:marRight w:val="0"/>
          <w:marTop w:val="0"/>
          <w:marBottom w:val="0"/>
          <w:divBdr>
            <w:top w:val="none" w:sz="0" w:space="0" w:color="auto"/>
            <w:left w:val="none" w:sz="0" w:space="0" w:color="auto"/>
            <w:bottom w:val="none" w:sz="0" w:space="0" w:color="auto"/>
            <w:right w:val="none" w:sz="0" w:space="0" w:color="auto"/>
          </w:divBdr>
        </w:div>
        <w:div w:id="2006010554">
          <w:marLeft w:val="0"/>
          <w:marRight w:val="0"/>
          <w:marTop w:val="0"/>
          <w:marBottom w:val="0"/>
          <w:divBdr>
            <w:top w:val="none" w:sz="0" w:space="0" w:color="auto"/>
            <w:left w:val="none" w:sz="0" w:space="0" w:color="auto"/>
            <w:bottom w:val="none" w:sz="0" w:space="0" w:color="auto"/>
            <w:right w:val="none" w:sz="0" w:space="0" w:color="auto"/>
          </w:divBdr>
        </w:div>
        <w:div w:id="1767965010">
          <w:marLeft w:val="0"/>
          <w:marRight w:val="0"/>
          <w:marTop w:val="0"/>
          <w:marBottom w:val="0"/>
          <w:divBdr>
            <w:top w:val="none" w:sz="0" w:space="0" w:color="auto"/>
            <w:left w:val="none" w:sz="0" w:space="0" w:color="auto"/>
            <w:bottom w:val="none" w:sz="0" w:space="0" w:color="auto"/>
            <w:right w:val="none" w:sz="0" w:space="0" w:color="auto"/>
          </w:divBdr>
        </w:div>
        <w:div w:id="777217337">
          <w:marLeft w:val="0"/>
          <w:marRight w:val="0"/>
          <w:marTop w:val="0"/>
          <w:marBottom w:val="0"/>
          <w:divBdr>
            <w:top w:val="none" w:sz="0" w:space="0" w:color="auto"/>
            <w:left w:val="none" w:sz="0" w:space="0" w:color="auto"/>
            <w:bottom w:val="none" w:sz="0" w:space="0" w:color="auto"/>
            <w:right w:val="none" w:sz="0" w:space="0" w:color="auto"/>
          </w:divBdr>
        </w:div>
      </w:divsChild>
    </w:div>
    <w:div w:id="1742748667">
      <w:bodyDiv w:val="1"/>
      <w:marLeft w:val="0"/>
      <w:marRight w:val="0"/>
      <w:marTop w:val="0"/>
      <w:marBottom w:val="0"/>
      <w:divBdr>
        <w:top w:val="none" w:sz="0" w:space="0" w:color="auto"/>
        <w:left w:val="none" w:sz="0" w:space="0" w:color="auto"/>
        <w:bottom w:val="none" w:sz="0" w:space="0" w:color="auto"/>
        <w:right w:val="none" w:sz="0" w:space="0" w:color="auto"/>
      </w:divBdr>
    </w:div>
    <w:div w:id="179667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BF77-15AB-49B1-AD1B-D9AA89E5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Shobhit (GE Power)</dc:creator>
  <cp:keywords/>
  <dc:description/>
  <cp:lastModifiedBy>Tatum, Deb (GE Power)</cp:lastModifiedBy>
  <cp:revision>2</cp:revision>
  <dcterms:created xsi:type="dcterms:W3CDTF">2019-03-01T18:39:00Z</dcterms:created>
  <dcterms:modified xsi:type="dcterms:W3CDTF">2019-03-01T18:39:00Z</dcterms:modified>
</cp:coreProperties>
</file>