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Goodwin Law — Navigation Structure</w:t>
      </w:r>
    </w:p>
    <w:p/>
    <w:p>
      <w:pPr>
        <w:pStyle w:val="ListBullet"/>
        <w:ind w:left="0"/>
      </w:pPr>
      <w:hyperlink r:id="rId9">
        <w:r>
          <w:rPr>
            <w:rStyle w:val="Hyperlink"/>
            <w:b/>
            <w:sz w:val="26"/>
          </w:rPr>
          <w:t>Expertise</w:t>
        </w:r>
      </w:hyperlink>
    </w:p>
    <w:p>
      <w:pPr>
        <w:pStyle w:val="ListBullet2"/>
      </w:pPr>
      <w:hyperlink r:id="rId10">
        <w:r>
          <w:rPr>
            <w:rStyle w:val="Hyperlink"/>
            <w:sz w:val="22"/>
          </w:rPr>
          <w:t>Litigation &amp; Dispute Resolution</w:t>
        </w:r>
      </w:hyperlink>
    </w:p>
    <w:p>
      <w:pPr>
        <w:pStyle w:val="ListBullet3"/>
      </w:pPr>
      <w:hyperlink r:id="rId11">
        <w:r>
          <w:rPr>
            <w:rStyle w:val="Hyperlink"/>
            <w:sz w:val="20"/>
            <w:color w:val="555555"/>
          </w:rPr>
          <w:t>Antitrust &amp; Competition</w:t>
        </w:r>
      </w:hyperlink>
    </w:p>
    <w:p>
      <w:pPr>
        <w:pStyle w:val="ListBullet3"/>
      </w:pPr>
      <w:hyperlink r:id="rId12">
        <w:r>
          <w:rPr>
            <w:rStyle w:val="Hyperlink"/>
            <w:sz w:val="20"/>
            <w:color w:val="555555"/>
          </w:rPr>
          <w:t>Appellate and Supreme Court Litigation</w:t>
        </w:r>
      </w:hyperlink>
    </w:p>
    <w:p>
      <w:pPr>
        <w:pStyle w:val="ListBullet3"/>
      </w:pPr>
      <w:hyperlink r:id="rId13">
        <w:r>
          <w:rPr>
            <w:rStyle w:val="Hyperlink"/>
            <w:sz w:val="20"/>
            <w:color w:val="555555"/>
          </w:rPr>
          <w:t>Business &amp; Commercial Litigation</w:t>
        </w:r>
      </w:hyperlink>
    </w:p>
    <w:p>
      <w:pPr>
        <w:pStyle w:val="ListBullet3"/>
      </w:pPr>
      <w:hyperlink r:id="rId14">
        <w:r>
          <w:rPr>
            <w:rStyle w:val="Hyperlink"/>
            <w:sz w:val="20"/>
            <w:color w:val="555555"/>
          </w:rPr>
          <w:t>Complex Litigation &amp; Dispute Resolution</w:t>
        </w:r>
      </w:hyperlink>
    </w:p>
    <w:p>
      <w:pPr>
        <w:pStyle w:val="ListBullet3"/>
      </w:pPr>
      <w:hyperlink r:id="rId15">
        <w:r>
          <w:rPr>
            <w:rStyle w:val="Hyperlink"/>
            <w:sz w:val="20"/>
            <w:color w:val="555555"/>
          </w:rPr>
          <w:t>Data, Privacy &amp; Cybersecurity</w:t>
        </w:r>
      </w:hyperlink>
    </w:p>
    <w:p>
      <w:pPr>
        <w:pStyle w:val="ListBullet3"/>
      </w:pPr>
      <w:hyperlink r:id="rId16">
        <w:r>
          <w:rPr>
            <w:rStyle w:val="Hyperlink"/>
            <w:sz w:val="20"/>
            <w:color w:val="555555"/>
          </w:rPr>
          <w:t>Employment</w:t>
        </w:r>
      </w:hyperlink>
    </w:p>
    <w:p>
      <w:pPr>
        <w:pStyle w:val="ListBullet3"/>
      </w:pPr>
      <w:hyperlink r:id="rId17">
        <w:r>
          <w:rPr>
            <w:rStyle w:val="Hyperlink"/>
            <w:sz w:val="20"/>
            <w:color w:val="555555"/>
          </w:rPr>
          <w:t>Environmental</w:t>
        </w:r>
      </w:hyperlink>
    </w:p>
    <w:p>
      <w:pPr>
        <w:pStyle w:val="ListBullet3"/>
      </w:pPr>
      <w:hyperlink r:id="rId18">
        <w:r>
          <w:rPr>
            <w:rStyle w:val="Hyperlink"/>
            <w:sz w:val="20"/>
            <w:color w:val="555555"/>
          </w:rPr>
          <w:t>ERISA Litigation</w:t>
        </w:r>
      </w:hyperlink>
    </w:p>
    <w:p>
      <w:pPr>
        <w:pStyle w:val="ListBullet3"/>
      </w:pPr>
      <w:hyperlink r:id="rId19">
        <w:r>
          <w:rPr>
            <w:rStyle w:val="Hyperlink"/>
            <w:sz w:val="20"/>
            <w:color w:val="555555"/>
          </w:rPr>
          <w:t>Financial Services Litigation</w:t>
        </w:r>
      </w:hyperlink>
    </w:p>
    <w:p>
      <w:pPr>
        <w:pStyle w:val="ListBullet3"/>
      </w:pPr>
      <w:hyperlink r:id="rId20">
        <w:r>
          <w:rPr>
            <w:rStyle w:val="Hyperlink"/>
            <w:sz w:val="20"/>
            <w:color w:val="555555"/>
          </w:rPr>
          <w:t>Government Contracts &amp; Grants</w:t>
        </w:r>
      </w:hyperlink>
    </w:p>
    <w:p>
      <w:pPr>
        <w:pStyle w:val="ListBullet3"/>
      </w:pPr>
      <w:hyperlink r:id="rId21">
        <w:r>
          <w:rPr>
            <w:rStyle w:val="Hyperlink"/>
            <w:sz w:val="20"/>
            <w:color w:val="555555"/>
          </w:rPr>
          <w:t>Government Investigations, Enforcement &amp; White Collar Defense</w:t>
        </w:r>
      </w:hyperlink>
    </w:p>
    <w:p>
      <w:pPr>
        <w:pStyle w:val="ListBullet3"/>
      </w:pPr>
      <w:hyperlink r:id="rId22">
        <w:r>
          <w:rPr>
            <w:rStyle w:val="Hyperlink"/>
            <w:sz w:val="20"/>
            <w:color w:val="555555"/>
          </w:rPr>
          <w:t>Intellectual Property Litigation</w:t>
        </w:r>
      </w:hyperlink>
    </w:p>
    <w:p>
      <w:pPr>
        <w:pStyle w:val="ListBullet3"/>
      </w:pPr>
      <w:hyperlink r:id="rId23">
        <w:r>
          <w:rPr>
            <w:rStyle w:val="Hyperlink"/>
            <w:sz w:val="20"/>
            <w:color w:val="555555"/>
          </w:rPr>
          <w:t>Investment Management Litigation</w:t>
        </w:r>
      </w:hyperlink>
    </w:p>
    <w:p>
      <w:pPr>
        <w:pStyle w:val="ListBullet3"/>
      </w:pPr>
      <w:hyperlink r:id="rId24">
        <w:r>
          <w:rPr>
            <w:rStyle w:val="Hyperlink"/>
            <w:sz w:val="20"/>
            <w:color w:val="555555"/>
          </w:rPr>
          <w:t>Life Sciences &amp; Technology Arbitrations</w:t>
        </w:r>
      </w:hyperlink>
    </w:p>
    <w:p>
      <w:pPr>
        <w:pStyle w:val="ListBullet3"/>
      </w:pPr>
      <w:hyperlink r:id="rId25">
        <w:r>
          <w:rPr>
            <w:rStyle w:val="Hyperlink"/>
            <w:sz w:val="20"/>
            <w:color w:val="555555"/>
          </w:rPr>
          <w:t>Litigation</w:t>
        </w:r>
      </w:hyperlink>
    </w:p>
    <w:p>
      <w:pPr>
        <w:pStyle w:val="ListBullet3"/>
      </w:pPr>
      <w:hyperlink r:id="rId26">
        <w:r>
          <w:rPr>
            <w:rStyle w:val="Hyperlink"/>
            <w:sz w:val="20"/>
            <w:color w:val="555555"/>
          </w:rPr>
          <w:t>National Security</w:t>
        </w:r>
      </w:hyperlink>
    </w:p>
    <w:p>
      <w:pPr>
        <w:pStyle w:val="ListBullet3"/>
      </w:pPr>
      <w:hyperlink r:id="rId27">
        <w:r>
          <w:rPr>
            <w:rStyle w:val="Hyperlink"/>
            <w:sz w:val="20"/>
            <w:color w:val="555555"/>
          </w:rPr>
          <w:t>Products Litigation &amp; Counseling</w:t>
        </w:r>
      </w:hyperlink>
    </w:p>
    <w:p>
      <w:pPr>
        <w:pStyle w:val="ListBullet3"/>
      </w:pPr>
      <w:hyperlink r:id="rId28">
        <w:r>
          <w:rPr>
            <w:rStyle w:val="Hyperlink"/>
            <w:sz w:val="20"/>
            <w:color w:val="555555"/>
          </w:rPr>
          <w:t>Securities Litigation &amp; SEC Enforcement</w:t>
        </w:r>
      </w:hyperlink>
    </w:p>
    <w:p>
      <w:pPr>
        <w:pStyle w:val="ListBullet3"/>
      </w:pPr>
      <w:hyperlink r:id="rId29">
        <w:r>
          <w:rPr>
            <w:rStyle w:val="Hyperlink"/>
            <w:sz w:val="20"/>
            <w:color w:val="555555"/>
          </w:rPr>
          <w:t>Trade Secrets, Employee Mobility &amp; Non-Competes</w:t>
        </w:r>
      </w:hyperlink>
    </w:p>
    <w:p>
      <w:pPr>
        <w:pStyle w:val="ListBullet2"/>
      </w:pPr>
      <w:hyperlink r:id="rId30">
        <w:r>
          <w:rPr>
            <w:rStyle w:val="Hyperlink"/>
            <w:sz w:val="22"/>
          </w:rPr>
          <w:t>Regulatory Compliance &amp; Advisory</w:t>
        </w:r>
      </w:hyperlink>
    </w:p>
    <w:p>
      <w:pPr>
        <w:pStyle w:val="ListBullet3"/>
      </w:pPr>
      <w:hyperlink r:id="rId11">
        <w:r>
          <w:rPr>
            <w:rStyle w:val="Hyperlink"/>
            <w:sz w:val="20"/>
            <w:color w:val="555555"/>
          </w:rPr>
          <w:t>Antitrust &amp; Competition</w:t>
        </w:r>
      </w:hyperlink>
    </w:p>
    <w:p>
      <w:pPr>
        <w:pStyle w:val="ListBullet3"/>
      </w:pPr>
      <w:hyperlink r:id="rId31">
        <w:r>
          <w:rPr>
            <w:rStyle w:val="Hyperlink"/>
            <w:sz w:val="20"/>
            <w:color w:val="555555"/>
          </w:rPr>
          <w:t>Banking</w:t>
        </w:r>
      </w:hyperlink>
    </w:p>
    <w:p>
      <w:pPr>
        <w:pStyle w:val="ListBullet3"/>
      </w:pPr>
      <w:hyperlink r:id="rId15">
        <w:r>
          <w:rPr>
            <w:rStyle w:val="Hyperlink"/>
            <w:sz w:val="20"/>
            <w:color w:val="555555"/>
          </w:rPr>
          <w:t>Data, Privacy &amp; Cybersecurity</w:t>
        </w:r>
      </w:hyperlink>
    </w:p>
    <w:p>
      <w:pPr>
        <w:pStyle w:val="ListBullet3"/>
      </w:pPr>
      <w:hyperlink r:id="rId32">
        <w:r>
          <w:rPr>
            <w:rStyle w:val="Hyperlink"/>
            <w:sz w:val="20"/>
            <w:color w:val="555555"/>
          </w:rPr>
          <w:t>Digital Currency &amp; Blockchain</w:t>
        </w:r>
      </w:hyperlink>
    </w:p>
    <w:p>
      <w:pPr>
        <w:pStyle w:val="ListBullet3"/>
      </w:pPr>
      <w:hyperlink r:id="rId16">
        <w:r>
          <w:rPr>
            <w:rStyle w:val="Hyperlink"/>
            <w:sz w:val="20"/>
            <w:color w:val="555555"/>
          </w:rPr>
          <w:t>Employment</w:t>
        </w:r>
      </w:hyperlink>
    </w:p>
    <w:p>
      <w:pPr>
        <w:pStyle w:val="ListBullet3"/>
      </w:pPr>
      <w:hyperlink r:id="rId17">
        <w:r>
          <w:rPr>
            <w:rStyle w:val="Hyperlink"/>
            <w:sz w:val="20"/>
            <w:color w:val="555555"/>
          </w:rPr>
          <w:t>Environmental</w:t>
        </w:r>
      </w:hyperlink>
    </w:p>
    <w:p>
      <w:pPr>
        <w:pStyle w:val="ListBullet3"/>
      </w:pPr>
      <w:hyperlink r:id="rId33">
        <w:r>
          <w:rPr>
            <w:rStyle w:val="Hyperlink"/>
            <w:sz w:val="20"/>
            <w:color w:val="555555"/>
          </w:rPr>
          <w:t>ERISA &amp; Executive Compensation</w:t>
        </w:r>
      </w:hyperlink>
    </w:p>
    <w:p>
      <w:pPr>
        <w:pStyle w:val="ListBullet3"/>
      </w:pPr>
      <w:hyperlink r:id="rId34">
        <w:r>
          <w:rPr>
            <w:rStyle w:val="Hyperlink"/>
            <w:sz w:val="20"/>
            <w:color w:val="555555"/>
          </w:rPr>
          <w:t>ESG &amp; Impact</w:t>
        </w:r>
      </w:hyperlink>
    </w:p>
    <w:p>
      <w:pPr>
        <w:pStyle w:val="ListBullet3"/>
      </w:pPr>
      <w:hyperlink r:id="rId35">
        <w:r>
          <w:rPr>
            <w:rStyle w:val="Hyperlink"/>
            <w:sz w:val="20"/>
            <w:color w:val="555555"/>
          </w:rPr>
          <w:t>Financial Restructuring</w:t>
        </w:r>
      </w:hyperlink>
    </w:p>
    <w:p>
      <w:pPr>
        <w:pStyle w:val="ListBullet3"/>
      </w:pPr>
      <w:hyperlink r:id="rId36">
        <w:r>
          <w:rPr>
            <w:rStyle w:val="Hyperlink"/>
            <w:sz w:val="20"/>
            <w:color w:val="555555"/>
          </w:rPr>
          <w:t>Fintech</w:t>
        </w:r>
      </w:hyperlink>
    </w:p>
    <w:p>
      <w:pPr>
        <w:pStyle w:val="ListBullet3"/>
      </w:pPr>
      <w:hyperlink r:id="rId37">
        <w:r>
          <w:rPr>
            <w:rStyle w:val="Hyperlink"/>
            <w:sz w:val="20"/>
            <w:color w:val="555555"/>
          </w:rPr>
          <w:t>Global Trade</w:t>
        </w:r>
      </w:hyperlink>
    </w:p>
    <w:p>
      <w:pPr>
        <w:pStyle w:val="ListBullet3"/>
      </w:pPr>
      <w:hyperlink r:id="rId20">
        <w:r>
          <w:rPr>
            <w:rStyle w:val="Hyperlink"/>
            <w:sz w:val="20"/>
            <w:color w:val="555555"/>
          </w:rPr>
          <w:t>Government Contracts &amp; Grants</w:t>
        </w:r>
      </w:hyperlink>
    </w:p>
    <w:p>
      <w:pPr>
        <w:pStyle w:val="ListBullet3"/>
      </w:pPr>
      <w:hyperlink r:id="rId38">
        <w:r>
          <w:rPr>
            <w:rStyle w:val="Hyperlink"/>
            <w:sz w:val="20"/>
            <w:color w:val="555555"/>
          </w:rPr>
          <w:t>Insurtech</w:t>
        </w:r>
      </w:hyperlink>
    </w:p>
    <w:p>
      <w:pPr>
        <w:pStyle w:val="ListBullet3"/>
      </w:pPr>
      <w:hyperlink r:id="rId39">
        <w:r>
          <w:rPr>
            <w:rStyle w:val="Hyperlink"/>
            <w:sz w:val="20"/>
            <w:color w:val="555555"/>
          </w:rPr>
          <w:t>Investment Management</w:t>
        </w:r>
      </w:hyperlink>
    </w:p>
    <w:p>
      <w:pPr>
        <w:pStyle w:val="ListBullet3"/>
      </w:pPr>
      <w:hyperlink r:id="rId40">
        <w:r>
          <w:rPr>
            <w:rStyle w:val="Hyperlink"/>
            <w:sz w:val="20"/>
            <w:color w:val="555555"/>
          </w:rPr>
          <w:t>Late Stage Drug Development</w:t>
        </w:r>
      </w:hyperlink>
    </w:p>
    <w:p>
      <w:pPr>
        <w:pStyle w:val="ListBullet3"/>
      </w:pPr>
      <w:hyperlink r:id="rId41">
        <w:r>
          <w:rPr>
            <w:rStyle w:val="Hyperlink"/>
            <w:sz w:val="20"/>
            <w:color w:val="555555"/>
          </w:rPr>
          <w:t>Life Sciences Regulatory &amp; Compliance</w:t>
        </w:r>
      </w:hyperlink>
    </w:p>
    <w:p>
      <w:pPr>
        <w:pStyle w:val="ListBullet3"/>
      </w:pPr>
      <w:hyperlink r:id="rId26">
        <w:r>
          <w:rPr>
            <w:rStyle w:val="Hyperlink"/>
            <w:sz w:val="20"/>
            <w:color w:val="555555"/>
          </w:rPr>
          <w:t>National Security</w:t>
        </w:r>
      </w:hyperlink>
    </w:p>
    <w:p>
      <w:pPr>
        <w:pStyle w:val="ListBullet3"/>
      </w:pPr>
      <w:hyperlink r:id="rId42">
        <w:r>
          <w:rPr>
            <w:rStyle w:val="Hyperlink"/>
            <w:sz w:val="20"/>
            <w:color w:val="555555"/>
          </w:rPr>
          <w:t>Private Investment Funds</w:t>
        </w:r>
      </w:hyperlink>
    </w:p>
    <w:p>
      <w:pPr>
        <w:pStyle w:val="ListBullet3"/>
      </w:pPr>
      <w:hyperlink r:id="rId43">
        <w:r>
          <w:rPr>
            <w:rStyle w:val="Hyperlink"/>
            <w:sz w:val="20"/>
            <w:color w:val="555555"/>
          </w:rPr>
          <w:t>Proptech</w:t>
        </w:r>
      </w:hyperlink>
    </w:p>
    <w:p>
      <w:pPr>
        <w:pStyle w:val="ListBullet3"/>
      </w:pPr>
      <w:hyperlink r:id="rId44">
        <w:r>
          <w:rPr>
            <w:rStyle w:val="Hyperlink"/>
            <w:sz w:val="20"/>
            <w:color w:val="555555"/>
          </w:rPr>
          <w:t>Public Company Advisory Practice</w:t>
        </w:r>
      </w:hyperlink>
    </w:p>
    <w:p>
      <w:pPr>
        <w:pStyle w:val="ListBullet3"/>
      </w:pPr>
      <w:hyperlink r:id="rId45">
        <w:r>
          <w:rPr>
            <w:rStyle w:val="Hyperlink"/>
            <w:sz w:val="20"/>
            <w:color w:val="555555"/>
          </w:rPr>
          <w:t>Risk Management &amp; Insurance</w:t>
        </w:r>
      </w:hyperlink>
    </w:p>
    <w:p>
      <w:pPr>
        <w:pStyle w:val="ListBullet3"/>
      </w:pPr>
      <w:hyperlink r:id="rId46">
        <w:r>
          <w:rPr>
            <w:rStyle w:val="Hyperlink"/>
            <w:sz w:val="20"/>
            <w:color w:val="555555"/>
          </w:rPr>
          <w:t>Tax</w:t>
        </w:r>
      </w:hyperlink>
    </w:p>
    <w:p>
      <w:pPr>
        <w:pStyle w:val="ListBullet3"/>
      </w:pPr>
      <w:hyperlink r:id="rId47">
        <w:r>
          <w:rPr>
            <w:rStyle w:val="Hyperlink"/>
            <w:sz w:val="20"/>
            <w:color w:val="555555"/>
          </w:rPr>
          <w:t>Tax-Exempt Organizations</w:t>
        </w:r>
      </w:hyperlink>
    </w:p>
    <w:p>
      <w:pPr>
        <w:pStyle w:val="ListBullet3"/>
      </w:pPr>
      <w:hyperlink r:id="rId48">
        <w:r>
          <w:rPr>
            <w:rStyle w:val="Hyperlink"/>
            <w:sz w:val="20"/>
            <w:color w:val="555555"/>
          </w:rPr>
          <w:t>Trusts &amp; Estates</w:t>
        </w:r>
      </w:hyperlink>
    </w:p>
    <w:p>
      <w:pPr>
        <w:pStyle w:val="ListBullet2"/>
      </w:pPr>
      <w:hyperlink r:id="rId49">
        <w:r>
          <w:rPr>
            <w:rStyle w:val="Hyperlink"/>
            <w:sz w:val="22"/>
          </w:rPr>
          <w:t>Transactions</w:t>
        </w:r>
      </w:hyperlink>
    </w:p>
    <w:p>
      <w:pPr>
        <w:pStyle w:val="ListBullet3"/>
      </w:pPr>
      <w:hyperlink r:id="rId50">
        <w:r>
          <w:rPr>
            <w:rStyle w:val="Hyperlink"/>
            <w:sz w:val="20"/>
            <w:color w:val="555555"/>
          </w:rPr>
          <w:t>Asset Management Transactions</w:t>
        </w:r>
      </w:hyperlink>
    </w:p>
    <w:p>
      <w:pPr>
        <w:pStyle w:val="ListBullet3"/>
      </w:pPr>
      <w:hyperlink r:id="rId31">
        <w:r>
          <w:rPr>
            <w:rStyle w:val="Hyperlink"/>
            <w:sz w:val="20"/>
            <w:color w:val="555555"/>
          </w:rPr>
          <w:t>Banking</w:t>
        </w:r>
      </w:hyperlink>
    </w:p>
    <w:p>
      <w:pPr>
        <w:pStyle w:val="ListBullet3"/>
      </w:pPr>
      <w:hyperlink r:id="rId51">
        <w:r>
          <w:rPr>
            <w:rStyle w:val="Hyperlink"/>
            <w:sz w:val="20"/>
            <w:color w:val="555555"/>
          </w:rPr>
          <w:t>Buyouts &amp; Acquisitions</w:t>
        </w:r>
      </w:hyperlink>
    </w:p>
    <w:p>
      <w:pPr>
        <w:pStyle w:val="ListBullet3"/>
      </w:pPr>
      <w:hyperlink r:id="rId52">
        <w:r>
          <w:rPr>
            <w:rStyle w:val="Hyperlink"/>
            <w:sz w:val="20"/>
            <w:color w:val="555555"/>
          </w:rPr>
          <w:t>Capital Markets</w:t>
        </w:r>
      </w:hyperlink>
    </w:p>
    <w:p>
      <w:pPr>
        <w:pStyle w:val="ListBullet3"/>
      </w:pPr>
      <w:hyperlink r:id="rId53">
        <w:r>
          <w:rPr>
            <w:rStyle w:val="Hyperlink"/>
            <w:sz w:val="20"/>
            <w:color w:val="555555"/>
          </w:rPr>
          <w:t>Corporate Social Responsibility Law &amp; Policy</w:t>
        </w:r>
      </w:hyperlink>
    </w:p>
    <w:p>
      <w:pPr>
        <w:pStyle w:val="ListBullet3"/>
      </w:pPr>
      <w:hyperlink r:id="rId15">
        <w:r>
          <w:rPr>
            <w:rStyle w:val="Hyperlink"/>
            <w:sz w:val="20"/>
            <w:color w:val="555555"/>
          </w:rPr>
          <w:t>Data, Privacy &amp; Cybersecurity</w:t>
        </w:r>
      </w:hyperlink>
    </w:p>
    <w:p>
      <w:pPr>
        <w:pStyle w:val="ListBullet3"/>
      </w:pPr>
      <w:hyperlink r:id="rId54">
        <w:r>
          <w:rPr>
            <w:rStyle w:val="Hyperlink"/>
            <w:sz w:val="20"/>
            <w:color w:val="555555"/>
          </w:rPr>
          <w:t>Debt Finance</w:t>
        </w:r>
      </w:hyperlink>
    </w:p>
    <w:p>
      <w:pPr>
        <w:pStyle w:val="ListBullet3"/>
      </w:pPr>
      <w:hyperlink r:id="rId55">
        <w:r>
          <w:rPr>
            <w:rStyle w:val="Hyperlink"/>
            <w:sz w:val="20"/>
            <w:color w:val="555555"/>
          </w:rPr>
          <w:t>Derivatives</w:t>
        </w:r>
      </w:hyperlink>
    </w:p>
    <w:p>
      <w:pPr>
        <w:pStyle w:val="ListBullet3"/>
      </w:pPr>
      <w:hyperlink r:id="rId32">
        <w:r>
          <w:rPr>
            <w:rStyle w:val="Hyperlink"/>
            <w:sz w:val="20"/>
            <w:color w:val="555555"/>
          </w:rPr>
          <w:t>Digital Currency &amp; Blockchain</w:t>
        </w:r>
      </w:hyperlink>
    </w:p>
    <w:p>
      <w:pPr>
        <w:pStyle w:val="ListBullet3"/>
      </w:pPr>
      <w:hyperlink r:id="rId16">
        <w:r>
          <w:rPr>
            <w:rStyle w:val="Hyperlink"/>
            <w:sz w:val="20"/>
            <w:color w:val="555555"/>
          </w:rPr>
          <w:t>Employment</w:t>
        </w:r>
      </w:hyperlink>
    </w:p>
    <w:p>
      <w:pPr>
        <w:pStyle w:val="ListBullet3"/>
      </w:pPr>
      <w:hyperlink r:id="rId17">
        <w:r>
          <w:rPr>
            <w:rStyle w:val="Hyperlink"/>
            <w:sz w:val="20"/>
            <w:color w:val="555555"/>
          </w:rPr>
          <w:t>Environmental</w:t>
        </w:r>
      </w:hyperlink>
    </w:p>
    <w:p>
      <w:pPr>
        <w:pStyle w:val="ListBullet3"/>
      </w:pPr>
      <w:hyperlink r:id="rId33">
        <w:r>
          <w:rPr>
            <w:rStyle w:val="Hyperlink"/>
            <w:sz w:val="20"/>
            <w:color w:val="555555"/>
          </w:rPr>
          <w:t>ERISA &amp; Executive Compensation</w:t>
        </w:r>
      </w:hyperlink>
    </w:p>
    <w:p>
      <w:pPr>
        <w:pStyle w:val="ListBullet3"/>
      </w:pPr>
      <w:hyperlink r:id="rId34">
        <w:r>
          <w:rPr>
            <w:rStyle w:val="Hyperlink"/>
            <w:sz w:val="20"/>
            <w:color w:val="555555"/>
          </w:rPr>
          <w:t>ESG &amp; Impact</w:t>
        </w:r>
      </w:hyperlink>
    </w:p>
    <w:p>
      <w:pPr>
        <w:pStyle w:val="ListBullet3"/>
      </w:pPr>
      <w:hyperlink r:id="rId35">
        <w:r>
          <w:rPr>
            <w:rStyle w:val="Hyperlink"/>
            <w:sz w:val="20"/>
            <w:color w:val="555555"/>
          </w:rPr>
          <w:t>Financial Restructuring</w:t>
        </w:r>
      </w:hyperlink>
    </w:p>
    <w:p>
      <w:pPr>
        <w:pStyle w:val="ListBullet3"/>
      </w:pPr>
      <w:hyperlink r:id="rId20">
        <w:r>
          <w:rPr>
            <w:rStyle w:val="Hyperlink"/>
            <w:sz w:val="20"/>
            <w:color w:val="555555"/>
          </w:rPr>
          <w:t>Government Contracts &amp; Grants</w:t>
        </w:r>
      </w:hyperlink>
    </w:p>
    <w:p>
      <w:pPr>
        <w:pStyle w:val="ListBullet3"/>
      </w:pPr>
      <w:hyperlink r:id="rId56">
        <w:r>
          <w:rPr>
            <w:rStyle w:val="Hyperlink"/>
            <w:sz w:val="20"/>
            <w:color w:val="555555"/>
          </w:rPr>
          <w:t>Growth Equity</w:t>
        </w:r>
      </w:hyperlink>
    </w:p>
    <w:p>
      <w:pPr>
        <w:pStyle w:val="ListBullet3"/>
      </w:pPr>
      <w:hyperlink r:id="rId57">
        <w:r>
          <w:rPr>
            <w:rStyle w:val="Hyperlink"/>
            <w:sz w:val="20"/>
            <w:color w:val="555555"/>
          </w:rPr>
          <w:t>Intellectual Property</w:t>
        </w:r>
      </w:hyperlink>
    </w:p>
    <w:p>
      <w:pPr>
        <w:pStyle w:val="ListBullet3"/>
      </w:pPr>
      <w:hyperlink r:id="rId58">
        <w:r>
          <w:rPr>
            <w:rStyle w:val="Hyperlink"/>
            <w:sz w:val="20"/>
            <w:color w:val="555555"/>
          </w:rPr>
          <w:t>Mergers &amp; Acquisitions</w:t>
        </w:r>
      </w:hyperlink>
    </w:p>
    <w:p>
      <w:pPr>
        <w:pStyle w:val="ListBullet3"/>
      </w:pPr>
      <w:hyperlink r:id="rId59">
        <w:r>
          <w:rPr>
            <w:rStyle w:val="Hyperlink"/>
            <w:sz w:val="20"/>
            <w:color w:val="555555"/>
          </w:rPr>
          <w:t>New Company Formation</w:t>
        </w:r>
      </w:hyperlink>
    </w:p>
    <w:p>
      <w:pPr>
        <w:pStyle w:val="ListBullet3"/>
      </w:pPr>
      <w:hyperlink r:id="rId42">
        <w:r>
          <w:rPr>
            <w:rStyle w:val="Hyperlink"/>
            <w:sz w:val="20"/>
            <w:color w:val="555555"/>
          </w:rPr>
          <w:t>Private Investment Funds</w:t>
        </w:r>
      </w:hyperlink>
    </w:p>
    <w:p>
      <w:pPr>
        <w:pStyle w:val="ListBullet3"/>
      </w:pPr>
      <w:hyperlink r:id="rId60">
        <w:r>
          <w:rPr>
            <w:rStyle w:val="Hyperlink"/>
            <w:sz w:val="20"/>
            <w:color w:val="555555"/>
          </w:rPr>
          <w:t>REITs &amp; Real Estate M&amp;A</w:t>
        </w:r>
      </w:hyperlink>
    </w:p>
    <w:p>
      <w:pPr>
        <w:pStyle w:val="ListBullet3"/>
      </w:pPr>
      <w:hyperlink r:id="rId61">
        <w:r>
          <w:rPr>
            <w:rStyle w:val="Hyperlink"/>
            <w:sz w:val="20"/>
            <w:color w:val="555555"/>
          </w:rPr>
          <w:t>Search Funds</w:t>
        </w:r>
      </w:hyperlink>
    </w:p>
    <w:p>
      <w:pPr>
        <w:pStyle w:val="ListBullet3"/>
      </w:pPr>
      <w:hyperlink r:id="rId62">
        <w:r>
          <w:rPr>
            <w:rStyle w:val="Hyperlink"/>
            <w:sz w:val="20"/>
            <w:color w:val="555555"/>
          </w:rPr>
          <w:t>Secondaries</w:t>
        </w:r>
      </w:hyperlink>
    </w:p>
    <w:p>
      <w:pPr>
        <w:pStyle w:val="ListBullet3"/>
      </w:pPr>
      <w:hyperlink r:id="rId63">
        <w:r>
          <w:rPr>
            <w:rStyle w:val="Hyperlink"/>
            <w:sz w:val="20"/>
            <w:color w:val="555555"/>
          </w:rPr>
          <w:t>Shareholder Activism and Takeover Defense</w:t>
        </w:r>
      </w:hyperlink>
    </w:p>
    <w:p>
      <w:pPr>
        <w:pStyle w:val="ListBullet3"/>
      </w:pPr>
      <w:hyperlink r:id="rId64">
        <w:r>
          <w:rPr>
            <w:rStyle w:val="Hyperlink"/>
            <w:sz w:val="20"/>
            <w:color w:val="555555"/>
          </w:rPr>
          <w:t>Special Purpose Acquisition Companies (SPACs)</w:t>
        </w:r>
      </w:hyperlink>
    </w:p>
    <w:p>
      <w:pPr>
        <w:pStyle w:val="ListBullet3"/>
      </w:pPr>
      <w:hyperlink r:id="rId46">
        <w:r>
          <w:rPr>
            <w:rStyle w:val="Hyperlink"/>
            <w:sz w:val="20"/>
            <w:color w:val="555555"/>
          </w:rPr>
          <w:t>Tax</w:t>
        </w:r>
      </w:hyperlink>
    </w:p>
    <w:p>
      <w:pPr>
        <w:pStyle w:val="ListBullet3"/>
      </w:pPr>
      <w:hyperlink r:id="rId47">
        <w:r>
          <w:rPr>
            <w:rStyle w:val="Hyperlink"/>
            <w:sz w:val="20"/>
            <w:color w:val="555555"/>
          </w:rPr>
          <w:t>Tax-Exempt Organizations</w:t>
        </w:r>
      </w:hyperlink>
    </w:p>
    <w:p>
      <w:pPr>
        <w:pStyle w:val="ListBullet3"/>
      </w:pPr>
      <w:hyperlink r:id="rId48">
        <w:r>
          <w:rPr>
            <w:rStyle w:val="Hyperlink"/>
            <w:sz w:val="20"/>
            <w:color w:val="555555"/>
          </w:rPr>
          <w:t>Trusts &amp; Estates</w:t>
        </w:r>
      </w:hyperlink>
    </w:p>
    <w:p>
      <w:pPr>
        <w:pStyle w:val="ListBullet3"/>
      </w:pPr>
      <w:hyperlink r:id="rId65">
        <w:r>
          <w:rPr>
            <w:rStyle w:val="Hyperlink"/>
            <w:sz w:val="20"/>
            <w:color w:val="555555"/>
          </w:rPr>
          <w:t>Venture Capital</w:t>
        </w:r>
      </w:hyperlink>
    </w:p>
    <w:p>
      <w:pPr>
        <w:pStyle w:val="ListBullet2"/>
      </w:pPr>
      <w:hyperlink r:id="rId66">
        <w:r>
          <w:rPr>
            <w:rStyle w:val="Hyperlink"/>
            <w:sz w:val="22"/>
          </w:rPr>
          <w:t>Industries — Healthcare</w:t>
        </w:r>
      </w:hyperlink>
    </w:p>
    <w:p>
      <w:pPr>
        <w:pStyle w:val="ListBullet3"/>
      </w:pPr>
      <w:hyperlink r:id="rId67">
        <w:r>
          <w:rPr>
            <w:rStyle w:val="Hyperlink"/>
            <w:sz w:val="20"/>
            <w:color w:val="555555"/>
          </w:rPr>
          <w:t>Life Sciences</w:t>
        </w:r>
      </w:hyperlink>
    </w:p>
    <w:p>
      <w:pPr>
        <w:pStyle w:val="ListBullet3"/>
      </w:pPr>
      <w:hyperlink r:id="rId68">
        <w:r>
          <w:rPr>
            <w:rStyle w:val="Hyperlink"/>
            <w:sz w:val="20"/>
            <w:color w:val="555555"/>
          </w:rPr>
          <w:t>Medtech</w:t>
        </w:r>
      </w:hyperlink>
    </w:p>
    <w:p>
      <w:pPr>
        <w:pStyle w:val="ListBullet3"/>
      </w:pPr>
      <w:hyperlink r:id="rId69">
        <w:r>
          <w:rPr>
            <w:rStyle w:val="Hyperlink"/>
            <w:sz w:val="20"/>
            <w:color w:val="555555"/>
          </w:rPr>
          <w:t>Women's Health and Wellness</w:t>
        </w:r>
      </w:hyperlink>
    </w:p>
    <w:p>
      <w:pPr>
        <w:pStyle w:val="ListBullet2"/>
      </w:pPr>
      <w:hyperlink r:id="rId39">
        <w:r>
          <w:rPr>
            <w:rStyle w:val="Hyperlink"/>
            <w:sz w:val="22"/>
          </w:rPr>
          <w:t>Industries — Investment Funds</w:t>
        </w:r>
      </w:hyperlink>
    </w:p>
    <w:p>
      <w:pPr>
        <w:pStyle w:val="ListBullet3"/>
      </w:pPr>
      <w:hyperlink r:id="rId42">
        <w:r>
          <w:rPr>
            <w:rStyle w:val="Hyperlink"/>
            <w:sz w:val="20"/>
            <w:color w:val="555555"/>
          </w:rPr>
          <w:t>Private Investment Funds</w:t>
        </w:r>
      </w:hyperlink>
    </w:p>
    <w:p>
      <w:pPr>
        <w:pStyle w:val="ListBullet3"/>
      </w:pPr>
      <w:hyperlink r:id="rId70">
        <w:r>
          <w:rPr>
            <w:rStyle w:val="Hyperlink"/>
            <w:sz w:val="20"/>
            <w:color w:val="555555"/>
          </w:rPr>
          <w:t>Registered Funds</w:t>
        </w:r>
      </w:hyperlink>
    </w:p>
    <w:p>
      <w:pPr>
        <w:pStyle w:val="ListBullet3"/>
      </w:pPr>
      <w:hyperlink r:id="rId71">
        <w:r>
          <w:rPr>
            <w:rStyle w:val="Hyperlink"/>
            <w:sz w:val="20"/>
            <w:color w:val="555555"/>
          </w:rPr>
          <w:t>Hedge Funds</w:t>
        </w:r>
      </w:hyperlink>
    </w:p>
    <w:p>
      <w:pPr>
        <w:pStyle w:val="ListBullet2"/>
      </w:pPr>
      <w:hyperlink r:id="rId67">
        <w:r>
          <w:rPr>
            <w:rStyle w:val="Hyperlink"/>
            <w:sz w:val="22"/>
          </w:rPr>
          <w:t>Industries — Life Sciences</w:t>
        </w:r>
      </w:hyperlink>
    </w:p>
    <w:p>
      <w:pPr>
        <w:pStyle w:val="ListBullet3"/>
      </w:pPr>
      <w:hyperlink r:id="rId68">
        <w:r>
          <w:rPr>
            <w:rStyle w:val="Hyperlink"/>
            <w:sz w:val="20"/>
            <w:color w:val="555555"/>
          </w:rPr>
          <w:t>Medtech</w:t>
        </w:r>
      </w:hyperlink>
    </w:p>
    <w:p>
      <w:pPr>
        <w:pStyle w:val="ListBullet2"/>
      </w:pPr>
      <w:hyperlink r:id="rId72">
        <w:r>
          <w:rPr>
            <w:rStyle w:val="Hyperlink"/>
            <w:sz w:val="22"/>
          </w:rPr>
          <w:t>Industries — Private Equity</w:t>
        </w:r>
      </w:hyperlink>
    </w:p>
    <w:p>
      <w:pPr>
        <w:pStyle w:val="ListBullet3"/>
      </w:pPr>
      <w:hyperlink r:id="rId51">
        <w:r>
          <w:rPr>
            <w:rStyle w:val="Hyperlink"/>
            <w:sz w:val="20"/>
            <w:color w:val="555555"/>
          </w:rPr>
          <w:t>Buyouts &amp; Acquisitions</w:t>
        </w:r>
      </w:hyperlink>
    </w:p>
    <w:p>
      <w:pPr>
        <w:pStyle w:val="ListBullet3"/>
      </w:pPr>
      <w:hyperlink r:id="rId54">
        <w:r>
          <w:rPr>
            <w:rStyle w:val="Hyperlink"/>
            <w:sz w:val="20"/>
            <w:color w:val="555555"/>
          </w:rPr>
          <w:t>Debt Finance</w:t>
        </w:r>
      </w:hyperlink>
    </w:p>
    <w:p>
      <w:pPr>
        <w:pStyle w:val="ListBullet3"/>
      </w:pPr>
      <w:hyperlink r:id="rId56">
        <w:r>
          <w:rPr>
            <w:rStyle w:val="Hyperlink"/>
            <w:sz w:val="20"/>
            <w:color w:val="555555"/>
          </w:rPr>
          <w:t>Growth Equity</w:t>
        </w:r>
      </w:hyperlink>
    </w:p>
    <w:p>
      <w:pPr>
        <w:pStyle w:val="ListBullet3"/>
      </w:pPr>
      <w:hyperlink r:id="rId42">
        <w:r>
          <w:rPr>
            <w:rStyle w:val="Hyperlink"/>
            <w:sz w:val="20"/>
            <w:color w:val="555555"/>
          </w:rPr>
          <w:t>Private Investment Funds</w:t>
        </w:r>
      </w:hyperlink>
    </w:p>
    <w:p>
      <w:pPr>
        <w:pStyle w:val="ListBullet2"/>
      </w:pPr>
      <w:hyperlink r:id="rId73">
        <w:r>
          <w:rPr>
            <w:rStyle w:val="Hyperlink"/>
            <w:sz w:val="22"/>
          </w:rPr>
          <w:t>Industries — Real Estate</w:t>
        </w:r>
      </w:hyperlink>
    </w:p>
    <w:p>
      <w:pPr>
        <w:pStyle w:val="ListBullet3"/>
      </w:pPr>
      <w:hyperlink r:id="rId74">
        <w:r>
          <w:rPr>
            <w:rStyle w:val="Hyperlink"/>
            <w:sz w:val="20"/>
            <w:color w:val="555555"/>
          </w:rPr>
          <w:t>Hospitality &amp; Leisure</w:t>
        </w:r>
      </w:hyperlink>
    </w:p>
    <w:p>
      <w:pPr>
        <w:pStyle w:val="ListBullet3"/>
      </w:pPr>
      <w:hyperlink r:id="rId75">
        <w:r>
          <w:rPr>
            <w:rStyle w:val="Hyperlink"/>
            <w:sz w:val="20"/>
            <w:color w:val="555555"/>
          </w:rPr>
          <w:t>Real Estate Finance &amp; Restructuring</w:t>
        </w:r>
      </w:hyperlink>
    </w:p>
    <w:p>
      <w:pPr>
        <w:pStyle w:val="ListBullet3"/>
      </w:pPr>
      <w:hyperlink r:id="rId76">
        <w:r>
          <w:rPr>
            <w:rStyle w:val="Hyperlink"/>
            <w:sz w:val="20"/>
            <w:color w:val="555555"/>
          </w:rPr>
          <w:t>Real Estate Investment Funds</w:t>
        </w:r>
      </w:hyperlink>
    </w:p>
    <w:p>
      <w:pPr>
        <w:pStyle w:val="ListBullet3"/>
      </w:pPr>
      <w:hyperlink r:id="rId77">
        <w:r>
          <w:rPr>
            <w:rStyle w:val="Hyperlink"/>
            <w:sz w:val="20"/>
            <w:color w:val="555555"/>
          </w:rPr>
          <w:t>Real Estate Joint Ventures</w:t>
        </w:r>
      </w:hyperlink>
    </w:p>
    <w:p>
      <w:pPr>
        <w:pStyle w:val="ListBullet3"/>
      </w:pPr>
      <w:hyperlink r:id="rId60">
        <w:r>
          <w:rPr>
            <w:rStyle w:val="Hyperlink"/>
            <w:sz w:val="20"/>
            <w:color w:val="555555"/>
          </w:rPr>
          <w:t>REITs &amp; Real Estate M&amp;A</w:t>
        </w:r>
      </w:hyperlink>
    </w:p>
    <w:p>
      <w:pPr>
        <w:pStyle w:val="ListBullet2"/>
      </w:pPr>
      <w:hyperlink r:id="rId78">
        <w:r>
          <w:rPr>
            <w:rStyle w:val="Hyperlink"/>
            <w:sz w:val="22"/>
          </w:rPr>
          <w:t>Industries — Technology</w:t>
        </w:r>
      </w:hyperlink>
    </w:p>
    <w:p>
      <w:pPr>
        <w:pStyle w:val="ListBullet3"/>
      </w:pPr>
      <w:hyperlink r:id="rId79">
        <w:r>
          <w:rPr>
            <w:rStyle w:val="Hyperlink"/>
            <w:sz w:val="20"/>
            <w:color w:val="555555"/>
          </w:rPr>
          <w:t>Artificial Intelligence</w:t>
        </w:r>
      </w:hyperlink>
    </w:p>
    <w:p>
      <w:pPr>
        <w:pStyle w:val="ListBullet3"/>
      </w:pPr>
      <w:hyperlink r:id="rId80">
        <w:r>
          <w:rPr>
            <w:rStyle w:val="Hyperlink"/>
            <w:sz w:val="20"/>
            <w:color w:val="555555"/>
          </w:rPr>
          <w:t>Climate Tech</w:t>
        </w:r>
      </w:hyperlink>
    </w:p>
    <w:p>
      <w:pPr>
        <w:pStyle w:val="ListBullet3"/>
      </w:pPr>
      <w:hyperlink r:id="rId32">
        <w:r>
          <w:rPr>
            <w:rStyle w:val="Hyperlink"/>
            <w:sz w:val="20"/>
            <w:color w:val="555555"/>
          </w:rPr>
          <w:t>Digital Currency &amp; Blockchain</w:t>
        </w:r>
      </w:hyperlink>
    </w:p>
    <w:p>
      <w:pPr>
        <w:pStyle w:val="ListBullet3"/>
      </w:pPr>
      <w:hyperlink r:id="rId81">
        <w:r>
          <w:rPr>
            <w:rStyle w:val="Hyperlink"/>
            <w:sz w:val="20"/>
            <w:color w:val="555555"/>
          </w:rPr>
          <w:t>Industrial Technology &amp; Advanced Manufacturing</w:t>
        </w:r>
      </w:hyperlink>
    </w:p>
    <w:p>
      <w:pPr>
        <w:pStyle w:val="ListBullet3"/>
      </w:pPr>
      <w:hyperlink r:id="rId42">
        <w:r>
          <w:rPr>
            <w:rStyle w:val="Hyperlink"/>
            <w:sz w:val="20"/>
            <w:color w:val="555555"/>
          </w:rPr>
          <w:t>Private Investment Funds</w:t>
        </w:r>
      </w:hyperlink>
    </w:p>
    <w:p>
      <w:pPr>
        <w:pStyle w:val="ListBullet2"/>
      </w:pPr>
      <w:hyperlink r:id="rId82">
        <w:r>
          <w:rPr>
            <w:rStyle w:val="Hyperlink"/>
            <w:sz w:val="22"/>
          </w:rPr>
          <w:t>Industries — Financial Services</w:t>
        </w:r>
      </w:hyperlink>
    </w:p>
    <w:p>
      <w:pPr>
        <w:pStyle w:val="ListBullet3"/>
      </w:pPr>
      <w:hyperlink r:id="rId50">
        <w:r>
          <w:rPr>
            <w:rStyle w:val="Hyperlink"/>
            <w:sz w:val="20"/>
            <w:color w:val="555555"/>
          </w:rPr>
          <w:t>Asset Management Transactions</w:t>
        </w:r>
      </w:hyperlink>
    </w:p>
    <w:p>
      <w:pPr>
        <w:pStyle w:val="ListBullet3"/>
      </w:pPr>
      <w:hyperlink r:id="rId31">
        <w:r>
          <w:rPr>
            <w:rStyle w:val="Hyperlink"/>
            <w:sz w:val="20"/>
            <w:color w:val="555555"/>
          </w:rPr>
          <w:t>Banking</w:t>
        </w:r>
      </w:hyperlink>
    </w:p>
    <w:p>
      <w:pPr>
        <w:pStyle w:val="ListBullet3"/>
      </w:pPr>
      <w:hyperlink r:id="rId83">
        <w:r>
          <w:rPr>
            <w:rStyle w:val="Hyperlink"/>
            <w:sz w:val="20"/>
            <w:color w:val="555555"/>
          </w:rPr>
          <w:t>Brokers, Exchanges, and Trading</w:t>
        </w:r>
      </w:hyperlink>
    </w:p>
    <w:p>
      <w:pPr>
        <w:pStyle w:val="ListBullet3"/>
      </w:pPr>
      <w:hyperlink r:id="rId84">
        <w:r>
          <w:rPr>
            <w:rStyle w:val="Hyperlink"/>
            <w:sz w:val="20"/>
            <w:color w:val="555555"/>
          </w:rPr>
          <w:t>Consumer Financial Services</w:t>
        </w:r>
      </w:hyperlink>
    </w:p>
    <w:p>
      <w:pPr>
        <w:pStyle w:val="ListBullet3"/>
      </w:pPr>
      <w:hyperlink r:id="rId36">
        <w:r>
          <w:rPr>
            <w:rStyle w:val="Hyperlink"/>
            <w:sz w:val="20"/>
            <w:color w:val="555555"/>
          </w:rPr>
          <w:t>Fintech</w:t>
        </w:r>
      </w:hyperlink>
    </w:p>
    <w:p>
      <w:pPr>
        <w:pStyle w:val="ListBullet3"/>
      </w:pPr>
      <w:hyperlink r:id="rId85">
        <w:r>
          <w:rPr>
            <w:rStyle w:val="Hyperlink"/>
            <w:sz w:val="20"/>
            <w:color w:val="555555"/>
          </w:rPr>
          <w:t>Insurance</w:t>
        </w:r>
      </w:hyperlink>
    </w:p>
    <w:p>
      <w:pPr>
        <w:pStyle w:val="ListBullet3"/>
      </w:pPr>
      <w:hyperlink r:id="rId38">
        <w:r>
          <w:rPr>
            <w:rStyle w:val="Hyperlink"/>
            <w:sz w:val="20"/>
            <w:color w:val="555555"/>
          </w:rPr>
          <w:t>Insurtech</w:t>
        </w:r>
      </w:hyperlink>
    </w:p>
    <w:p>
      <w:pPr>
        <w:pStyle w:val="ListBullet3"/>
      </w:pPr>
      <w:hyperlink r:id="rId39">
        <w:r>
          <w:rPr>
            <w:rStyle w:val="Hyperlink"/>
            <w:sz w:val="20"/>
            <w:color w:val="555555"/>
          </w:rPr>
          <w:t>Investment Management</w:t>
        </w:r>
      </w:hyperlink>
    </w:p>
    <w:p/>
    <w:p>
      <w:pPr>
        <w:pStyle w:val="ListBullet"/>
        <w:ind w:left="0"/>
      </w:pPr>
      <w:hyperlink r:id="rId86">
        <w:r>
          <w:rPr>
            <w:rStyle w:val="Hyperlink"/>
            <w:b/>
            <w:sz w:val="26"/>
          </w:rPr>
          <w:t>People</w:t>
        </w:r>
      </w:hyperlink>
    </w:p>
    <w:p/>
    <w:p>
      <w:pPr>
        <w:pStyle w:val="ListBullet"/>
        <w:ind w:left="0"/>
      </w:pPr>
      <w:hyperlink r:id="rId87">
        <w:r>
          <w:rPr>
            <w:rStyle w:val="Hyperlink"/>
            <w:b/>
            <w:sz w:val="26"/>
          </w:rPr>
          <w:t>Careers</w:t>
        </w:r>
      </w:hyperlink>
    </w:p>
    <w:p>
      <w:pPr>
        <w:pStyle w:val="ListBullet2"/>
      </w:pPr>
      <w:hyperlink r:id="rId88">
        <w:r>
          <w:rPr>
            <w:rStyle w:val="Hyperlink"/>
            <w:sz w:val="22"/>
          </w:rPr>
          <w:t>Legal Careers</w:t>
        </w:r>
      </w:hyperlink>
    </w:p>
    <w:p>
      <w:pPr>
        <w:pStyle w:val="ListBullet2"/>
      </w:pPr>
      <w:hyperlink r:id="rId89">
        <w:r>
          <w:rPr>
            <w:rStyle w:val="Hyperlink"/>
            <w:sz w:val="22"/>
          </w:rPr>
          <w:t>Paralegal Careers</w:t>
        </w:r>
      </w:hyperlink>
    </w:p>
    <w:p>
      <w:pPr>
        <w:pStyle w:val="ListBullet2"/>
      </w:pPr>
      <w:hyperlink r:id="rId90">
        <w:r>
          <w:rPr>
            <w:rStyle w:val="Hyperlink"/>
            <w:sz w:val="22"/>
          </w:rPr>
          <w:t>Science Advisor Careers</w:t>
        </w:r>
      </w:hyperlink>
    </w:p>
    <w:p>
      <w:pPr>
        <w:pStyle w:val="ListBullet2"/>
      </w:pPr>
      <w:hyperlink r:id="rId91">
        <w:r>
          <w:rPr>
            <w:rStyle w:val="Hyperlink"/>
            <w:sz w:val="22"/>
          </w:rPr>
          <w:t>Global Operations Team Careers</w:t>
        </w:r>
      </w:hyperlink>
    </w:p>
    <w:p/>
    <w:p>
      <w:pPr>
        <w:pStyle w:val="ListBullet"/>
        <w:ind w:left="0"/>
      </w:pPr>
      <w:hyperlink r:id="rId92">
        <w:r>
          <w:rPr>
            <w:rStyle w:val="Hyperlink"/>
            <w:b/>
            <w:sz w:val="26"/>
          </w:rPr>
          <w:t>Insights &amp; Resources</w:t>
        </w:r>
      </w:hyperlink>
    </w:p>
    <w:p>
      <w:pPr>
        <w:pStyle w:val="ListBullet2"/>
      </w:pPr>
      <w:hyperlink r:id="rId93">
        <w:r>
          <w:rPr>
            <w:rStyle w:val="Hyperlink"/>
            <w:sz w:val="22"/>
          </w:rPr>
          <w:t>Publications</w:t>
        </w:r>
      </w:hyperlink>
    </w:p>
    <w:p>
      <w:pPr>
        <w:pStyle w:val="ListBullet2"/>
      </w:pPr>
      <w:hyperlink r:id="rId94">
        <w:r>
          <w:rPr>
            <w:rStyle w:val="Hyperlink"/>
            <w:sz w:val="22"/>
          </w:rPr>
          <w:t>Blog Posts</w:t>
        </w:r>
      </w:hyperlink>
    </w:p>
    <w:p>
      <w:pPr>
        <w:pStyle w:val="ListBullet2"/>
      </w:pPr>
      <w:hyperlink r:id="rId95">
        <w:r>
          <w:rPr>
            <w:rStyle w:val="Hyperlink"/>
            <w:sz w:val="22"/>
          </w:rPr>
          <w:t>Newsletters</w:t>
        </w:r>
      </w:hyperlink>
    </w:p>
    <w:p>
      <w:pPr>
        <w:pStyle w:val="ListBullet2"/>
      </w:pPr>
      <w:hyperlink r:id="rId96">
        <w:r>
          <w:rPr>
            <w:rStyle w:val="Hyperlink"/>
            <w:sz w:val="22"/>
          </w:rPr>
          <w:t>Case Studies</w:t>
        </w:r>
      </w:hyperlink>
    </w:p>
    <w:p/>
    <w:p>
      <w:pPr>
        <w:pStyle w:val="ListBullet"/>
        <w:ind w:left="0"/>
      </w:pPr>
      <w:hyperlink r:id="rId97">
        <w:r>
          <w:rPr>
            <w:rStyle w:val="Hyperlink"/>
            <w:b/>
            <w:sz w:val="26"/>
          </w:rPr>
          <w:t>About Us</w:t>
        </w:r>
      </w:hyperlink>
    </w:p>
    <w:p>
      <w:pPr>
        <w:pStyle w:val="ListBullet2"/>
      </w:pPr>
      <w:hyperlink r:id="rId98">
        <w:r>
          <w:rPr>
            <w:rStyle w:val="Hyperlink"/>
            <w:sz w:val="22"/>
          </w:rPr>
          <w:t>Our Story</w:t>
        </w:r>
      </w:hyperlink>
    </w:p>
    <w:p>
      <w:pPr>
        <w:pStyle w:val="ListBullet2"/>
      </w:pPr>
      <w:hyperlink r:id="rId99">
        <w:r>
          <w:rPr>
            <w:rStyle w:val="Hyperlink"/>
            <w:sz w:val="22"/>
          </w:rPr>
          <w:t>The Goodwin Way</w:t>
        </w:r>
      </w:hyperlink>
    </w:p>
    <w:p>
      <w:pPr>
        <w:pStyle w:val="ListBullet2"/>
      </w:pPr>
      <w:hyperlink r:id="rId100">
        <w:r>
          <w:rPr>
            <w:rStyle w:val="Hyperlink"/>
            <w:sz w:val="22"/>
          </w:rPr>
          <w:t>Opportunity, Inclusion, and Belonging</w:t>
        </w:r>
      </w:hyperlink>
    </w:p>
    <w:p>
      <w:pPr>
        <w:pStyle w:val="ListBullet2"/>
      </w:pPr>
      <w:hyperlink r:id="rId101">
        <w:r>
          <w:rPr>
            <w:rStyle w:val="Hyperlink"/>
            <w:sz w:val="22"/>
          </w:rPr>
          <w:t>Pro Bono</w:t>
        </w:r>
      </w:hyperlink>
    </w:p>
    <w:p>
      <w:pPr>
        <w:pStyle w:val="ListBullet2"/>
      </w:pPr>
      <w:hyperlink r:id="rId102">
        <w:r>
          <w:rPr>
            <w:rStyle w:val="Hyperlink"/>
            <w:sz w:val="22"/>
          </w:rPr>
          <w:t>Firm Leadership</w:t>
        </w:r>
      </w:hyperlink>
    </w:p>
    <w:p/>
    <w:p>
      <w:pPr>
        <w:pStyle w:val="ListBullet"/>
        <w:ind w:left="0"/>
      </w:pPr>
      <w:hyperlink r:id="rId103">
        <w:r>
          <w:rPr>
            <w:rStyle w:val="Hyperlink"/>
            <w:b/>
            <w:sz w:val="26"/>
          </w:rPr>
          <w:t>Locations</w:t>
        </w:r>
      </w:hyperlink>
    </w:p>
    <w:p>
      <w:pPr>
        <w:pStyle w:val="ListBullet2"/>
      </w:pPr>
      <w:hyperlink r:id="rId104">
        <w:r>
          <w:rPr>
            <w:rStyle w:val="Hyperlink"/>
            <w:sz w:val="22"/>
          </w:rPr>
          <w:t>Boston</w:t>
        </w:r>
      </w:hyperlink>
    </w:p>
    <w:p>
      <w:pPr>
        <w:pStyle w:val="ListBullet2"/>
      </w:pPr>
      <w:hyperlink r:id="rId105">
        <w:r>
          <w:rPr>
            <w:rStyle w:val="Hyperlink"/>
            <w:sz w:val="22"/>
          </w:rPr>
          <w:t>Los Angeles</w:t>
        </w:r>
      </w:hyperlink>
    </w:p>
    <w:p>
      <w:pPr>
        <w:pStyle w:val="ListBullet2"/>
      </w:pPr>
      <w:hyperlink r:id="rId106">
        <w:r>
          <w:rPr>
            <w:rStyle w:val="Hyperlink"/>
            <w:sz w:val="22"/>
          </w:rPr>
          <w:t>New York</w:t>
        </w:r>
      </w:hyperlink>
    </w:p>
    <w:p>
      <w:pPr>
        <w:pStyle w:val="ListBullet2"/>
      </w:pPr>
      <w:hyperlink r:id="rId107">
        <w:r>
          <w:rPr>
            <w:rStyle w:val="Hyperlink"/>
            <w:sz w:val="22"/>
          </w:rPr>
          <w:t>Orange County</w:t>
        </w:r>
      </w:hyperlink>
    </w:p>
    <w:p>
      <w:pPr>
        <w:pStyle w:val="ListBullet2"/>
      </w:pPr>
      <w:hyperlink r:id="rId108">
        <w:r>
          <w:rPr>
            <w:rStyle w:val="Hyperlink"/>
            <w:sz w:val="22"/>
          </w:rPr>
          <w:t>Philadelphia</w:t>
        </w:r>
      </w:hyperlink>
    </w:p>
    <w:p>
      <w:pPr>
        <w:pStyle w:val="ListBullet2"/>
      </w:pPr>
      <w:hyperlink r:id="rId109">
        <w:r>
          <w:rPr>
            <w:rStyle w:val="Hyperlink"/>
            <w:sz w:val="22"/>
          </w:rPr>
          <w:t>San Francisco</w:t>
        </w:r>
      </w:hyperlink>
    </w:p>
    <w:p>
      <w:pPr>
        <w:pStyle w:val="ListBullet2"/>
      </w:pPr>
      <w:hyperlink r:id="rId110">
        <w:r>
          <w:rPr>
            <w:rStyle w:val="Hyperlink"/>
            <w:sz w:val="22"/>
          </w:rPr>
          <w:t>Santa Monica</w:t>
        </w:r>
      </w:hyperlink>
    </w:p>
    <w:p>
      <w:pPr>
        <w:pStyle w:val="ListBullet2"/>
      </w:pPr>
      <w:hyperlink r:id="rId111">
        <w:r>
          <w:rPr>
            <w:rStyle w:val="Hyperlink"/>
            <w:sz w:val="22"/>
          </w:rPr>
          <w:t>Silicon Valley</w:t>
        </w:r>
      </w:hyperlink>
    </w:p>
    <w:p>
      <w:pPr>
        <w:pStyle w:val="ListBullet2"/>
      </w:pPr>
      <w:hyperlink r:id="rId112">
        <w:r>
          <w:rPr>
            <w:rStyle w:val="Hyperlink"/>
            <w:sz w:val="22"/>
          </w:rPr>
          <w:t>Washington DC</w:t>
        </w:r>
      </w:hyperlink>
    </w:p>
    <w:p>
      <w:pPr>
        <w:pStyle w:val="ListBullet2"/>
      </w:pPr>
      <w:hyperlink r:id="rId113">
        <w:r>
          <w:rPr>
            <w:rStyle w:val="Hyperlink"/>
            <w:sz w:val="22"/>
          </w:rPr>
          <w:t>Brussels</w:t>
        </w:r>
      </w:hyperlink>
    </w:p>
    <w:p>
      <w:pPr>
        <w:pStyle w:val="ListBullet2"/>
      </w:pPr>
      <w:hyperlink r:id="rId114">
        <w:r>
          <w:rPr>
            <w:rStyle w:val="Hyperlink"/>
            <w:sz w:val="22"/>
          </w:rPr>
          <w:t>Cambridge UK</w:t>
        </w:r>
      </w:hyperlink>
    </w:p>
    <w:p>
      <w:pPr>
        <w:pStyle w:val="ListBullet2"/>
      </w:pPr>
      <w:hyperlink r:id="rId115">
        <w:r>
          <w:rPr>
            <w:rStyle w:val="Hyperlink"/>
            <w:sz w:val="22"/>
          </w:rPr>
          <w:t>London</w:t>
        </w:r>
      </w:hyperlink>
    </w:p>
    <w:p>
      <w:pPr>
        <w:pStyle w:val="ListBullet2"/>
      </w:pPr>
      <w:hyperlink r:id="rId116">
        <w:r>
          <w:rPr>
            <w:rStyle w:val="Hyperlink"/>
            <w:sz w:val="22"/>
          </w:rPr>
          <w:t>Luxembourg</w:t>
        </w:r>
      </w:hyperlink>
    </w:p>
    <w:p>
      <w:pPr>
        <w:pStyle w:val="ListBullet2"/>
      </w:pPr>
      <w:hyperlink r:id="rId117">
        <w:r>
          <w:rPr>
            <w:rStyle w:val="Hyperlink"/>
            <w:sz w:val="22"/>
          </w:rPr>
          <w:t>Munich</w:t>
        </w:r>
      </w:hyperlink>
    </w:p>
    <w:p>
      <w:pPr>
        <w:pStyle w:val="ListBullet2"/>
      </w:pPr>
      <w:hyperlink r:id="rId118">
        <w:r>
          <w:rPr>
            <w:rStyle w:val="Hyperlink"/>
            <w:sz w:val="22"/>
          </w:rPr>
          <w:t>Paris</w:t>
        </w:r>
      </w:hyperlink>
    </w:p>
    <w:p>
      <w:pPr>
        <w:pStyle w:val="ListBullet2"/>
      </w:pPr>
      <w:hyperlink r:id="rId119">
        <w:r>
          <w:rPr>
            <w:rStyle w:val="Hyperlink"/>
            <w:sz w:val="22"/>
          </w:rPr>
          <w:t>Hong Kong</w:t>
        </w:r>
      </w:hyperlink>
    </w:p>
    <w:p>
      <w:pPr>
        <w:pStyle w:val="ListBullet2"/>
      </w:pPr>
      <w:hyperlink r:id="rId120">
        <w:r>
          <w:rPr>
            <w:rStyle w:val="Hyperlink"/>
            <w:sz w:val="22"/>
          </w:rPr>
          <w:t>Singapore</w:t>
        </w:r>
      </w:hyperlink>
    </w:p>
    <w:p/>
    <w:p>
      <w:pPr>
        <w:pStyle w:val="ListBullet"/>
        <w:ind w:left="0"/>
      </w:pPr>
      <w:hyperlink r:id="rId121">
        <w:r>
          <w:rPr>
            <w:rStyle w:val="Hyperlink"/>
            <w:b/>
            <w:sz w:val="26"/>
          </w:rPr>
          <w:t>News &amp; Events</w:t>
        </w:r>
      </w:hyperlink>
    </w:p>
    <w:p/>
    <w:p>
      <w:pPr>
        <w:pStyle w:val="ListBullet"/>
        <w:ind w:left="0"/>
      </w:pPr>
      <w:hyperlink r:id="rId122">
        <w:r>
          <w:rPr>
            <w:rStyle w:val="Hyperlink"/>
            <w:b/>
            <w:sz w:val="26"/>
          </w:rPr>
          <w:t>Alumni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oodwinlaw.com/en/expertise" TargetMode="External"/><Relationship Id="rId10" Type="http://schemas.openxmlformats.org/officeDocument/2006/relationships/hyperlink" Target="https://goodwinlaw.com/en/expertise#litigation" TargetMode="External"/><Relationship Id="rId11" Type="http://schemas.openxmlformats.org/officeDocument/2006/relationships/hyperlink" Target="https://goodwinlaw.com/en/expertise/practices/antitrust-and-international-competition" TargetMode="External"/><Relationship Id="rId12" Type="http://schemas.openxmlformats.org/officeDocument/2006/relationships/hyperlink" Target="https://goodwinlaw.com/en/expertise/practices/appellate-and-supreme-court-litigation" TargetMode="External"/><Relationship Id="rId13" Type="http://schemas.openxmlformats.org/officeDocument/2006/relationships/hyperlink" Target="https://goodwinlaw.com/en/expertise/practices/business-litigation" TargetMode="External"/><Relationship Id="rId14" Type="http://schemas.openxmlformats.org/officeDocument/2006/relationships/hyperlink" Target="https://goodwinlaw.com/en/expertise/practices/complex-litigation-and-dispute-resolution" TargetMode="External"/><Relationship Id="rId15" Type="http://schemas.openxmlformats.org/officeDocument/2006/relationships/hyperlink" Target="https://goodwinlaw.com/en/expertise/practices/data-and-privacy-and-cybersecurity" TargetMode="External"/><Relationship Id="rId16" Type="http://schemas.openxmlformats.org/officeDocument/2006/relationships/hyperlink" Target="https://goodwinlaw.com/en/expertise/practices/employment" TargetMode="External"/><Relationship Id="rId17" Type="http://schemas.openxmlformats.org/officeDocument/2006/relationships/hyperlink" Target="https://goodwinlaw.com/en/expertise/practices/environmental" TargetMode="External"/><Relationship Id="rId18" Type="http://schemas.openxmlformats.org/officeDocument/2006/relationships/hyperlink" Target="https://goodwinlaw.com/en/expertise/practices/erisa-litigation" TargetMode="External"/><Relationship Id="rId19" Type="http://schemas.openxmlformats.org/officeDocument/2006/relationships/hyperlink" Target="https://goodwinlaw.com/en/expertise/practices/financial-services-litigation" TargetMode="External"/><Relationship Id="rId20" Type="http://schemas.openxmlformats.org/officeDocument/2006/relationships/hyperlink" Target="https://goodwinlaw.com/en/expertise/practices/government-contracts-and-grants" TargetMode="External"/><Relationship Id="rId21" Type="http://schemas.openxmlformats.org/officeDocument/2006/relationships/hyperlink" Target="https://goodwinlaw.com/en/expertise/practices/enforcement-and-government-investigations" TargetMode="External"/><Relationship Id="rId22" Type="http://schemas.openxmlformats.org/officeDocument/2006/relationships/hyperlink" Target="https://goodwinlaw.com/en/expertise/practices/intellectual-property-litigation" TargetMode="External"/><Relationship Id="rId23" Type="http://schemas.openxmlformats.org/officeDocument/2006/relationships/hyperlink" Target="https://goodwinlaw.com/en/expertise/practices/investment-management-litigation" TargetMode="External"/><Relationship Id="rId24" Type="http://schemas.openxmlformats.org/officeDocument/2006/relationships/hyperlink" Target="https://goodwinlaw.com/en/expertise/practices/life-sciences-and-technology-arbitration-practice" TargetMode="External"/><Relationship Id="rId25" Type="http://schemas.openxmlformats.org/officeDocument/2006/relationships/hyperlink" Target="https://goodwinlaw.com/en/expertise/practices/litigation" TargetMode="External"/><Relationship Id="rId26" Type="http://schemas.openxmlformats.org/officeDocument/2006/relationships/hyperlink" Target="https://goodwinlaw.com/en/expertise/practices/national-security" TargetMode="External"/><Relationship Id="rId27" Type="http://schemas.openxmlformats.org/officeDocument/2006/relationships/hyperlink" Target="https://goodwinlaw.com/en/expertise/practices/products-litigation-and-counseling" TargetMode="External"/><Relationship Id="rId28" Type="http://schemas.openxmlformats.org/officeDocument/2006/relationships/hyperlink" Target="https://goodwinlaw.com/en/expertise/practices/securities-litigation-and-sec-enforcement" TargetMode="External"/><Relationship Id="rId29" Type="http://schemas.openxmlformats.org/officeDocument/2006/relationships/hyperlink" Target="https://goodwinlaw.com/en/expertise/practices/trade-secrets-employee-mobility-non-competes" TargetMode="External"/><Relationship Id="rId30" Type="http://schemas.openxmlformats.org/officeDocument/2006/relationships/hyperlink" Target="https://goodwinlaw.com/en/expertise#regulatory" TargetMode="External"/><Relationship Id="rId31" Type="http://schemas.openxmlformats.org/officeDocument/2006/relationships/hyperlink" Target="https://goodwinlaw.com/en/expertise/practices/banking" TargetMode="External"/><Relationship Id="rId32" Type="http://schemas.openxmlformats.org/officeDocument/2006/relationships/hyperlink" Target="https://goodwinlaw.com/en/expertise/practices/digital-currency-and-block-chain" TargetMode="External"/><Relationship Id="rId33" Type="http://schemas.openxmlformats.org/officeDocument/2006/relationships/hyperlink" Target="https://goodwinlaw.com/en/expertise/practices/erisa-and-executive-compensation" TargetMode="External"/><Relationship Id="rId34" Type="http://schemas.openxmlformats.org/officeDocument/2006/relationships/hyperlink" Target="https://goodwinlaw.com/en/expertise/practices/esg-and-impact" TargetMode="External"/><Relationship Id="rId35" Type="http://schemas.openxmlformats.org/officeDocument/2006/relationships/hyperlink" Target="https://goodwinlaw.com/en/expertise/practices/financial-restructuring" TargetMode="External"/><Relationship Id="rId36" Type="http://schemas.openxmlformats.org/officeDocument/2006/relationships/hyperlink" Target="https://goodwinlaw.com/en/expertise/practices/fintech" TargetMode="External"/><Relationship Id="rId37" Type="http://schemas.openxmlformats.org/officeDocument/2006/relationships/hyperlink" Target="https://goodwinlaw.com/en/expertise/practices/global-trade" TargetMode="External"/><Relationship Id="rId38" Type="http://schemas.openxmlformats.org/officeDocument/2006/relationships/hyperlink" Target="https://goodwinlaw.com/en/expertise/industries/insurtech" TargetMode="External"/><Relationship Id="rId39" Type="http://schemas.openxmlformats.org/officeDocument/2006/relationships/hyperlink" Target="https://goodwinlaw.com/en/expertise/industries/investment-management" TargetMode="External"/><Relationship Id="rId40" Type="http://schemas.openxmlformats.org/officeDocument/2006/relationships/hyperlink" Target="https://goodwinlaw.com/en/expertise/practices/late-stage-drug-development" TargetMode="External"/><Relationship Id="rId41" Type="http://schemas.openxmlformats.org/officeDocument/2006/relationships/hyperlink" Target="https://goodwinlaw.com/en/expertise/practices/life-sciences-regulatory-and-compliance" TargetMode="External"/><Relationship Id="rId42" Type="http://schemas.openxmlformats.org/officeDocument/2006/relationships/hyperlink" Target="https://goodwinlaw.com/en/expertise/industries/private-investment-funds" TargetMode="External"/><Relationship Id="rId43" Type="http://schemas.openxmlformats.org/officeDocument/2006/relationships/hyperlink" Target="https://goodwinlaw.com/en/expertise/industries/proptech" TargetMode="External"/><Relationship Id="rId44" Type="http://schemas.openxmlformats.org/officeDocument/2006/relationships/hyperlink" Target="https://goodwinlaw.com/en/expertise/practices/public-company-advisory-practice" TargetMode="External"/><Relationship Id="rId45" Type="http://schemas.openxmlformats.org/officeDocument/2006/relationships/hyperlink" Target="https://goodwinlaw.com/en/expertise/practices/risk-management-and-insurance" TargetMode="External"/><Relationship Id="rId46" Type="http://schemas.openxmlformats.org/officeDocument/2006/relationships/hyperlink" Target="https://goodwinlaw.com/en/expertise/practices/tax" TargetMode="External"/><Relationship Id="rId47" Type="http://schemas.openxmlformats.org/officeDocument/2006/relationships/hyperlink" Target="https://goodwinlaw.com/en/expertise/industries/tax-exempt-organizations" TargetMode="External"/><Relationship Id="rId48" Type="http://schemas.openxmlformats.org/officeDocument/2006/relationships/hyperlink" Target="https://goodwinlaw.com/en/expertise/practices/trusts-and-estate-planning" TargetMode="External"/><Relationship Id="rId49" Type="http://schemas.openxmlformats.org/officeDocument/2006/relationships/hyperlink" Target="https://goodwinlaw.com/en/expertise#transactions" TargetMode="External"/><Relationship Id="rId50" Type="http://schemas.openxmlformats.org/officeDocument/2006/relationships/hyperlink" Target="https://goodwinlaw.com/en/expertise/practices/asset-management-transactions" TargetMode="External"/><Relationship Id="rId51" Type="http://schemas.openxmlformats.org/officeDocument/2006/relationships/hyperlink" Target="https://goodwinlaw.com/en/expertise/practices/buyouts-and-acquisitions" TargetMode="External"/><Relationship Id="rId52" Type="http://schemas.openxmlformats.org/officeDocument/2006/relationships/hyperlink" Target="https://goodwinlaw.com/en/expertise/practices/capital-markets" TargetMode="External"/><Relationship Id="rId53" Type="http://schemas.openxmlformats.org/officeDocument/2006/relationships/hyperlink" Target="https://goodwinlaw.com/en/expertise/practices/corporate-social-responsibility-law-and-policy" TargetMode="External"/><Relationship Id="rId54" Type="http://schemas.openxmlformats.org/officeDocument/2006/relationships/hyperlink" Target="https://goodwinlaw.com/en/expertise/practices/debt-finance" TargetMode="External"/><Relationship Id="rId55" Type="http://schemas.openxmlformats.org/officeDocument/2006/relationships/hyperlink" Target="https://goodwinlaw.com/en/expertise/practices/derivatives" TargetMode="External"/><Relationship Id="rId56" Type="http://schemas.openxmlformats.org/officeDocument/2006/relationships/hyperlink" Target="https://goodwinlaw.com/en/expertise/practices/growth-equity" TargetMode="External"/><Relationship Id="rId57" Type="http://schemas.openxmlformats.org/officeDocument/2006/relationships/hyperlink" Target="https://goodwinlaw.com/en/expertise/practices/intellectual-property" TargetMode="External"/><Relationship Id="rId58" Type="http://schemas.openxmlformats.org/officeDocument/2006/relationships/hyperlink" Target="https://goodwinlaw.com/en/expertise/practices/m-and-a-corporate-governance" TargetMode="External"/><Relationship Id="rId59" Type="http://schemas.openxmlformats.org/officeDocument/2006/relationships/hyperlink" Target="https://goodwinlaw.com/en/expertise/practices/new-company-formation" TargetMode="External"/><Relationship Id="rId60" Type="http://schemas.openxmlformats.org/officeDocument/2006/relationships/hyperlink" Target="https://goodwinlaw.com/en/expertise/industries/reits" TargetMode="External"/><Relationship Id="rId61" Type="http://schemas.openxmlformats.org/officeDocument/2006/relationships/hyperlink" Target="https://goodwinlaw.com/en/expertise/practices/search-funds" TargetMode="External"/><Relationship Id="rId62" Type="http://schemas.openxmlformats.org/officeDocument/2006/relationships/hyperlink" Target="https://goodwinlaw.com/en/expertise/practices/secondaries" TargetMode="External"/><Relationship Id="rId63" Type="http://schemas.openxmlformats.org/officeDocument/2006/relationships/hyperlink" Target="https://goodwinlaw.com/en/expertise/practices/shareholder-activism-and-takeover-defense" TargetMode="External"/><Relationship Id="rId64" Type="http://schemas.openxmlformats.org/officeDocument/2006/relationships/hyperlink" Target="https://goodwinlaw.com/en/expertise/practices/spacs" TargetMode="External"/><Relationship Id="rId65" Type="http://schemas.openxmlformats.org/officeDocument/2006/relationships/hyperlink" Target="https://goodwinlaw.com/en/expertise/practices/venture-capital" TargetMode="External"/><Relationship Id="rId66" Type="http://schemas.openxmlformats.org/officeDocument/2006/relationships/hyperlink" Target="https://goodwinlaw.com/en/expertise/industries/healthcare" TargetMode="External"/><Relationship Id="rId67" Type="http://schemas.openxmlformats.org/officeDocument/2006/relationships/hyperlink" Target="https://goodwinlaw.com/en/expertise/industries/life-sciences" TargetMode="External"/><Relationship Id="rId68" Type="http://schemas.openxmlformats.org/officeDocument/2006/relationships/hyperlink" Target="https://goodwinlaw.com/en/expertise/industries/medtech" TargetMode="External"/><Relationship Id="rId69" Type="http://schemas.openxmlformats.org/officeDocument/2006/relationships/hyperlink" Target="https://goodwinlaw.com/en/expertise/industries/womens-health-and-wellness" TargetMode="External"/><Relationship Id="rId70" Type="http://schemas.openxmlformats.org/officeDocument/2006/relationships/hyperlink" Target="https://goodwinlaw.com/en/expertise/practices/registered-funds" TargetMode="External"/><Relationship Id="rId71" Type="http://schemas.openxmlformats.org/officeDocument/2006/relationships/hyperlink" Target="https://goodwinlaw.com/en/expertise/practices/hedge-funds" TargetMode="External"/><Relationship Id="rId72" Type="http://schemas.openxmlformats.org/officeDocument/2006/relationships/hyperlink" Target="https://goodwinlaw.com/en/expertise/industries/private-equity" TargetMode="External"/><Relationship Id="rId73" Type="http://schemas.openxmlformats.org/officeDocument/2006/relationships/hyperlink" Target="https://goodwinlaw.com/en/expertise/industries/real-estate-industry" TargetMode="External"/><Relationship Id="rId74" Type="http://schemas.openxmlformats.org/officeDocument/2006/relationships/hyperlink" Target="https://goodwinlaw.com/en/expertise/industries/hospitality" TargetMode="External"/><Relationship Id="rId75" Type="http://schemas.openxmlformats.org/officeDocument/2006/relationships/hyperlink" Target="https://goodwinlaw.com/en/expertise/practices/real-estate-finance" TargetMode="External"/><Relationship Id="rId76" Type="http://schemas.openxmlformats.org/officeDocument/2006/relationships/hyperlink" Target="https://goodwinlaw.com/en/expertise/practices/real-estate-private-investment-funds" TargetMode="External"/><Relationship Id="rId77" Type="http://schemas.openxmlformats.org/officeDocument/2006/relationships/hyperlink" Target="https://goodwinlaw.com/en/expertise/practices/real-estate-joint-ventures" TargetMode="External"/><Relationship Id="rId78" Type="http://schemas.openxmlformats.org/officeDocument/2006/relationships/hyperlink" Target="https://goodwinlaw.com/en/expertise/industries/technology-companies" TargetMode="External"/><Relationship Id="rId79" Type="http://schemas.openxmlformats.org/officeDocument/2006/relationships/hyperlink" Target="https://goodwinlaw.com/en/expertise/practices/artificial-intelligence" TargetMode="External"/><Relationship Id="rId80" Type="http://schemas.openxmlformats.org/officeDocument/2006/relationships/hyperlink" Target="https://goodwinlaw.com/en/expertise/industries/climate-tech" TargetMode="External"/><Relationship Id="rId81" Type="http://schemas.openxmlformats.org/officeDocument/2006/relationships/hyperlink" Target="https://goodwinlaw.com/en/expertise/industries/industrial-technology-and-advanced-manufacturing" TargetMode="External"/><Relationship Id="rId82" Type="http://schemas.openxmlformats.org/officeDocument/2006/relationships/hyperlink" Target="https://goodwinlaw.com/en/expertise/industries/financial-services" TargetMode="External"/><Relationship Id="rId83" Type="http://schemas.openxmlformats.org/officeDocument/2006/relationships/hyperlink" Target="https://goodwinlaw.com/en/expertise/practices/broker-dealer-exchange-and-trading" TargetMode="External"/><Relationship Id="rId84" Type="http://schemas.openxmlformats.org/officeDocument/2006/relationships/hyperlink" Target="https://goodwinlaw.com/en/expertise/industries/consumer-financial-services" TargetMode="External"/><Relationship Id="rId85" Type="http://schemas.openxmlformats.org/officeDocument/2006/relationships/hyperlink" Target="https://goodwinlaw.com/en/expertise/industries/insurance" TargetMode="External"/><Relationship Id="rId86" Type="http://schemas.openxmlformats.org/officeDocument/2006/relationships/hyperlink" Target="https://goodwinlaw.com/en/people" TargetMode="External"/><Relationship Id="rId87" Type="http://schemas.openxmlformats.org/officeDocument/2006/relationships/hyperlink" Target="https://goodwinlaw.com/en/careers-pages/careers" TargetMode="External"/><Relationship Id="rId88" Type="http://schemas.openxmlformats.org/officeDocument/2006/relationships/hyperlink" Target="https://goodwinlaw.com/en/careers-pages/legal-careers" TargetMode="External"/><Relationship Id="rId89" Type="http://schemas.openxmlformats.org/officeDocument/2006/relationships/hyperlink" Target="https://goodwinlaw.com/en/careers-pages/paralegal-careers" TargetMode="External"/><Relationship Id="rId90" Type="http://schemas.openxmlformats.org/officeDocument/2006/relationships/hyperlink" Target="https://goodwinlaw.com/en/careers-pages/science-advisor-careers" TargetMode="External"/><Relationship Id="rId91" Type="http://schemas.openxmlformats.org/officeDocument/2006/relationships/hyperlink" Target="https://goodwinlaw.com/en/careers-pages/global-operations-careers" TargetMode="External"/><Relationship Id="rId92" Type="http://schemas.openxmlformats.org/officeDocument/2006/relationships/hyperlink" Target="https://goodwinlaw.com/en/insights" TargetMode="External"/><Relationship Id="rId93" Type="http://schemas.openxmlformats.org/officeDocument/2006/relationships/hyperlink" Target="https://goodwinlaw.com/en/insights?type=publications" TargetMode="External"/><Relationship Id="rId94" Type="http://schemas.openxmlformats.org/officeDocument/2006/relationships/hyperlink" Target="https://goodwinlaw.com/en/insights?type=blog" TargetMode="External"/><Relationship Id="rId95" Type="http://schemas.openxmlformats.org/officeDocument/2006/relationships/hyperlink" Target="https://goodwinlaw.com/en/insights?type=newsletters" TargetMode="External"/><Relationship Id="rId96" Type="http://schemas.openxmlformats.org/officeDocument/2006/relationships/hyperlink" Target="https://goodwinlaw.com/en/insights?type=case-studies" TargetMode="External"/><Relationship Id="rId97" Type="http://schemas.openxmlformats.org/officeDocument/2006/relationships/hyperlink" Target="https://goodwinlaw.com/en/about/about-us" TargetMode="External"/><Relationship Id="rId98" Type="http://schemas.openxmlformats.org/officeDocument/2006/relationships/hyperlink" Target="https://goodwinlaw.com/en/about/about-us#our-story" TargetMode="External"/><Relationship Id="rId99" Type="http://schemas.openxmlformats.org/officeDocument/2006/relationships/hyperlink" Target="https://goodwinlaw.com/en/about/about-us#goodwin-way" TargetMode="External"/><Relationship Id="rId100" Type="http://schemas.openxmlformats.org/officeDocument/2006/relationships/hyperlink" Target="https://goodwinlaw.com/en/about/opportunity-inclusion-belonging" TargetMode="External"/><Relationship Id="rId101" Type="http://schemas.openxmlformats.org/officeDocument/2006/relationships/hyperlink" Target="https://goodwinlaw.com/en/about/pro-bono" TargetMode="External"/><Relationship Id="rId102" Type="http://schemas.openxmlformats.org/officeDocument/2006/relationships/hyperlink" Target="https://goodwinlaw.com/en/about/about-us#firm-leadership" TargetMode="External"/><Relationship Id="rId103" Type="http://schemas.openxmlformats.org/officeDocument/2006/relationships/hyperlink" Target="https://goodwinlaw.com/en/locations" TargetMode="External"/><Relationship Id="rId104" Type="http://schemas.openxmlformats.org/officeDocument/2006/relationships/hyperlink" Target="https://goodwinlaw.com/en/locations/boston" TargetMode="External"/><Relationship Id="rId105" Type="http://schemas.openxmlformats.org/officeDocument/2006/relationships/hyperlink" Target="https://goodwinlaw.com/en/locations/los-angeles" TargetMode="External"/><Relationship Id="rId106" Type="http://schemas.openxmlformats.org/officeDocument/2006/relationships/hyperlink" Target="https://goodwinlaw.com/en/locations/new-york" TargetMode="External"/><Relationship Id="rId107" Type="http://schemas.openxmlformats.org/officeDocument/2006/relationships/hyperlink" Target="https://goodwinlaw.com/en/locations/orange-county" TargetMode="External"/><Relationship Id="rId108" Type="http://schemas.openxmlformats.org/officeDocument/2006/relationships/hyperlink" Target="https://goodwinlaw.com/en/locations/philadelphia" TargetMode="External"/><Relationship Id="rId109" Type="http://schemas.openxmlformats.org/officeDocument/2006/relationships/hyperlink" Target="https://goodwinlaw.com/en/locations/san-francisco" TargetMode="External"/><Relationship Id="rId110" Type="http://schemas.openxmlformats.org/officeDocument/2006/relationships/hyperlink" Target="https://goodwinlaw.com/en/locations/santa-monica" TargetMode="External"/><Relationship Id="rId111" Type="http://schemas.openxmlformats.org/officeDocument/2006/relationships/hyperlink" Target="https://goodwinlaw.com/en/locations/silicon-valley" TargetMode="External"/><Relationship Id="rId112" Type="http://schemas.openxmlformats.org/officeDocument/2006/relationships/hyperlink" Target="https://goodwinlaw.com/en/locations/washington-dc" TargetMode="External"/><Relationship Id="rId113" Type="http://schemas.openxmlformats.org/officeDocument/2006/relationships/hyperlink" Target="https://goodwinlaw.com/en/locations/brussels" TargetMode="External"/><Relationship Id="rId114" Type="http://schemas.openxmlformats.org/officeDocument/2006/relationships/hyperlink" Target="https://goodwinlaw.com/en/locations/cambridge" TargetMode="External"/><Relationship Id="rId115" Type="http://schemas.openxmlformats.org/officeDocument/2006/relationships/hyperlink" Target="https://goodwinlaw.com/en/locations/london" TargetMode="External"/><Relationship Id="rId116" Type="http://schemas.openxmlformats.org/officeDocument/2006/relationships/hyperlink" Target="https://goodwinlaw.com/en/locations/luxembourg" TargetMode="External"/><Relationship Id="rId117" Type="http://schemas.openxmlformats.org/officeDocument/2006/relationships/hyperlink" Target="https://goodwinlaw.com/en/locations/munich" TargetMode="External"/><Relationship Id="rId118" Type="http://schemas.openxmlformats.org/officeDocument/2006/relationships/hyperlink" Target="https://goodwinlaw.com/en/locations/paris" TargetMode="External"/><Relationship Id="rId119" Type="http://schemas.openxmlformats.org/officeDocument/2006/relationships/hyperlink" Target="https://goodwinlaw.com/en/locations/hong-kong" TargetMode="External"/><Relationship Id="rId120" Type="http://schemas.openxmlformats.org/officeDocument/2006/relationships/hyperlink" Target="https://goodwinlaw.com/en/locations/singapore" TargetMode="External"/><Relationship Id="rId121" Type="http://schemas.openxmlformats.org/officeDocument/2006/relationships/hyperlink" Target="https://goodwinlaw.com/en/news-and-events" TargetMode="External"/><Relationship Id="rId122" Type="http://schemas.openxmlformats.org/officeDocument/2006/relationships/hyperlink" Target="https://goodwinlaw.com/en/alum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