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服务器对比测试方案（测试实施步骤-测试用例）</w:t>
      </w:r>
    </w:p>
    <w:p>
      <w:pPr>
        <w:pStyle w:val="Heading1"/>
      </w:pPr>
      <w:r>
        <w:t>5 测试实施步骤（详细测试用例）</w:t>
      </w:r>
    </w:p>
    <w:p>
      <w:r>
        <w:t>本章节以测试用例表格形式，对服务器对比测试的实施步骤进行详细描述，确保测试过程可执行、可复现、可审计。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测试编号</w:t>
            </w:r>
          </w:p>
        </w:tc>
        <w:tc>
          <w:tcPr>
            <w:tcW w:type="dxa" w:w="1080"/>
          </w:tcPr>
          <w:p>
            <w:r>
              <w:t>测试阶段</w:t>
            </w:r>
          </w:p>
        </w:tc>
        <w:tc>
          <w:tcPr>
            <w:tcW w:type="dxa" w:w="1080"/>
          </w:tcPr>
          <w:p>
            <w:r>
              <w:t>测试项目</w:t>
            </w:r>
          </w:p>
        </w:tc>
        <w:tc>
          <w:tcPr>
            <w:tcW w:type="dxa" w:w="1080"/>
          </w:tcPr>
          <w:p>
            <w:r>
              <w:t>测试目的</w:t>
            </w:r>
          </w:p>
        </w:tc>
        <w:tc>
          <w:tcPr>
            <w:tcW w:type="dxa" w:w="1080"/>
          </w:tcPr>
          <w:p>
            <w:r>
              <w:t>测试环境/工具</w:t>
            </w:r>
          </w:p>
        </w:tc>
        <w:tc>
          <w:tcPr>
            <w:tcW w:type="dxa" w:w="1080"/>
          </w:tcPr>
          <w:p>
            <w:r>
              <w:t>测试步骤</w:t>
            </w:r>
          </w:p>
        </w:tc>
        <w:tc>
          <w:tcPr>
            <w:tcW w:type="dxa" w:w="1080"/>
          </w:tcPr>
          <w:p>
            <w:r>
              <w:t>预期结果</w:t>
            </w:r>
          </w:p>
        </w:tc>
        <w:tc>
          <w:tcPr>
            <w:tcW w:type="dxa" w:w="1080"/>
          </w:tcPr>
          <w:p>
            <w:r>
              <w:t>实际结果/备注</w:t>
            </w:r>
          </w:p>
        </w:tc>
      </w:tr>
      <w:tr>
        <w:tc>
          <w:tcPr>
            <w:tcW w:type="dxa" w:w="1080"/>
          </w:tcPr>
          <w:p>
            <w:r>
              <w:t>TC-01</w:t>
            </w:r>
          </w:p>
        </w:tc>
        <w:tc>
          <w:tcPr>
            <w:tcW w:type="dxa" w:w="1080"/>
          </w:tcPr>
          <w:p>
            <w:r>
              <w:t>环境准备</w:t>
            </w:r>
          </w:p>
        </w:tc>
        <w:tc>
          <w:tcPr>
            <w:tcW w:type="dxa" w:w="1080"/>
          </w:tcPr>
          <w:p>
            <w:r>
              <w:t>操作系统安装</w:t>
            </w:r>
          </w:p>
        </w:tc>
        <w:tc>
          <w:tcPr>
            <w:tcW w:type="dxa" w:w="1080"/>
          </w:tcPr>
          <w:p>
            <w:r>
              <w:t>确保三台服务器基础环境一致</w:t>
            </w:r>
          </w:p>
        </w:tc>
        <w:tc>
          <w:tcPr>
            <w:tcW w:type="dxa" w:w="1080"/>
          </w:tcPr>
          <w:p>
            <w:r>
              <w:t>CentOS 7 / 国产Linux</w:t>
            </w:r>
          </w:p>
        </w:tc>
        <w:tc>
          <w:tcPr>
            <w:tcW w:type="dxa" w:w="1080"/>
          </w:tcPr>
          <w:p>
            <w:r>
              <w:t>1. 安装操作系统</w:t>
              <w:br/>
              <w:t>2. 安装必要驱动</w:t>
              <w:br/>
              <w:t>3. 更新系统补丁</w:t>
            </w:r>
          </w:p>
        </w:tc>
        <w:tc>
          <w:tcPr>
            <w:tcW w:type="dxa" w:w="1080"/>
          </w:tcPr>
          <w:p>
            <w:r>
              <w:t>系统正常启动，硬件识别完整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TC-02</w:t>
            </w:r>
          </w:p>
        </w:tc>
        <w:tc>
          <w:tcPr>
            <w:tcW w:type="dxa" w:w="1080"/>
          </w:tcPr>
          <w:p>
            <w:r>
              <w:t>环境准备</w:t>
            </w:r>
          </w:p>
        </w:tc>
        <w:tc>
          <w:tcPr>
            <w:tcW w:type="dxa" w:w="1080"/>
          </w:tcPr>
          <w:p>
            <w:r>
              <w:t>BIOS/固件配置</w:t>
            </w:r>
          </w:p>
        </w:tc>
        <w:tc>
          <w:tcPr>
            <w:tcW w:type="dxa" w:w="1080"/>
          </w:tcPr>
          <w:p>
            <w:r>
              <w:t>统一硬件底层配置，保证公平性</w:t>
            </w:r>
          </w:p>
        </w:tc>
        <w:tc>
          <w:tcPr>
            <w:tcW w:type="dxa" w:w="1080"/>
          </w:tcPr>
          <w:p>
            <w:r>
              <w:t>服务器BIOS、BMC</w:t>
            </w:r>
          </w:p>
        </w:tc>
        <w:tc>
          <w:tcPr>
            <w:tcW w:type="dxa" w:w="1080"/>
          </w:tcPr>
          <w:p>
            <w:r>
              <w:t>1. 升级BIOS</w:t>
              <w:br/>
              <w:t>2. 设置性能模式</w:t>
              <w:br/>
              <w:t>3. 关闭节能限制</w:t>
            </w:r>
          </w:p>
        </w:tc>
        <w:tc>
          <w:tcPr>
            <w:tcW w:type="dxa" w:w="1080"/>
          </w:tcPr>
          <w:p>
            <w:r>
              <w:t>BIOS版本一致，性能模式开启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TC-03</w:t>
            </w:r>
          </w:p>
        </w:tc>
        <w:tc>
          <w:tcPr>
            <w:tcW w:type="dxa" w:w="1080"/>
          </w:tcPr>
          <w:p>
            <w:r>
              <w:t>计算性能测试</w:t>
            </w:r>
          </w:p>
        </w:tc>
        <w:tc>
          <w:tcPr>
            <w:tcW w:type="dxa" w:w="1080"/>
          </w:tcPr>
          <w:p>
            <w:r>
              <w:t>CPU基准性能测试</w:t>
            </w:r>
          </w:p>
        </w:tc>
        <w:tc>
          <w:tcPr>
            <w:tcW w:type="dxa" w:w="1080"/>
          </w:tcPr>
          <w:p>
            <w:r>
              <w:t>评估服务器通用计算能力</w:t>
            </w:r>
          </w:p>
        </w:tc>
        <w:tc>
          <w:tcPr>
            <w:tcW w:type="dxa" w:w="1080"/>
          </w:tcPr>
          <w:p>
            <w:r>
              <w:t>SPEC CPU 2017</w:t>
            </w:r>
          </w:p>
        </w:tc>
        <w:tc>
          <w:tcPr>
            <w:tcW w:type="dxa" w:w="1080"/>
          </w:tcPr>
          <w:p>
            <w:r>
              <w:t>1. 部署SPEC工具</w:t>
              <w:br/>
              <w:t>2. 执行整数/浮点测试</w:t>
              <w:br/>
              <w:t>3. 记录得分</w:t>
            </w:r>
          </w:p>
        </w:tc>
        <w:tc>
          <w:tcPr>
            <w:tcW w:type="dxa" w:w="1080"/>
          </w:tcPr>
          <w:p>
            <w:r>
              <w:t>H3C得分高于对比机型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TC-04</w:t>
            </w:r>
          </w:p>
        </w:tc>
        <w:tc>
          <w:tcPr>
            <w:tcW w:type="dxa" w:w="1080"/>
          </w:tcPr>
          <w:p>
            <w:r>
              <w:t>计算性能测试</w:t>
            </w:r>
          </w:p>
        </w:tc>
        <w:tc>
          <w:tcPr>
            <w:tcW w:type="dxa" w:w="1080"/>
          </w:tcPr>
          <w:p>
            <w:r>
              <w:t>多线程并发测试</w:t>
            </w:r>
          </w:p>
        </w:tc>
        <w:tc>
          <w:tcPr>
            <w:tcW w:type="dxa" w:w="1080"/>
          </w:tcPr>
          <w:p>
            <w:r>
              <w:t>验证CPU并发与调度能力</w:t>
            </w:r>
          </w:p>
        </w:tc>
        <w:tc>
          <w:tcPr>
            <w:tcW w:type="dxa" w:w="1080"/>
          </w:tcPr>
          <w:p>
            <w:r>
              <w:t>sysbench / stress-ng</w:t>
            </w:r>
          </w:p>
        </w:tc>
        <w:tc>
          <w:tcPr>
            <w:tcW w:type="dxa" w:w="1080"/>
          </w:tcPr>
          <w:p>
            <w:r>
              <w:t>1. 设置多线程参数</w:t>
              <w:br/>
              <w:t>2. 执行压力测试</w:t>
              <w:br/>
              <w:t>3. 监控性能</w:t>
            </w:r>
          </w:p>
        </w:tc>
        <w:tc>
          <w:tcPr>
            <w:tcW w:type="dxa" w:w="1080"/>
          </w:tcPr>
          <w:p>
            <w:r>
              <w:t>H3C在高并发下性能稳定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TC-05</w:t>
            </w:r>
          </w:p>
        </w:tc>
        <w:tc>
          <w:tcPr>
            <w:tcW w:type="dxa" w:w="1080"/>
          </w:tcPr>
          <w:p>
            <w:r>
              <w:t>存储性能测试</w:t>
            </w:r>
          </w:p>
        </w:tc>
        <w:tc>
          <w:tcPr>
            <w:tcW w:type="dxa" w:w="1080"/>
          </w:tcPr>
          <w:p>
            <w:r>
              <w:t>顺序读写性能</w:t>
            </w:r>
          </w:p>
        </w:tc>
        <w:tc>
          <w:tcPr>
            <w:tcW w:type="dxa" w:w="1080"/>
          </w:tcPr>
          <w:p>
            <w:r>
              <w:t>评估磁盘吞吐能力</w:t>
            </w:r>
          </w:p>
        </w:tc>
        <w:tc>
          <w:tcPr>
            <w:tcW w:type="dxa" w:w="1080"/>
          </w:tcPr>
          <w:p>
            <w:r>
              <w:t>FIO</w:t>
            </w:r>
          </w:p>
        </w:tc>
        <w:tc>
          <w:tcPr>
            <w:tcW w:type="dxa" w:w="1080"/>
          </w:tcPr>
          <w:p>
            <w:r>
              <w:t>1. 配置测试文件</w:t>
              <w:br/>
              <w:t>2. 执行顺序读写</w:t>
              <w:br/>
              <w:t>3. 采集吞吐数据</w:t>
            </w:r>
          </w:p>
        </w:tc>
        <w:tc>
          <w:tcPr>
            <w:tcW w:type="dxa" w:w="1080"/>
          </w:tcPr>
          <w:p>
            <w:r>
              <w:t>H3C吞吐率最高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TC-06</w:t>
            </w:r>
          </w:p>
        </w:tc>
        <w:tc>
          <w:tcPr>
            <w:tcW w:type="dxa" w:w="1080"/>
          </w:tcPr>
          <w:p>
            <w:r>
              <w:t>存储性能测试</w:t>
            </w:r>
          </w:p>
        </w:tc>
        <w:tc>
          <w:tcPr>
            <w:tcW w:type="dxa" w:w="1080"/>
          </w:tcPr>
          <w:p>
            <w:r>
              <w:t>随机IO性能</w:t>
            </w:r>
          </w:p>
        </w:tc>
        <w:tc>
          <w:tcPr>
            <w:tcW w:type="dxa" w:w="1080"/>
          </w:tcPr>
          <w:p>
            <w:r>
              <w:t>评估高并发IO能力</w:t>
            </w:r>
          </w:p>
        </w:tc>
        <w:tc>
          <w:tcPr>
            <w:tcW w:type="dxa" w:w="1080"/>
          </w:tcPr>
          <w:p>
            <w:r>
              <w:t>FIO</w:t>
            </w:r>
          </w:p>
        </w:tc>
        <w:tc>
          <w:tcPr>
            <w:tcW w:type="dxa" w:w="1080"/>
          </w:tcPr>
          <w:p>
            <w:r>
              <w:t>1. 设置4K随机IO</w:t>
              <w:br/>
              <w:t>2. 执行测试</w:t>
              <w:br/>
              <w:t>3. 记录IOPS</w:t>
            </w:r>
          </w:p>
        </w:tc>
        <w:tc>
          <w:tcPr>
            <w:tcW w:type="dxa" w:w="1080"/>
          </w:tcPr>
          <w:p>
            <w:r>
              <w:t>H3C IOPS领先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TC-07</w:t>
            </w:r>
          </w:p>
        </w:tc>
        <w:tc>
          <w:tcPr>
            <w:tcW w:type="dxa" w:w="1080"/>
          </w:tcPr>
          <w:p>
            <w:r>
              <w:t>网络性能测试</w:t>
            </w:r>
          </w:p>
        </w:tc>
        <w:tc>
          <w:tcPr>
            <w:tcW w:type="dxa" w:w="1080"/>
          </w:tcPr>
          <w:p>
            <w:r>
              <w:t>网络吞吐与延迟</w:t>
            </w:r>
          </w:p>
        </w:tc>
        <w:tc>
          <w:tcPr>
            <w:tcW w:type="dxa" w:w="1080"/>
          </w:tcPr>
          <w:p>
            <w:r>
              <w:t>验证网络性能与稳定性</w:t>
            </w:r>
          </w:p>
        </w:tc>
        <w:tc>
          <w:tcPr>
            <w:tcW w:type="dxa" w:w="1080"/>
          </w:tcPr>
          <w:p>
            <w:r>
              <w:t>iperf3</w:t>
            </w:r>
          </w:p>
        </w:tc>
        <w:tc>
          <w:tcPr>
            <w:tcW w:type="dxa" w:w="1080"/>
          </w:tcPr>
          <w:p>
            <w:r>
              <w:t>1. 配置测试端</w:t>
              <w:br/>
              <w:t>2. 执行带宽测试</w:t>
              <w:br/>
              <w:t>3. 记录延迟</w:t>
            </w:r>
          </w:p>
        </w:tc>
        <w:tc>
          <w:tcPr>
            <w:tcW w:type="dxa" w:w="1080"/>
          </w:tcPr>
          <w:p>
            <w:r>
              <w:t>H3C网络性能稳定且延迟低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TC-08</w:t>
            </w:r>
          </w:p>
        </w:tc>
        <w:tc>
          <w:tcPr>
            <w:tcW w:type="dxa" w:w="1080"/>
          </w:tcPr>
          <w:p>
            <w:r>
              <w:t>扩展能力测试</w:t>
            </w:r>
          </w:p>
        </w:tc>
        <w:tc>
          <w:tcPr>
            <w:tcW w:type="dxa" w:w="1080"/>
          </w:tcPr>
          <w:p>
            <w:r>
              <w:t>PCIe扩展验证</w:t>
            </w:r>
          </w:p>
        </w:tc>
        <w:tc>
          <w:tcPr>
            <w:tcW w:type="dxa" w:w="1080"/>
          </w:tcPr>
          <w:p>
            <w:r>
              <w:t>验证服务器扩展能力</w:t>
            </w:r>
          </w:p>
        </w:tc>
        <w:tc>
          <w:tcPr>
            <w:tcW w:type="dxa" w:w="1080"/>
          </w:tcPr>
          <w:p>
            <w:r>
              <w:t>NVMe/GPU/网卡</w:t>
            </w:r>
          </w:p>
        </w:tc>
        <w:tc>
          <w:tcPr>
            <w:tcW w:type="dxa" w:w="1080"/>
          </w:tcPr>
          <w:p>
            <w:r>
              <w:t>1. 插入扩展卡</w:t>
              <w:br/>
              <w:t>2. 系统识别</w:t>
              <w:br/>
              <w:t>3. 执行功能测试</w:t>
            </w:r>
          </w:p>
        </w:tc>
        <w:tc>
          <w:tcPr>
            <w:tcW w:type="dxa" w:w="1080"/>
          </w:tcPr>
          <w:p>
            <w:r>
              <w:t>H3C识别完整、兼容性好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TC-09</w:t>
            </w:r>
          </w:p>
        </w:tc>
        <w:tc>
          <w:tcPr>
            <w:tcW w:type="dxa" w:w="1080"/>
          </w:tcPr>
          <w:p>
            <w:r>
              <w:t>稳定性测试</w:t>
            </w:r>
          </w:p>
        </w:tc>
        <w:tc>
          <w:tcPr>
            <w:tcW w:type="dxa" w:w="1080"/>
          </w:tcPr>
          <w:p>
            <w:r>
              <w:t>长时间压力运行</w:t>
            </w:r>
          </w:p>
        </w:tc>
        <w:tc>
          <w:tcPr>
            <w:tcW w:type="dxa" w:w="1080"/>
          </w:tcPr>
          <w:p>
            <w:r>
              <w:t>验证服务器稳定性</w:t>
            </w:r>
          </w:p>
        </w:tc>
        <w:tc>
          <w:tcPr>
            <w:tcW w:type="dxa" w:w="1080"/>
          </w:tcPr>
          <w:p>
            <w:r>
              <w:t>stress-ng</w:t>
            </w:r>
          </w:p>
        </w:tc>
        <w:tc>
          <w:tcPr>
            <w:tcW w:type="dxa" w:w="1080"/>
          </w:tcPr>
          <w:p>
            <w:r>
              <w:t>1. 持续高负载72小时</w:t>
              <w:br/>
              <w:t>2. 监控异常</w:t>
            </w:r>
          </w:p>
        </w:tc>
        <w:tc>
          <w:tcPr>
            <w:tcW w:type="dxa" w:w="1080"/>
          </w:tcPr>
          <w:p>
            <w:r>
              <w:t>H3C无宕机、无性能衰减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TC-10</w:t>
            </w:r>
          </w:p>
        </w:tc>
        <w:tc>
          <w:tcPr>
            <w:tcW w:type="dxa" w:w="1080"/>
          </w:tcPr>
          <w:p>
            <w:r>
              <w:t>能效测试</w:t>
            </w:r>
          </w:p>
        </w:tc>
        <w:tc>
          <w:tcPr>
            <w:tcW w:type="dxa" w:w="1080"/>
          </w:tcPr>
          <w:p>
            <w:r>
              <w:t>功耗与能效比</w:t>
            </w:r>
          </w:p>
        </w:tc>
        <w:tc>
          <w:tcPr>
            <w:tcW w:type="dxa" w:w="1080"/>
          </w:tcPr>
          <w:p>
            <w:r>
              <w:t>评估单位性能功耗</w:t>
            </w:r>
          </w:p>
        </w:tc>
        <w:tc>
          <w:tcPr>
            <w:tcW w:type="dxa" w:w="1080"/>
          </w:tcPr>
          <w:p>
            <w:r>
              <w:t>功耗计 / IPMI</w:t>
            </w:r>
          </w:p>
        </w:tc>
        <w:tc>
          <w:tcPr>
            <w:tcW w:type="dxa" w:w="1080"/>
          </w:tcPr>
          <w:p>
            <w:r>
              <w:t>1. 采集功耗数据</w:t>
              <w:br/>
              <w:t>2. 对比性能输出</w:t>
            </w:r>
          </w:p>
        </w:tc>
        <w:tc>
          <w:tcPr>
            <w:tcW w:type="dxa" w:w="1080"/>
          </w:tcPr>
          <w:p>
            <w:r>
              <w:t>H3C能效比最高</w:t>
            </w:r>
          </w:p>
        </w:tc>
        <w:tc>
          <w:tcPr>
            <w:tcW w:type="dxa" w:w="10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