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EB092">
      <w:pPr>
        <w:ind w:firstLine="0"/>
        <w:jc w:val="center"/>
      </w:pPr>
      <w:r>
        <w:rPr>
          <w:rFonts w:ascii="黑体" w:hAnsi="黑体" w:eastAsia="黑体"/>
          <w:b/>
          <w:color w:val="2F5597"/>
          <w:sz w:val="44"/>
        </w:rPr>
        <w:t>国网日常办公智能化应用试用评价体系</w:t>
      </w:r>
    </w:p>
    <w:p w14:paraId="2CC2D7F6">
      <w:pPr>
        <w:ind w:firstLine="0"/>
        <w:jc w:val="center"/>
      </w:pPr>
      <w:r>
        <w:rPr>
          <w:rFonts w:ascii="宋体" w:hAnsi="宋体" w:eastAsia="宋体"/>
          <w:color w:val="5A5A5A"/>
          <w:sz w:val="28"/>
        </w:rPr>
        <w:t>建议稿</w:t>
      </w:r>
    </w:p>
    <w:p w14:paraId="3BD54DA9"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版本：v0.5</w:t>
      </w:r>
    </w:p>
    <w:p w14:paraId="3726C7EC"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日期：2026-06-12</w:t>
      </w:r>
    </w:p>
    <w:p w14:paraId="59C1D0AE"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适用范围：日常办公与典型业务流程智能化应用试用、评估和选型</w:t>
      </w:r>
    </w:p>
    <w:p w14:paraId="5B3C1B91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一、编制说明</w:t>
      </w:r>
    </w:p>
    <w:p w14:paraId="5DDF8DC5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本评价体系用于指导甲方在试用日常办公智能化应用时，形成统一、可复核、可比较的评价口径。评价重点不放在单轮问答效果、模型参数或厂商演示效果上，而是放在产品能否围绕真实办公任务和典型业务流程，把制度、材料、表单、流程和审批边界转化为可采纳、可复核、可持续复用的业务成果。</w:t>
      </w:r>
    </w:p>
    <w:p w14:paraId="1F33D807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本体系不限定具体厂商、模型、部署方式或实现框架。参评产品可以通过知识库、业务能力模板、工具接入、流程编排、本地化交付、云端服务或混合方式实现，但最终评价以统一试用任务、业务人员真实操作、输出产物质量、量化过程证据和运行保障结果为准。</w:t>
      </w:r>
    </w:p>
    <w:p w14:paraId="1EB62E18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本版本根据领导反馈，采用“一级指标相对中性、二级指标体现业务能力”的设计方式。评价体系不把某类业务场景直接写成一级指标，也不把某厂商实现方式写成门槛；但会在二级指标、评分口径和任务包中明确考察日常办公文档、典型业务表单、流程节点、业务能力沉淀和多步骤任务闭环等实际能力。</w:t>
      </w:r>
    </w:p>
    <w:p w14:paraId="7A00AF0B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二、评价目标</w:t>
      </w:r>
    </w:p>
    <w:p w14:paraId="2A315E56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评价日常办公业务办理与文档产出能力：判断产品是否能辅助完成制度问答、会议纪要、汇报材料、请示方案、整改清单等高频办公任务，并形成符合甲方日常使用习惯的文档或表格产物。</w:t>
      </w:r>
    </w:p>
    <w:p w14:paraId="2BCBE1AA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评价典型业务表单与流程适配能力：判断产品是否能理解甲方指定的一单两票、检修计划、缺陷记录等典型表单材料，识别字段、角色、流程节点、风险点和人工确认边界。</w:t>
      </w:r>
    </w:p>
    <w:p w14:paraId="72047A6E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评价可复用业务能力沉淀能力：判断产品是否能把高频任务沉淀为可复用的业务模板、检查清单、输出格式和任务入口，减少每次从零开始配置或提示的成本。</w:t>
      </w:r>
    </w:p>
    <w:p w14:paraId="65DAC6AA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评价多步骤任务闭环与过程留痕能力：判断产品是否能把复杂任务拆解为阶段、记录过程、沉淀产物，并在信息不足、口径变化或任务返工时继续推进。</w:t>
      </w:r>
    </w:p>
    <w:p w14:paraId="3EC12E9E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评价依据引用与风险边界表达能力：判断产品是否能基于甲方提供材料作答，说明依据来源，标注待核验事项，并在涉及审批、安全、责任认定等场景时保留人工确认边界。</w:t>
      </w:r>
    </w:p>
    <w:p w14:paraId="11244FE9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评价真实采纳和效率提升能力：判断业务人员是否愿意使用，是否减少检索、整理、编写、审核和二次修改成本，并通过统一任务下的耗时、一次可用率和失败重试情况形成可比较证据。</w:t>
      </w:r>
    </w:p>
    <w:p w14:paraId="2870CB4B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三、评价对象与边界</w:t>
      </w:r>
    </w:p>
    <w:p w14:paraId="0D01E084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评价对象为参与甲方试用的日常办公智能化应用，包括企业知识问答、业务材料生成、流程表单辅助、任务办理辅助、工具调用、文档整理和多步骤工作台类产品。</w:t>
      </w:r>
    </w:p>
    <w:p w14:paraId="6AFEBE24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本体系不评价厂商宣传材料中的未试用能力，不以厂商自述功能作为直接得分依据。所有核心得分应来自统一材料、统一任务、业务人员真实操作和留存证据。</w:t>
      </w:r>
    </w:p>
    <w:p w14:paraId="516F54F3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涉及一单两票、检修计划、缺陷处理、制度问答等具体场景时，应由甲方提供脱敏样例材料，并以甲方现行制度、流程文件、终端环境和管理要求为准。产品输出用于辅助分析、材料生成和风险提示，不替代审批、审核和安全责任。</w:t>
      </w:r>
    </w:p>
    <w:p w14:paraId="70863AC9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效率、稳定性和成本类指标应在输出质量达标的前提下评价。生成速度快但结果不可用、依据不清或需要大量返工的，不应仅因响应快而获得高分。</w:t>
      </w:r>
    </w:p>
    <w:p w14:paraId="24D9B2BE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四、评价原则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4713"/>
        <w:gridCol w:w="4713"/>
      </w:tblGrid>
      <w:tr w14:paraId="1F3FDC99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1A38E3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原则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908466C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含义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2FF1279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执行要求</w:t>
            </w:r>
          </w:p>
        </w:tc>
      </w:tr>
      <w:tr w14:paraId="4E1B395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6BD3BD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业务任务优先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52C80D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以业务人员真实任务完成质量作为主要评价对象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9A871C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避免只看开放式闲聊、模型参数或厂商演示</w:t>
            </w:r>
          </w:p>
        </w:tc>
      </w:tr>
      <w:tr w14:paraId="052D2D5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2612C8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统一材料试用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E2AEEA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所有产品使用同一批脱敏材料和任务说明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CC5A10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统一输入、统一周期、统一评分表</w:t>
            </w:r>
          </w:p>
        </w:tc>
      </w:tr>
      <w:tr w14:paraId="5480653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53CC1D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产物可采纳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75C810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评价输出能否直接或少量修改后进入业务使用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574381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保留原始输出、修改点、采纳情况和节省时间</w:t>
            </w:r>
          </w:p>
        </w:tc>
      </w:tr>
      <w:tr w14:paraId="6C72A0E5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3F66B3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依据可核验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5E0217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关键结论应说明材料来源或制度依据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84055B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无法确认事项必须标注待核验</w:t>
            </w:r>
          </w:p>
        </w:tc>
      </w:tr>
      <w:tr w14:paraId="59C0F402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611CED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量化口径一致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2DC935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耗时、修改次数、一次通过和失败重试等数据应按同一口径采集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93D28A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同一任务、同一材料、同一人员或同类人员条件下比较</w:t>
            </w:r>
          </w:p>
        </w:tc>
      </w:tr>
      <w:tr w14:paraId="2D573D87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66BC07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运行边界清楚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B1EE97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试用过程应符合甲方既有终端、网络环境和安全管控要求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1F5975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涉敏材料脱敏，外部调用和资料留存边界清楚</w:t>
            </w:r>
          </w:p>
        </w:tc>
      </w:tr>
      <w:tr w14:paraId="1800D051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3DA82F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人工责任保留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6E7A6F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产品输出不能替代审批、审核和安全责任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2BF66F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高风险结论必须保留人工确认提示</w:t>
            </w:r>
          </w:p>
        </w:tc>
      </w:tr>
    </w:tbl>
    <w:p w14:paraId="60ECF9DF"/>
    <w:p w14:paraId="7985FC2D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五、评价指标体系</w:t>
      </w:r>
    </w:p>
    <w:p w14:paraId="4D18A777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满分 100 分。建议将日常办公、典型表单、业务能力沉淀和任务闭环作为主体，将依据边界、采纳效率、运行保障和成本可控作为支撑指标，避免评价被具体实现方式或模型参数牵引。</w:t>
      </w:r>
    </w:p>
    <w:p w14:paraId="71B95401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下表为一级指标总览，第六章按本表顺序逐项展开；二级指标名称、分值和评分口径以第六章为准。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5"/>
        <w:gridCol w:w="1027"/>
        <w:gridCol w:w="6043"/>
        <w:gridCol w:w="3535"/>
      </w:tblGrid>
      <w:tr w14:paraId="4E69CCF2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39C2A8E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一级指标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8961F09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权重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C9CF2D0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二级评价重点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6F03AC4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主要证据</w:t>
            </w:r>
          </w:p>
        </w:tc>
      </w:tr>
      <w:tr w14:paraId="75139F87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D1789A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日常办公业务办理与文档产出能力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1863D5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7F7DA3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制度问答、会议纪要、汇报材料、请示方案、整改清单、表格清单产物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B681FE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办公任务输入输出、文档初稿、业务人员修改点、采纳情况</w:t>
            </w:r>
          </w:p>
        </w:tc>
      </w:tr>
      <w:tr w14:paraId="7BB925AE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A03236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典型业务表单与流程适配能力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85DFEF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3384B2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工作票、操作票、检修计划、缺陷处理、角色责任、审批边界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F452F2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样例表单辅助检查意见、缺项清单、风险提示、人工确认记录</w:t>
            </w:r>
          </w:p>
        </w:tc>
      </w:tr>
      <w:tr w14:paraId="5EB612F4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29F189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可复用业务能力沉淀能力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5E7A1E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E060BF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任务模板、检查清单、输出格式、业务规则复用、示例任务入口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864A71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业务能力模板、场景样例、复用记录、配置说明</w:t>
            </w:r>
          </w:p>
        </w:tc>
      </w:tr>
      <w:tr w14:paraId="0908CA69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83EEE9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多步骤任务闭环与过程留痕能力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20F192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BD1F55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任务拆解、阶段状态、过程记录、产物清单、返工处理、后续建议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79BC99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阶段记录、最终产物、用户确认点、重做记录</w:t>
            </w:r>
          </w:p>
        </w:tc>
      </w:tr>
      <w:tr w14:paraId="641524E5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D80FC0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依据引用与风险边界表达能力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0BCA0D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F66495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依据标注、事实一致、待核验表达、风险提示、人工确认边界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174FFF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引用来源、待核验事项、风险提示、复核记录</w:t>
            </w:r>
          </w:p>
        </w:tc>
      </w:tr>
      <w:tr w14:paraId="6FF6F9B8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A21296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易用性与业务人员采纳度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818BE9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13E0BE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上手难度、交互清晰度、业务语言、修改成本、采纳反馈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8C9751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试用人员评分、节省时间、满意度和采纳反馈</w:t>
            </w:r>
          </w:p>
        </w:tc>
      </w:tr>
      <w:tr w14:paraId="251D6C63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C44791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试用效率、稳定性与成本可控能力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DB7CE7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F53799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任务有效完成时间、一次可用率、失败与重试情况、资源与使用成本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56EEC0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任务计时记录、一次通过记录、失败重试记录、成本说明</w:t>
            </w:r>
          </w:p>
        </w:tc>
      </w:tr>
      <w:tr w14:paraId="7392269F">
        <w:trPr>
          <w:jc w:val="center"/>
        </w:trPr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76CE57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实施适配与运行保障能力</w:t>
            </w:r>
          </w:p>
        </w:tc>
        <w:tc>
          <w:tcPr>
            <w:tcW w:w="102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9953F5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w="604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8DF35D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终端环境适配、资料处理边界、权限与留痕、诊断恢复、运维支持</w:t>
            </w:r>
          </w:p>
        </w:tc>
        <w:tc>
          <w:tcPr>
            <w:tcW w:w="3535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CA3379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实施说明、运行记录、诊断材料、支持记录</w:t>
            </w:r>
          </w:p>
        </w:tc>
      </w:tr>
    </w:tbl>
    <w:p w14:paraId="08CAEA8B"/>
    <w:p w14:paraId="1541228E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六、指标定义与评分口径</w:t>
      </w:r>
    </w:p>
    <w:p w14:paraId="01541C74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6.1 日常办公业务办理与文档产出能力（20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166"/>
        <w:gridCol w:w="8260"/>
      </w:tblGrid>
      <w:tr w14:paraId="7CC0966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F91EAD9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E47CC57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88ED341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3D59EBA1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C2198B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制度问答与依据检索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149E1C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89186B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能根据制度、规程、管理办法回答具体问题，并说明依据或材料位置</w:t>
            </w:r>
          </w:p>
        </w:tc>
      </w:tr>
      <w:tr w14:paraId="06FCD097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5783DE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会议纪要与记录整理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1ADAD7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EECFE1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能从会议记录、录音转写或零散材料中整理纪要、待办和责任事项</w:t>
            </w:r>
          </w:p>
        </w:tc>
      </w:tr>
      <w:tr w14:paraId="10ADDE6A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B5BE98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汇报与报告材料生成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56877E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744500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能生成结构清楚、表达稳妥、便于修改的汇报、总结、报告初稿</w:t>
            </w:r>
          </w:p>
        </w:tc>
      </w:tr>
      <w:tr w14:paraId="07FC7E2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51ED9D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请示方案与说明材料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AA78A2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4B69C8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能围绕背景、依据、事项、风险和建议形成规范化说明材料</w:t>
            </w:r>
          </w:p>
        </w:tc>
      </w:tr>
      <w:tr w14:paraId="0A8C8F0A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0C559F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整改清单与跟踪事项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98EDC7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7C6A00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能从问题描述生成整改措施、责任分工、时限和复盘要点</w:t>
            </w:r>
          </w:p>
        </w:tc>
      </w:tr>
      <w:tr w14:paraId="22B394D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5D6F2F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表格与清单产物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12B3DB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DA043A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能生成计划表、问题清单、责任矩阵、材料清单等可编辑表格</w:t>
            </w:r>
          </w:p>
        </w:tc>
      </w:tr>
    </w:tbl>
    <w:p w14:paraId="504E8CED"/>
    <w:p w14:paraId="2F1A2E00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高分特征：输出接近甲方日常办公材料形态，标题层级、段落表达、表格字段和责任事项清楚，业务人员少量修改即可使用。</w:t>
      </w:r>
    </w:p>
    <w:p w14:paraId="66A8A874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低分特征：只给泛泛回答或普通聊天式建议，不能形成纪要、汇报、请示、方案、整改清单等可交付产物。</w:t>
      </w:r>
    </w:p>
    <w:p w14:paraId="073D1A0D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主要留证材料：原始输入、产品输出、人工修改稿、采纳情况、修改次数和修改耗时。</w:t>
      </w:r>
    </w:p>
    <w:p w14:paraId="4560298D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6.2 典型业务表单与流程适配能力（20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134"/>
        <w:gridCol w:w="8292"/>
      </w:tblGrid>
      <w:tr w14:paraId="0D677C49">
        <w:trPr>
          <w:trHeight w:val="261" w:hRule="atLeast"/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1E47BB7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F5ED4CC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228FDDE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4BF98CB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A55B9A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典型表单识别与理解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6080EF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790762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能理解甲方指定的一单两票、检修计划、缺陷记录等典型表单材料</w:t>
            </w:r>
          </w:p>
        </w:tc>
      </w:tr>
      <w:tr w14:paraId="04666F7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05FB60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字段完整性校核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B78287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F09C3E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能识别字段缺失、填写不一致、材料不完整和关键附件缺漏</w:t>
            </w:r>
          </w:p>
        </w:tc>
      </w:tr>
      <w:tr w14:paraId="0DC3E4EE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3DA648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角色责任识别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504F13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519780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能区分发起、审核、执行、监护、管理等不同角色职责</w:t>
            </w:r>
          </w:p>
        </w:tc>
      </w:tr>
      <w:tr w14:paraId="327777E2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04EB81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流程节点与前后置条件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DEB64B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245D93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能判断任务所处阶段、前置条件、流转节点和审批边界</w:t>
            </w:r>
          </w:p>
        </w:tc>
      </w:tr>
      <w:tr w14:paraId="6684F9AE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26196D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风险与缺项提示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A13632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7060A8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能识别安全风险、合规风险、缺项漏项和不确定事项</w:t>
            </w:r>
          </w:p>
        </w:tc>
      </w:tr>
      <w:tr w14:paraId="7E6D4162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7267AC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人工确认边界</w:t>
            </w:r>
          </w:p>
        </w:tc>
        <w:tc>
          <w:tcPr>
            <w:tcW w:w="113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3DE870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92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315D46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涉及审批、安全、责任认定时保留人工确认提示</w:t>
            </w:r>
          </w:p>
        </w:tc>
      </w:tr>
    </w:tbl>
    <w:p w14:paraId="6AAD39D3"/>
    <w:p w14:paraId="729DB68E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高分特征：能把表单、制度、附件和历史材料关联起来，形成缺项清单、风险提示、修改建议和人工确认项，而不是只做文字润色。</w:t>
      </w:r>
    </w:p>
    <w:p w14:paraId="4FD23297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低分特征：只识别表面文本错误，不能看出字段缺漏、角色责任、流程前后置条件或风险边界。</w:t>
      </w:r>
    </w:p>
    <w:p w14:paraId="33AFD3F0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主要留证材料：样例表单、检查意见、缺项清单、风险提示、人工确认记录。</w:t>
      </w:r>
    </w:p>
    <w:p w14:paraId="56234B11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6.3 可复用业务能力沉淀能力（15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198"/>
        <w:gridCol w:w="8228"/>
      </w:tblGrid>
      <w:tr w14:paraId="32309E51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919D52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212ECC3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37F15DE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0B16AD4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285342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高频任务模板化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13C78F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4F7393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能将制度问答、材料生成、表单辅助检查等高频任务沉淀为可复用模板</w:t>
            </w:r>
          </w:p>
        </w:tc>
      </w:tr>
      <w:tr w14:paraId="6DFACDD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15E434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检查清单沉淀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3077CE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24E903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能将字段完整性、风险点、责任分工、待核验事项沉淀为检查清单</w:t>
            </w:r>
          </w:p>
        </w:tc>
      </w:tr>
      <w:tr w14:paraId="757E18F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5A714C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输出格式复用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C68EC3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836152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能复用纪要、汇报、请示、整改清单、审核意见等常用输出格式</w:t>
            </w:r>
          </w:p>
        </w:tc>
      </w:tr>
      <w:tr w14:paraId="3A882D4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6D5CA4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业务规则复用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94C378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071CAF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能复用甲方提供的制度口径、流程节点、角色责任和材料要求</w:t>
            </w:r>
          </w:p>
        </w:tc>
      </w:tr>
      <w:tr w14:paraId="25EC66E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EEB3A4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示例任务入口</w:t>
            </w:r>
          </w:p>
        </w:tc>
        <w:tc>
          <w:tcPr>
            <w:tcW w:w="119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C7CC33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228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BA76DD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能为业务人员提供清晰的示例任务或任务入口，降低重复说明成本</w:t>
            </w:r>
          </w:p>
        </w:tc>
      </w:tr>
    </w:tbl>
    <w:p w14:paraId="5A5AEDF1"/>
    <w:p w14:paraId="0F1E6201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高分特征：同类任务再次试用时，不需要业务人员反复解释格式、字段和检查口径，产品能沿用已沉淀的任务模板和输出规范。</w:t>
      </w:r>
    </w:p>
    <w:p w14:paraId="4DF03BDB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低分特征：每次任务都依赖临时提示，无法沉淀规则、清单和输出格式，换一个人员或任务就需要重新组织。</w:t>
      </w:r>
    </w:p>
    <w:p w14:paraId="052C53BD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主要留证材料：业务能力模板、检查清单、示例任务、复用前后对比、配置说明。</w:t>
      </w:r>
    </w:p>
    <w:p w14:paraId="2EE1D4C1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6.4 多步骤任务闭环与过程留痕能力（15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007"/>
        <w:gridCol w:w="8419"/>
      </w:tblGrid>
      <w:tr w14:paraId="16DC32E4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1F425F33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A76C86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9B6C2BB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4646C676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4F0AF5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任务拆解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EF52F1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AA811B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能把复杂任务拆成可执行步骤，并说明当前进度和下一步</w:t>
            </w:r>
          </w:p>
        </w:tc>
      </w:tr>
      <w:tr w14:paraId="121A8144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5A8284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阶段状态与过程记录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6B58E1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E48DEE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能保留关键输入、判断依据、阶段状态和用户确认点</w:t>
            </w:r>
          </w:p>
        </w:tc>
      </w:tr>
      <w:tr w14:paraId="749D8C9B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A71250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产物清单与版本留存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8A033C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598A7F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能形成可编辑、可复核、可归档的阶段产物和最终产物</w:t>
            </w:r>
          </w:p>
        </w:tc>
      </w:tr>
      <w:tr w14:paraId="1BF5BAC7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682C51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返工处理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413F98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7A66F0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信息缺失、用户改口径或任务失败时能说明原因并继续处理</w:t>
            </w:r>
          </w:p>
        </w:tc>
      </w:tr>
      <w:tr w14:paraId="441A795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FD5BDB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后续办理建议</w:t>
            </w:r>
          </w:p>
        </w:tc>
        <w:tc>
          <w:tcPr>
            <w:tcW w:w="100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A35C0C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41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5D796E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能给出后续办理、复核、整改、归档或复盘建议</w:t>
            </w:r>
          </w:p>
        </w:tc>
      </w:tr>
    </w:tbl>
    <w:p w14:paraId="59927C31"/>
    <w:p w14:paraId="678F6786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高分特征：产品不仅给一次性答案，还能持续推进任务，保留过程、产物和确认点，便于业务人员复核和接续办理。</w:t>
      </w:r>
    </w:p>
    <w:p w14:paraId="35C48F94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低分特征：回答结束后没有阶段记录、没有产物清单，用户改口径或补材料后需要重新开始。</w:t>
      </w:r>
    </w:p>
    <w:p w14:paraId="70A17F3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主要留证材料：阶段记录、产物清单、最终文件、用户确认点、返工记录。</w:t>
      </w:r>
    </w:p>
    <w:p w14:paraId="07847A56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6.5 依据引用与风险边界表达能力（12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166"/>
        <w:gridCol w:w="8260"/>
      </w:tblGrid>
      <w:tr w14:paraId="2BA7F2F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AA68CA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05B02AD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34F2304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463C28BD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3350EA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引用与依据标注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6EA437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E18444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引用制度、规程、历史材料时说明来源、条款位置或材料出处</w:t>
            </w:r>
          </w:p>
        </w:tc>
      </w:tr>
      <w:tr w14:paraId="57DBEDE6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2F7CA0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事实一致性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F04D3A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8C1388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输出与甲方提供材料一致，不混用口径、不张冠李戴</w:t>
            </w:r>
          </w:p>
        </w:tc>
      </w:tr>
      <w:tr w14:paraId="27215ABD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3FD0BF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待核验表达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7A2A02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A63F17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对缺失信息、过期标准、无法确认事项标注待核验</w:t>
            </w:r>
          </w:p>
        </w:tc>
      </w:tr>
      <w:tr w14:paraId="1D0F152E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A875A7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风险提示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4966B1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24F648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对安全、合规、责任、材料缺失等风险作出审慎提示</w:t>
            </w:r>
          </w:p>
        </w:tc>
      </w:tr>
      <w:tr w14:paraId="08182C07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A61642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人工确认边界</w:t>
            </w:r>
          </w:p>
        </w:tc>
        <w:tc>
          <w:tcPr>
            <w:tcW w:w="116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633096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26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875B87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不替代审批、审核、安全确认和责任认定，必要时提示人工复核</w:t>
            </w:r>
          </w:p>
        </w:tc>
      </w:tr>
    </w:tbl>
    <w:p w14:paraId="522E6E2E"/>
    <w:p w14:paraId="07FFB2AD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高分特征：关键结论能回到材料依据，风险和不确定事项说清楚，高风险场景不越过人工确认边界。</w:t>
      </w:r>
    </w:p>
    <w:p w14:paraId="31BCCE48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低分特征：输出听起来完整但依据不清，或把缺失信息、推测判断写成确定结论。</w:t>
      </w:r>
    </w:p>
    <w:p w14:paraId="4903F4C5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主要留证材料：引用来源、待核验事项、风险提示、人工复核记录。</w:t>
      </w:r>
    </w:p>
    <w:p w14:paraId="48475BAE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6.6 易用性与业务人员采纳度（8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357"/>
        <w:gridCol w:w="8069"/>
      </w:tblGrid>
      <w:tr w14:paraId="0C77B75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AE95834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8F6AFC7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DFDC129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486055BD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4CA2FC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上手难度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D21524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7439F0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非技术人员能在简短引导后独立完成任务</w:t>
            </w:r>
          </w:p>
        </w:tc>
      </w:tr>
      <w:tr w14:paraId="79DF3722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4490B3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交互清晰度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97D226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D47067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产品能清楚说明需要用户补充什么、已完成什么、下一步是什么</w:t>
            </w:r>
          </w:p>
        </w:tc>
      </w:tr>
      <w:tr w14:paraId="2CD5305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D0A40D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业务语言适配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817D96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E3E2E2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输出符合甲方业务语境、公文表达和部门沟通习惯</w:t>
            </w:r>
          </w:p>
        </w:tc>
      </w:tr>
      <w:tr w14:paraId="5D8BAF54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343DBB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修改成本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F405C9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2F4541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业务人员二次修改量明显减少</w:t>
            </w:r>
          </w:p>
        </w:tc>
      </w:tr>
      <w:tr w14:paraId="31E9CB5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2D97FC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采纳反馈</w:t>
            </w:r>
          </w:p>
        </w:tc>
        <w:tc>
          <w:tcPr>
            <w:tcW w:w="135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A42A04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06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C8FC9F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试用人员愿意在真实工作中继续使用相关能力</w:t>
            </w:r>
          </w:p>
        </w:tc>
      </w:tr>
    </w:tbl>
    <w:p w14:paraId="061DD795"/>
    <w:p w14:paraId="502C5D3C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高分特征：业务人员不需要理解模型、插件或技术概念，能按日常工作任务直接使用，并愿意继续用于真实办公。</w:t>
      </w:r>
    </w:p>
    <w:p w14:paraId="2A057EC4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低分特征：操作入口复杂，必须依赖技术人员解释，输出语言不符合甲方业务表达，修改成本仍然较高。</w:t>
      </w:r>
    </w:p>
    <w:p w14:paraId="7B6DEDB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主要留证材料：试用人员评分、修改次数、修改耗时、满意度、采纳反馈。</w:t>
      </w:r>
    </w:p>
    <w:p w14:paraId="37AD8D40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6.7 试用效率、稳定性与成本可控能力（5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976"/>
        <w:gridCol w:w="8450"/>
      </w:tblGrid>
      <w:tr w14:paraId="165DB96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7907A434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9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42B4E3C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4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44DADC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28B652D6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2CACD6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任务有效完成时间</w:t>
            </w:r>
          </w:p>
        </w:tc>
        <w:tc>
          <w:tcPr>
            <w:tcW w:w="9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EC4AF0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84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4B6A1F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在输出质量达标前提下，比较完成同一任务所需时间，包括生成时间和必要交互时间</w:t>
            </w:r>
          </w:p>
        </w:tc>
      </w:tr>
      <w:tr w14:paraId="55921C9E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1A90DD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一次可用率</w:t>
            </w:r>
          </w:p>
        </w:tc>
        <w:tc>
          <w:tcPr>
            <w:tcW w:w="9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7C9EE1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4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7BB771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同一任务首次完整输出是否达到少量修改可用，避免只看回答速度</w:t>
            </w:r>
          </w:p>
        </w:tc>
      </w:tr>
      <w:tr w14:paraId="11477908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F1EB8B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失败与重试情况</w:t>
            </w:r>
          </w:p>
        </w:tc>
        <w:tc>
          <w:tcPr>
            <w:tcW w:w="9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348395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4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DC578D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统计任务中断、输出为空、格式错误、无法继续处理或必须重开任务等情况</w:t>
            </w:r>
          </w:p>
        </w:tc>
      </w:tr>
      <w:tr w14:paraId="04CDA49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35F4BB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资源与使用成本</w:t>
            </w:r>
          </w:p>
        </w:tc>
        <w:tc>
          <w:tcPr>
            <w:tcW w:w="9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B2FD21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4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BFBB66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评估模型、算力、部署、运维和培训成本是否可接受</w:t>
            </w:r>
          </w:p>
        </w:tc>
      </w:tr>
    </w:tbl>
    <w:p w14:paraId="415DB63E"/>
    <w:p w14:paraId="7097138E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高分特征：在统一任务、统一材料、统一评分口径下，产品能稳定完成任务，返工少，一次可用率较高。</w:t>
      </w:r>
    </w:p>
    <w:p w14:paraId="0F4F1A7A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低分特征：响应快但不可用，或频繁中断、重试、格式错乱，需要业务人员反复补救。</w:t>
      </w:r>
    </w:p>
    <w:p w14:paraId="73055BA8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主要留证材料：任务计时记录、一次通过记录、失败重试记录、人工修改耗时、成本说明。</w:t>
      </w:r>
    </w:p>
    <w:p w14:paraId="11F907E7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6.8 实施适配与运行保障能力（5 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1150"/>
        <w:gridCol w:w="8276"/>
      </w:tblGrid>
      <w:tr w14:paraId="0F35F4D5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BDA53C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2195EF5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27DF65D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 w14:paraId="147F76B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6DE2BF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终端环境适配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E169D9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FE0571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能与甲方既有办公终端、浏览器、操作系统兼容</w:t>
            </w:r>
          </w:p>
        </w:tc>
      </w:tr>
      <w:tr w14:paraId="15508B7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39AC01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资料处理边界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2F5873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AA55E3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能说明资料导入、存储、传输、外部调用和留存边界</w:t>
            </w:r>
          </w:p>
        </w:tc>
      </w:tr>
      <w:tr w14:paraId="1D0CE78E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03D5CE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权限与留痕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76F51B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5E85A8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具备必要的用户权限、操作记录、日志留存或审计支持</w:t>
            </w:r>
          </w:p>
        </w:tc>
      </w:tr>
      <w:tr w14:paraId="06D5F6B5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322A4D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诊断与恢复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5781D5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270C08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出现异常时便于定位问题、导出诊断信息和恢复使用</w:t>
            </w:r>
          </w:p>
        </w:tc>
      </w:tr>
      <w:tr w14:paraId="26FDF4E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8CEBAE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运维支持</w:t>
            </w:r>
          </w:p>
        </w:tc>
        <w:tc>
          <w:tcPr>
            <w:tcW w:w="115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08B849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w="8276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E62087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具备</w:t>
            </w:r>
            <w:bookmarkStart w:id="0" w:name="_GoBack"/>
            <w:r>
              <w:rPr>
                <w:rFonts w:ascii="宋体" w:hAnsi="宋体" w:eastAsia="宋体"/>
                <w:b w:val="0"/>
                <w:sz w:val="16"/>
              </w:rPr>
              <w:t>安装、升级、配置、备份、停用和支持服务</w:t>
            </w:r>
            <w:bookmarkEnd w:id="0"/>
            <w:r>
              <w:rPr>
                <w:rFonts w:ascii="宋体" w:hAnsi="宋体" w:eastAsia="宋体"/>
                <w:b w:val="0"/>
                <w:sz w:val="16"/>
              </w:rPr>
              <w:t>方案</w:t>
            </w:r>
          </w:p>
        </w:tc>
      </w:tr>
    </w:tbl>
    <w:p w14:paraId="36571C7B"/>
    <w:p w14:paraId="56043CB3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高分特征：产品能在甲方既有办公和管控条件下试用，问题可诊断、可恢复，运行边界说明清楚。</w:t>
      </w:r>
    </w:p>
    <w:p w14:paraId="57726800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低分特征：对终端环境、资料处理、权限留痕和异常恢复缺少说明，试用中出现问题后难以定位。</w:t>
      </w:r>
    </w:p>
    <w:p w14:paraId="466F062C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主要留证材料：实施说明、运行记录、诊断材料、支持记录。</w:t>
      </w:r>
    </w:p>
    <w:p w14:paraId="7CDBB264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七、试用任务包设计</w:t>
      </w:r>
    </w:p>
    <w:p w14:paraId="5C7E1002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每个参评产品至少完成 5 类任务。甲方可根据实际业务选择任务，但各产品应使用同一任务说明和同一批脱敏材料，并按统一口径记录任务耗时、一次通过、失败重试和人工修改情况。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4713"/>
        <w:gridCol w:w="4713"/>
      </w:tblGrid>
      <w:tr w14:paraId="0FE88342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0B6857E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121050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目标产物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C08E52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重点观察</w:t>
            </w:r>
          </w:p>
        </w:tc>
      </w:tr>
      <w:tr w14:paraId="4971F71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88B157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日常办公文档生成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855176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纪要、汇报、请示、方案、整改清单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086FE3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是否结构规范、语气合适、少改可用，人工修改耗时是否减少</w:t>
            </w:r>
          </w:p>
        </w:tc>
      </w:tr>
      <w:tr w14:paraId="7E9185B0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67AD24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制度问答与依据引用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4071B4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带依据的问答结果、待核验事项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E987AA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是否引用准确、边界清楚，是否能在合理时间内完成</w:t>
            </w:r>
          </w:p>
        </w:tc>
      </w:tr>
      <w:tr w14:paraId="05C523F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0CE8A7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典型业务表单辅助检查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13B578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一单两票或甲方指定表单的检查意见、缺项清单、风险提示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102876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是否识别字段、角色、流程和风险，是否保留人工确认边界</w:t>
            </w:r>
          </w:p>
        </w:tc>
      </w:tr>
      <w:tr w14:paraId="651F48A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5F62DE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操作步骤或办理流程校核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A41BD0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步骤校核意见、确认清单、危险点提示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16B35D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是否理解顺序、前置条件和人工确认边界，是否出现遗漏或误判</w:t>
            </w:r>
          </w:p>
        </w:tc>
      </w:tr>
      <w:tr w14:paraId="183A8DD5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F07AFD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检修计划与任务分解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E0C8E2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计划初稿、人员分工、材料清单、风险措施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98D6A1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是否能形成可执行计划，是否能沉淀阶段产物</w:t>
            </w:r>
          </w:p>
        </w:tc>
      </w:tr>
      <w:tr w14:paraId="5E52BDB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E5A14B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缺陷或问题闭环与复盘材料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18028F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分级建议、处置流程、整改清单、复盘材料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C27510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是否能从描述推进到闭环处置，失败或信息不足时能否继续处理</w:t>
            </w:r>
          </w:p>
        </w:tc>
      </w:tr>
    </w:tbl>
    <w:p w14:paraId="0B583681"/>
    <w:p w14:paraId="5DD5D7DE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八、评价实施流程</w:t>
      </w:r>
    </w:p>
    <w:p w14:paraId="7D1DEF72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建议试用周期为 7 至 14 天。厂商可提供必要安装、配置和使用引导，但不应代替甲方完成评分任务。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7"/>
        <w:gridCol w:w="6229"/>
        <w:gridCol w:w="4713"/>
      </w:tblGrid>
      <w:tr w14:paraId="68907797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193C0102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0A4D98A3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主要动作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E6864F5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输出物</w:t>
            </w:r>
          </w:p>
        </w:tc>
      </w:tr>
      <w:tr w14:paraId="5BC9848B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922F9A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准备阶段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787B2C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确定参评产品、试用人员、周期、脱敏材料、统一计时口径和评分表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B6BE2E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试用方案、任务包、评分表、过程记录表</w:t>
            </w:r>
          </w:p>
        </w:tc>
      </w:tr>
      <w:tr w14:paraId="07840177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9FB80B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80D0E0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业务人员按统一任务使用产品，并保留过程证据和量化记录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CA5F29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原始输入、产品输出、依据、耗时记录、失败重试记录</w:t>
            </w:r>
          </w:p>
        </w:tc>
      </w:tr>
      <w:tr w14:paraId="25FA410D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F29A3D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评分阶段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5CFAA9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业务、信息化/安全、运维人员分别评分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5C266E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分项评分表、问题清单、量化统计表</w:t>
            </w:r>
          </w:p>
        </w:tc>
      </w:tr>
      <w:tr w14:paraId="2A3C0686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7426C4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复核阶段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9EB893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对关键扣分项、重大风险项、得分接近项和异常耗时项复核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7EFFF2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复核意见、风险说明、异常说明</w:t>
            </w:r>
          </w:p>
        </w:tc>
      </w:tr>
      <w:tr w14:paraId="58890B3A">
        <w:trPr>
          <w:jc w:val="center"/>
        </w:trPr>
        <w:tc>
          <w:tcPr>
            <w:tcW w:w="3197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6665FC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结论阶段</w:t>
            </w:r>
          </w:p>
        </w:tc>
        <w:tc>
          <w:tcPr>
            <w:tcW w:w="6229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CC39A2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形成适用场景、落地条件和后续建议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557BC8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试用评价报告、选型建议</w:t>
            </w:r>
          </w:p>
        </w:tc>
      </w:tr>
    </w:tbl>
    <w:p w14:paraId="36ED53BE"/>
    <w:p w14:paraId="62E9B80E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九、证据采集与计分方法</w:t>
      </w:r>
    </w:p>
    <w:p w14:paraId="4A0FD756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9.1 证据采集</w:t>
      </w:r>
    </w:p>
    <w:p w14:paraId="2AC9A4B6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每项任务至少留存以下证据：</w:t>
      </w:r>
    </w:p>
    <w:p w14:paraId="0ACFD1A5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1. 原始输入材料和任务说明。</w:t>
      </w:r>
    </w:p>
    <w:p w14:paraId="286C30B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2. 产品原始输出。</w:t>
      </w:r>
    </w:p>
    <w:p w14:paraId="183E793C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3. 产品引用的依据或来源。</w:t>
      </w:r>
    </w:p>
    <w:p w14:paraId="6A2BD112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4. 任务开始时间、首次输出时间和可采纳完成时间。</w:t>
      </w:r>
    </w:p>
    <w:p w14:paraId="13E902E1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5. 业务人员人工修改点、修改次数和修改耗时。</w:t>
      </w:r>
    </w:p>
    <w:p w14:paraId="73164FE1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6. 最终是否采纳，首次输出是否一次通过。</w:t>
      </w:r>
    </w:p>
    <w:p w14:paraId="5D0C8D7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7. 是否发生失败、重试、中断、空输出或明显格式错乱。</w:t>
      </w:r>
    </w:p>
    <w:p w14:paraId="13217481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8. 试用人员评分和简要评价。</w:t>
      </w:r>
    </w:p>
    <w:p w14:paraId="79D9F1D0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9.2 统一计时与量化记录口径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70"/>
        <w:gridCol w:w="7070"/>
      </w:tblGrid>
      <w:tr w14:paraId="57971EDD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CC6A346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量化字段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5FAF0D5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记录口径</w:t>
            </w:r>
          </w:p>
        </w:tc>
      </w:tr>
      <w:tr w14:paraId="645ABFB7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D449FB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任务开始时间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205B6F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用户提交完整任务材料并发起任务的时间</w:t>
            </w:r>
          </w:p>
        </w:tc>
      </w:tr>
      <w:tr w14:paraId="1D6752BB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66CC49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首次输出时间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F6336DD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产品首次给出完整可阅读结果的时间</w:t>
            </w:r>
          </w:p>
        </w:tc>
      </w:tr>
      <w:tr w14:paraId="2F7680D9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34E283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可采纳完成时间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E41B232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输出达到少量修改可用的时间</w:t>
            </w:r>
          </w:p>
        </w:tc>
      </w:tr>
      <w:tr w14:paraId="1E471031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0035092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人工修改次数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73F8C5C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业务人员为形成最终可用产物进行的实质性修改轮次</w:t>
            </w:r>
          </w:p>
        </w:tc>
      </w:tr>
      <w:tr w14:paraId="219D3579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A64B67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人工修改耗时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B45492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业务人员从产品输出到最终可用稿的处理时间</w:t>
            </w:r>
          </w:p>
        </w:tc>
      </w:tr>
      <w:tr w14:paraId="0527AD80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70BA25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是否一次通过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FFED4C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首次完整输出是否基本可用，且无需重新发起任务</w:t>
            </w:r>
          </w:p>
        </w:tc>
      </w:tr>
      <w:tr w14:paraId="0E090B96">
        <w:trPr>
          <w:jc w:val="center"/>
        </w:trPr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ADE51A9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是否失败或重试</w:t>
            </w:r>
          </w:p>
        </w:tc>
        <w:tc>
          <w:tcPr>
            <w:tcW w:w="7070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42AC46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是否出现中断、卡死、空输出、明显格式错乱或必须重新开始</w:t>
            </w:r>
          </w:p>
        </w:tc>
      </w:tr>
    </w:tbl>
    <w:p w14:paraId="18489DE5"/>
    <w:p w14:paraId="55AEBEF7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9.3 评分主体建议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4713"/>
        <w:gridCol w:w="4713"/>
      </w:tblGrid>
      <w:tr w14:paraId="62EB9A3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778EE398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评分主体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D6E3F8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建议权重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0173181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重点职责</w:t>
            </w:r>
          </w:p>
        </w:tc>
      </w:tr>
      <w:tr w14:paraId="7612E71C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CCC801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业务部门评分人员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594DB0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70%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DCC722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评价任务完成质量、产物可用性、修改成本和采纳意愿</w:t>
            </w:r>
          </w:p>
        </w:tc>
      </w:tr>
      <w:tr w14:paraId="7B43A95D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BD7983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信息化/安全评分人员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43C21D3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7AEE00A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评价资料接入、运行边界、权限留痕和实施适配</w:t>
            </w:r>
          </w:p>
        </w:tc>
      </w:tr>
      <w:tr w14:paraId="3B596E59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6544CF3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运维管理评分人员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AF3336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FD28EEA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评价安装配置、稳定性、诊断恢复、升级维护和支持能力</w:t>
            </w:r>
          </w:p>
        </w:tc>
      </w:tr>
    </w:tbl>
    <w:p w14:paraId="6F7421A6"/>
    <w:p w14:paraId="3534AB01">
      <w:pPr>
        <w:pStyle w:val="4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9.4 评分等级建议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3"/>
        <w:gridCol w:w="4713"/>
        <w:gridCol w:w="4713"/>
      </w:tblGrid>
      <w:tr w14:paraId="7D141741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8140048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等级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A71F762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分数区间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E1D99D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建议解释</w:t>
            </w:r>
          </w:p>
        </w:tc>
      </w:tr>
      <w:tr w14:paraId="75A6327F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F786DB8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83431D6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90-100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1A29DF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可优先进入试点扩大或采购论证</w:t>
            </w:r>
          </w:p>
        </w:tc>
      </w:tr>
      <w:tr w14:paraId="69E30F54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5F12E9C1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B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91F4FB0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80-89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1DA787A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具备落地价值，需补齐部分场景、运行保障或运维条件</w:t>
            </w:r>
          </w:p>
        </w:tc>
      </w:tr>
      <w:tr w14:paraId="5C80D367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A845384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91534B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70-79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5909AE7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可在有限场景继续观察，不宜直接大范围推广</w:t>
            </w:r>
          </w:p>
        </w:tc>
      </w:tr>
      <w:tr w14:paraId="0D3F6653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6C5AA5DF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D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3078B6F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60-69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F8FBFD"/>
            <w:vAlign w:val="center"/>
          </w:tcPr>
          <w:p w14:paraId="2E4769AE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能力或落地条件不足，需完成明显改进后再评估</w:t>
            </w:r>
          </w:p>
        </w:tc>
      </w:tr>
      <w:tr w14:paraId="1ADA9451">
        <w:trPr>
          <w:jc w:val="center"/>
        </w:trPr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BD215EB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C085E15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60 以下</w:t>
            </w:r>
          </w:p>
        </w:tc>
        <w:tc>
          <w:tcPr>
            <w:tcW w:w="4713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2625B443">
            <w:pPr>
              <w:spacing w:after="0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暂不建议进入正式试点或选型</w:t>
            </w:r>
          </w:p>
        </w:tc>
      </w:tr>
    </w:tbl>
    <w:p w14:paraId="4567391E"/>
    <w:p w14:paraId="5850D676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十、结果应用建议</w:t>
      </w:r>
    </w:p>
    <w:p w14:paraId="4E7D1A4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最终结论不宜只给总分排名，应同时给出：</w:t>
      </w:r>
    </w:p>
    <w:p w14:paraId="5F29ADAB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1. 各一级指标得分和主要扣分项。</w:t>
      </w:r>
    </w:p>
    <w:p w14:paraId="16351A1C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2. 产品适合优先落地的日常办公和业务办理场景。</w:t>
      </w:r>
    </w:p>
    <w:p w14:paraId="28E81FC2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3. 不适合或需谨慎使用的业务边界。</w:t>
      </w:r>
    </w:p>
    <w:p w14:paraId="232AE597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4. 资料处理、运行保障和系统接入前置条件。</w:t>
      </w:r>
    </w:p>
    <w:p w14:paraId="526EE358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5. 有效完成时间、人工修改成本、失败重试情况和一次可用率。</w:t>
      </w:r>
    </w:p>
    <w:p w14:paraId="5D76594F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6. 后续试点、扩围、采购或淘汰建议。</w:t>
      </w:r>
    </w:p>
    <w:p w14:paraId="346623BD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对于得分接近的产品，建议优先比较真实任务采纳率、人工修改成本、依据错误数量、失败重试情况和有效完成时间，而不是单纯比较回答速度、模型参数或界面观感。</w:t>
      </w:r>
    </w:p>
    <w:p w14:paraId="169E6708">
      <w:r>
        <w:rPr>
          <w:rFonts w:ascii="黑体" w:hAnsi="黑体" w:eastAsia="黑体"/>
          <w:b/>
          <w:color w:val="2F5597"/>
          <w:sz w:val="30"/>
        </w:rPr>
        <w:t>十二、附件：任务过程记录表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 w14:paraId="5EDA6FEC">
        <w:trPr>
          <w:jc w:val="center"/>
        </w:trPr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E966ADA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产品名称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F98CAA7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任务编号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4A11CD0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C95A12D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任务开始时间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281DCF9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首次输出时间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3549D90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可采纳完成时间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B25D241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人工修改次数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A42D82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人工修改耗时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7EE95BB1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是否一次通过</w:t>
            </w: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31E5340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是否失败或重试</w:t>
            </w:r>
          </w:p>
        </w:tc>
      </w:tr>
      <w:tr w14:paraId="4E5A7403">
        <w:trPr>
          <w:jc w:val="center"/>
        </w:trPr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087E7BF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DD98AF1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71CCB9E3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CE45A5E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E500EAE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F4FDDBA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584A652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4BB087CD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284BA76">
            <w:pPr>
              <w:spacing w:after="0"/>
              <w:ind w:firstLine="0"/>
              <w:jc w:val="left"/>
            </w:pPr>
          </w:p>
        </w:tc>
        <w:tc>
          <w:tcPr>
            <w:tcW w:w="1414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BD8BF30">
            <w:pPr>
              <w:spacing w:after="0"/>
              <w:ind w:firstLine="0"/>
              <w:jc w:val="left"/>
            </w:pPr>
          </w:p>
        </w:tc>
      </w:tr>
    </w:tbl>
    <w:p w14:paraId="5A12757B"/>
    <w:p w14:paraId="51269D1B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十三、附件：评分记录表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 w14:paraId="7317826F">
        <w:trPr>
          <w:jc w:val="center"/>
        </w:trPr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6F73CE2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产品名称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6E84131A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任务编号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10C226F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5D77AC5A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是否采纳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7E7BE622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业务评分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2A04E5F5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信息化/安全评分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4C30ACA7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运维评分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1B6E5CC2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主要扣分项</w:t>
            </w: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shd w:val="clear" w:color="auto" w:fill="D9EAF7"/>
            <w:vAlign w:val="center"/>
          </w:tcPr>
          <w:p w14:paraId="39769F9B">
            <w:pPr>
              <w:spacing w:after="0"/>
              <w:ind w:firstLine="0"/>
              <w:jc w:val="center"/>
            </w:pPr>
            <w:r>
              <w:rPr>
                <w:rFonts w:ascii="宋体" w:hAnsi="宋体" w:eastAsia="宋体"/>
                <w:b/>
                <w:color w:val="1F4E79"/>
                <w:sz w:val="16"/>
              </w:rPr>
              <w:t>主要问题</w:t>
            </w:r>
          </w:p>
        </w:tc>
      </w:tr>
      <w:tr w14:paraId="6080C563">
        <w:trPr>
          <w:jc w:val="center"/>
        </w:trPr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D973BF3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375CD4D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862BDAA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5C0CA643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D9AE08E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10EEC758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384F0EB3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8CB7911">
            <w:pPr>
              <w:spacing w:after="0"/>
              <w:ind w:firstLine="0"/>
              <w:jc w:val="left"/>
            </w:pPr>
          </w:p>
        </w:tc>
        <w:tc>
          <w:tcPr>
            <w:tcW w:w="1571" w:type="dxa"/>
            <w:tcBorders>
              <w:top w:val="single" w:color="B7C9D6" w:sz="6" w:space="0"/>
              <w:left w:val="single" w:color="B7C9D6" w:sz="6" w:space="0"/>
              <w:bottom w:val="single" w:color="B7C9D6" w:sz="6" w:space="0"/>
              <w:right w:val="single" w:color="B7C9D6" w:sz="6" w:space="0"/>
              <w:insideH w:val="single" w:sz="6" w:space="0"/>
              <w:insideV w:val="single" w:sz="6" w:space="0"/>
            </w:tcBorders>
            <w:vAlign w:val="center"/>
          </w:tcPr>
          <w:p w14:paraId="02DA7639">
            <w:pPr>
              <w:spacing w:after="0"/>
              <w:ind w:firstLine="0"/>
              <w:jc w:val="left"/>
            </w:pPr>
          </w:p>
        </w:tc>
      </w:tr>
    </w:tbl>
    <w:p w14:paraId="7C6E951B"/>
    <w:p w14:paraId="66FC4446">
      <w:pPr>
        <w:pStyle w:val="3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十四、状态边界</w:t>
      </w:r>
    </w:p>
    <w:p w14:paraId="304B7499">
      <w:pPr>
        <w:spacing w:after="120" w:line="300" w:lineRule="auto"/>
        <w:ind w:firstLine="420"/>
      </w:pPr>
      <w:r>
        <w:rPr>
          <w:rFonts w:ascii="宋体" w:hAnsi="宋体" w:eastAsia="宋体"/>
          <w:sz w:val="21"/>
        </w:rPr>
        <w:t>本文件为评价体系建议稿。涉及具体制度、流程、表单、系统接口、数据分类分级和运行管理要求时，应以甲方现行制度、脱敏样例材料和管理要求为准。效率、稳定性和成本相关指标应结合任务难度、材料完整性、终端环境和试用人员熟悉程度综合判断，不作为脱离业务产物质量的单独排名依据。</w:t>
      </w:r>
    </w:p>
    <w:sectPr>
      <w:footerReference r:id="rId5" w:type="default"/>
      <w:pgSz w:w="15840" w:h="12240" w:orient="landscape"/>
      <w:pgMar w:top="850" w:right="850" w:bottom="850" w:left="8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3C9EE">
    <w:pPr>
      <w:pStyle w:val="24"/>
      <w:jc w:val="right"/>
    </w:pPr>
    <w:r>
      <w:rPr>
        <w:rFonts w:ascii="宋体" w:hAnsi="宋体" w:eastAsia="宋体"/>
        <w:color w:val="969696"/>
        <w:sz w:val="16"/>
      </w:rPr>
      <w:t>国网日常办公智能化应用试用评价体系 | 建议稿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DFFBE08B"/>
    <w:rsid w:val="FBEF4B48"/>
    <w:rsid w:val="FE996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20"/>
      <w:ind w:firstLine="0"/>
      <w:outlineLvl w:val="0"/>
    </w:pPr>
    <w:rPr>
      <w:rFonts w:asciiTheme="majorHAnsi" w:hAnsiTheme="majorHAnsi" w:eastAsiaTheme="majorEastAsia" w:cstheme="majorBidi"/>
      <w:b/>
      <w:bCs/>
      <w:color w:val="2F5597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20"/>
      <w:ind w:firstLine="0"/>
      <w:outlineLvl w:val="1"/>
    </w:pPr>
    <w:rPr>
      <w:rFonts w:asciiTheme="majorHAnsi" w:hAnsiTheme="majorHAnsi" w:eastAsiaTheme="majorEastAsia" w:cstheme="majorBidi"/>
      <w:b/>
      <w:bCs/>
      <w:color w:val="2F5597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大白</cp:lastModifiedBy>
  <dcterms:modified xsi:type="dcterms:W3CDTF">2026-06-12T12:57:59Z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D73C5D157CE1E2F4A3912B6AD1E66414_42</vt:lpwstr>
  </property>
</Properties>
</file>