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  <w:jc w:val="center"/>
      </w:pPr>
      <w:r>
        <w:rPr>
          <w:rFonts w:ascii="黑体" w:hAnsi="黑体" w:eastAsia="黑体"/>
          <w:b/>
          <w:color w:val="2F5597"/>
          <w:sz w:val="44"/>
        </w:rPr>
        <w:t>国网日常办公智能化应用试用评价体系</w:t>
      </w:r>
    </w:p>
    <w:p>
      <w:pPr>
        <w:ind w:firstLine="0"/>
        <w:jc w:val="center"/>
      </w:pPr>
      <w:r>
        <w:rPr>
          <w:rFonts w:ascii="宋体" w:hAnsi="宋体" w:eastAsia="宋体"/>
          <w:color w:val="5A5A5A"/>
          <w:sz w:val="28"/>
        </w:rPr>
        <w:t>建议稿</w:t>
      </w:r>
    </w:p>
    <w:p>
      <w:pPr>
        <w:spacing w:after="40"/>
        <w:ind w:firstLine="0"/>
        <w:jc w:val="center"/>
      </w:pPr>
      <w:r>
        <w:rPr>
          <w:rFonts w:ascii="宋体" w:hAnsi="宋体" w:eastAsia="宋体"/>
          <w:color w:val="5A5A5A"/>
          <w:sz w:val="19"/>
        </w:rPr>
        <w:t>版本：v0.4</w:t>
      </w:r>
    </w:p>
    <w:p>
      <w:pPr>
        <w:spacing w:after="40"/>
        <w:ind w:firstLine="0"/>
        <w:jc w:val="center"/>
      </w:pPr>
      <w:r>
        <w:rPr>
          <w:rFonts w:ascii="宋体" w:hAnsi="宋体" w:eastAsia="宋体"/>
          <w:color w:val="5A5A5A"/>
          <w:sz w:val="19"/>
        </w:rPr>
        <w:t>日期：2026-06-12</w:t>
      </w:r>
    </w:p>
    <w:p>
      <w:pPr>
        <w:spacing w:after="40"/>
        <w:ind w:firstLine="0"/>
        <w:jc w:val="center"/>
      </w:pPr>
      <w:r>
        <w:rPr>
          <w:rFonts w:ascii="宋体" w:hAnsi="宋体" w:eastAsia="宋体"/>
          <w:color w:val="5A5A5A"/>
          <w:sz w:val="19"/>
        </w:rPr>
        <w:t>适用范围：日常办公与典型业务流程智能化应用试用、评估和选型</w:t>
      </w:r>
    </w:p>
    <w:p>
      <w:pPr>
        <w:pStyle w:val="Heading1"/>
        <w:spacing w:before="160" w:after="120"/>
        <w:ind w:firstLine="0"/>
      </w:pPr>
      <w:r>
        <w:rPr>
          <w:rFonts w:ascii="黑体" w:hAnsi="黑体" w:eastAsia="黑体"/>
          <w:b/>
          <w:color w:val="2F5597"/>
          <w:sz w:val="30"/>
        </w:rPr>
        <w:t>一、编制说明</w:t>
      </w:r>
    </w:p>
    <w:p>
      <w:pPr>
        <w:spacing w:line="300" w:lineRule="auto" w:after="120"/>
        <w:ind w:firstLine="420"/>
      </w:pPr>
      <w:r>
        <w:rPr>
          <w:rFonts w:ascii="宋体" w:hAnsi="宋体" w:eastAsia="宋体"/>
          <w:sz w:val="21"/>
        </w:rPr>
        <w:t>本评价体系用于指导甲方在试用日常办公智能化应用时，形成统一、可复核、可比较的评价口径。评价重点不放在单轮问答效果、模型参数或厂商演示效果上，而是放在产品能否进入真实办公和业务办理场景，把制度、材料、表单、流程和审批边界转化为可采纳、可复核、可持续复用的业务成果。</w:t>
      </w:r>
    </w:p>
    <w:p>
      <w:pPr>
        <w:spacing w:line="300" w:lineRule="auto" w:after="120"/>
        <w:ind w:firstLine="420"/>
      </w:pPr>
      <w:r>
        <w:rPr>
          <w:rFonts w:ascii="宋体" w:hAnsi="宋体" w:eastAsia="宋体"/>
          <w:sz w:val="21"/>
        </w:rPr>
        <w:t>本体系保持技术路线中立，不限定具体厂商、模型、部署方式或实现框架。参评产品可以通过知识库、业务技能、能力模板、工具接入、流程编排、本地化交付、云端服务或混合方式实现，但最终评价以统一试用任务、业务人员真实操作、输出产物质量、量化过程证据和安全合规结果为准。</w:t>
      </w:r>
    </w:p>
    <w:p>
      <w:pPr>
        <w:spacing w:line="300" w:lineRule="auto" w:after="120"/>
        <w:ind w:firstLine="420"/>
      </w:pPr>
      <w:r>
        <w:rPr>
          <w:rFonts w:ascii="宋体" w:hAnsi="宋体" w:eastAsia="宋体"/>
          <w:sz w:val="21"/>
        </w:rPr>
        <w:t>本版本根据领导反馈，进一步弱化技术实现描述，强化日常办公业务、典型业务表单、办公文档格式、可信依据、功能竞争力和可量化试用效果评价。技术量化指标只作为真实试用效果的补充，不作为单独的技术压测或模型参数比拼。</w:t>
      </w:r>
    </w:p>
    <w:p>
      <w:pPr>
        <w:pStyle w:val="Heading1"/>
        <w:spacing w:before="160" w:after="120"/>
        <w:ind w:firstLine="0"/>
      </w:pPr>
      <w:r>
        <w:rPr>
          <w:rFonts w:ascii="黑体" w:hAnsi="黑体" w:eastAsia="黑体"/>
          <w:b/>
          <w:color w:val="2F5597"/>
          <w:sz w:val="30"/>
        </w:rPr>
        <w:t>二、评价目标</w:t>
      </w:r>
    </w:p>
    <w:p>
      <w:pPr>
        <w:spacing w:line="300" w:lineRule="auto" w:after="120"/>
        <w:ind w:firstLine="420"/>
      </w:pPr>
      <w:r>
        <w:rPr>
          <w:rFonts w:ascii="宋体" w:hAnsi="宋体" w:eastAsia="宋体"/>
          <w:sz w:val="21"/>
        </w:rPr>
        <w:t>评价日常办公业务办理能力：判断产品是否能辅助完成制度问答、会议纪要、汇报材料、请示方案、整改清单等高频办公任务。</w:t>
      </w:r>
    </w:p>
    <w:p>
      <w:pPr>
        <w:spacing w:line="300" w:lineRule="auto" w:after="120"/>
        <w:ind w:firstLine="420"/>
      </w:pPr>
      <w:r>
        <w:rPr>
          <w:rFonts w:ascii="宋体" w:hAnsi="宋体" w:eastAsia="宋体"/>
          <w:sz w:val="21"/>
        </w:rPr>
        <w:t>评价典型业务流程适配能力：判断产品是否理解作业类表单、流程节点、角色责任、风险点和人工确认边界。</w:t>
      </w:r>
    </w:p>
    <w:p>
      <w:pPr>
        <w:spacing w:line="300" w:lineRule="auto" w:after="120"/>
        <w:ind w:firstLine="420"/>
      </w:pPr>
      <w:r>
        <w:rPr>
          <w:rFonts w:ascii="宋体" w:hAnsi="宋体" w:eastAsia="宋体"/>
          <w:sz w:val="21"/>
        </w:rPr>
        <w:t>评价办公文档产物质量：判断产品输出是否符合甲方常用文档格式、公文表达、表格结构和归档修改要求。</w:t>
      </w:r>
    </w:p>
    <w:p>
      <w:pPr>
        <w:spacing w:line="300" w:lineRule="auto" w:after="120"/>
        <w:ind w:firstLine="420"/>
      </w:pPr>
      <w:r>
        <w:rPr>
          <w:rFonts w:ascii="宋体" w:hAnsi="宋体" w:eastAsia="宋体"/>
          <w:sz w:val="21"/>
        </w:rPr>
        <w:t>评价可信与可控程度：判断产品是否能基于材料作答、说明依据、标注待核验事项，并避免把推测写成事实。</w:t>
      </w:r>
    </w:p>
    <w:p>
      <w:pPr>
        <w:spacing w:line="300" w:lineRule="auto" w:after="120"/>
        <w:ind w:firstLine="420"/>
      </w:pPr>
      <w:r>
        <w:rPr>
          <w:rFonts w:ascii="宋体" w:hAnsi="宋体" w:eastAsia="宋体"/>
          <w:sz w:val="21"/>
        </w:rPr>
        <w:t>评价真实采纳价值：判断业务人员是否愿意使用，是否减少检索、整理、编写、审核和二次修改成本。</w:t>
      </w:r>
    </w:p>
    <w:p>
      <w:pPr>
        <w:spacing w:line="300" w:lineRule="auto" w:after="120"/>
        <w:ind w:firstLine="420"/>
      </w:pPr>
      <w:r>
        <w:rPr>
          <w:rFonts w:ascii="宋体" w:hAnsi="宋体" w:eastAsia="宋体"/>
          <w:sz w:val="21"/>
        </w:rPr>
        <w:t>评价试用效率和稳定性：判断产品在同一任务、同一材料、同一评分标准下，是否具备可接受的有效完成时间、一次可用率、失败重试控制和成本可控性。</w:t>
      </w:r>
    </w:p>
    <w:p>
      <w:pPr>
        <w:pStyle w:val="Heading1"/>
        <w:spacing w:before="160" w:after="120"/>
        <w:ind w:firstLine="0"/>
      </w:pPr>
      <w:r>
        <w:rPr>
          <w:rFonts w:ascii="黑体" w:hAnsi="黑体" w:eastAsia="黑体"/>
          <w:b/>
          <w:color w:val="2F5597"/>
          <w:sz w:val="30"/>
        </w:rPr>
        <w:t>三、评价对象与边界</w:t>
      </w:r>
    </w:p>
    <w:p>
      <w:pPr>
        <w:spacing w:line="300" w:lineRule="auto" w:after="120"/>
        <w:ind w:firstLine="420"/>
      </w:pPr>
      <w:r>
        <w:rPr>
          <w:rFonts w:ascii="宋体" w:hAnsi="宋体" w:eastAsia="宋体"/>
          <w:sz w:val="21"/>
        </w:rPr>
        <w:t>评价对象为参与甲方试用的日常办公智能化应用，包括企业知识问答、业务材料生成、流程表单审核、任务办理辅助、工具调用、文档整理和多步骤工作台类产品。</w:t>
      </w:r>
    </w:p>
    <w:p>
      <w:pPr>
        <w:spacing w:line="300" w:lineRule="auto" w:after="120"/>
        <w:ind w:firstLine="420"/>
      </w:pPr>
      <w:r>
        <w:rPr>
          <w:rFonts w:ascii="宋体" w:hAnsi="宋体" w:eastAsia="宋体"/>
          <w:sz w:val="21"/>
        </w:rPr>
        <w:t>本体系不评价厂商宣传材料中的未试用能力，不以厂商自述功能作为直接得分依据。所有核心得分应来自统一材料、统一任务、业务人员真实操作和留存证据。</w:t>
      </w:r>
    </w:p>
    <w:p>
      <w:pPr>
        <w:spacing w:line="300" w:lineRule="auto" w:after="120"/>
        <w:ind w:firstLine="420"/>
      </w:pPr>
      <w:r>
        <w:rPr>
          <w:rFonts w:ascii="宋体" w:hAnsi="宋体" w:eastAsia="宋体"/>
          <w:sz w:val="21"/>
        </w:rPr>
        <w:t>涉及工作票、操作票、检修计划、缺陷处理、制度问答等具体场景时，应由甲方提供脱敏样例材料，并以甲方现行制度、流程文件、终端环境和信息安全要求为准。</w:t>
      </w:r>
    </w:p>
    <w:p>
      <w:pPr>
        <w:spacing w:line="300" w:lineRule="auto" w:after="120"/>
        <w:ind w:firstLine="420"/>
      </w:pPr>
      <w:r>
        <w:rPr>
          <w:rFonts w:ascii="宋体" w:hAnsi="宋体" w:eastAsia="宋体"/>
          <w:sz w:val="21"/>
        </w:rPr>
        <w:t>效率、稳定性和成本类指标应在输出质量达标的前提下评价。生成速度快但结果不可用、依据不清或需要大量返工的，不应仅因响应快而获得高分。</w:t>
      </w:r>
    </w:p>
    <w:p>
      <w:pPr>
        <w:pStyle w:val="Heading1"/>
        <w:spacing w:before="160" w:after="120"/>
        <w:ind w:firstLine="0"/>
      </w:pPr>
      <w:r>
        <w:rPr>
          <w:rFonts w:ascii="黑体" w:hAnsi="黑体" w:eastAsia="黑体"/>
          <w:b/>
          <w:color w:val="2F5597"/>
          <w:sz w:val="30"/>
        </w:rPr>
        <w:t>四、评价原则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13"/>
        <w:gridCol w:w="4713"/>
        <w:gridCol w:w="4713"/>
      </w:tblGrid>
      <w:tr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D9EAF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1F4E79"/>
                <w:sz w:val="16"/>
              </w:rPr>
              <w:t>原则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D9EAF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1F4E79"/>
                <w:sz w:val="16"/>
              </w:rPr>
              <w:t>含义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D9EAF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1F4E79"/>
                <w:sz w:val="16"/>
              </w:rPr>
              <w:t>执行要求</w:t>
            </w:r>
          </w:p>
        </w:tc>
      </w:tr>
      <w:tr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功能可用优先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以业务人员真实任务完成质量作为主要评价对象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避免只看开放式闲聊、模型参数或厂商演示</w:t>
            </w:r>
          </w:p>
        </w:tc>
      </w:tr>
      <w:tr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统一材料试用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所有产品使用同一批脱敏材料和任务说明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统一输入、统一周期、统一评分表</w:t>
            </w:r>
          </w:p>
        </w:tc>
      </w:tr>
      <w:tr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产物可采纳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评价输出能否直接或少量修改后进入业务使用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保留原始输出、修改点、采纳情况和节省时间</w:t>
            </w:r>
          </w:p>
        </w:tc>
      </w:tr>
      <w:tr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依据可核验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关键结论应说明材料来源或制度依据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无法确认事项必须标注待核验</w:t>
            </w:r>
          </w:p>
        </w:tc>
      </w:tr>
      <w:tr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量化口径一致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耗时、修改次数、一次通过和失败重试等数据应按同一口径采集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同一任务、同一材料、同一人员或同类人员条件下比较</w:t>
            </w:r>
          </w:p>
        </w:tc>
      </w:tr>
      <w:tr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安全边界清楚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试用过程不得突破甲方数据和权限边界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涉敏材料脱敏，外部调用和资料留存边界清楚</w:t>
            </w:r>
          </w:p>
        </w:tc>
      </w:tr>
      <w:tr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人工责任保留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产品输出不能替代审批、审核和安全责任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高风险结论必须保留人工确认提示</w:t>
            </w:r>
          </w:p>
        </w:tc>
      </w:tr>
    </w:tbl>
    <w:p/>
    <w:p>
      <w:pPr>
        <w:pStyle w:val="Heading1"/>
        <w:spacing w:before="160" w:after="120"/>
        <w:ind w:firstLine="0"/>
      </w:pPr>
      <w:r>
        <w:rPr>
          <w:rFonts w:ascii="黑体" w:hAnsi="黑体" w:eastAsia="黑体"/>
          <w:b/>
          <w:color w:val="2F5597"/>
          <w:sz w:val="30"/>
        </w:rPr>
        <w:t>五、评价指标体系</w:t>
      </w:r>
    </w:p>
    <w:p>
      <w:pPr>
        <w:spacing w:line="300" w:lineRule="auto" w:after="120"/>
        <w:ind w:firstLine="420"/>
      </w:pPr>
      <w:r>
        <w:rPr>
          <w:rFonts w:ascii="宋体" w:hAnsi="宋体" w:eastAsia="宋体"/>
          <w:sz w:val="21"/>
        </w:rPr>
        <w:t>满分 100 分。建议将功能可用、业务产物和真实采纳相关指标作为主体，将安全合规、效率稳定性与成本可控作为支撑指标，避免评价被具体实现方式或模型参数牵引。</w:t>
      </w:r>
    </w:p>
    <w:p>
      <w:pPr>
        <w:spacing w:line="300" w:lineRule="auto" w:after="120"/>
        <w:ind w:firstLine="420"/>
      </w:pPr>
      <w:r>
        <w:rPr>
          <w:rFonts w:ascii="宋体" w:hAnsi="宋体" w:eastAsia="宋体"/>
          <w:sz w:val="21"/>
        </w:rPr>
        <w:t>下表为一级指标总览，第六章按本表顺序逐项展开；二级指标名称、分值和评分口径以第六章为准。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535"/>
        <w:gridCol w:w="3535"/>
        <w:gridCol w:w="3535"/>
        <w:gridCol w:w="3535"/>
      </w:tblGrid>
      <w:tr>
        <w:tc>
          <w:tcPr>
            <w:tcW w:type="dxa" w:w="3535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D9EAF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1F4E79"/>
                <w:sz w:val="16"/>
              </w:rPr>
              <w:t>一级指标</w:t>
            </w:r>
          </w:p>
        </w:tc>
        <w:tc>
          <w:tcPr>
            <w:tcW w:type="dxa" w:w="3535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D9EAF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1F4E79"/>
                <w:sz w:val="16"/>
              </w:rPr>
              <w:t>权重</w:t>
            </w:r>
          </w:p>
        </w:tc>
        <w:tc>
          <w:tcPr>
            <w:tcW w:type="dxa" w:w="3535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D9EAF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1F4E79"/>
                <w:sz w:val="16"/>
              </w:rPr>
              <w:t>二级评价重点</w:t>
            </w:r>
          </w:p>
        </w:tc>
        <w:tc>
          <w:tcPr>
            <w:tcW w:type="dxa" w:w="3535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D9EAF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1F4E79"/>
                <w:sz w:val="16"/>
              </w:rPr>
              <w:t>主要证据</w:t>
            </w:r>
          </w:p>
        </w:tc>
      </w:tr>
      <w:tr>
        <w:tc>
          <w:tcPr>
            <w:tcW w:type="dxa" w:w="3535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日常办公业务办理能力</w:t>
            </w:r>
          </w:p>
        </w:tc>
        <w:tc>
          <w:tcPr>
            <w:tcW w:type="dxa" w:w="3535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20</w:t>
            </w:r>
          </w:p>
        </w:tc>
        <w:tc>
          <w:tcPr>
            <w:tcW w:type="dxa" w:w="3535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制度问答与政策检索、会议纪要与记录整理、汇报与报告材料生成、请示方案与说明材料、整改清单与跟踪事项、办公流程辅助</w:t>
            </w:r>
          </w:p>
        </w:tc>
        <w:tc>
          <w:tcPr>
            <w:tcW w:type="dxa" w:w="3535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办公任务输入输出、业务人员修改点、采纳情况</w:t>
            </w:r>
          </w:p>
        </w:tc>
      </w:tr>
      <w:tr>
        <w:tc>
          <w:tcPr>
            <w:tcW w:type="dxa" w:w="3535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典型业务表单与流程适配能力</w:t>
            </w:r>
          </w:p>
        </w:tc>
        <w:tc>
          <w:tcPr>
            <w:tcW w:type="dxa" w:w="3535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20</w:t>
            </w:r>
          </w:p>
        </w:tc>
        <w:tc>
          <w:tcPr>
            <w:tcW w:type="dxa" w:w="3535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流程表单理解、字段完整性校核、角色责任识别、流程节点与前后置条件、风险与合规提示、人工确认边界</w:t>
            </w:r>
          </w:p>
        </w:tc>
        <w:tc>
          <w:tcPr>
            <w:tcW w:type="dxa" w:w="3535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样例表单审核意见、缺项清单、风险提示、人工确认记录</w:t>
            </w:r>
          </w:p>
        </w:tc>
      </w:tr>
      <w:tr>
        <w:tc>
          <w:tcPr>
            <w:tcW w:type="dxa" w:w="3535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办公文档生成与格式规范能力</w:t>
            </w:r>
          </w:p>
        </w:tc>
        <w:tc>
          <w:tcPr>
            <w:tcW w:type="dxa" w:w="3535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15</w:t>
            </w:r>
          </w:p>
        </w:tc>
        <w:tc>
          <w:tcPr>
            <w:tcW w:type="dxa" w:w="3535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文档结构完整、格式规范性、公文与业务语气、表格与清单产物、少量修改可用</w:t>
            </w:r>
          </w:p>
        </w:tc>
        <w:tc>
          <w:tcPr>
            <w:tcW w:type="dxa" w:w="3535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文档初稿、格式检查、人工修改记录</w:t>
            </w:r>
          </w:p>
        </w:tc>
      </w:tr>
      <w:tr>
        <w:tc>
          <w:tcPr>
            <w:tcW w:type="dxa" w:w="3535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可信依据与编造控制能力</w:t>
            </w:r>
          </w:p>
        </w:tc>
        <w:tc>
          <w:tcPr>
            <w:tcW w:type="dxa" w:w="3535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15</w:t>
            </w:r>
          </w:p>
        </w:tc>
        <w:tc>
          <w:tcPr>
            <w:tcW w:type="dxa" w:w="3535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引用与依据标注、事实一致性、待核验表达、编造控制、敏感信息处理</w:t>
            </w:r>
          </w:p>
        </w:tc>
        <w:tc>
          <w:tcPr>
            <w:tcW w:type="dxa" w:w="3535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引用来源、错误记录、待核验事项、风险提示</w:t>
            </w:r>
          </w:p>
        </w:tc>
      </w:tr>
      <w:tr>
        <w:tc>
          <w:tcPr>
            <w:tcW w:type="dxa" w:w="3535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任务闭环与过程可追踪能力</w:t>
            </w:r>
          </w:p>
        </w:tc>
        <w:tc>
          <w:tcPr>
            <w:tcW w:type="dxa" w:w="3535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12</w:t>
            </w:r>
          </w:p>
        </w:tc>
        <w:tc>
          <w:tcPr>
            <w:tcW w:type="dxa" w:w="3535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任务拆解、阶段状态与过程记录、产物沉淀、返工处理、闭环建议</w:t>
            </w:r>
          </w:p>
        </w:tc>
        <w:tc>
          <w:tcPr>
            <w:tcW w:type="dxa" w:w="3535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阶段记录、最终产物、用户确认点、重做记录</w:t>
            </w:r>
          </w:p>
        </w:tc>
      </w:tr>
      <w:tr>
        <w:tc>
          <w:tcPr>
            <w:tcW w:type="dxa" w:w="3535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易用性与业务人员采纳度</w:t>
            </w:r>
          </w:p>
        </w:tc>
        <w:tc>
          <w:tcPr>
            <w:tcW w:type="dxa" w:w="3535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8</w:t>
            </w:r>
          </w:p>
        </w:tc>
        <w:tc>
          <w:tcPr>
            <w:tcW w:type="dxa" w:w="3535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上手难度、交互清晰度、业务语言适配、修改成本、采纳反馈</w:t>
            </w:r>
          </w:p>
        </w:tc>
        <w:tc>
          <w:tcPr>
            <w:tcW w:type="dxa" w:w="3535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试用人员评分、节省时间、满意度和采纳反馈</w:t>
            </w:r>
          </w:p>
        </w:tc>
      </w:tr>
      <w:tr>
        <w:tc>
          <w:tcPr>
            <w:tcW w:type="dxa" w:w="3535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安全合规与交付适配能力</w:t>
            </w:r>
          </w:p>
        </w:tc>
        <w:tc>
          <w:tcPr>
            <w:tcW w:type="dxa" w:w="3535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3535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终端与环境适配、数据安全说明、权限与审计、诊断与恢复、运维持续性</w:t>
            </w:r>
          </w:p>
        </w:tc>
        <w:tc>
          <w:tcPr>
            <w:tcW w:type="dxa" w:w="3535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安全说明、部署说明、诊断材料、运维记录</w:t>
            </w:r>
          </w:p>
        </w:tc>
      </w:tr>
      <w:tr>
        <w:tc>
          <w:tcPr>
            <w:tcW w:type="dxa" w:w="3535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试用效率、稳定性与成本可控能力</w:t>
            </w:r>
          </w:p>
        </w:tc>
        <w:tc>
          <w:tcPr>
            <w:tcW w:type="dxa" w:w="3535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3535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任务有效完成时间、一次可用率、失败与重试情况、资源与使用成本</w:t>
            </w:r>
          </w:p>
        </w:tc>
        <w:tc>
          <w:tcPr>
            <w:tcW w:type="dxa" w:w="3535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任务计时记录、一次通过记录、失败重试记录、成本说明</w:t>
            </w:r>
          </w:p>
        </w:tc>
      </w:tr>
    </w:tbl>
    <w:p/>
    <w:p>
      <w:pPr>
        <w:pStyle w:val="Heading1"/>
        <w:spacing w:before="160" w:after="120"/>
        <w:ind w:firstLine="0"/>
      </w:pPr>
      <w:r>
        <w:rPr>
          <w:rFonts w:ascii="黑体" w:hAnsi="黑体" w:eastAsia="黑体"/>
          <w:b/>
          <w:color w:val="2F5597"/>
          <w:sz w:val="30"/>
        </w:rPr>
        <w:t>六、指标定义与评分口径</w:t>
      </w:r>
    </w:p>
    <w:p>
      <w:pPr>
        <w:pStyle w:val="Heading2"/>
        <w:spacing w:before="120" w:after="120"/>
        <w:ind w:firstLine="0"/>
      </w:pPr>
      <w:r>
        <w:rPr>
          <w:rFonts w:ascii="黑体" w:hAnsi="黑体" w:eastAsia="黑体"/>
          <w:b/>
          <w:color w:val="2F5597"/>
          <w:sz w:val="25"/>
        </w:rPr>
        <w:t>6.1 日常办公业务办理能力（20 分）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13"/>
        <w:gridCol w:w="4713"/>
        <w:gridCol w:w="4713"/>
      </w:tblGrid>
      <w:tr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D9EAF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1F4E79"/>
                <w:sz w:val="16"/>
              </w:rPr>
              <w:t>二级指标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D9EAF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1F4E79"/>
                <w:sz w:val="16"/>
              </w:rPr>
              <w:t>分值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D9EAF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1F4E79"/>
                <w:sz w:val="16"/>
              </w:rPr>
              <w:t>评价口径</w:t>
            </w:r>
          </w:p>
        </w:tc>
      </w:tr>
      <w:tr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制度问答与政策检索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能根据制度、规程、管理办法回答具体问题，并说明依据或材料位置</w:t>
            </w:r>
          </w:p>
        </w:tc>
      </w:tr>
      <w:tr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会议纪要与记录整理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能从会议记录、录音转写或零散材料中整理纪要、待办和责任事项</w:t>
            </w:r>
          </w:p>
        </w:tc>
      </w:tr>
      <w:tr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汇报与报告材料生成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能生成结构清楚、表达稳妥、便于修改的汇报、总结、报告初稿</w:t>
            </w:r>
          </w:p>
        </w:tc>
      </w:tr>
      <w:tr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请示方案与说明材料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能围绕背景、依据、事项、风险和建议形成规范化说明材料</w:t>
            </w:r>
          </w:p>
        </w:tc>
      </w:tr>
      <w:tr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整改清单与跟踪事项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能从问题描述生成整改措施、责任分工、时限和复盘要点</w:t>
            </w:r>
          </w:p>
        </w:tc>
      </w:tr>
      <w:tr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办公流程辅助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能提示下一步办理事项、需补材料和人工确认点</w:t>
            </w:r>
          </w:p>
        </w:tc>
      </w:tr>
    </w:tbl>
    <w:p/>
    <w:p>
      <w:pPr>
        <w:pStyle w:val="Heading2"/>
        <w:spacing w:before="120" w:after="120"/>
        <w:ind w:firstLine="0"/>
      </w:pPr>
      <w:r>
        <w:rPr>
          <w:rFonts w:ascii="黑体" w:hAnsi="黑体" w:eastAsia="黑体"/>
          <w:b/>
          <w:color w:val="2F5597"/>
          <w:sz w:val="25"/>
        </w:rPr>
        <w:t>6.2 典型业务表单与流程适配能力（20 分）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13"/>
        <w:gridCol w:w="4713"/>
        <w:gridCol w:w="4713"/>
      </w:tblGrid>
      <w:tr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D9EAF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1F4E79"/>
                <w:sz w:val="16"/>
              </w:rPr>
              <w:t>二级指标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D9EAF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1F4E79"/>
                <w:sz w:val="16"/>
              </w:rPr>
              <w:t>分值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D9EAF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1F4E79"/>
                <w:sz w:val="16"/>
              </w:rPr>
              <w:t>评价口径</w:t>
            </w:r>
          </w:p>
        </w:tc>
      </w:tr>
      <w:tr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流程表单理解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能理解样例表单、制度条款、历史案例和附件材料之间的关系</w:t>
            </w:r>
          </w:p>
        </w:tc>
      </w:tr>
      <w:tr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字段完整性校核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能识别字段缺失、填写不一致、材料不完整和关键附件缺漏</w:t>
            </w:r>
          </w:p>
        </w:tc>
      </w:tr>
      <w:tr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角色责任识别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能区分发起、审核、执行、监护、管理等不同角色职责</w:t>
            </w:r>
          </w:p>
        </w:tc>
      </w:tr>
      <w:tr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流程节点与前后置条件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能判断任务所处阶段、前置条件、流转节点和审批边界</w:t>
            </w:r>
          </w:p>
        </w:tc>
      </w:tr>
      <w:tr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风险与合规提示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能识别安全风险、合规风险、缺项漏项和不确定事项</w:t>
            </w:r>
          </w:p>
        </w:tc>
      </w:tr>
      <w:tr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人工确认边界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涉及审批、安全、责任认定时保留人工确认提示</w:t>
            </w:r>
          </w:p>
        </w:tc>
      </w:tr>
    </w:tbl>
    <w:p/>
    <w:p>
      <w:pPr>
        <w:pStyle w:val="Heading2"/>
        <w:spacing w:before="120" w:after="120"/>
        <w:ind w:firstLine="0"/>
      </w:pPr>
      <w:r>
        <w:rPr>
          <w:rFonts w:ascii="黑体" w:hAnsi="黑体" w:eastAsia="黑体"/>
          <w:b/>
          <w:color w:val="2F5597"/>
          <w:sz w:val="25"/>
        </w:rPr>
        <w:t>6.3 办公文档生成与格式规范能力（15 分）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13"/>
        <w:gridCol w:w="4713"/>
        <w:gridCol w:w="4713"/>
      </w:tblGrid>
      <w:tr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D9EAF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1F4E79"/>
                <w:sz w:val="16"/>
              </w:rPr>
              <w:t>二级指标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D9EAF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1F4E79"/>
                <w:sz w:val="16"/>
              </w:rPr>
              <w:t>分值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D9EAF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1F4E79"/>
                <w:sz w:val="16"/>
              </w:rPr>
              <w:t>评价口径</w:t>
            </w:r>
          </w:p>
        </w:tc>
      </w:tr>
      <w:tr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文档结构完整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输出包含标题、背景、依据、正文、结论或下一步等必要结构</w:t>
            </w:r>
          </w:p>
        </w:tc>
      </w:tr>
      <w:tr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格式规范性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标题层级、段落缩进、表格字段、编号和版面适合进入正式文档</w:t>
            </w:r>
          </w:p>
        </w:tc>
      </w:tr>
      <w:tr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公文与业务语气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表达符合甲方日常办公、公文材料和部门沟通习惯</w:t>
            </w:r>
          </w:p>
        </w:tc>
      </w:tr>
      <w:tr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表格与清单产物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能生成计划表、问题清单、整改表、责任矩阵等可编辑表格</w:t>
            </w:r>
          </w:p>
        </w:tc>
      </w:tr>
      <w:tr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少量修改可用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业务人员少量修改后即可用于汇报、沟通、归档或办理</w:t>
            </w:r>
          </w:p>
        </w:tc>
      </w:tr>
    </w:tbl>
    <w:p/>
    <w:p>
      <w:pPr>
        <w:pStyle w:val="Heading2"/>
        <w:spacing w:before="120" w:after="120"/>
        <w:ind w:firstLine="0"/>
      </w:pPr>
      <w:r>
        <w:rPr>
          <w:rFonts w:ascii="黑体" w:hAnsi="黑体" w:eastAsia="黑体"/>
          <w:b/>
          <w:color w:val="2F5597"/>
          <w:sz w:val="25"/>
        </w:rPr>
        <w:t>6.4 可信依据与编造控制能力（15 分）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13"/>
        <w:gridCol w:w="4713"/>
        <w:gridCol w:w="4713"/>
      </w:tblGrid>
      <w:tr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D9EAF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1F4E79"/>
                <w:sz w:val="16"/>
              </w:rPr>
              <w:t>二级指标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D9EAF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1F4E79"/>
                <w:sz w:val="16"/>
              </w:rPr>
              <w:t>分值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D9EAF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1F4E79"/>
                <w:sz w:val="16"/>
              </w:rPr>
              <w:t>评价口径</w:t>
            </w:r>
          </w:p>
        </w:tc>
      </w:tr>
      <w:tr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引用与依据标注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引用制度、规程、历史材料时说明来源、条款位置或材料出处</w:t>
            </w:r>
          </w:p>
        </w:tc>
      </w:tr>
      <w:tr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事实一致性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输出与甲方提供材料一致，不混用口径、不张冠李戴</w:t>
            </w:r>
          </w:p>
        </w:tc>
      </w:tr>
      <w:tr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待核验表达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对缺失信息、过期标准、无法确认事项标注待核验</w:t>
            </w:r>
          </w:p>
        </w:tc>
      </w:tr>
      <w:tr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编造控制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不编造政策、流程、设备状态、数据、审批结论或内部规则</w:t>
            </w:r>
          </w:p>
        </w:tc>
      </w:tr>
      <w:tr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敏感信息处理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不在输出中暴露不应公开的内部信息或敏感字段</w:t>
            </w:r>
          </w:p>
        </w:tc>
      </w:tr>
    </w:tbl>
    <w:p/>
    <w:p>
      <w:pPr>
        <w:pStyle w:val="Heading2"/>
        <w:spacing w:before="120" w:after="120"/>
        <w:ind w:firstLine="0"/>
      </w:pPr>
      <w:r>
        <w:rPr>
          <w:rFonts w:ascii="黑体" w:hAnsi="黑体" w:eastAsia="黑体"/>
          <w:b/>
          <w:color w:val="2F5597"/>
          <w:sz w:val="25"/>
        </w:rPr>
        <w:t>6.5 任务闭环与过程可追踪能力（12 分）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13"/>
        <w:gridCol w:w="4713"/>
        <w:gridCol w:w="4713"/>
      </w:tblGrid>
      <w:tr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D9EAF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1F4E79"/>
                <w:sz w:val="16"/>
              </w:rPr>
              <w:t>二级指标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D9EAF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1F4E79"/>
                <w:sz w:val="16"/>
              </w:rPr>
              <w:t>分值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D9EAF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1F4E79"/>
                <w:sz w:val="16"/>
              </w:rPr>
              <w:t>评价口径</w:t>
            </w:r>
          </w:p>
        </w:tc>
      </w:tr>
      <w:tr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任务拆解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能把复杂任务拆成可执行步骤，并说明当前进度和下一步</w:t>
            </w:r>
          </w:p>
        </w:tc>
      </w:tr>
      <w:tr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阶段状态与过程记录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能保留关键输入、判断依据、阶段状态和用户确认点</w:t>
            </w:r>
          </w:p>
        </w:tc>
      </w:tr>
      <w:tr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产物沉淀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能形成可编辑、可复核、可归档的阶段产物和最终产物</w:t>
            </w:r>
          </w:p>
        </w:tc>
      </w:tr>
      <w:tr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返工处理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信息缺失、用户改口径或任务失败时能说明原因并继续处理</w:t>
            </w:r>
          </w:p>
        </w:tc>
      </w:tr>
      <w:tr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闭环建议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能给出后续办理、复核、整改、归档或复盘建议</w:t>
            </w:r>
          </w:p>
        </w:tc>
      </w:tr>
    </w:tbl>
    <w:p/>
    <w:p>
      <w:pPr>
        <w:pStyle w:val="Heading2"/>
        <w:spacing w:before="120" w:after="120"/>
        <w:ind w:firstLine="0"/>
      </w:pPr>
      <w:r>
        <w:rPr>
          <w:rFonts w:ascii="黑体" w:hAnsi="黑体" w:eastAsia="黑体"/>
          <w:b/>
          <w:color w:val="2F5597"/>
          <w:sz w:val="25"/>
        </w:rPr>
        <w:t>6.6 易用性与业务人员采纳度（8 分）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13"/>
        <w:gridCol w:w="4713"/>
        <w:gridCol w:w="4713"/>
      </w:tblGrid>
      <w:tr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D9EAF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1F4E79"/>
                <w:sz w:val="16"/>
              </w:rPr>
              <w:t>二级指标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D9EAF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1F4E79"/>
                <w:sz w:val="16"/>
              </w:rPr>
              <w:t>分值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D9EAF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1F4E79"/>
                <w:sz w:val="16"/>
              </w:rPr>
              <w:t>评价口径</w:t>
            </w:r>
          </w:p>
        </w:tc>
      </w:tr>
      <w:tr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上手难度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非技术人员能在简短引导后独立完成任务</w:t>
            </w:r>
          </w:p>
        </w:tc>
      </w:tr>
      <w:tr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交互清晰度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产品能清楚说明需要用户补充什么、已完成什么、下一步是什么</w:t>
            </w:r>
          </w:p>
        </w:tc>
      </w:tr>
      <w:tr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业务语言适配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输出符合甲方业务语境、公文表达和部门沟通习惯</w:t>
            </w:r>
          </w:p>
        </w:tc>
      </w:tr>
      <w:tr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修改成本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业务人员二次修改量明显减少</w:t>
            </w:r>
          </w:p>
        </w:tc>
      </w:tr>
      <w:tr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采纳反馈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试用人员愿意在真实工作中继续使用相关能力</w:t>
            </w:r>
          </w:p>
        </w:tc>
      </w:tr>
    </w:tbl>
    <w:p/>
    <w:p>
      <w:pPr>
        <w:pStyle w:val="Heading2"/>
        <w:spacing w:before="120" w:after="120"/>
        <w:ind w:firstLine="0"/>
      </w:pPr>
      <w:r>
        <w:rPr>
          <w:rFonts w:ascii="黑体" w:hAnsi="黑体" w:eastAsia="黑体"/>
          <w:b/>
          <w:color w:val="2F5597"/>
          <w:sz w:val="25"/>
        </w:rPr>
        <w:t>6.7 安全合规与交付适配能力（5 分）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13"/>
        <w:gridCol w:w="4713"/>
        <w:gridCol w:w="4713"/>
      </w:tblGrid>
      <w:tr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D9EAF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1F4E79"/>
                <w:sz w:val="16"/>
              </w:rPr>
              <w:t>二级指标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D9EAF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1F4E79"/>
                <w:sz w:val="16"/>
              </w:rPr>
              <w:t>分值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D9EAF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1F4E79"/>
                <w:sz w:val="16"/>
              </w:rPr>
              <w:t>评价口径</w:t>
            </w:r>
          </w:p>
        </w:tc>
      </w:tr>
      <w:tr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终端与环境适配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符合甲方办公终端、浏览器、操作系统和安全管控要求</w:t>
            </w:r>
          </w:p>
        </w:tc>
      </w:tr>
      <w:tr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数据安全说明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能说明数据存储、传输、外部调用和敏感资料处理方式</w:t>
            </w:r>
          </w:p>
        </w:tc>
      </w:tr>
      <w:tr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权限与审计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具备用户权限、操作记录、日志留存和必要审计能力</w:t>
            </w:r>
          </w:p>
        </w:tc>
      </w:tr>
      <w:tr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诊断与恢复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出现异常时便于定位问题、导出诊断信息和恢复使用</w:t>
            </w:r>
          </w:p>
        </w:tc>
      </w:tr>
      <w:tr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运维持续性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具备安装、升级、配置、备份、停用和支持服务方案</w:t>
            </w:r>
          </w:p>
        </w:tc>
      </w:tr>
    </w:tbl>
    <w:p/>
    <w:p>
      <w:pPr>
        <w:pStyle w:val="Heading2"/>
        <w:spacing w:before="120" w:after="120"/>
        <w:ind w:firstLine="0"/>
      </w:pPr>
      <w:r>
        <w:rPr>
          <w:rFonts w:ascii="黑体" w:hAnsi="黑体" w:eastAsia="黑体"/>
          <w:b/>
          <w:color w:val="2F5597"/>
          <w:sz w:val="25"/>
        </w:rPr>
        <w:t>6.8 试用效率、稳定性与成本可控能力（5 分）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13"/>
        <w:gridCol w:w="4713"/>
        <w:gridCol w:w="4713"/>
      </w:tblGrid>
      <w:tr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D9EAF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1F4E79"/>
                <w:sz w:val="16"/>
              </w:rPr>
              <w:t>二级指标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D9EAF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1F4E79"/>
                <w:sz w:val="16"/>
              </w:rPr>
              <w:t>分值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D9EAF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1F4E79"/>
                <w:sz w:val="16"/>
              </w:rPr>
              <w:t>评价口径</w:t>
            </w:r>
          </w:p>
        </w:tc>
      </w:tr>
      <w:tr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任务有效完成时间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在输出质量达标前提下，比较完成同一任务所需时间，包括生成时间和必要交互时间</w:t>
            </w:r>
          </w:p>
        </w:tc>
      </w:tr>
      <w:tr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一次可用率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同一任务首次完整输出是否达到少量修改可用，避免只看回答速度</w:t>
            </w:r>
          </w:p>
        </w:tc>
      </w:tr>
      <w:tr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失败与重试情况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统计任务中断、输出为空、格式错误、无法继续处理或必须重开任务等情况</w:t>
            </w:r>
          </w:p>
        </w:tc>
      </w:tr>
      <w:tr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资源与使用成本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评估模型、算力、部署、运维和培训成本是否可接受</w:t>
            </w:r>
          </w:p>
        </w:tc>
      </w:tr>
    </w:tbl>
    <w:p/>
    <w:p>
      <w:pPr>
        <w:pStyle w:val="Heading1"/>
        <w:spacing w:before="160" w:after="120"/>
        <w:ind w:firstLine="0"/>
      </w:pPr>
      <w:r>
        <w:rPr>
          <w:rFonts w:ascii="黑体" w:hAnsi="黑体" w:eastAsia="黑体"/>
          <w:b/>
          <w:color w:val="2F5597"/>
          <w:sz w:val="30"/>
        </w:rPr>
        <w:t>七、试用任务包设计</w:t>
      </w:r>
    </w:p>
    <w:p>
      <w:pPr>
        <w:spacing w:line="300" w:lineRule="auto" w:after="120"/>
        <w:ind w:firstLine="420"/>
      </w:pPr>
      <w:r>
        <w:rPr>
          <w:rFonts w:ascii="宋体" w:hAnsi="宋体" w:eastAsia="宋体"/>
          <w:sz w:val="21"/>
        </w:rPr>
        <w:t>每个参评产品至少完成 5 类任务。甲方可根据实际业务选择任务，但各产品应使用同一任务说明和同一批脱敏材料，并按统一口径记录任务耗时、一次通过、失败重试和人工修改情况。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13"/>
        <w:gridCol w:w="4713"/>
        <w:gridCol w:w="4713"/>
      </w:tblGrid>
      <w:tr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D9EAF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1F4E79"/>
                <w:sz w:val="16"/>
              </w:rPr>
              <w:t>任务类型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D9EAF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1F4E79"/>
                <w:sz w:val="16"/>
              </w:rPr>
              <w:t>目标产物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D9EAF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1F4E79"/>
                <w:sz w:val="16"/>
              </w:rPr>
              <w:t>重点观察</w:t>
            </w:r>
          </w:p>
        </w:tc>
      </w:tr>
      <w:tr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制度问答与依据检索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带依据的问答结果、待核验事项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是否引用准确、边界清楚、不编造，是否能在合理时间内完成</w:t>
            </w:r>
          </w:p>
        </w:tc>
      </w:tr>
      <w:tr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日常办公文档生成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纪要、报告、请示、方案、整改清单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是否结构规范、语气合适、少改可用，人工修改耗时是否减少</w:t>
            </w:r>
          </w:p>
        </w:tc>
      </w:tr>
      <w:tr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典型流程表单审核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审核意见、缺项清单、风险提示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是否识别字段、角色、流程和风险，是否保留人工确认边界</w:t>
            </w:r>
          </w:p>
        </w:tc>
      </w:tr>
      <w:tr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操作步骤或办理流程校核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步骤校核意见、确认清单、危险点提示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是否理解顺序、前置条件和人工确认边界，是否出现遗漏或误判</w:t>
            </w:r>
          </w:p>
        </w:tc>
      </w:tr>
      <w:tr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计划编制与任务分解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计划初稿、人员分工、材料清单、风险措施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是否能形成可执行计划，是否能沉淀阶段产物</w:t>
            </w:r>
          </w:p>
        </w:tc>
      </w:tr>
      <w:tr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缺陷或问题闭环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分级建议、处置流程、整改清单、复盘材料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是否能从描述推进到闭环处置，失败或信息不足时能否继续处理</w:t>
            </w:r>
          </w:p>
        </w:tc>
      </w:tr>
    </w:tbl>
    <w:p/>
    <w:p>
      <w:pPr>
        <w:pStyle w:val="Heading1"/>
        <w:spacing w:before="160" w:after="120"/>
        <w:ind w:firstLine="0"/>
      </w:pPr>
      <w:r>
        <w:rPr>
          <w:rFonts w:ascii="黑体" w:hAnsi="黑体" w:eastAsia="黑体"/>
          <w:b/>
          <w:color w:val="2F5597"/>
          <w:sz w:val="30"/>
        </w:rPr>
        <w:t>八、评价实施流程</w:t>
      </w:r>
    </w:p>
    <w:p>
      <w:pPr>
        <w:spacing w:line="300" w:lineRule="auto" w:after="120"/>
        <w:ind w:firstLine="420"/>
      </w:pPr>
      <w:r>
        <w:rPr>
          <w:rFonts w:ascii="宋体" w:hAnsi="宋体" w:eastAsia="宋体"/>
          <w:sz w:val="21"/>
        </w:rPr>
        <w:t>建议试用周期为 7 至 14 天。厂商可提供必要安装、配置和使用引导，但不应代替甲方完成评分任务。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13"/>
        <w:gridCol w:w="4713"/>
        <w:gridCol w:w="4713"/>
      </w:tblGrid>
      <w:tr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D9EAF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1F4E79"/>
                <w:sz w:val="16"/>
              </w:rPr>
              <w:t>阶段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D9EAF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1F4E79"/>
                <w:sz w:val="16"/>
              </w:rPr>
              <w:t>主要动作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D9EAF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1F4E79"/>
                <w:sz w:val="16"/>
              </w:rPr>
              <w:t>输出物</w:t>
            </w:r>
          </w:p>
        </w:tc>
      </w:tr>
      <w:tr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准备阶段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确定参评产品、试用人员、周期、脱敏材料、统一计时口径和评分表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试用方案、任务包、评分表、过程记录表</w:t>
            </w:r>
          </w:p>
        </w:tc>
      </w:tr>
      <w:tr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试用阶段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业务人员按统一任务使用产品，并保留过程证据和量化记录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原始输入、产品输出、依据、耗时记录、失败重试记录</w:t>
            </w:r>
          </w:p>
        </w:tc>
      </w:tr>
      <w:tr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评分阶段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业务、信息化/安全、运维人员分别评分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分项评分表、问题清单、量化统计表</w:t>
            </w:r>
          </w:p>
        </w:tc>
      </w:tr>
      <w:tr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复核阶段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对关键扣分项、重大风险项、得分接近项和异常耗时项复核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复核意见、风险说明、异常说明</w:t>
            </w:r>
          </w:p>
        </w:tc>
      </w:tr>
      <w:tr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结论阶段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形成适用场景、落地条件和后续建议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试用评价报告、选型建议</w:t>
            </w:r>
          </w:p>
        </w:tc>
      </w:tr>
    </w:tbl>
    <w:p/>
    <w:p>
      <w:pPr>
        <w:pStyle w:val="Heading1"/>
        <w:spacing w:before="160" w:after="120"/>
        <w:ind w:firstLine="0"/>
      </w:pPr>
      <w:r>
        <w:rPr>
          <w:rFonts w:ascii="黑体" w:hAnsi="黑体" w:eastAsia="黑体"/>
          <w:b/>
          <w:color w:val="2F5597"/>
          <w:sz w:val="30"/>
        </w:rPr>
        <w:t>九、证据采集与计分方法</w:t>
      </w:r>
    </w:p>
    <w:p>
      <w:pPr>
        <w:pStyle w:val="Heading2"/>
        <w:spacing w:before="120" w:after="120"/>
        <w:ind w:firstLine="0"/>
      </w:pPr>
      <w:r>
        <w:rPr>
          <w:rFonts w:ascii="黑体" w:hAnsi="黑体" w:eastAsia="黑体"/>
          <w:b/>
          <w:color w:val="2F5597"/>
          <w:sz w:val="25"/>
        </w:rPr>
        <w:t>9.1 证据采集</w:t>
      </w:r>
    </w:p>
    <w:p>
      <w:pPr>
        <w:spacing w:line="300" w:lineRule="auto" w:after="120"/>
        <w:ind w:firstLine="420"/>
      </w:pPr>
      <w:r>
        <w:rPr>
          <w:rFonts w:ascii="宋体" w:hAnsi="宋体" w:eastAsia="宋体"/>
          <w:sz w:val="21"/>
        </w:rPr>
        <w:t>每项任务至少留存以下证据：</w:t>
      </w:r>
    </w:p>
    <w:p>
      <w:pPr>
        <w:spacing w:line="300" w:lineRule="auto" w:after="120"/>
        <w:ind w:firstLine="420"/>
      </w:pPr>
      <w:r>
        <w:rPr>
          <w:rFonts w:ascii="宋体" w:hAnsi="宋体" w:eastAsia="宋体"/>
          <w:sz w:val="21"/>
        </w:rPr>
        <w:t>1. 原始输入材料和任务说明。</w:t>
      </w:r>
    </w:p>
    <w:p>
      <w:pPr>
        <w:spacing w:line="300" w:lineRule="auto" w:after="120"/>
        <w:ind w:firstLine="420"/>
      </w:pPr>
      <w:r>
        <w:rPr>
          <w:rFonts w:ascii="宋体" w:hAnsi="宋体" w:eastAsia="宋体"/>
          <w:sz w:val="21"/>
        </w:rPr>
        <w:t>2. 产品原始输出。</w:t>
      </w:r>
    </w:p>
    <w:p>
      <w:pPr>
        <w:spacing w:line="300" w:lineRule="auto" w:after="120"/>
        <w:ind w:firstLine="420"/>
      </w:pPr>
      <w:r>
        <w:rPr>
          <w:rFonts w:ascii="宋体" w:hAnsi="宋体" w:eastAsia="宋体"/>
          <w:sz w:val="21"/>
        </w:rPr>
        <w:t>3. 产品引用的依据或来源。</w:t>
      </w:r>
    </w:p>
    <w:p>
      <w:pPr>
        <w:spacing w:line="300" w:lineRule="auto" w:after="120"/>
        <w:ind w:firstLine="420"/>
      </w:pPr>
      <w:r>
        <w:rPr>
          <w:rFonts w:ascii="宋体" w:hAnsi="宋体" w:eastAsia="宋体"/>
          <w:sz w:val="21"/>
        </w:rPr>
        <w:t>4. 任务开始时间、首次输出时间和可采纳完成时间。</w:t>
      </w:r>
    </w:p>
    <w:p>
      <w:pPr>
        <w:spacing w:line="300" w:lineRule="auto" w:after="120"/>
        <w:ind w:firstLine="420"/>
      </w:pPr>
      <w:r>
        <w:rPr>
          <w:rFonts w:ascii="宋体" w:hAnsi="宋体" w:eastAsia="宋体"/>
          <w:sz w:val="21"/>
        </w:rPr>
        <w:t>5. 业务人员人工修改点、修改次数和修改耗时。</w:t>
      </w:r>
    </w:p>
    <w:p>
      <w:pPr>
        <w:spacing w:line="300" w:lineRule="auto" w:after="120"/>
        <w:ind w:firstLine="420"/>
      </w:pPr>
      <w:r>
        <w:rPr>
          <w:rFonts w:ascii="宋体" w:hAnsi="宋体" w:eastAsia="宋体"/>
          <w:sz w:val="21"/>
        </w:rPr>
        <w:t>6. 最终是否采纳，首次输出是否一次通过。</w:t>
      </w:r>
    </w:p>
    <w:p>
      <w:pPr>
        <w:spacing w:line="300" w:lineRule="auto" w:after="120"/>
        <w:ind w:firstLine="420"/>
      </w:pPr>
      <w:r>
        <w:rPr>
          <w:rFonts w:ascii="宋体" w:hAnsi="宋体" w:eastAsia="宋体"/>
          <w:sz w:val="21"/>
        </w:rPr>
        <w:t>7. 是否发生失败、重试、中断、空输出或明显格式错乱。</w:t>
      </w:r>
    </w:p>
    <w:p>
      <w:pPr>
        <w:spacing w:line="300" w:lineRule="auto" w:after="120"/>
        <w:ind w:firstLine="420"/>
      </w:pPr>
      <w:r>
        <w:rPr>
          <w:rFonts w:ascii="宋体" w:hAnsi="宋体" w:eastAsia="宋体"/>
          <w:sz w:val="21"/>
        </w:rPr>
        <w:t>8. 试用人员评分和简要评价。</w:t>
      </w:r>
    </w:p>
    <w:p>
      <w:pPr>
        <w:pStyle w:val="Heading2"/>
        <w:spacing w:before="120" w:after="120"/>
        <w:ind w:firstLine="0"/>
      </w:pPr>
      <w:r>
        <w:rPr>
          <w:rFonts w:ascii="黑体" w:hAnsi="黑体" w:eastAsia="黑体"/>
          <w:b/>
          <w:color w:val="2F5597"/>
          <w:sz w:val="25"/>
        </w:rPr>
        <w:t>9.2 统一计时与量化记录口径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7070"/>
        <w:gridCol w:w="7070"/>
      </w:tblGrid>
      <w:tr>
        <w:tc>
          <w:tcPr>
            <w:tcW w:type="dxa" w:w="7070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D9EAF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1F4E79"/>
                <w:sz w:val="16"/>
              </w:rPr>
              <w:t>量化字段</w:t>
            </w:r>
          </w:p>
        </w:tc>
        <w:tc>
          <w:tcPr>
            <w:tcW w:type="dxa" w:w="7070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D9EAF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1F4E79"/>
                <w:sz w:val="16"/>
              </w:rPr>
              <w:t>记录口径</w:t>
            </w:r>
          </w:p>
        </w:tc>
      </w:tr>
      <w:tr>
        <w:tc>
          <w:tcPr>
            <w:tcW w:type="dxa" w:w="7070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任务开始时间</w:t>
            </w:r>
          </w:p>
        </w:tc>
        <w:tc>
          <w:tcPr>
            <w:tcW w:type="dxa" w:w="7070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用户提交完整任务材料并发起任务的时间</w:t>
            </w:r>
          </w:p>
        </w:tc>
      </w:tr>
      <w:tr>
        <w:tc>
          <w:tcPr>
            <w:tcW w:type="dxa" w:w="7070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首次输出时间</w:t>
            </w:r>
          </w:p>
        </w:tc>
        <w:tc>
          <w:tcPr>
            <w:tcW w:type="dxa" w:w="7070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产品首次给出完整可阅读结果的时间</w:t>
            </w:r>
          </w:p>
        </w:tc>
      </w:tr>
      <w:tr>
        <w:tc>
          <w:tcPr>
            <w:tcW w:type="dxa" w:w="7070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可采纳完成时间</w:t>
            </w:r>
          </w:p>
        </w:tc>
        <w:tc>
          <w:tcPr>
            <w:tcW w:type="dxa" w:w="7070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输出达到少量修改可用的时间</w:t>
            </w:r>
          </w:p>
        </w:tc>
      </w:tr>
      <w:tr>
        <w:tc>
          <w:tcPr>
            <w:tcW w:type="dxa" w:w="7070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人工修改次数</w:t>
            </w:r>
          </w:p>
        </w:tc>
        <w:tc>
          <w:tcPr>
            <w:tcW w:type="dxa" w:w="7070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业务人员为形成最终可用产物进行的实质性修改轮次</w:t>
            </w:r>
          </w:p>
        </w:tc>
      </w:tr>
      <w:tr>
        <w:tc>
          <w:tcPr>
            <w:tcW w:type="dxa" w:w="7070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人工修改耗时</w:t>
            </w:r>
          </w:p>
        </w:tc>
        <w:tc>
          <w:tcPr>
            <w:tcW w:type="dxa" w:w="7070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业务人员从产品输出到最终可用稿的处理时间</w:t>
            </w:r>
          </w:p>
        </w:tc>
      </w:tr>
      <w:tr>
        <w:tc>
          <w:tcPr>
            <w:tcW w:type="dxa" w:w="7070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是否一次通过</w:t>
            </w:r>
          </w:p>
        </w:tc>
        <w:tc>
          <w:tcPr>
            <w:tcW w:type="dxa" w:w="7070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首次完整输出是否基本可用，且无需重新发起任务</w:t>
            </w:r>
          </w:p>
        </w:tc>
      </w:tr>
      <w:tr>
        <w:tc>
          <w:tcPr>
            <w:tcW w:type="dxa" w:w="7070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是否失败或重试</w:t>
            </w:r>
          </w:p>
        </w:tc>
        <w:tc>
          <w:tcPr>
            <w:tcW w:type="dxa" w:w="7070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是否出现中断、卡死、空输出、明显格式错乱或必须重新开始</w:t>
            </w:r>
          </w:p>
        </w:tc>
      </w:tr>
    </w:tbl>
    <w:p/>
    <w:p>
      <w:pPr>
        <w:pStyle w:val="Heading2"/>
        <w:spacing w:before="120" w:after="120"/>
        <w:ind w:firstLine="0"/>
      </w:pPr>
      <w:r>
        <w:rPr>
          <w:rFonts w:ascii="黑体" w:hAnsi="黑体" w:eastAsia="黑体"/>
          <w:b/>
          <w:color w:val="2F5597"/>
          <w:sz w:val="25"/>
        </w:rPr>
        <w:t>9.3 评分主体建议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13"/>
        <w:gridCol w:w="4713"/>
        <w:gridCol w:w="4713"/>
      </w:tblGrid>
      <w:tr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D9EAF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1F4E79"/>
                <w:sz w:val="16"/>
              </w:rPr>
              <w:t>评分主体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D9EAF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1F4E79"/>
                <w:sz w:val="16"/>
              </w:rPr>
              <w:t>建议权重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D9EAF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1F4E79"/>
                <w:sz w:val="16"/>
              </w:rPr>
              <w:t>重点职责</w:t>
            </w:r>
          </w:p>
        </w:tc>
      </w:tr>
      <w:tr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业务部门评分人员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70%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评价任务完成质量、产物可用性、修改成本和采纳意愿</w:t>
            </w:r>
          </w:p>
        </w:tc>
      </w:tr>
      <w:tr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信息化/安全评分人员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20%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评价资料接入、数据安全、权限边界和审计要求</w:t>
            </w:r>
          </w:p>
        </w:tc>
      </w:tr>
      <w:tr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运维管理评分人员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10%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评价安装配置、稳定性、诊断恢复、升级维护和支持能力</w:t>
            </w:r>
          </w:p>
        </w:tc>
      </w:tr>
    </w:tbl>
    <w:p/>
    <w:p>
      <w:pPr>
        <w:pStyle w:val="Heading2"/>
        <w:spacing w:before="120" w:after="120"/>
        <w:ind w:firstLine="0"/>
      </w:pPr>
      <w:r>
        <w:rPr>
          <w:rFonts w:ascii="黑体" w:hAnsi="黑体" w:eastAsia="黑体"/>
          <w:b/>
          <w:color w:val="2F5597"/>
          <w:sz w:val="25"/>
        </w:rPr>
        <w:t>9.4 评分等级建议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13"/>
        <w:gridCol w:w="4713"/>
        <w:gridCol w:w="4713"/>
      </w:tblGrid>
      <w:tr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D9EAF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1F4E79"/>
                <w:sz w:val="16"/>
              </w:rPr>
              <w:t>等级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D9EAF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1F4E79"/>
                <w:sz w:val="16"/>
              </w:rPr>
              <w:t>分数区间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D9EAF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1F4E79"/>
                <w:sz w:val="16"/>
              </w:rPr>
              <w:t>建议解释</w:t>
            </w:r>
          </w:p>
        </w:tc>
      </w:tr>
      <w:tr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A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90-100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可优先进入试点扩大或采购论证</w:t>
            </w:r>
          </w:p>
        </w:tc>
      </w:tr>
      <w:tr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B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80-89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具备落地价值，需补齐部分场景、合规或运维条件</w:t>
            </w:r>
          </w:p>
        </w:tc>
      </w:tr>
      <w:tr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C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70-79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可在有限场景继续观察，不宜直接大范围推广</w:t>
            </w:r>
          </w:p>
        </w:tc>
      </w:tr>
      <w:tr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D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60-69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能力或落地条件不足，需完成明显改进后再评估</w:t>
            </w:r>
          </w:p>
        </w:tc>
      </w:tr>
      <w:tr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E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60 以下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暂不建议进入正式试点或选型</w:t>
            </w:r>
          </w:p>
        </w:tc>
      </w:tr>
    </w:tbl>
    <w:p/>
    <w:p>
      <w:pPr>
        <w:pStyle w:val="Heading1"/>
        <w:spacing w:before="160" w:after="120"/>
        <w:ind w:firstLine="0"/>
      </w:pPr>
      <w:r>
        <w:rPr>
          <w:rFonts w:ascii="黑体" w:hAnsi="黑体" w:eastAsia="黑体"/>
          <w:b/>
          <w:color w:val="2F5597"/>
          <w:sz w:val="30"/>
        </w:rPr>
        <w:t>十、结果应用建议</w:t>
      </w:r>
    </w:p>
    <w:p>
      <w:pPr>
        <w:spacing w:line="300" w:lineRule="auto" w:after="120"/>
        <w:ind w:firstLine="420"/>
      </w:pPr>
      <w:r>
        <w:rPr>
          <w:rFonts w:ascii="宋体" w:hAnsi="宋体" w:eastAsia="宋体"/>
          <w:sz w:val="21"/>
        </w:rPr>
        <w:t>最终结论不宜只给总分排名，应同时给出：</w:t>
      </w:r>
    </w:p>
    <w:p>
      <w:pPr>
        <w:spacing w:line="300" w:lineRule="auto" w:after="120"/>
        <w:ind w:firstLine="420"/>
      </w:pPr>
      <w:r>
        <w:rPr>
          <w:rFonts w:ascii="宋体" w:hAnsi="宋体" w:eastAsia="宋体"/>
          <w:sz w:val="21"/>
        </w:rPr>
        <w:t>1. 各一级指标得分和主要扣分项。</w:t>
      </w:r>
    </w:p>
    <w:p>
      <w:pPr>
        <w:spacing w:line="300" w:lineRule="auto" w:after="120"/>
        <w:ind w:firstLine="420"/>
      </w:pPr>
      <w:r>
        <w:rPr>
          <w:rFonts w:ascii="宋体" w:hAnsi="宋体" w:eastAsia="宋体"/>
          <w:sz w:val="21"/>
        </w:rPr>
        <w:t>2. 产品适合优先落地的日常办公和业务办理场景。</w:t>
      </w:r>
    </w:p>
    <w:p>
      <w:pPr>
        <w:spacing w:line="300" w:lineRule="auto" w:after="120"/>
        <w:ind w:firstLine="420"/>
      </w:pPr>
      <w:r>
        <w:rPr>
          <w:rFonts w:ascii="宋体" w:hAnsi="宋体" w:eastAsia="宋体"/>
          <w:sz w:val="21"/>
        </w:rPr>
        <w:t>3. 不适合或需谨慎使用的业务边界。</w:t>
      </w:r>
    </w:p>
    <w:p>
      <w:pPr>
        <w:spacing w:line="300" w:lineRule="auto" w:after="120"/>
        <w:ind w:firstLine="420"/>
      </w:pPr>
      <w:r>
        <w:rPr>
          <w:rFonts w:ascii="宋体" w:hAnsi="宋体" w:eastAsia="宋体"/>
          <w:sz w:val="21"/>
        </w:rPr>
        <w:t>4. 数据安全、终端环境和系统接入前置条件。</w:t>
      </w:r>
    </w:p>
    <w:p>
      <w:pPr>
        <w:spacing w:line="300" w:lineRule="auto" w:after="120"/>
        <w:ind w:firstLine="420"/>
      </w:pPr>
      <w:r>
        <w:rPr>
          <w:rFonts w:ascii="宋体" w:hAnsi="宋体" w:eastAsia="宋体"/>
          <w:sz w:val="21"/>
        </w:rPr>
        <w:t>5. 有效完成时间、人工修改成本、失败重试情况和一次可用率。</w:t>
      </w:r>
    </w:p>
    <w:p>
      <w:pPr>
        <w:spacing w:line="300" w:lineRule="auto" w:after="120"/>
        <w:ind w:firstLine="420"/>
      </w:pPr>
      <w:r>
        <w:rPr>
          <w:rFonts w:ascii="宋体" w:hAnsi="宋体" w:eastAsia="宋体"/>
          <w:sz w:val="21"/>
        </w:rPr>
        <w:t>6. 后续试点、扩围、采购或淘汰建议。</w:t>
      </w:r>
    </w:p>
    <w:p>
      <w:pPr>
        <w:spacing w:line="300" w:lineRule="auto" w:after="120"/>
        <w:ind w:firstLine="420"/>
      </w:pPr>
      <w:r>
        <w:rPr>
          <w:rFonts w:ascii="宋体" w:hAnsi="宋体" w:eastAsia="宋体"/>
          <w:sz w:val="21"/>
        </w:rPr>
        <w:t>对于得分接近的产品，建议优先比较真实任务采纳率、人工修改成本、依据错误数量、失败重试情况和有效完成时间，而不是单纯比较回答速度、模型参数或界面观感。</w:t>
      </w:r>
    </w:p>
    <w:p>
      <w:pPr>
        <w:pStyle w:val="Heading1"/>
        <w:spacing w:before="160" w:after="120"/>
        <w:ind w:firstLine="0"/>
      </w:pPr>
      <w:r>
        <w:rPr>
          <w:rFonts w:ascii="黑体" w:hAnsi="黑体" w:eastAsia="黑体"/>
          <w:b/>
          <w:color w:val="2F5597"/>
          <w:sz w:val="30"/>
        </w:rPr>
        <w:t>十一、中立措辞要求</w:t>
      </w:r>
    </w:p>
    <w:p>
      <w:pPr>
        <w:spacing w:line="300" w:lineRule="auto" w:after="120"/>
        <w:ind w:firstLine="420"/>
      </w:pPr>
      <w:r>
        <w:rPr>
          <w:rFonts w:ascii="宋体" w:hAnsi="宋体" w:eastAsia="宋体"/>
          <w:sz w:val="21"/>
        </w:rPr>
        <w:t>为保证评价体系公开、公平、可解释，建议避免使用指向特定厂商或特定实现方式的表述。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7070"/>
        <w:gridCol w:w="7070"/>
      </w:tblGrid>
      <w:tr>
        <w:tc>
          <w:tcPr>
            <w:tcW w:type="dxa" w:w="7070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D9EAF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1F4E79"/>
                <w:sz w:val="16"/>
              </w:rPr>
              <w:t>不建议表述</w:t>
            </w:r>
          </w:p>
        </w:tc>
        <w:tc>
          <w:tcPr>
            <w:tcW w:type="dxa" w:w="7070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D9EAF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1F4E79"/>
                <w:sz w:val="16"/>
              </w:rPr>
              <w:t>建议表述</w:t>
            </w:r>
          </w:p>
        </w:tc>
      </w:tr>
      <w:tr>
        <w:tc>
          <w:tcPr>
            <w:tcW w:type="dxa" w:w="7070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必须具备专家团</w:t>
            </w:r>
          </w:p>
        </w:tc>
        <w:tc>
          <w:tcPr>
            <w:tcW w:type="dxa" w:w="7070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具备多步骤任务协同和过程可追踪能力</w:t>
            </w:r>
          </w:p>
        </w:tc>
      </w:tr>
      <w:tr>
        <w:tc>
          <w:tcPr>
            <w:tcW w:type="dxa" w:w="7070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必须支持某某插件或协议</w:t>
            </w:r>
          </w:p>
        </w:tc>
        <w:tc>
          <w:tcPr>
            <w:tcW w:type="dxa" w:w="7070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具备可扩展工具或业务系统接入能力</w:t>
            </w:r>
          </w:p>
        </w:tc>
      </w:tr>
      <w:tr>
        <w:tc>
          <w:tcPr>
            <w:tcW w:type="dxa" w:w="7070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必须本地安装</w:t>
            </w:r>
          </w:p>
        </w:tc>
        <w:tc>
          <w:tcPr>
            <w:tcW w:type="dxa" w:w="7070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符合甲方终端环境与数据安全要求的交付方式</w:t>
            </w:r>
          </w:p>
        </w:tc>
      </w:tr>
      <w:tr>
        <w:tc>
          <w:tcPr>
            <w:tcW w:type="dxa" w:w="7070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必须支持工作票、操作票</w:t>
            </w:r>
          </w:p>
        </w:tc>
        <w:tc>
          <w:tcPr>
            <w:tcW w:type="dxa" w:w="7070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能适配甲方典型流程表单和作业类业务场景</w:t>
            </w:r>
          </w:p>
        </w:tc>
      </w:tr>
      <w:tr>
        <w:tc>
          <w:tcPr>
            <w:tcW w:type="dxa" w:w="7070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必须具备某厂商功能</w:t>
            </w:r>
          </w:p>
        </w:tc>
        <w:tc>
          <w:tcPr>
            <w:tcW w:type="dxa" w:w="7070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具备对应业务技能或可复用能力模板</w:t>
            </w:r>
          </w:p>
        </w:tc>
      </w:tr>
      <w:tr>
        <w:tc>
          <w:tcPr>
            <w:tcW w:type="dxa" w:w="7070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响应速度最快</w:t>
            </w:r>
          </w:p>
        </w:tc>
        <w:tc>
          <w:tcPr>
            <w:tcW w:type="dxa" w:w="7070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在输出质量达标前提下，有效完成时间更短、返工更少</w:t>
            </w:r>
          </w:p>
        </w:tc>
      </w:tr>
    </w:tbl>
    <w:p/>
    <w:p>
      <w:pPr>
        <w:pStyle w:val="Heading1"/>
        <w:spacing w:before="160" w:after="120"/>
        <w:ind w:firstLine="0"/>
      </w:pPr>
      <w:r>
        <w:rPr>
          <w:rFonts w:ascii="黑体" w:hAnsi="黑体" w:eastAsia="黑体"/>
          <w:b/>
          <w:color w:val="2F5597"/>
          <w:sz w:val="30"/>
        </w:rPr>
        <w:t>十二、附件：任务过程记录表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414"/>
        <w:gridCol w:w="1414"/>
        <w:gridCol w:w="1414"/>
        <w:gridCol w:w="1414"/>
        <w:gridCol w:w="1414"/>
        <w:gridCol w:w="1414"/>
        <w:gridCol w:w="1414"/>
        <w:gridCol w:w="1414"/>
        <w:gridCol w:w="1414"/>
        <w:gridCol w:w="1414"/>
      </w:tblGrid>
      <w:tr>
        <w:tc>
          <w:tcPr>
            <w:tcW w:type="dxa" w:w="1414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D9EAF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1F4E79"/>
                <w:sz w:val="16"/>
              </w:rPr>
              <w:t>产品名称</w:t>
            </w:r>
          </w:p>
        </w:tc>
        <w:tc>
          <w:tcPr>
            <w:tcW w:type="dxa" w:w="1414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D9EAF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1F4E79"/>
                <w:sz w:val="16"/>
              </w:rPr>
              <w:t>任务编号</w:t>
            </w:r>
          </w:p>
        </w:tc>
        <w:tc>
          <w:tcPr>
            <w:tcW w:type="dxa" w:w="1414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D9EAF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1F4E79"/>
                <w:sz w:val="16"/>
              </w:rPr>
              <w:t>任务类型</w:t>
            </w:r>
          </w:p>
        </w:tc>
        <w:tc>
          <w:tcPr>
            <w:tcW w:type="dxa" w:w="1414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D9EAF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1F4E79"/>
                <w:sz w:val="16"/>
              </w:rPr>
              <w:t>任务开始时间</w:t>
            </w:r>
          </w:p>
        </w:tc>
        <w:tc>
          <w:tcPr>
            <w:tcW w:type="dxa" w:w="1414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D9EAF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1F4E79"/>
                <w:sz w:val="16"/>
              </w:rPr>
              <w:t>首次输出时间</w:t>
            </w:r>
          </w:p>
        </w:tc>
        <w:tc>
          <w:tcPr>
            <w:tcW w:type="dxa" w:w="1414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D9EAF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1F4E79"/>
                <w:sz w:val="16"/>
              </w:rPr>
              <w:t>可采纳完成时间</w:t>
            </w:r>
          </w:p>
        </w:tc>
        <w:tc>
          <w:tcPr>
            <w:tcW w:type="dxa" w:w="1414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D9EAF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1F4E79"/>
                <w:sz w:val="16"/>
              </w:rPr>
              <w:t>人工修改次数</w:t>
            </w:r>
          </w:p>
        </w:tc>
        <w:tc>
          <w:tcPr>
            <w:tcW w:type="dxa" w:w="1414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D9EAF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1F4E79"/>
                <w:sz w:val="16"/>
              </w:rPr>
              <w:t>人工修改耗时</w:t>
            </w:r>
          </w:p>
        </w:tc>
        <w:tc>
          <w:tcPr>
            <w:tcW w:type="dxa" w:w="1414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D9EAF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1F4E79"/>
                <w:sz w:val="16"/>
              </w:rPr>
              <w:t>是否一次通过</w:t>
            </w:r>
          </w:p>
        </w:tc>
        <w:tc>
          <w:tcPr>
            <w:tcW w:type="dxa" w:w="1414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D9EAF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1F4E79"/>
                <w:sz w:val="16"/>
              </w:rPr>
              <w:t>是否失败或重试</w:t>
            </w:r>
          </w:p>
        </w:tc>
      </w:tr>
      <w:tr>
        <w:tc>
          <w:tcPr>
            <w:tcW w:type="dxa" w:w="1414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1414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1414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1414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1414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1414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1414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1414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1414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1414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</w:tbl>
    <w:p/>
    <w:p>
      <w:pPr>
        <w:pStyle w:val="Heading1"/>
        <w:spacing w:before="160" w:after="120"/>
        <w:ind w:firstLine="0"/>
      </w:pPr>
      <w:r>
        <w:rPr>
          <w:rFonts w:ascii="黑体" w:hAnsi="黑体" w:eastAsia="黑体"/>
          <w:b/>
          <w:color w:val="2F5597"/>
          <w:sz w:val="30"/>
        </w:rPr>
        <w:t>十三、附件：评分记录表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71"/>
        <w:gridCol w:w="1571"/>
        <w:gridCol w:w="1571"/>
        <w:gridCol w:w="1571"/>
        <w:gridCol w:w="1571"/>
        <w:gridCol w:w="1571"/>
        <w:gridCol w:w="1571"/>
        <w:gridCol w:w="1571"/>
        <w:gridCol w:w="1571"/>
      </w:tblGrid>
      <w:tr>
        <w:tc>
          <w:tcPr>
            <w:tcW w:type="dxa" w:w="1571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D9EAF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1F4E79"/>
                <w:sz w:val="16"/>
              </w:rPr>
              <w:t>产品名称</w:t>
            </w:r>
          </w:p>
        </w:tc>
        <w:tc>
          <w:tcPr>
            <w:tcW w:type="dxa" w:w="1571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D9EAF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1F4E79"/>
                <w:sz w:val="16"/>
              </w:rPr>
              <w:t>任务编号</w:t>
            </w:r>
          </w:p>
        </w:tc>
        <w:tc>
          <w:tcPr>
            <w:tcW w:type="dxa" w:w="1571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D9EAF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1F4E79"/>
                <w:sz w:val="16"/>
              </w:rPr>
              <w:t>任务类型</w:t>
            </w:r>
          </w:p>
        </w:tc>
        <w:tc>
          <w:tcPr>
            <w:tcW w:type="dxa" w:w="1571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D9EAF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1F4E79"/>
                <w:sz w:val="16"/>
              </w:rPr>
              <w:t>是否采纳</w:t>
            </w:r>
          </w:p>
        </w:tc>
        <w:tc>
          <w:tcPr>
            <w:tcW w:type="dxa" w:w="1571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D9EAF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1F4E79"/>
                <w:sz w:val="16"/>
              </w:rPr>
              <w:t>业务评分</w:t>
            </w:r>
          </w:p>
        </w:tc>
        <w:tc>
          <w:tcPr>
            <w:tcW w:type="dxa" w:w="1571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D9EAF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1F4E79"/>
                <w:sz w:val="16"/>
              </w:rPr>
              <w:t>信息化/安全评分</w:t>
            </w:r>
          </w:p>
        </w:tc>
        <w:tc>
          <w:tcPr>
            <w:tcW w:type="dxa" w:w="1571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D9EAF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1F4E79"/>
                <w:sz w:val="16"/>
              </w:rPr>
              <w:t>运维评分</w:t>
            </w:r>
          </w:p>
        </w:tc>
        <w:tc>
          <w:tcPr>
            <w:tcW w:type="dxa" w:w="1571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D9EAF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1F4E79"/>
                <w:sz w:val="16"/>
              </w:rPr>
              <w:t>主要扣分项</w:t>
            </w:r>
          </w:p>
        </w:tc>
        <w:tc>
          <w:tcPr>
            <w:tcW w:type="dxa" w:w="1571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D9EAF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1F4E79"/>
                <w:sz w:val="16"/>
              </w:rPr>
              <w:t>主要问题</w:t>
            </w:r>
          </w:p>
        </w:tc>
      </w:tr>
      <w:tr>
        <w:tc>
          <w:tcPr>
            <w:tcW w:type="dxa" w:w="1571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1571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1571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1571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1571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1571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1571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1571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1571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</w:tbl>
    <w:p/>
    <w:p>
      <w:pPr>
        <w:pStyle w:val="Heading1"/>
        <w:spacing w:before="160" w:after="120"/>
        <w:ind w:firstLine="0"/>
      </w:pPr>
      <w:r>
        <w:rPr>
          <w:rFonts w:ascii="黑体" w:hAnsi="黑体" w:eastAsia="黑体"/>
          <w:b/>
          <w:color w:val="2F5597"/>
          <w:sz w:val="30"/>
        </w:rPr>
        <w:t>十四、状态边界</w:t>
      </w:r>
    </w:p>
    <w:p>
      <w:pPr>
        <w:spacing w:line="300" w:lineRule="auto" w:after="120"/>
        <w:ind w:firstLine="420"/>
      </w:pPr>
      <w:r>
        <w:rPr>
          <w:rFonts w:ascii="宋体" w:hAnsi="宋体" w:eastAsia="宋体"/>
          <w:sz w:val="21"/>
        </w:rPr>
        <w:t>本文件为评价体系建议稿。涉及具体制度、流程、表单、系统接口、数据分类分级和安全要求时，应以甲方现行制度、脱敏样例材料和信息安全要求为准。效率、稳定性和成本相关指标应结合任务难度、材料完整性、终端环境和试用人员熟悉程度综合判断，不作为脱离业务产物质量的单独排名依据。</w:t>
      </w:r>
    </w:p>
    <w:sectPr w:rsidR="00FC693F" w:rsidRPr="0006063C" w:rsidSect="00034616">
      <w:footerReference w:type="default" r:id="rId9"/>
      <w:pgSz w:w="15840" w:h="12240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宋体" w:hAnsi="宋体" w:eastAsia="宋体"/>
        <w:color w:val="969696"/>
        <w:sz w:val="16"/>
      </w:rPr>
      <w:t>国网日常办公智能化应用试用评价体系 | 建议稿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120"/>
      <w:ind w:firstLine="420"/>
    </w:pPr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/>
      <w:ind w:firstLine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2F5597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/>
      <w:ind w:firstLine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2F5597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