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20" w:line="264" w:lineRule="auto"/>
        <w:jc w:val="center"/>
      </w:pPr>
      <w:r>
        <w:rPr>
          <w:rFonts w:ascii="Calibri" w:hAnsi="Calibri" w:eastAsia="微软雅黑"/>
          <w:b/>
          <w:color w:val="1F4D78"/>
          <w:sz w:val="48"/>
        </w:rPr>
        <w:t>智能体类产品试用评价体系</w:t>
      </w:r>
    </w:p>
    <w:p>
      <w:pPr>
        <w:spacing w:before="0" w:after="480" w:line="264" w:lineRule="auto"/>
        <w:jc w:val="center"/>
      </w:pPr>
      <w:r>
        <w:rPr>
          <w:rFonts w:ascii="Calibri" w:hAnsi="Calibri" w:eastAsia="微软雅黑"/>
          <w:color w:val="2E74B5"/>
          <w:sz w:val="30"/>
        </w:rPr>
        <w:t>建议稿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479"/>
        <w:gridCol w:w="4479"/>
      </w:tblGrid>
      <w:tr>
        <w:trPr>
          <w:tblHeader w:val="true"/>
        </w:trPr>
        <w:tc>
          <w:tcPr>
            <w:tcW w:type="dxa" w:w="2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68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v0.2</w:t>
            </w:r>
          </w:p>
        </w:tc>
      </w:tr>
      <w:tr>
        <w:tc>
          <w:tcPr>
            <w:tcW w:type="dxa" w:w="2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日期</w:t>
            </w:r>
          </w:p>
        </w:tc>
        <w:tc>
          <w:tcPr>
            <w:tcW w:type="dxa" w:w="68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2026-06-11</w:t>
            </w:r>
          </w:p>
        </w:tc>
      </w:tr>
      <w:tr>
        <w:tc>
          <w:tcPr>
            <w:tcW w:type="dxa" w:w="2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适用范围</w:t>
            </w:r>
          </w:p>
        </w:tc>
        <w:tc>
          <w:tcPr>
            <w:tcW w:type="dxa" w:w="68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企业内部真实岗位场景的智能体类产品试用、评估和选型</w:t>
            </w:r>
          </w:p>
        </w:tc>
      </w:tr>
      <w:tr>
        <w:tc>
          <w:tcPr>
            <w:tcW w:type="dxa" w:w="2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文档类型</w:t>
            </w:r>
          </w:p>
        </w:tc>
        <w:tc>
          <w:tcPr>
            <w:tcW w:type="dxa" w:w="68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评价体系</w:t>
            </w:r>
          </w:p>
        </w:tc>
      </w:tr>
    </w:tbl>
    <w:p>
      <w:pPr>
        <w:spacing w:before="0" w:after="80" w:line="264" w:lineRule="auto"/>
      </w:pPr>
    </w:p>
    <w:p>
      <w:pPr>
        <w:spacing w:before="240" w:after="240" w:line="288" w:lineRule="auto"/>
      </w:pPr>
      <w:r>
        <w:rPr>
          <w:rFonts w:ascii="Calibri" w:hAnsi="Calibri" w:eastAsia="微软雅黑"/>
          <w:b w:val="0"/>
          <w:color w:val="111827"/>
          <w:sz w:val="23"/>
        </w:rPr>
        <w:t>核心口径：本体系以真实岗位任务完成质量为核心，重点评价产品能否把制度、表单、历史经验、业务工具和审批边界转化为可复核、可采纳、可持续复用的业务成果。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一、编制说明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本评价体系用于指导甲方在试用智能体类产品时，形成统一、可复核、可比较的评价口径。评价重点不放在单轮问答效果、模型参数或厂商演示效果上，而是放在产品能否进入真实岗位流程，把制度、表单、历史经验、业务工具和审批边界转化为可采纳、可追踪、可持续复用的业务成果。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本体系保持技术路线中立，不限定具体厂商、模型、插件、工作流框架或部署形态。参评产品可以采用知识库、工具调用、业务系统接口、场景模板、多智能体协作、本地部署、云端部署或混合部署等不同方式实现，但最终评价以试用结果、业务采纳和安全合规为准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二、评价目标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本评价体系服务于四类目标：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/>
        </w:rPr>
        <w:t>评价真实业务价值</w:t>
      </w:r>
      <w:r>
        <w:rPr>
          <w:rFonts w:ascii="Calibri" w:hAnsi="Calibri" w:eastAsia="微软雅黑"/>
          <w:b w:val="0"/>
        </w:rPr>
        <w:t>：判断产品是否能在甲方实际岗位任务中减少人工检索、整理、审核、编写和复核成本。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/>
        </w:rPr>
        <w:t>评价流程适配能力</w:t>
      </w:r>
      <w:r>
        <w:rPr>
          <w:rFonts w:ascii="Calibri" w:hAnsi="Calibri" w:eastAsia="微软雅黑"/>
          <w:b w:val="0"/>
        </w:rPr>
        <w:t>：判断产品是否理解甲方典型业务流程、角色责任、表单字段、风险点和合规边界。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/>
        </w:rPr>
        <w:t>评价可信与可控程度</w:t>
      </w:r>
      <w:r>
        <w:rPr>
          <w:rFonts w:ascii="Calibri" w:hAnsi="Calibri" w:eastAsia="微软雅黑"/>
          <w:b w:val="0"/>
        </w:rPr>
        <w:t>：判断产品是否能说明依据、标注不确定性、控制幻觉，并保留人工确认边界。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/>
        </w:rPr>
        <w:t>评价落地可持续性</w:t>
      </w:r>
      <w:r>
        <w:rPr>
          <w:rFonts w:ascii="Calibri" w:hAnsi="Calibri" w:eastAsia="微软雅黑"/>
          <w:b w:val="0"/>
        </w:rPr>
        <w:t>：判断产品是否具备资料接入、场景复用、终端适配、安全合规、诊断运维和持续推广条件。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三、评价对象与边界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微软雅黑"/>
          <w:b w:val="0"/>
        </w:rPr>
        <w:t>3.1 评价对象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评价对象为参与甲方试用的智能体类产品，包括但不限于企业知识问答、岗位流程辅助、文档生成、表单审核、任务编排、工具调用、业务系统辅助和多步骤工作台类产品。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微软雅黑"/>
          <w:b w:val="0"/>
        </w:rPr>
        <w:t>3.2 评价边界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本体系不评价厂商宣传材料中的未试用能力，不以厂商自述功能作为直接得分依据。所有核心得分应来自统一试用任务、统一材料、业务人员真实操作和留存证据。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涉及工作票、操作票、检修计划、缺陷处理、制度问答等具体场景时，应由甲方提供脱敏样例材料，并以甲方现行制度、流程文件和信息安全要求为准。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四、评价原则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原则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执行要求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真实场景优先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以业务人员高频岗位任务作为主要评价对象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避免只做开放式闲聊、通用问答或厂商演示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统一材料试用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所有产品使用同一批脱敏材料和任务说明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统一输入、统一周期、统一评分表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结果证据留存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评价结论必须可追溯到试用证据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保留输入、输出、依据、修改点、耗时和采纳情况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业务技术并重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技术能力服务于业务闭环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不单独用模型参数替代业务成果评价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安全合规前置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试用过程不得突破甲方数据和权限边界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涉敏材料必须脱敏，外部调用必须说明边界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人工责任保留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智能体输出不能替代审批、审核和安全责任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高风险结论必须保留人工确认提示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五、评价指标体系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满分 100 分。建议将业务实际效果相关指标设置为 65 分，技术与交付支撑指标设置为 35 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7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一级指标</w:t>
            </w:r>
          </w:p>
        </w:tc>
        <w:tc>
          <w:tcPr>
            <w:tcW w:type="dxa" w:w="1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权重</w:t>
            </w:r>
          </w:p>
        </w:tc>
        <w:tc>
          <w:tcPr>
            <w:tcW w:type="dxa" w:w="3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二级评价重点</w:t>
            </w:r>
          </w:p>
        </w:tc>
        <w:tc>
          <w:tcPr>
            <w:tcW w:type="dxa" w:w="3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主要证据</w:t>
            </w:r>
          </w:p>
        </w:tc>
      </w:tr>
      <w:tr>
        <w:tc>
          <w:tcPr>
            <w:tcW w:type="dxa" w:w="17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业务场景理解与适配能力</w:t>
            </w:r>
          </w:p>
        </w:tc>
        <w:tc>
          <w:tcPr>
            <w:tcW w:type="dxa" w:w="1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25</w:t>
            </w:r>
          </w:p>
        </w:tc>
        <w:tc>
          <w:tcPr>
            <w:tcW w:type="dxa" w:w="3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意图识别、流程节点、角色责任、表单材料、风险合规、澄清能力</w:t>
            </w:r>
          </w:p>
        </w:tc>
        <w:tc>
          <w:tcPr>
            <w:tcW w:type="dxa" w:w="3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试用任务输入输出、业务人员评价、缺项识别记录</w:t>
            </w:r>
          </w:p>
        </w:tc>
      </w:tr>
      <w:tr>
        <w:tc>
          <w:tcPr>
            <w:tcW w:type="dxa" w:w="17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任务闭环与产物质量</w:t>
            </w:r>
          </w:p>
        </w:tc>
        <w:tc>
          <w:tcPr>
            <w:tcW w:type="dxa" w:w="1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25</w:t>
            </w:r>
          </w:p>
        </w:tc>
        <w:tc>
          <w:tcPr>
            <w:tcW w:type="dxa" w:w="3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任务拆解、过程追踪、输出完整性、可编辑性、业务可用性、返工处理</w:t>
            </w:r>
          </w:p>
        </w:tc>
        <w:tc>
          <w:tcPr>
            <w:tcW w:type="dxa" w:w="3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阶段记录、最终产物、人工修改点、采纳情况</w:t>
            </w:r>
          </w:p>
        </w:tc>
      </w:tr>
      <w:tr>
        <w:tc>
          <w:tcPr>
            <w:tcW w:type="dxa" w:w="17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可信性、溯源与幻觉控制</w:t>
            </w:r>
          </w:p>
        </w:tc>
        <w:tc>
          <w:tcPr>
            <w:tcW w:type="dxa" w:w="1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15</w:t>
            </w:r>
          </w:p>
        </w:tc>
        <w:tc>
          <w:tcPr>
            <w:tcW w:type="dxa" w:w="3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依据标注、事实一致性、不确定性表达、幻觉控制、敏感信息处理</w:t>
            </w:r>
          </w:p>
        </w:tc>
        <w:tc>
          <w:tcPr>
            <w:tcW w:type="dxa" w:w="3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引用来源、待核验标注、错误记录、风险提示</w:t>
            </w:r>
          </w:p>
        </w:tc>
      </w:tr>
      <w:tr>
        <w:tc>
          <w:tcPr>
            <w:tcW w:type="dxa" w:w="17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知识与工具接入能力</w:t>
            </w:r>
          </w:p>
        </w:tc>
        <w:tc>
          <w:tcPr>
            <w:tcW w:type="dxa" w:w="1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3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文件资料接入、场景模板复用、工具系统扩展、权限边界</w:t>
            </w:r>
          </w:p>
        </w:tc>
        <w:tc>
          <w:tcPr>
            <w:tcW w:type="dxa" w:w="3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导入材料、模板样例、工具调用记录、权限说明</w:t>
            </w:r>
          </w:p>
        </w:tc>
      </w:tr>
      <w:tr>
        <w:tc>
          <w:tcPr>
            <w:tcW w:type="dxa" w:w="17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易用性与业务人员采纳度</w:t>
            </w:r>
          </w:p>
        </w:tc>
        <w:tc>
          <w:tcPr>
            <w:tcW w:type="dxa" w:w="1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3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上手难度、交互清晰度、语言适配、修改成本、采纳意愿</w:t>
            </w:r>
          </w:p>
        </w:tc>
        <w:tc>
          <w:tcPr>
            <w:tcW w:type="dxa" w:w="3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试用人员评分、修改次数、节省时间、反馈记录</w:t>
            </w:r>
          </w:p>
        </w:tc>
      </w:tr>
      <w:tr>
        <w:tc>
          <w:tcPr>
            <w:tcW w:type="dxa" w:w="17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部署适配、安全合规与运维</w:t>
            </w:r>
          </w:p>
        </w:tc>
        <w:tc>
          <w:tcPr>
            <w:tcW w:type="dxa" w:w="1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3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终端环境、数据安全、权限审计、故障诊断、运维持续性</w:t>
            </w:r>
          </w:p>
        </w:tc>
        <w:tc>
          <w:tcPr>
            <w:tcW w:type="dxa" w:w="3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部署说明、安全说明、日志审计、诊断材料</w:t>
            </w:r>
          </w:p>
        </w:tc>
      </w:tr>
      <w:tr>
        <w:tc>
          <w:tcPr>
            <w:tcW w:type="dxa" w:w="17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性能、稳定性与成本</w:t>
            </w:r>
          </w:p>
        </w:tc>
        <w:tc>
          <w:tcPr>
            <w:tcW w:type="dxa" w:w="1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3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响应效率、长任务稳定性、失败恢复、使用成本</w:t>
            </w:r>
          </w:p>
        </w:tc>
        <w:tc>
          <w:tcPr>
            <w:tcW w:type="dxa" w:w="3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任务耗时、异常记录、恢复情况、成本估算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六、指标定义与评分口径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微软雅黑"/>
          <w:b w:val="0"/>
        </w:rPr>
        <w:t>6.1 业务场景理解与适配能力（25 分）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二级指标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分值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评价口径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业务意图识别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能准确识别用户要完成的业务目标，而不是只按字面回答问题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流程节点理解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能理解任务所处阶段、前后置条件、流转节点和审批边界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角色责任识别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能区分发起人、审核人、执行人、监护人、管理人员等不同职责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表单与材料理解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能正确理解样例表单、制度条款、历史案例和附件材料之间的关系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风险与合规意识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能识别安全风险、合规风险、缺项漏项和不确定内容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澄清与边界控制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信息不足时主动澄清或标注边界，避免直接编造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Calibri" w:hAnsi="Calibri" w:eastAsia="微软雅黑"/>
          <w:b w:val="0"/>
          <w:color w:val="111827"/>
          <w:sz w:val="21"/>
        </w:rPr>
        <w:t>高分特征：能把业务材料转化为流程化判断，准确识别角色、字段、风险和依据。</w:t>
      </w:r>
    </w:p>
    <w:p>
      <w:pPr>
        <w:spacing w:before="40" w:after="80" w:line="264" w:lineRule="auto"/>
      </w:pPr>
      <w:r>
        <w:rPr>
          <w:rFonts w:ascii="Calibri" w:hAnsi="Calibri" w:eastAsia="微软雅黑"/>
          <w:b w:val="0"/>
          <w:color w:val="111827"/>
          <w:sz w:val="21"/>
        </w:rPr>
        <w:t>低分特征：只做文本概括或通用建议，不能识别流程责任和安全合规边界。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微软雅黑"/>
          <w:b w:val="0"/>
        </w:rPr>
        <w:t>6.2 任务闭环与产物质量（25 分）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二级指标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分值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评价口径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多步骤任务拆解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能把复杂任务拆成可执行步骤，并说明当前进度和下一步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过程可追踪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能保留关键过程、判断依据、阶段状态和用户确认点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输出完整性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产物覆盖任务要求，不遗漏关键字段、风险、责任或结论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输出可编辑性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产物格式清晰，便于复制、修改、归档或转成正式文档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业务可用性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产物可直接或少量修改后用于业务办理、审核、沟通、汇报或整改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异常与返工处理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任务失败、信息缺失或用户调整要求时，能说明原因并继续处理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Calibri" w:hAnsi="Calibri" w:eastAsia="微软雅黑"/>
          <w:b w:val="0"/>
          <w:color w:val="111827"/>
          <w:sz w:val="21"/>
        </w:rPr>
        <w:t>高分特征：形成可复核产物，业务人员修改量少，并能继续推进下一步。</w:t>
      </w:r>
    </w:p>
    <w:p>
      <w:pPr>
        <w:spacing w:before="40" w:after="80" w:line="264" w:lineRule="auto"/>
      </w:pPr>
      <w:r>
        <w:rPr>
          <w:rFonts w:ascii="Calibri" w:hAnsi="Calibri" w:eastAsia="微软雅黑"/>
          <w:b w:val="0"/>
          <w:color w:val="111827"/>
          <w:sz w:val="21"/>
        </w:rPr>
        <w:t>低分特征：回答流畅但不可直接使用，缺少过程记录或无法处理返工。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微软雅黑"/>
          <w:b w:val="0"/>
        </w:rPr>
        <w:t>6.3 可信性、溯源与幻觉控制（15 分）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二级指标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分值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评价口径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引用与依据标注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引用制度、规程、历史材料时说明来源、条款位置或材料出处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事实一致性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输出与甲方提供材料一致，不混用口径、不张冠李戴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不确定性表达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对缺失信息、过期标准、无法确认事项标注待核验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幻觉控制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不编造政策、流程、设备状态、数据、审批结论或内部规则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敏感信息处理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不在输出中暴露不应公开的内部信息或敏感字段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Calibri" w:hAnsi="Calibri" w:eastAsia="微软雅黑"/>
          <w:b w:val="0"/>
          <w:color w:val="111827"/>
          <w:sz w:val="21"/>
        </w:rPr>
        <w:t>高分特征：关键结论有依据，缺口表达清楚，高风险内容保留人工确认。</w:t>
      </w:r>
    </w:p>
    <w:p>
      <w:pPr>
        <w:spacing w:before="40" w:after="80" w:line="264" w:lineRule="auto"/>
      </w:pPr>
      <w:r>
        <w:rPr>
          <w:rFonts w:ascii="Calibri" w:hAnsi="Calibri" w:eastAsia="微软雅黑"/>
          <w:b w:val="0"/>
          <w:color w:val="111827"/>
          <w:sz w:val="21"/>
        </w:rPr>
        <w:t>低分特征：编造条款、夸大确定性，或把推测写成事实。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微软雅黑"/>
          <w:b w:val="0"/>
        </w:rPr>
        <w:t>6.4 知识与工具接入能力（10 分）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二级指标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分值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评价口径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文件与资料接入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支持制度文件、表单模板、历史案例、附件材料等资料导入和理解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场景模板复用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能沉淀可复用的任务模板、提示规则、流程步骤或检查清单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工具与系统扩展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具备与本地工具、业务系统、知识库或流程系统对接的扩展能力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权限与边界控制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工具调用、资料访问和结果输出具备权限控制和人工确认机制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本项采用能力结果口径，不限定具体实现方式。参评产品可通过知识库、模板、工具编排、系统接口或其他方式实现。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微软雅黑"/>
          <w:b w:val="0"/>
        </w:rPr>
        <w:t>6.5 易用性与业务人员采纳度（10 分）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二级指标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分值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评价口径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上手难度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非技术人员能在简短引导后独立完成任务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交互清晰度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产品能清楚说明需要用户补充什么、已完成什么、下一步是什么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语言与文风适配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输出符合甲方业务语境、公文表达和部门沟通习惯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修改成本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业务人员二次修改量明显减少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采纳反馈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试用人员愿意在真实工作中继续使用相关能力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建议记录试用人员主观评分、人工修改次数、修改耗时、最终采纳情况和典型反馈。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微软雅黑"/>
          <w:b w:val="0"/>
        </w:rPr>
        <w:t>6.6 部署适配、安全合规与运维（10 分）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二级指标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分值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评价口径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终端环境适配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符合甲方办公终端、浏览器、操作系统或国产化环境要求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数据安全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能说明数据存储、传输、调用外部模型和敏感资料处理方式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权限与审计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具备用户权限、操作记录、日志留存和必要审计能力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故障诊断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出现异常时便于定位问题、导出诊断信息和恢复使用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运维可持续性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具备安装、升级、配置、备份、停用和支持服务方案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该项应根据甲方信息安全、终端管理和运维制度执行，不限定云端、本地或混合部署形态，但最终方案必须满足甲方数据安全与终端运行要求。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微软雅黑"/>
          <w:b w:val="0"/>
        </w:rPr>
        <w:t>6.7 性能、稳定性与成本（5 分）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二级指标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分值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评价口径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响应效率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1.5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常规任务响应时间可接受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长任务稳定性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1.5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多步骤、长文本、附件类任务能稳定完成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失败恢复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网络、模型、文件或系统异常后能提示原因并继续处理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使用成本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模型、算力、部署、运维和培训成本合理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七、评价实施流程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主要动作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输出物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准备阶段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确定参评产品、试用人员、试用周期和脱敏材料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试用方案、任务包、评分表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试用阶段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业务人员按统一任务使用产品，并保留过程证据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原始输入、产品输出、引用依据、耗时记录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评分阶段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按指标体系分别由业务、信息化/安全、运维人员评分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分项评分表、问题清单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复核阶段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对关键扣分项、重大风险项和得分接近项进行复核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复核意见、风险说明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结论阶段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形成产品适用场景、落地条件和后续建议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试用评价报告、选型建议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建议试用周期为 7 至 14 天。厂商可提供必要安装、配置和使用引导，但不应代替甲方完成评分任务。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八、试用任务包设计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每个参评产品至少完成 5 类任务。甲方可根据实际业务选择任务，但各产品应使用同一任务说明和同一批脱敏材料。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任务类型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目标产物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重点观察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制度问答与溯源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带依据的问答结果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是否引用准确、边界清楚、不编造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流程表单审核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审核意见、缺项清单、风险提示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是否识别字段、角色、流程和安全风险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操作步骤校核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步骤校核意见、危险点提示、确认清单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是否理解顺序、前置条件和人工确认边界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计划编制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工作计划、人员分工、材料清单、风险措施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是否能形成可执行计划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缺陷或问题闭环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分级建议、处置流程、整改清单、复盘材料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是否能从描述推进到闭环处置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综合材料输出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汇报、纪要、报告初稿或整改说明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是否符合甲方语言习惯和正式材料要求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九、证据采集与计分方法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微软雅黑"/>
          <w:b w:val="0"/>
        </w:rPr>
        <w:t>9.1 证据采集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每项任务至少留存以下证据：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 w:val="0"/>
        </w:rPr>
        <w:t>原始输入材料和任务说明。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 w:val="0"/>
        </w:rPr>
        <w:t>产品原始输出。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 w:val="0"/>
        </w:rPr>
        <w:t>产品引用的依据或来源。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 w:val="0"/>
        </w:rPr>
        <w:t>任务耗时。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 w:val="0"/>
        </w:rPr>
        <w:t>业务人员人工修改点。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 w:val="0"/>
        </w:rPr>
        <w:t>最终是否采纳。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 w:val="0"/>
        </w:rPr>
        <w:t>试用人员评分和简要评价。</w:t>
      </w:r>
    </w:p>
    <w:p>
      <w:pPr>
        <w:pStyle w:val="Heading2"/>
        <w:spacing w:before="0" w:after="120" w:line="264" w:lineRule="auto"/>
      </w:pPr>
      <w:r>
        <w:rPr>
          <w:rFonts w:ascii="Calibri" w:hAnsi="Calibri" w:eastAsia="微软雅黑"/>
          <w:b w:val="0"/>
        </w:rPr>
        <w:t>9.2 评分主体建议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评分主体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建议权重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重点职责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业务部门评分人员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70%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评价任务完成质量、业务可用性、修改成本和采纳意愿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信息化/安全评分人员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20%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评价系统接入、部署适配、数据安全、权限和审计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运维管理评分人员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10%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评价安装配置、稳定性、故障诊断、升级维护和支持能力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0" w:after="120" w:line="264" w:lineRule="auto"/>
      </w:pPr>
      <w:r>
        <w:rPr>
          <w:rFonts w:ascii="Calibri" w:hAnsi="Calibri" w:eastAsia="微软雅黑"/>
          <w:b w:val="0"/>
        </w:rPr>
        <w:t>9.3 评分等级建议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等级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分数区间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建议解释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A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90-100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可优先进入试点扩大或采购论证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B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80-89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具备落地价值，需补齐部分场景、合规或运维条件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C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70-79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可在有限场景继续观察，不宜直接大范围推广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D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60-69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能力或落地条件不足，需完成明显改进后再评估</w:t>
            </w:r>
          </w:p>
        </w:tc>
      </w:tr>
      <w:tr>
        <w:tc>
          <w:tcPr>
            <w:tcW w:type="dxa" w:w="22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E</w:t>
            </w:r>
          </w:p>
        </w:tc>
        <w:tc>
          <w:tcPr>
            <w:tcW w:type="dxa" w:w="21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60 以下</w:t>
            </w:r>
          </w:p>
        </w:tc>
        <w:tc>
          <w:tcPr>
            <w:tcW w:type="dxa" w:w="50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暂不建议进入正式试点或选型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十、结果应用建议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最终结论不宜只给总分排名，应同时给出：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 w:val="0"/>
        </w:rPr>
        <w:t>各一级指标得分和主要扣分项。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 w:val="0"/>
        </w:rPr>
        <w:t>产品适合优先落地的业务场景。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 w:val="0"/>
        </w:rPr>
        <w:t>不适合或需谨慎使用的业务边界。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 w:val="0"/>
        </w:rPr>
        <w:t>数据安全、部署运维和系统接入前置条件。</w:t>
      </w:r>
    </w:p>
    <w:p>
      <w:pPr>
        <w:pStyle w:val="ListNumber"/>
        <w:spacing w:before="0" w:after="120" w:line="264" w:lineRule="auto"/>
      </w:pPr>
      <w:r>
        <w:rPr>
          <w:rFonts w:ascii="Calibri" w:hAnsi="Calibri" w:eastAsia="微软雅黑"/>
          <w:b w:val="0"/>
        </w:rPr>
        <w:t>后续试点、扩围、采购或淘汰建议。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对于得分接近的产品，建议优先比较真实任务采纳率、人工修改成本、可信性问题数量和安全合规风险，而不是单纯比较回答速度或界面观感。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十一、中立措辞要求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为保证评价体系公开、公平、可解释，建议避免使用指向特定厂商或特定实现方式的表述。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479"/>
        <w:gridCol w:w="4479"/>
      </w:tblGrid>
      <w:tr>
        <w:trPr>
          <w:tblHeader w:val="true"/>
        </w:trPr>
        <w:tc>
          <w:tcPr>
            <w:tcW w:type="dxa" w:w="2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不建议表述</w:t>
            </w:r>
          </w:p>
        </w:tc>
        <w:tc>
          <w:tcPr>
            <w:tcW w:type="dxa" w:w="68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建议表述</w:t>
            </w:r>
          </w:p>
        </w:tc>
      </w:tr>
      <w:tr>
        <w:tc>
          <w:tcPr>
            <w:tcW w:type="dxa" w:w="2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必须具备专家团</w:t>
            </w:r>
          </w:p>
        </w:tc>
        <w:tc>
          <w:tcPr>
            <w:tcW w:type="dxa" w:w="68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具备多步骤任务协同和过程可追踪能力</w:t>
            </w:r>
          </w:p>
        </w:tc>
      </w:tr>
      <w:tr>
        <w:tc>
          <w:tcPr>
            <w:tcW w:type="dxa" w:w="2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必须支持某某 Skill</w:t>
            </w:r>
          </w:p>
        </w:tc>
        <w:tc>
          <w:tcPr>
            <w:tcW w:type="dxa" w:w="68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具备可复用场景模板或任务能力沉淀机制</w:t>
            </w:r>
          </w:p>
        </w:tc>
      </w:tr>
      <w:tr>
        <w:tc>
          <w:tcPr>
            <w:tcW w:type="dxa" w:w="2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必须支持某某 MCP</w:t>
            </w:r>
          </w:p>
        </w:tc>
        <w:tc>
          <w:tcPr>
            <w:tcW w:type="dxa" w:w="68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具备可扩展工具或业务系统接入能力</w:t>
            </w:r>
          </w:p>
        </w:tc>
      </w:tr>
      <w:tr>
        <w:tc>
          <w:tcPr>
            <w:tcW w:type="dxa" w:w="2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必须本地桌面安装</w:t>
            </w:r>
          </w:p>
        </w:tc>
        <w:tc>
          <w:tcPr>
            <w:tcW w:type="dxa" w:w="68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符合甲方终端环境与数据安全要求的部署方式</w:t>
            </w:r>
          </w:p>
        </w:tc>
      </w:tr>
      <w:tr>
        <w:tc>
          <w:tcPr>
            <w:tcW w:type="dxa" w:w="25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9"/>
              </w:rPr>
              <w:t>必须支持工作票、操作票</w:t>
            </w:r>
          </w:p>
        </w:tc>
        <w:tc>
          <w:tcPr>
            <w:tcW w:type="dxa" w:w="686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9"/>
              </w:rPr>
              <w:t>能适配甲方典型流程表单和作业类业务场景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十二、附件：试用记录表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>
        <w:trPr>
          <w:tblHeader w:val="true"/>
        </w:trPr>
        <w:tc>
          <w:tcPr>
            <w:tcW w:type="dxa" w:w="95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产品名称</w:t>
            </w:r>
          </w:p>
        </w:tc>
        <w:tc>
          <w:tcPr>
            <w:tcW w:type="dxa" w:w="78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任务编号</w:t>
            </w:r>
          </w:p>
        </w:tc>
        <w:tc>
          <w:tcPr>
            <w:tcW w:type="dxa" w:w="105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任务类型</w:t>
            </w:r>
          </w:p>
        </w:tc>
        <w:tc>
          <w:tcPr>
            <w:tcW w:type="dxa" w:w="8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原始耗时</w:t>
            </w:r>
          </w:p>
        </w:tc>
        <w:tc>
          <w:tcPr>
            <w:tcW w:type="dxa" w:w="9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人工修改次数</w:t>
            </w:r>
          </w:p>
        </w:tc>
        <w:tc>
          <w:tcPr>
            <w:tcW w:type="dxa" w:w="75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是否采纳</w:t>
            </w:r>
          </w:p>
        </w:tc>
        <w:tc>
          <w:tcPr>
            <w:tcW w:type="dxa" w:w="8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业务评分</w:t>
            </w:r>
          </w:p>
        </w:tc>
        <w:tc>
          <w:tcPr>
            <w:tcW w:type="dxa" w:w="10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信息化/安全评分</w:t>
            </w:r>
          </w:p>
        </w:tc>
        <w:tc>
          <w:tcPr>
            <w:tcW w:type="dxa" w:w="8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运维评分</w:t>
            </w:r>
          </w:p>
        </w:tc>
        <w:tc>
          <w:tcPr>
            <w:tcW w:type="dxa" w:w="153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主要问题</w:t>
            </w:r>
          </w:p>
        </w:tc>
      </w:tr>
      <w:tr>
        <w:tc>
          <w:tcPr>
            <w:tcW w:type="dxa" w:w="95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78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05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8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9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75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8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0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80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530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  <w:insideH w:val="single" w:sz="4" w:space="0" w:color="C9D3DF"/>
              <w:insideV w:val="single" w:sz="4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微软雅黑"/>
          <w:b w:val="0"/>
        </w:rPr>
        <w:t>十三、状态边界</w:t>
      </w:r>
    </w:p>
    <w:p>
      <w:pPr>
        <w:spacing w:before="0" w:after="140" w:line="264" w:lineRule="auto"/>
      </w:pPr>
      <w:r>
        <w:rPr>
          <w:rFonts w:ascii="Calibri" w:hAnsi="Calibri" w:eastAsia="微软雅黑"/>
          <w:b w:val="0"/>
        </w:rPr>
        <w:t>本文件为评价体系建议稿。涉及具体制度、流程、表单、系统接口、数据分类分级和安全要求时，应以甲方现行制度、脱敏样例材料和信息安全要求为准。</w:t>
      </w:r>
    </w:p>
    <w:p>
      <w:pPr>
        <w:spacing w:before="160" w:after="80" w:line="264" w:lineRule="auto"/>
      </w:pPr>
      <w:r>
        <w:rPr>
          <w:rFonts w:ascii="Calibri" w:hAnsi="Calibri" w:eastAsia="微软雅黑"/>
          <w:color w:val="666666"/>
          <w:sz w:val="20"/>
        </w:rPr>
        <w:t>使用说明：如需正式打分，可按本附件表复制多行记录；每个产品、每项任务至少保留一条记录。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66666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666666"/>
        <w:sz w:val="18"/>
      </w:rPr>
      <w:t>智能体类产品试用评价体系（建议稿）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Calibri" w:hAnsi="Calibr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Calibri" w:hAnsi="Calibri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智能体类产品试用评价体系（建议稿）</dc:title>
  <dc:subject>智能体类产品试用评价体系</dc:subject>
  <dc:creator>python-docx</dc:creator>
  <cp:keywords>智能体, 评价体系, 试用评估, 业务场景, 任务闭环</cp:keywords>
  <dc:description>Generated from docs/product-benchmark/智能体类产品试用评价体系-建议稿.md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