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黑体" w:hAnsi="黑体" w:eastAsia="黑体"/>
          <w:b/>
          <w:color w:val="2F5597"/>
          <w:sz w:val="44"/>
        </w:rPr>
        <w:t>太极 Agent 功能竞争力预评价报告</w:t>
      </w:r>
    </w:p>
    <w:p>
      <w:pPr>
        <w:ind w:firstLine="0"/>
        <w:jc w:val="center"/>
      </w:pPr>
      <w:r>
        <w:rPr>
          <w:rFonts w:ascii="宋体" w:hAnsi="宋体" w:eastAsia="宋体"/>
          <w:color w:val="5A5A5A"/>
          <w:sz w:val="28"/>
        </w:rPr>
        <w:t>内部预评价</w:t>
      </w:r>
    </w:p>
    <w:p>
      <w:pPr>
        <w:spacing w:after="40"/>
        <w:ind w:firstLine="0"/>
        <w:jc w:val="center"/>
      </w:pPr>
      <w:r>
        <w:rPr>
          <w:rFonts w:ascii="宋体" w:hAnsi="宋体" w:eastAsia="宋体"/>
          <w:color w:val="5A5A5A"/>
          <w:sz w:val="19"/>
        </w:rPr>
        <w:t>版本：v0.3</w:t>
      </w:r>
    </w:p>
    <w:p>
      <w:pPr>
        <w:spacing w:after="40"/>
        <w:ind w:firstLine="0"/>
        <w:jc w:val="center"/>
      </w:pPr>
      <w:r>
        <w:rPr>
          <w:rFonts w:ascii="宋体" w:hAnsi="宋体" w:eastAsia="宋体"/>
          <w:color w:val="5A5A5A"/>
          <w:sz w:val="19"/>
        </w:rPr>
        <w:t>日期：2026-06-12</w:t>
      </w:r>
    </w:p>
    <w:p>
      <w:pPr>
        <w:spacing w:after="40"/>
        <w:ind w:firstLine="0"/>
        <w:jc w:val="center"/>
      </w:pPr>
      <w:r>
        <w:rPr>
          <w:rFonts w:ascii="宋体" w:hAnsi="宋体" w:eastAsia="宋体"/>
          <w:color w:val="5A5A5A"/>
          <w:sz w:val="19"/>
        </w:rPr>
        <w:t>用途：内部预评价、演示准备和试用证据补齐</w:t>
      </w:r>
    </w:p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一、结论摘要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基于新版“国网日常办公智能化应用试用评价体系（建议稿）”的 8 项指标，当前保守预估总分为 85.1/100；完成日常办公文档样例、典型业务表单检查清单、业务能力模板、依据引用格式和真实试用证据采集后，目标分约 93.2/100。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新版评价体系对外保持相对公允，不把我方产品名称、实现方式或一单两票直接放到一级指标标题中；但二级指标和任务包已经把日常办公文档、典型业务表单、业务能力沉淀和任务闭环纳入核心评分对象。这些方向与太极 Agent 当前产品形态和备战场景匹配度较高，是我方应重点放大的竞争区间。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一级指标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权重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当前预估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目标预估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竞品追赶难度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判断依据</w:t>
            </w:r>
          </w:p>
        </w:tc>
      </w:tr>
      <w:tr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日常办公业务办理与文档产出能力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17.8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19.2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中高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已有制度问答、纪要、汇报、请示、整改清单和 Word 风格材料生成基础；需补更多甲方正式样例。</w:t>
            </w:r>
          </w:p>
        </w:tc>
      </w:tr>
      <w:tr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典型业务表单与流程适配能力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20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16.8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18.8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高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工作票、操作票、检修、缺陷等业务理解是我方主要差异点；竞品短期补模板容易，补业务判断难。</w:t>
            </w:r>
          </w:p>
        </w:tc>
      </w:tr>
      <w:tr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可复用业务能力沉淀能力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12.6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14.1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高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可把高频任务沉淀为场景模板、检查清单、输出格式和示例入口；需把文档草案固化为产品可见能力。</w:t>
            </w:r>
          </w:p>
        </w:tc>
      </w:tr>
      <w:tr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多步骤任务闭环与过程留痕能力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15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13.2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14.1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中高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阶段状态、过程记录、产物清单、返工处理和后续建议是功能型产品优势。</w:t>
            </w:r>
          </w:p>
        </w:tc>
      </w:tr>
      <w:tr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依据引用与风险边界表达能力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9.6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10.8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有材料优先、待核验和人工确认边界口径；需强化条款定位、引用复核和带坑样例测试。</w:t>
            </w:r>
          </w:p>
        </w:tc>
      </w:tr>
      <w:tr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易用性与业务人员采纳度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6.6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7.2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简化入口、中文业务话术和任务式引导有基础；最终仍要靠真实试用数据证明。</w:t>
            </w:r>
          </w:p>
        </w:tc>
      </w:tr>
      <w:tr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试用效率、稳定性与成本可控能力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4.0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4.3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多步骤任务和产物沉淀有利于一次可用率；需补统一任务耗时、失败重试和人工修改耗时数据。</w:t>
            </w:r>
          </w:p>
        </w:tc>
      </w:tr>
      <w:tr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实施适配与运行保障能力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5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4.5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4.7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</w:t>
            </w:r>
          </w:p>
        </w:tc>
        <w:tc>
          <w:tcPr>
            <w:tcW w:type="dxa" w:w="2357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本地化交付、授权、诊断和脱敏链路能支撑试用；对外不宜作为主卖点，需避免与甲方既有管控表述冲突。</w:t>
            </w:r>
          </w:p>
        </w:tc>
      </w:tr>
    </w:tbl>
    <w:p/>
    <w:p>
      <w:pPr>
        <w:spacing w:line="300" w:lineRule="auto" w:after="120"/>
        <w:ind w:firstLine="420"/>
      </w:pPr>
      <w:r>
        <w:rPr>
          <w:rFonts w:ascii="宋体" w:hAnsi="宋体" w:eastAsia="宋体"/>
          <w:color w:val="3C3C3C"/>
          <w:sz w:val="21"/>
        </w:rPr>
        <w:t>注：实施适配与运行保障能力只占 5 分，不以“桌面端、本地安装、安全管控”作为对外主优势，防止与甲方既有终端和安全管理体系产生表述冲突；内部仍需保留安装、授权、诊断和脱敏证据。</w:t>
      </w:r>
    </w:p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二、功能竞争力对照表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功能方向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我方优势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竞品短期追赶难度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试用展示证据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补强动作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日常办公文档生成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能形成纪要、汇报、请示、方案、整改清单、责任矩阵等 Word 风格材料。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中高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要求把会议记录、零散素材或问题描述整理成正式办公材料，检查标题、段落、表格和语气。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 5 类正式样例：纪要、汇报、请示、方案、整改清单，并保留修改前后对比。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制度问答与依据引用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能围绕制度材料回答，并输出依据、待核验事项和人工确认边界。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给一份管理办法，要求回答具体问题并标注依据。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补充条款号、页码、引用摘要和待核验事项的固定输出格式。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典型业务表单辅助检查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能把一单两票、检修计划、缺陷记录等材料中的字段、角色责任、风险点和修改建议组织成检查意见。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高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给一张带缺项的脱敏样例，输出缺项清单、风险提示、建议完善项。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建立字段完整性、角色责任、流程节点、风险点和人工确认边界检查清单。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操作步骤或办理流程校核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能关注顺序、前置条件、危险点和确认动作，避免直接替代人工审批。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高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给一组顺序有问题的步骤，输出校核意见和人工复核提示。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补充常见危险点、前置条件、确认环节和禁止性表述模板。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业务能力沉淀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能把制度问答、表单检查、检修计划、缺陷闭环等任务沉淀为可复用模板和示例入口。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高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复用同一类任务时，观察是否减少重复提示、是否沿用检查清单和输出格式。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将备战清单中的 5 类场景包固化为产品入口、示例任务和标准输出格式。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任务闭环工作台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能展示阶段状态、过程记录、产物清单、下一步和返工处理。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中高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执行一个多步骤任务，保留阶段记录、用户确认点和最终产物。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把业务任务证据导出成任务过程记录表和评分记录表。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试用效率与稳定性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能通过任务模板、过程留痕和产物沉淀减少返工，提高一次可用率。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统一任务下记录开始时间、首次输出时间、可采纳完成时间、修改耗时、失败重试情况。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设计 6 类统一任务计时表，形成与竞品横向比较证据。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实施适配与诊断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能支持甲方终端环境、资料处理边界、问题诊断和恢复使用。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展示安装验证、配置说明、脱敏诊断报告和异常恢复路径。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对外用“符合既有终端和运行管理要求”表达，内部保留部署、授权、诊断、脱敏材料。</w:t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三、指标逐项预评价</w:t>
      </w:r>
    </w:p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3.1 日常办公业务办理与文档产出能力（20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当前判断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目标预估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补强动作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制度问答与依据检索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基本满足，已有材料优先和依据表达口径。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2.5/3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2.8/3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补条款号、页码、引用摘要格式。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会议纪要与记录整理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基本满足，写作流和材料整理能力可支撑。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2.7/3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2.9/3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准备会议记录到纪要、待办、责任事项样例。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汇报与报告材料生成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基本满足，适合做第一演示点。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3.5/4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3.8/4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准备领导汇报、阶段总结、试用报告模板。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请示方案与说明材料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部分满足，需补更贴近甲方正式口径的样例。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2.6/3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2.9/3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补背景、依据、事项、风险、建议的固定结构。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整改清单与跟踪事项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基本满足，能形成问题、措施、责任、时限。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2.7/3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2.9/3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增加整改闭环和复盘事项模板。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表格与清单产物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基本满足，表格产物是业务采纳关键证据。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3.8/4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3.9/4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补计划表、责任矩阵、材料清单、风险清单样例。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3.2 典型业务表单与流程适配能力（20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当前判断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目标预估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补强动作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典型表单识别与理解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部分满足，业务场景包明确，但需真实样例验证。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3.2/4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3.8/4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准备一单两票、检修计划、缺陷记录脱敏样表。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字段完整性校核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部分满足，需固化字段规则。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3.2/4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3.7/4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建立字段缺失、填写不一致、附件缺漏检查清单。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角色责任识别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部分满足，需角色责任词典和输出格式。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2.4/3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2.8/3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固化发起、审核、执行、监护、管理等角色映射。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流程节点与前后置条件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部分满足，需流程节点模板。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3.2/4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3.7/4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补工作许可、操作前确认、执行监护、复核归档等节点。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风险与缺项提示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部分满足，需带坑样例和风险库。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3.7/4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3.9/4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补危险点、安全措施、审批边界和缺项样例。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人工确认边界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基本满足，已有审慎表达口径。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1.0/1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1.0/1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输出固定保留人工复核提示。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3.3 可复用业务能力沉淀能力（15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当前判断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目标预估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补强动作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高频任务模板化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部分满足，备战清单已有场景包草案。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3.2/4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3.8/4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固化制度问答、文档生成、表单检查等模板。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检查清单沉淀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部分满足，需从文档草案变成产品可见能力。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2.4/3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2.8/3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固化字段、风险、责任、待核验清单。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输出格式复用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基本满足，文档输出格式是优势。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2.7/3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2.9/3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建立纪要、报告、请示、整改、审核意见格式库。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业务规则复用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部分满足，需甲方材料验证。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2.6/3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2.8/3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用甲方制度和样表沉淀规则口径。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示例任务入口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部分满足，需产品入口和引导材料支撑。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1.7/2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1.8/2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准备试用引导页和示例任务入口。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3.4 多步骤任务闭环与过程留痕能力（15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当前判断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目标预估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补强动作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任务拆解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基本满足，能将复杂任务拆成阶段。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2.7/3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2.9/3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展示多步骤任务执行过程。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阶段状态与过程记录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基本满足，阶段状态和过程记录是产品优势。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2.7/3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2.9/3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固定输出阶段记录和用户确认点。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产物清单与版本留存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基本满足，可沉淀阶段产物和最终产物。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2.6/3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2.8/3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导出产物清单和版本记录。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返工处理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部分满足，需业务返工样例。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2.5/3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2.7/3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设计材料不足、口径变化、输出重算样例。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后续办理建议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基本满足，可输出复核、整改、归档建议。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2.7/3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2.8/3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固定“下一步办理事项”输出区。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3.5 依据引用与风险边界表达能力（12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当前判断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目标预估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补强动作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引用与依据标注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部分满足，需强化条款定位。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2.2/3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2.7/3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固定来源、条款、页码和摘要格式。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事实一致性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部分满足，需带坑样例验证。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2.4/3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2.7/3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增加口径冲突、材料缺失反向测试。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待核验表达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基本满足，已有审慎表达要求。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1.8/2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1.9/2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固定“待核验事项”输出区。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风险提示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部分满足，作业类风险需补规则。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1.6/2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1.8/2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补安全、合规、责任和材料缺失风险库。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人工确认边界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基本满足，适合对外表达。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1.6/2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1.7/2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固定“不替代审批/审核/安全确认”提示。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3.6 易用性与业务人员采纳度（8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当前判断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目标预估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补强动作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上手难度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基本满足，需减少概念解释。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1.7/2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1.8/2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用任务入口替代技术菜单说明。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交互清晰度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部分满足，需明确补材料和下一步提示。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0.8/1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0.9/1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固定缺失材料提示。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业务语言适配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基本满足，国网/央企表达有基础。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1.8/2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1.9/2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补甲方常用表述和风险提示口径。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修改成本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基本满足，需真实统计。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1.6/2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1.8/2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记录原始输出和人工修改后版本。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采纳反馈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待验证，需要统一试用后收集。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0.7/1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0.8/1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准备试用访谈和采纳率记录表。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3.7 试用效率、稳定性与成本可控能力（5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当前判断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目标预估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补强动作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任务有效完成时间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待验证，需同任务横向计时。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1.5/2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1.7/2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记录开始、首次输出、可采纳完成时间。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一次可用率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部分满足，模板化后有提升空间。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0.8/1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0.9/1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统计首次输出少量修改可用比例。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失败与重试情况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基本满足，但需真实试用数据。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0.8/1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0.9/1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记录中断、空输出、格式错乱、重开任务。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资源与使用成本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部分满足，需按试用方案估算。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0.9/1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0.8/1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给出模型、算力、部署、运维和培训成本说明。</w:t>
            </w:r>
          </w:p>
        </w:tc>
      </w:tr>
    </w:tbl>
    <w:p/>
    <w:p>
      <w:pPr>
        <w:pStyle w:val="Heading2"/>
        <w:spacing w:before="120" w:after="120"/>
        <w:ind w:firstLine="0"/>
      </w:pPr>
      <w:r>
        <w:rPr>
          <w:rFonts w:ascii="黑体" w:hAnsi="黑体" w:eastAsia="黑体"/>
          <w:b/>
          <w:color w:val="2F5597"/>
          <w:sz w:val="25"/>
        </w:rPr>
        <w:t>3.8 实施适配与运行保障能力（5 分）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二级指标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当前判断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当前预估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目标预估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补强动作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终端环境适配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满足基础较好，但对外表达需克制。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0.9/1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1.0/1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以“符合既有终端和运行管理要求”表达。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资料处理边界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基本满足，需试用材料边界说明。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0.9/1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0.9/1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准备资料导入、存储、调用和留存说明。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权限与留痕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部分满足，业务级权限需补。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0.8/1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0.9/1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补用户、资料、工具调用和输出下载审计字段。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诊断与恢复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满足基础较好。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1.0/1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1.0/1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准备脱敏诊断报告模板。</w:t>
            </w:r>
          </w:p>
        </w:tc>
      </w:tr>
      <w:tr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运维支持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基本满足，需服务方案。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0.9/1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0.9/1</w:t>
            </w:r>
          </w:p>
        </w:tc>
        <w:tc>
          <w:tcPr>
            <w:tcW w:type="dxa" w:w="2828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补升级、备份、停用和支持流程。</w:t>
            </w:r>
          </w:p>
        </w:tc>
      </w:tr>
    </w:tbl>
    <w:p/>
    <w:p>
      <w:pPr>
        <w:spacing w:line="300" w:lineRule="auto" w:after="120"/>
        <w:ind w:firstLine="420"/>
      </w:pPr>
      <w:r>
        <w:rPr>
          <w:rFonts w:ascii="宋体" w:hAnsi="宋体" w:eastAsia="宋体"/>
          <w:color w:val="3C3C3C"/>
          <w:sz w:val="21"/>
        </w:rPr>
        <w:t>注：实施适配与运行保障项内部实际能力较强，但对外不作为主卖点，维持低权重并采用克制表达。</w:t>
      </w:r>
    </w:p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四、内部优化动作清单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优先级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动作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D9EAF7"/>
          </w:tcPr>
          <w:p>
            <w:pPr>
              <w:spacing w:after="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1F4E79"/>
                <w:sz w:val="16"/>
              </w:rPr>
              <w:t>具体内容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P0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把日常办公文档生成做成第一演示点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准备纪要、汇报、请示、方案、整改清单 5 个样例，展示少改可用和人工修改耗时降低。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P0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把典型业务表单能力产品化表达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不在公开稿一级标题写一单两票，但演示中直接展示字段缺项、风险提示、角色责任、人工确认边界。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P0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固化业务能力沉淀证据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将制度问答、文档生成、典型表单辅助检查、检修计划、缺陷闭环做成可复用任务模板和检查清单。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P0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强化依据与边界输出格式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所有制度和表单类输出固定包含依据、出处、待核验和人工确认提示。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P1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准备竞品难以临时补齐的带坑样例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用字段缺失、流程节点错误、角色责任不清、材料缺漏等样例证明业务判断能力。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P1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补试用量化数据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shd w:fill="F8FBFD"/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记录任务开始时间、首次输出时间、可采纳完成时间、修改次数、修改耗时、一次通过和失败重试。</w:t>
            </w:r>
          </w:p>
        </w:tc>
      </w:tr>
      <w:tr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P1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运行保障表述降权但留证</w:t>
            </w:r>
          </w:p>
        </w:tc>
        <w:tc>
          <w:tcPr>
            <w:tcW w:type="dxa" w:w="4713"/>
            <w:vAlign w:val="center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</w:tcPr>
          <w:p>
            <w:pPr>
              <w:spacing w:after="0"/>
              <w:ind w:firstLine="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对外只写符合既有终端和运行管理要求，内部保留安装、授权、诊断、脱敏材料。</w:t>
            </w:r>
          </w:p>
        </w:tc>
      </w:tr>
    </w:tbl>
    <w:p/>
    <w:p>
      <w:pPr>
        <w:pStyle w:val="Heading1"/>
        <w:spacing w:before="160" w:after="120"/>
        <w:ind w:firstLine="0"/>
      </w:pPr>
      <w:r>
        <w:rPr>
          <w:rFonts w:ascii="黑体" w:hAnsi="黑体" w:eastAsia="黑体"/>
          <w:b/>
          <w:color w:val="2F5597"/>
          <w:sz w:val="30"/>
        </w:rPr>
        <w:t>五、证据边界</w:t>
      </w:r>
    </w:p>
    <w:p>
      <w:pPr>
        <w:spacing w:line="300" w:lineRule="auto" w:after="120"/>
        <w:ind w:firstLine="420"/>
      </w:pPr>
      <w:r>
        <w:rPr>
          <w:rFonts w:ascii="宋体" w:hAnsi="宋体" w:eastAsia="宋体"/>
          <w:sz w:val="21"/>
        </w:rPr>
        <w:t>当前分数属于内部预估，正式结论必须以统一材料试用、业务人员评分和留存证据为准。内部版可以使用“我方优势”和“竞品追赶难度”表达；对外评价体系仍应保持能力导向和公平口径，不能把我方实现方式直接写成评价门槛。</w:t>
      </w:r>
    </w:p>
    <w:sectPr w:rsidR="00FC693F" w:rsidRPr="0006063C" w:rsidSect="00034616">
      <w:footerReference w:type="default" r:id="rId9"/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 w:eastAsia="宋体"/>
        <w:color w:val="969696"/>
        <w:sz w:val="16"/>
      </w:rPr>
      <w:t>太极 Agent 功能竞争力预评价报告 | 内部预评价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  <w:ind w:firstLine="42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2F559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2F559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