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Arial" w:hAnsi="Arial" w:eastAsia="Microsoft YaHei"/>
          <w:b/>
          <w:color w:val="1F4D78"/>
          <w:sz w:val="44"/>
        </w:rPr>
        <w:t>智能体类产品试用评价体系</w:t>
      </w:r>
    </w:p>
    <w:p>
      <w:pPr>
        <w:spacing w:before="0" w:after="160" w:line="252" w:lineRule="auto"/>
        <w:jc w:val="center"/>
      </w:pPr>
      <w:r>
        <w:rPr>
          <w:rFonts w:ascii="Arial" w:hAnsi="Arial" w:eastAsia="Microsoft YaHei"/>
          <w:b/>
          <w:color w:val="2E74B5"/>
          <w:sz w:val="34"/>
        </w:rPr>
        <w:t>太极 Agent 功能响应对照与预评价报告</w:t>
      </w:r>
    </w:p>
    <w:p>
      <w:pPr>
        <w:spacing w:before="0" w:after="200" w:line="264" w:lineRule="auto"/>
        <w:jc w:val="center"/>
      </w:pPr>
      <w:r>
        <w:rPr>
          <w:rFonts w:ascii="Arial" w:hAnsi="Arial" w:eastAsia="Microsoft YaHei"/>
          <w:color w:val="5F6B7A"/>
          <w:sz w:val="19"/>
        </w:rPr>
        <w:t>基于《智能体类产品试用评价体系（建议稿）》 | 版本 v0.1 | 日期：2026-06-12 | 用途：内部预评价与试用备战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预评价结论摘要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本报告不是替代甲方评分的正式结果，而是在原中立评价体系基础上，对我方产品当前功能、满足情况、预计得分和补强动作进行内部预判。评分口径采用“当前保守预估分 + 试用准备完成后目标分”双列方式，避免只写销售式满分预估。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当前保守预估总分：80.2/100，属于 B 档下沿；完成场景包、引用校验、目标机复验和试用证据采集后，目标分约 89.5/100，进入 B 档上沿并接近 A 档。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对我们最有利的发力点是：把“岗位流程理解、任务闭环、可复核产物、国产终端交付、安全合规和业务人员采纳”做成评价证据，而不是只比较单轮问答、模型参数或界面观感。</w:t>
      </w:r>
    </w:p>
    <w:tbl>
      <w:tblGrid>
        <w:gridCol w:w="2350"/>
        <w:gridCol w:w="760"/>
        <w:gridCol w:w="950"/>
        <w:gridCol w:w="950"/>
        <w:gridCol w:w="1150"/>
        <w:gridCol w:w="809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一级指标</w:t>
            </w:r>
          </w:p>
        </w:tc>
        <w:tc>
          <w:tcPr>
            <w:tcW w:type="dxa" w:w="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权重</w:t>
            </w:r>
          </w:p>
        </w:tc>
        <w:tc>
          <w:tcPr>
            <w:tcW w:type="dxa" w:w="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当前预估</w:t>
            </w:r>
          </w:p>
        </w:tc>
        <w:tc>
          <w:tcPr>
            <w:tcW w:type="dxa" w:w="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目标预估</w:t>
            </w:r>
          </w:p>
        </w:tc>
        <w:tc>
          <w:tcPr>
            <w:tcW w:type="dxa" w:w="11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满足情况</w:t>
            </w:r>
          </w:p>
        </w:tc>
        <w:tc>
          <w:tcPr>
            <w:tcW w:type="dxa" w:w="809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判断依据/主要短板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业务场景理解与适配能力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19.0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22.5</w:t>
            </w:r>
          </w:p>
        </w:tc>
        <w:tc>
          <w:tcPr>
            <w:tcW w:type="dxa" w:w="11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部分满足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业务场景包和岗位流程理解有基础；需把工作票、操作票、检修等规则进一步固化为可复用模板。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任务闭环与产物质量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21.5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23.0</w:t>
            </w:r>
          </w:p>
        </w:tc>
        <w:tc>
          <w:tcPr>
            <w:tcW w:type="dxa" w:w="11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基本满足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多步骤工作流、阶段状态、产物沉淀较强；需补齐作业票据类标准产物样例。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可信性、溯源与幻觉控制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11.5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13.0</w:t>
            </w:r>
          </w:p>
        </w:tc>
        <w:tc>
          <w:tcPr>
            <w:tcW w:type="dxa" w:w="11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部分满足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有依据标注、边界表达和脱敏基础；需增强制度条款定位和引用校验。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知识与工具接入能力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7.8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8.8</w:t>
            </w:r>
          </w:p>
        </w:tc>
        <w:tc>
          <w:tcPr>
            <w:tcW w:type="dxa" w:w="11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部分满足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附件解析、场景能力包和本地工具接入基础较好；业务系统直连仍待按甲方环境补齐。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易用性与业务人员采纳度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8.0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8.8</w:t>
            </w:r>
          </w:p>
        </w:tc>
        <w:tc>
          <w:tcPr>
            <w:tcW w:type="dxa" w:w="11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基本满足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桌面化交付、简化菜单和中文业务表达有优势；仍需真实试用数据证明采纳率。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部署适配、安全合规与运维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8.7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9.2</w:t>
            </w:r>
          </w:p>
        </w:tc>
        <w:tc>
          <w:tcPr>
            <w:tcW w:type="dxa" w:w="11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基本满足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国产终端、诊断、授权、隐私扫描和脱敏链路证据较完整；目标机需试用前复验。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性能、稳定性与成本</w:t>
            </w:r>
          </w:p>
        </w:tc>
        <w:tc>
          <w:tcPr>
            <w:tcW w:type="dxa" w:w="7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3.7</w:t>
            </w:r>
          </w:p>
        </w:tc>
        <w:tc>
          <w:tcPr>
            <w:tcW w:type="dxa" w:w="9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4.2</w:t>
            </w:r>
          </w:p>
        </w:tc>
        <w:tc>
          <w:tcPr>
            <w:tcW w:type="dxa" w:w="11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部分满足</w:t>
            </w:r>
          </w:p>
        </w:tc>
        <w:tc>
          <w:tcPr>
            <w:tcW w:type="dxa" w:w="8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有健康检查、超时和恢复设计；缺少真实并发、长任务和成本数据。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证据边界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已实时查看：当前仓库中的评价体系文档、产品打包说明、实现报告、默认配置、工作流说明、测试用例和脚本线索。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未实时验证：本轮未启动当前桌面页面、未在甲方目标终端重新安装验证、未用真实模型跑完工作票/操作票/检修样例。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评分含义：当前预估分只代表“基于已有文档和代码证据的内部判断”；目标分代表“完成本报告优化动作并在试用中留证后的合理争取目标”。</w:t>
      </w: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能力证据来源索引</w:t>
      </w:r>
    </w:p>
    <w:tbl>
      <w:tblGrid>
        <w:gridCol w:w="780"/>
        <w:gridCol w:w="3100"/>
        <w:gridCol w:w="1037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78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3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证据来源</w:t>
            </w:r>
          </w:p>
        </w:tc>
        <w:tc>
          <w:tcPr>
            <w:tcW w:type="dxa" w:w="1037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可支撑能力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E1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桌面版与国产终端打包说明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Electron 桌面壳、本地服务、Kylin/UOS 适配、安装验证、用户目录和数据边界。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E2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麒麟 x86_64 桌面 DEB 实现报告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构建门禁、运行库校验、旧版本清理、诊断入口、附件链路和路径脱敏。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E3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默认非密产品配置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默认模型、图片模型、菜单显隐、设置页和底部控制条策略。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E4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多步骤工作流与专家协同能力说明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阶段状态、任务成员、产物、文件变更、重做和恢复机制。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E5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附件解析与上传相关测试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文档/表格/演示/文本附件上下文、图片多模态路径、前端不暴露本机绝对路径。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E6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产品隐私、安全与授权门禁测试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密钥/私钥/授权文件不进包、产品化命名、脱敏诊断、许可证控制。</w:t>
            </w:r>
          </w:p>
        </w:tc>
      </w:tr>
      <w:tr>
        <w:tc>
          <w:tcPr>
            <w:tcW w:type="dxa" w:w="7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E7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我方内部备战清单</w:t>
            </w:r>
          </w:p>
        </w:tc>
        <w:tc>
          <w:tcPr>
            <w:tcW w:type="dxa" w:w="10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制度问答、流程表单审核、操作步骤校核、检修计划、缺陷闭环和综合材料输出场景包草案。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一、编制说明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评价体系用于指导甲方在试用智能体类产品时，形成统一、可复核、可比较的评价口径。评价重点不放在单轮问答效果、模型参数或厂商演示效果上，而是放在产品能否进入真实岗位流程，把制度、表单、历史经验、业务工具和审批边界转化为可采纳、可追踪、可持续复用的业务成果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体系保持技术路线中立，不限定具体厂商、模型、插件、工作流框架或部署形态。参评产品可以采用知识库、工具调用、业务系统接口、场景模板、多智能体协作、本地部署、云端部署或混合部署等不同方式实现，但最终评价以试用结果、业务采纳和安全合规为准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本预评价报告在原建议稿基础上增加我方产品功能响应、满足情况、预计得分和优化动作。该部分用于内部备战和试用准备，不建议直接放入甲方公开评分标准。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二、评价目标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评价真实业务价值：判断产品是否能在甲方实际岗位任务中减少人工检索、整理、审核、编写和复核成本。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评价流程适配能力：判断产品是否理解甲方典型业务流程、角色责任、表单字段、风险点和合规边界。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评价可信与可控程度：判断产品是否能说明依据、标注不确定性、控制幻觉，并保留人工确认边界。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评价落地可持续性：判断产品是否具备资料接入、场景复用、终端适配、安全合规、诊断运维和持续推广条件。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三、评价对象与边界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评价对象为参与甲方试用的智能体类产品，包括企业知识问答、岗位流程辅助、文档生成、表单审核、任务编排、工具调用、业务系统辅助和多步骤工作台类产品。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本体系不评价厂商宣传材料中的未试用能力，不以厂商自述功能作为直接得分依据。所有核心得分应来自统一试用任务、统一材料、业务人员真实操作和留存证据。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涉及工作票、操作票、检修计划、缺陷处理、制度问答等具体场景时，应由甲方提供脱敏样例材料，并以甲方现行制度、流程文件和信息安全要求为准。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四、评价原则</w:t>
      </w:r>
    </w:p>
    <w:tbl>
      <w:tblGrid>
        <w:gridCol w:w="1900"/>
        <w:gridCol w:w="5600"/>
        <w:gridCol w:w="67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原则</w:t>
            </w:r>
          </w:p>
        </w:tc>
        <w:tc>
          <w:tcPr>
            <w:tcW w:type="dxa" w:w="5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67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执行要求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真实场景优先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以业务人员高频岗位任务作为主要评价对象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避免只做开放式闲聊、通用问答或厂商演示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统一材料试用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所有产品使用同一批脱敏材料和任务说明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统一输入、统一周期、统一评分表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结果证据留存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评价结论必须可追溯到试用证据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保留输入、输出、依据、修改点、耗时和采纳情况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业务技术并重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技术能力服务于业务闭环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不单独用模型参数替代业务成果评价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安全合规前置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试用过程不得突破甲方数据和权限边界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涉敏材料必须脱敏，外部调用必须说明边界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人工责任保留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智能体输出不能替代审批、审核和安全责任</w:t>
            </w:r>
          </w:p>
        </w:tc>
        <w:tc>
          <w:tcPr>
            <w:tcW w:type="dxa" w:w="6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高风险结论必须保留人工确认提示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五、评价指标体系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满分 100 分。建议将业务实际效果相关指标设置为 65 分，技术与交付支撑指标设置为 35 分。</w:t>
      </w:r>
    </w:p>
    <w:tbl>
      <w:tblGrid>
        <w:gridCol w:w="2500"/>
        <w:gridCol w:w="750"/>
        <w:gridCol w:w="6500"/>
        <w:gridCol w:w="450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一级指标</w:t>
            </w:r>
          </w:p>
        </w:tc>
        <w:tc>
          <w:tcPr>
            <w:tcW w:type="dxa" w:w="7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权重</w:t>
            </w:r>
          </w:p>
        </w:tc>
        <w:tc>
          <w:tcPr>
            <w:tcW w:type="dxa" w:w="6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二级评价重点</w:t>
            </w:r>
          </w:p>
        </w:tc>
        <w:tc>
          <w:tcPr>
            <w:tcW w:type="dxa" w:w="450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主要证据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业务场景理解与适配能力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意图识别、流程节点、角色责任、表单材料、风险合规、澄清能力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试用任务输入输出、业务人员评价、缺项识别记录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任务闭环与产物质量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任务拆解、过程追踪、输出完整性、可编辑性、业务可用性、返工处理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阶段记录、最终产物、人工修改点、采纳情况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可信性、溯源与幻觉控制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依据标注、事实一致性、不确定性表达、幻觉控制、敏感信息处理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引用来源、待核验标注、错误记录、风险提示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知识与工具接入能力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文件资料接入、场景模板复用、工具系统扩展、权限边界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导入材料、模板样例、工具调用记录、权限说明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易用性与业务人员采纳度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上手难度、交互清晰度、语言适配、修改成本、采纳意愿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试用人员评分、修改次数、节省时间、反馈记录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部署适配、安全合规与运维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终端环境、数据安全、权限审计、故障诊断、运维持续性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部署说明、安全说明、日志审计、诊断材料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性能、稳定性与成本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响应效率、长任务稳定性、失败恢复、使用成本</w:t>
            </w:r>
          </w:p>
        </w:tc>
        <w:tc>
          <w:tcPr>
            <w:tcW w:type="dxa" w:w="450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任务耗时、异常记录、恢复情况、成本估算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五点一、我方预评价得分汇总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本节为内部响应对照，不建议放入甲方公开评价标准。对外仍应使用前述中立指标体系，由甲方按统一材料和真实试用证据评分。</w:t>
      </w:r>
    </w:p>
    <w:tbl>
      <w:tblGrid>
        <w:gridCol w:w="3300"/>
        <w:gridCol w:w="1500"/>
        <w:gridCol w:w="1700"/>
        <w:gridCol w:w="77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一级指标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当前预估得分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优化后目标得分</w:t>
            </w:r>
          </w:p>
        </w:tc>
        <w:tc>
          <w:tcPr>
            <w:tcW w:type="dxa" w:w="77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当前判断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业务场景理解与适配能力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19.0/25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22.5/25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业务场景包和岗位流程理解有基础；需把工作票、操作票、检修等规则进一步固化为可复用模板。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任务闭环与产物质量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21.5/25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23.0/25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多步骤工作流、阶段状态、产物沉淀较强；需补齐作业票据类标准产物样例。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可信性、溯源与幻觉控制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11.5/15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13.0/15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有依据标注、边界表达和脱敏基础；需增强制度条款定位和引用校验。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知识与工具接入能力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7.8/10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8.8/10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附件解析、场景能力包和本地工具接入基础较好；业务系统直连仍待按甲方环境补齐。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易用性与业务人员采纳度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8.0/10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8.8/10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桌面化交付、简化菜单和中文业务表达有优势；仍需真实试用数据证明采纳率。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部署适配、安全合规与运维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8.7/10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9.2/10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国产终端、诊断、授权、隐私扫描和脱敏链路证据较完整；目标机需试用前复验。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性能、稳定性与成本</w:t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3.7/5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4.2/5</w:t>
            </w:r>
          </w:p>
        </w:tc>
        <w:tc>
          <w:tcPr>
            <w:tcW w:type="dxa" w:w="77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有健康检查、超时和恢复设计；缺少真实并发、长任务和成本数据。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六、指标定义、评分口径与我方产品预评价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以下每个一级指标均先保留原评价口径，再增加“我方产品预评价对照表”。表中“是否满足”采用满足、基本满足、部分满足、待验证、待补齐五类表达；预计得分为内部预估，不作为甲方最终评分。</w:t>
      </w: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6.1 业务场景理解与适配能力（25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业务意图识别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能准确识别用户要完成的业务目标，而不是只按字面回答问题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流程节点理解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能理解任务所处阶段、前后置条件、流转节点和审批边界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角色责任识别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能区分发起人、审核人、执行人、监护人、管理人员等不同职责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表单与材料理解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能正确理解样例表单、制度条款、历史案例和附件材料之间的关系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风险与合规意识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能识别安全风险、合规风险、缺项漏项和不确定内容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澄清与边界控制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信息不足时主动澄清或标注边界，避免直接编造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5F6B7A"/>
          <w:sz w:val="19"/>
        </w:rPr>
        <w:t>高分特征：能把业务材料转化为流程化判断，准确识别角色、字段、风险和依据。低分特征：只做文本概括或通用建议，不能识别流程责任和安全合规边界。</w:t>
      </w: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业务意图识别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产品定位和备战材料已围绕岗位流程、制度问答、流程表单审核、检修计划、缺陷闭环组织，能把用户诉求转成业务任务。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通过场景任务包、提示规则和可复用能力包承接业务意图；当前需避免只走通用问答。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4.0/5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4.6/5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把工作票、操作票、检修、缺陷四类任务做成固定入口和示例任务，首轮对话先识别业务目标和材料类型。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流程节点理解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已有多步骤任务阶段、状态和下一步提示能力，可表达任务推进过程。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写作流/专家协同类能力能保留阶段状态；电力作业流程的前后置条件、审批边界还需模板化。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3.5/5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4.2/5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沉淀工作许可、操作前确认、执行监护、复核归档等流程节点检查清单。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角色责任识别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可以通过场景模板区分发起、审核、执行、监护、管理等角色，但目前缺少内置业务角色规则证据。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在试用任务中可通过提示和样例要求输出责任矩阵。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3.0/4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3.7/4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补充角色责任词典和票据字段映射，输出时固定展示责任归属与人工确认项。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表单与材料理解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已支持多类附件材料解析，能把制度、表单、历史材料作为上下文输入。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文档、表格、演示、文本等附件可进入受控文本上下文；样例票据字段规则需按甲方材料补齐。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3.2/4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3.6/4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准备工作票、操作票、检修计划、缺陷单的脱敏样表和字段完整性校核模板。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风险与合规意识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安全合规、人工确认和不确定性边界是现有评价体系和备战清单中的核心口径。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能在输出中提示风险、缺项和待核验；对作业安全危险点仍需业务规则库支撑。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4.0/5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4.6/5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为每类作业场景补充危险点、安全措施、审批边界和禁止性表述清单。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澄清与边界控制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已有“不确定需核验”的表达要求，但还没有看到面向每类业务的固定澄清表单。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通过交互提示要求用户补充材料、时间窗口、人员角色和设备信息。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1.3/2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1.8/2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把缺失材料、制度未覆盖、设备状态未知等情况做成强制澄清项。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6.2 任务闭环与产物质量（25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多步骤任务拆解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能把复杂任务拆成可执行步骤，并说明当前进度和下一步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过程可追踪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能保留关键过程、判断依据、阶段状态和用户确认点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输出完整性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产物覆盖任务要求，不遗漏关键字段、风险、责任或结论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输出可编辑性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产物格式清晰，便于复制、修改、归档或转成正式文档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业务可用性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产物可直接或少量修改后用于业务办理、审核、沟通、汇报或整改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异常与返工处理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任务失败、信息缺失或用户调整要求时，能说明原因并继续处理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5F6B7A"/>
          <w:sz w:val="19"/>
        </w:rPr>
        <w:t>高分特征：形成可复核产物，业务人员修改量少，并能继续推进下一步。低分特征：回答流畅但不可直接使用，缺少过程记录或无法处理返工。</w:t>
      </w: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多步骤任务拆解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专家协同/写作流具备阶段化任务、成员任务、产物和下一步推进机制。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可把复杂任务拆为需求澄清、资料整理、草稿生成、审核优化、最终产物等步骤。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4.5/5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4.8/5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将作业类任务拆成材料读取、字段校核、风险识别、结论生成、人工确认五步。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过程可追踪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现有工作流能保留阶段状态、运行记录、产物列表和文件变更。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阶段、状态、产物路径和任务成员状态可作为试用证据。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4.0/4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4.0/4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在试用报告中固定导出每个任务的输入、输出、耗时、修改点和采纳状态。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输出完整性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6分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材料生成、纪要、报告、清单类产物能力较强；票据审核类字段完整性需专项打磨。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当前可形成结构化初稿和清单；对票据字段、角色、风险、结论需要模板约束。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4.8/6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5.2/6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每类任务配置“必须输出项”，例如缺项清单、风险点、依据、建议处理动作、人工确认。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输出可编辑性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产物可落到工作区文件，适合复制、编辑、归档和转为正式材料。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Markdown/Word 风格产物和工作区预览便于业务人员二次加工。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3.8/4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3.8/4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 Word 风格输出模板，让票据审核意见、检修计划、整改清单直接可归档。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业务可用性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综合材料、汇报、纪要、计划类场景可用性较高；作业票据类需真实样例验证。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能形成少量修改后可用的报告、清单和计划；安全生产类结论必须保留人工确认。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3.2/4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3.8/4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用甲方脱敏材料做 5 类样例，记录修改次数和最终采纳率。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异常与返工处理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具备任务重做、状态恢复、诊断和失败说明的基础能力。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对模型、文件、系统异常可提示原因；业务返工流程需在试用任务中约束。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1.2/2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1.4/2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对“材料不足、规则冲突、用户改口径、输出需重算”设计固定返工话术和状态更新。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6.3 可信性、溯源与幻觉控制（15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引用与依据标注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引用制度、规程、历史材料时说明来源、条款位置或材料出处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事实一致性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输出与甲方提供材料一致，不混用口径、不张冠李戴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不确定性表达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对缺失信息、过期标准、无法确认事项标注待核验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幻觉控制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不编造政策、流程、设备状态、数据、审批结论或内部规则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敏感信息处理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不在输出中暴露不应公开的内部信息或敏感字段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5F6B7A"/>
          <w:sz w:val="19"/>
        </w:rPr>
        <w:t>高分特征：关键结论有依据，缺口表达清楚，高风险内容保留人工确认。低分特征：编造条款、夸大确定性，或把推测写成事实。</w:t>
      </w: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引用与依据标注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工作流和备战材料强调引用来源、依据和待核验，但产品层面的条款定位还需强化。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可要求输出引用来源和材料出处；需将制度条款、页码、附件名作为标准输出字段。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3.0/4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3.6/4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补齐“依据栏”：制度名称、条款号、材料页码、引用原文摘要、适用边界。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事实一致性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4分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附件解析和受控上下文能降低脱离材料发挥的风险。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围绕甲方提供材料回答，减少混用口径；仍需对答案和来源做自动复核。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3.5/4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3.8/4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增加输出前自检：结论是否来自输入材料、是否混用历史经验、是否需要人工确认。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不确定性表达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已有对缺失信息、制度未明确内容标注待核验的要求。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能通过模板提示保留“不确定/需核验/需结合本单位细则确认”。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2.0/3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2.5/3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所有安全生产类输出固定增加“待确认事项”和“不得替代审批”段落。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幻觉控制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有边界表达和材料优先策略，但缺少专门的幻觉评测集和引用校验工具。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通过统一材料、引用要求和人工确认减少编造；高风险项仍需测试扣分样例。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2.3/3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2.4/3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准备反向测试问题：制度未写、材料矛盾、设备状态未知，看产品是否拒绝编造。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敏感信息处理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附件链路和诊断报告已有路径脱敏、敏感信息保护和隐私扫描基础。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前端不暴露本机绝对路径；诊断输出做脱敏；安装包不内置密钥和授权。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0.7/1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0.7/1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按甲方数据分类分级补充敏感字段清单和输出脱敏规则。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6.4 知识与工具接入能力（10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文件与资料接入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支持制度文件、表单模板、历史案例、附件材料等资料导入和理解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场景模板复用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能沉淀可复用的任务模板、提示规则、流程步骤或检查清单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工具与系统扩展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具备与本地工具、业务系统、知识库或流程系统对接的扩展能力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权限与边界控制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工具调用、资料访问和结果输出具备权限控制和人工确认机制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文件与资料接入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支持制度文件、表格、演示、文本、图片等附件进入任务上下文。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文档类附件生成受控文本上下文，图片保留多模态路径。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2.6/3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3.0/3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针对工作票、操作票、检修计划样表做专项解析模板和字段抽取检查。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场景模板复用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3分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已有可复用场景能力包和内部备战场景包草案，适合沉淀为岗位任务模板。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可把制度问答、表单审核、步骤校核、计划编制、缺陷闭环封装为模板。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2.7/3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2.8/3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把模板从文档草案固化到产品入口、示例任务和评分证据输出中。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工具与系统扩展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产品具备本地工具、任务编排和系统接入扩展基础，但未看到甲方业务系统直连接入证据。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可扩展到本地工具、知识库和业务系统；试用阶段建议先只读接入。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1.3/2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按“只读查询、辅助填报、人工确认提交”三阶段设计系统接口方案。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权限与边界控制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本地运行、授权、诊断脱敏和人工确认机制有基础；细粒度业务权限需按甲方组织配置。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试用中可通过材料脱敏、授权控制和人工确认控制边界。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1.2/2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1.4/2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补充角色权限矩阵、资料访问边界、工具调用审批和审计字段。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6.5 易用性与业务人员采纳度（10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上手难度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非技术人员能在简短引导后独立完成任务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交互清晰度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产品能清楚说明需要用户补充什么、已完成什么、下一步是什么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语言与文风适配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输出符合甲方业务语境、公文表达和部门沟通习惯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修改成本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业务人员二次修改量明显减少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采纳反馈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试用人员愿意在真实工作中继续使用相关能力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上手难度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桌面版启动、本地页面和简化菜单降低非技术人员使用门槛。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安装后从桌面/菜单进入，常用入口保留，非必要功能隐藏。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1.9/2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试用前准备一页式任务引导和 5 个示例问题，避免解释内部概念。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交互清晰度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阶段状态、下一步提示和任务产物能让用户看到进展。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通过任务阶段、待补材料、产物清单和下一步建议组织交互。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1.8/2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在每类试用任务里固定展示“已完成、待确认、下一步”。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语言与文风适配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已有国网/央企业务表达、制度问答和材料生成方向积累。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输出可按公文、汇报、纪要、审核意见、整改清单等风格生成。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1.8/2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1.9/2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补充甲方常用表述、标题层级、风险提示口径和避免绝对化措辞。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修改成本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当前可生成可编辑材料，但缺少真实试用中的修改次数和节省时间数据。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通过结构化产物减少从零编写；实际减少量需试用记录证明。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1.4/2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每个任务记录人工修改点、修改耗时、是否采纳，形成量化证据。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采纳反馈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尚未形成本轮甲方统一试用后的采纳率数据。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待验证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需要业务人员按统一任务真实使用后打分。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准备试用记录表和访谈问题，沉淀愿意继续使用的场景和阻塞点。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6.6 部署适配、安全合规与运维（10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终端环境适配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符合甲方办公终端、浏览器、操作系统或国产化环境要求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数据安全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能说明数据存储、传输、调用外部模型和敏感资料处理方式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权限与审计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具备用户权限、操作记录、日志留存和必要审计能力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故障诊断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出现异常时便于定位问题、导出诊断信息和恢复使用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运维可持续性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具备安装、升级、配置、备份、停用和支持服务方案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终端环境适配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已围绕 Kylin/UOS 类国产 x86_64 终端形成桌面 DEB 交付方案和验证脚本。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Electron 桌面壳、本地 Agent API、本地 WebUI、目标终端构建安装链路已文档化。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2.0/2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2.0/2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试用前在甲方目标机重新构建、安装、双击启动、真实模型对话并留证。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数据安全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安装包不内置模型密钥、授权文件、私钥和敏感配置；附件路径和诊断信息做脱敏。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非密默认配置、隐私扫描、路径脱敏和本地用户目录边界已具备。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1.8/2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2.0/2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结合甲方要求补充外部模型调用边界、脱敏规则和数据留存说明。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权限与审计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具备授权文件、运行日志和诊断记录基础，但业务级用户权限和审计报表仍需完善。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可记录运行状态、日志和诊断信息；正式试点需接入账号权限或组织角色。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1.6/2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1.7/2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补充用户身份、资料访问、工具调用、输出下载的审计字段。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故障诊断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内置本地验证和脱敏诊断报告，便于定位安装、端口、模型配置、附件能力和日志问题。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可导出包状态、进程、端口、桌面入口、配置摘要、接口健康和最近日志。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1.8/2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2.0/2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把诊断报告模板纳入试用交付包，并定义一线支持处理流程。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运维可持续性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2分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已有安装、升级、旧版本清理、配置同步和停止进程方案。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运维脚本覆盖构建、安装、验证、旧包清理和配置同步；正式升级策略仍需项目化。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1.5/2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1.5/2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补充版本升级、配置备份、授权更新、卸载停用和问题响应 SLA。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6.7 性能、稳定性与成本（5 分）</w:t>
      </w:r>
    </w:p>
    <w:tbl>
      <w:tblGrid>
        <w:gridCol w:w="2500"/>
        <w:gridCol w:w="800"/>
        <w:gridCol w:w="10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二级指标</w:t>
            </w:r>
          </w:p>
        </w:tc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分值</w:t>
            </w:r>
          </w:p>
        </w:tc>
        <w:tc>
          <w:tcPr>
            <w:tcW w:type="dxa" w:w="10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评价口径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响应效率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常规任务响应时间可接受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长任务稳定性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多步骤、长文本、附件类任务能稳定完成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失败恢复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网络、模型、文件或系统异常后能提示原因并继续处理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使用成本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0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模型、算力、部署、运维和培训成本合理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64" w:lineRule="auto"/>
      </w:pPr>
      <w:r>
        <w:rPr>
          <w:rFonts w:ascii="Arial" w:hAnsi="Arial" w:eastAsia="Microsoft YaHei"/>
          <w:b/>
          <w:color w:val="1F4D78"/>
          <w:sz w:val="23"/>
        </w:rPr>
        <w:t>我方产品预评价对照表</w:t>
      </w:r>
    </w:p>
    <w:tbl>
      <w:tblGrid>
        <w:gridCol w:w="1500"/>
        <w:gridCol w:w="3300"/>
        <w:gridCol w:w="900"/>
        <w:gridCol w:w="3100"/>
        <w:gridCol w:w="900"/>
        <w:gridCol w:w="900"/>
        <w:gridCol w:w="36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二级指标/分值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当前功能实现情况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是否满足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如何满足/证据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当前预计得分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目标得分</w:t>
            </w:r>
          </w:p>
        </w:tc>
        <w:tc>
          <w:tcPr>
            <w:tcW w:type="dxa" w:w="3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不足与优化动作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响应效率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有健康检查和本地服务链路，实际响应取决于模型、附件大小和终端资源。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待验证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常规任务应可接受，但缺少本轮统一任务耗时数据。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1.1/1.5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1.2/1.5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试用中按任务记录首响、总耗时、附件解析耗时和人工等待时间。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长任务稳定性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1.5分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多步骤工作流、产物沉淀和状态恢复对长任务有帮助。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阶段化任务可以降低一次性长输出失败风险。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1.2/1.5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1.3/1.5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用长制度、多附件、检修计划和综合报告做压力样例。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失败恢复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启动链路、诊断脚本、任务重做和错误提示提供恢复基础。</w:t>
            </w:r>
          </w:p>
        </w:tc>
        <w:tc>
          <w:tcPr>
            <w:tcW w:type="dxa" w:w="9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基本满足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出现模型、文件或系统异常时可定位原因并继续处理。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0.8/1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0.9/1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把业务任务失败后的“重试、补材料、保留旧产物”机制显性化。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使用成本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1分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支持本地桌面和可配置模型，成本有优化空间，但缺少量化测算。</w:t>
            </w:r>
          </w:p>
        </w:tc>
        <w:tc>
          <w:tcPr>
            <w:tcW w:type="dxa" w:w="9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部分满足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可按任务类型选择模型和部署方式；还需统计 token、调用次数和运维成本。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0.6/1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0.8/1</w:t>
            </w:r>
          </w:p>
        </w:tc>
        <w:tc>
          <w:tcPr>
            <w:tcW w:type="dxa" w:w="36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形成试用期成本表：模型调用、终端资源、部署维护、培训支持。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七、评价实施流程</w:t>
      </w:r>
    </w:p>
    <w:tbl>
      <w:tblGrid>
        <w:gridCol w:w="1800"/>
        <w:gridCol w:w="7000"/>
        <w:gridCol w:w="54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7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主要动作</w:t>
            </w:r>
          </w:p>
        </w:tc>
        <w:tc>
          <w:tcPr>
            <w:tcW w:type="dxa" w:w="54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输出物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准备阶段</w:t>
            </w:r>
          </w:p>
        </w:tc>
        <w:tc>
          <w:tcPr>
            <w:tcW w:type="dxa" w:w="7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确定参评产品、试用人员、试用周期和脱敏材料</w:t>
            </w:r>
          </w:p>
        </w:tc>
        <w:tc>
          <w:tcPr>
            <w:tcW w:type="dxa" w:w="5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试用方案、任务包、评分表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试用阶段</w:t>
            </w:r>
          </w:p>
        </w:tc>
        <w:tc>
          <w:tcPr>
            <w:tcW w:type="dxa" w:w="7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业务人员按统一任务使用产品，并保留过程证据</w:t>
            </w:r>
          </w:p>
        </w:tc>
        <w:tc>
          <w:tcPr>
            <w:tcW w:type="dxa" w:w="5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原始输入、产品输出、引用依据、耗时记录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评分阶段</w:t>
            </w:r>
          </w:p>
        </w:tc>
        <w:tc>
          <w:tcPr>
            <w:tcW w:type="dxa" w:w="7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按指标体系分别由业务、信息化/安全、运维人员评分</w:t>
            </w:r>
          </w:p>
        </w:tc>
        <w:tc>
          <w:tcPr>
            <w:tcW w:type="dxa" w:w="5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分项评分表、问题清单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复核阶段</w:t>
            </w:r>
          </w:p>
        </w:tc>
        <w:tc>
          <w:tcPr>
            <w:tcW w:type="dxa" w:w="7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对关键扣分项、重大风险项和得分接近项进行复核</w:t>
            </w:r>
          </w:p>
        </w:tc>
        <w:tc>
          <w:tcPr>
            <w:tcW w:type="dxa" w:w="5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复核意见、风险说明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结论阶段</w:t>
            </w:r>
          </w:p>
        </w:tc>
        <w:tc>
          <w:tcPr>
            <w:tcW w:type="dxa" w:w="7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形成产品适用场景、落地条件和后续建议</w:t>
            </w:r>
          </w:p>
        </w:tc>
        <w:tc>
          <w:tcPr>
            <w:tcW w:type="dxa" w:w="5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试用评价报告、选型建议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建议试用周期为 7 至 14 天。厂商可提供必要安装、配置和使用引导，但不应代替甲方完成评分任务。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八、试用任务包设计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每个参评产品至少完成 5 类任务。甲方可根据实际业务选择任务，但各产品应使用同一任务说明和同一批脱敏材料。</w:t>
      </w:r>
    </w:p>
    <w:tbl>
      <w:tblGrid>
        <w:gridCol w:w="2400"/>
        <w:gridCol w:w="5400"/>
        <w:gridCol w:w="64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任务类型</w:t>
            </w:r>
          </w:p>
        </w:tc>
        <w:tc>
          <w:tcPr>
            <w:tcW w:type="dxa" w:w="5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目标产物</w:t>
            </w:r>
          </w:p>
        </w:tc>
        <w:tc>
          <w:tcPr>
            <w:tcW w:type="dxa" w:w="64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重点观察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制度问答与溯源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带依据的问答结果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是否引用准确、边界清楚、不编造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流程表单审核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审核意见、缺项清单、风险提示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是否识别字段、角色、流程和安全风险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操作步骤校核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步骤校核意见、危险点提示、确认清单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是否理解顺序、前置条件和人工确认边界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计划编制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工作计划、人员分工、材料清单、风险措施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是否能形成可执行计划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缺陷或问题闭环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分级建议、处置流程、整改清单、复盘材料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是否能从描述推进到闭环处置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综合材料输出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汇报、纪要、报告初稿或整改说明</w:t>
            </w:r>
          </w:p>
        </w:tc>
        <w:tc>
          <w:tcPr>
            <w:tcW w:type="dxa" w:w="6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是否符合甲方语言习惯和正式材料要求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九、证据采集与计分方法</w:t>
      </w: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9.1 证据采集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原始输入材料和任务说明。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产品原始输出。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产品引用的依据或来源。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任务耗时。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业务人员人工修改点。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最终是否采纳。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试用人员评分和简要评价。</w:t>
      </w: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9.2 评分主体建议</w:t>
      </w:r>
    </w:p>
    <w:tbl>
      <w:tblGrid>
        <w:gridCol w:w="2600"/>
        <w:gridCol w:w="1200"/>
        <w:gridCol w:w="104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评分主体</w:t>
            </w:r>
          </w:p>
        </w:tc>
        <w:tc>
          <w:tcPr>
            <w:tcW w:type="dxa" w:w="1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建议权重</w:t>
            </w:r>
          </w:p>
        </w:tc>
        <w:tc>
          <w:tcPr>
            <w:tcW w:type="dxa" w:w="104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重点职责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业务部门评分人员</w:t>
            </w:r>
          </w:p>
        </w:tc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70%</w:t>
            </w:r>
          </w:p>
        </w:tc>
        <w:tc>
          <w:tcPr>
            <w:tcW w:type="dxa" w:w="10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评价任务完成质量、业务可用性、修改成本和采纳意愿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信息化/安全评分人员</w:t>
            </w:r>
          </w:p>
        </w:tc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20%</w:t>
            </w:r>
          </w:p>
        </w:tc>
        <w:tc>
          <w:tcPr>
            <w:tcW w:type="dxa" w:w="10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评价系统接入、部署适配、数据安全、权限和审计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运维管理评分人员</w:t>
            </w:r>
          </w:p>
        </w:tc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10%</w:t>
            </w:r>
          </w:p>
        </w:tc>
        <w:tc>
          <w:tcPr>
            <w:tcW w:type="dxa" w:w="10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评价安装配置、稳定性、故障诊断、升级维护和支持能力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00" w:after="100" w:line="264" w:lineRule="auto"/>
      </w:pPr>
      <w:r>
        <w:rPr>
          <w:rFonts w:ascii="Arial" w:hAnsi="Arial" w:eastAsia="Microsoft YaHei"/>
          <w:b/>
          <w:color w:val="2E74B5"/>
          <w:sz w:val="26"/>
        </w:rPr>
        <w:t>9.3 评分等级建议</w:t>
      </w:r>
    </w:p>
    <w:tbl>
      <w:tblGrid>
        <w:gridCol w:w="1200"/>
        <w:gridCol w:w="1800"/>
        <w:gridCol w:w="112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等级</w:t>
            </w:r>
          </w:p>
        </w:tc>
        <w:tc>
          <w:tcPr>
            <w:tcW w:type="dxa" w:w="1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分数区间</w:t>
            </w:r>
          </w:p>
        </w:tc>
        <w:tc>
          <w:tcPr>
            <w:tcW w:type="dxa" w:w="112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建议解释</w:t>
            </w:r>
          </w:p>
        </w:tc>
      </w:tr>
      <w:tr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A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90-100</w:t>
            </w:r>
          </w:p>
        </w:tc>
        <w:tc>
          <w:tcPr>
            <w:tcW w:type="dxa" w:w="112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可优先进入试点扩大或采购论证</w:t>
            </w:r>
          </w:p>
        </w:tc>
      </w:tr>
      <w:tr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B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80-89</w:t>
            </w:r>
          </w:p>
        </w:tc>
        <w:tc>
          <w:tcPr>
            <w:tcW w:type="dxa" w:w="112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具备落地价值，需补齐部分场景、合规或运维条件</w:t>
            </w:r>
          </w:p>
        </w:tc>
      </w:tr>
      <w:tr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C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70-79</w:t>
            </w:r>
          </w:p>
        </w:tc>
        <w:tc>
          <w:tcPr>
            <w:tcW w:type="dxa" w:w="112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可在有限场景继续观察，不宜直接大范围推广</w:t>
            </w:r>
          </w:p>
        </w:tc>
      </w:tr>
      <w:tr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D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60-69</w:t>
            </w:r>
          </w:p>
        </w:tc>
        <w:tc>
          <w:tcPr>
            <w:tcW w:type="dxa" w:w="112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能力或落地条件不足，需完成明显改进后再评估</w:t>
            </w:r>
          </w:p>
        </w:tc>
      </w:tr>
      <w:tr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E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60 以下</w:t>
            </w:r>
          </w:p>
        </w:tc>
        <w:tc>
          <w:tcPr>
            <w:tcW w:type="dxa" w:w="112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暂不建议进入正式试点或选型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十、结果应用建议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各一级指标得分和主要扣分项。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产品适合优先落地的业务场景。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不适合或需谨慎使用的业务边界。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数据安全、部署运维和系统接入前置条件。</w:t>
      </w:r>
    </w:p>
    <w:p>
      <w:pPr>
        <w:pStyle w:val="ListBullet"/>
        <w:spacing w:before="0" w:after="80" w:line="269" w:lineRule="auto"/>
      </w:pPr>
      <w:r>
        <w:rPr>
          <w:rFonts w:ascii="Arial" w:hAnsi="Arial" w:eastAsia="Microsoft YaHei"/>
          <w:color w:val="1F2933"/>
          <w:sz w:val="20"/>
        </w:rPr>
        <w:t>后续试点、扩围、采购或淘汰建议。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对于得分接近的产品，建议优先比较真实任务采纳率、人工修改成本、可信性问题数量和安全合规风险，而不是单纯比较回答速度或界面观感。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十一、中立措辞要求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为保证评价体系公开、公平、可解释，建议避免使用指向特定厂商或特定实现方式的表述。</w:t>
      </w:r>
    </w:p>
    <w:tbl>
      <w:tblGrid>
        <w:gridCol w:w="4300"/>
        <w:gridCol w:w="99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4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不建议表述</w:t>
            </w:r>
          </w:p>
        </w:tc>
        <w:tc>
          <w:tcPr>
            <w:tcW w:type="dxa" w:w="99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建议表述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必须具备专家团</w:t>
            </w:r>
          </w:p>
        </w:tc>
        <w:tc>
          <w:tcPr>
            <w:tcW w:type="dxa" w:w="9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具备多步骤任务协同和过程可追踪能力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必须支持某某 Skill</w:t>
            </w:r>
          </w:p>
        </w:tc>
        <w:tc>
          <w:tcPr>
            <w:tcW w:type="dxa" w:w="9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具备可复用场景模板或任务能力沉淀机制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必须支持某某 MCP</w:t>
            </w:r>
          </w:p>
        </w:tc>
        <w:tc>
          <w:tcPr>
            <w:tcW w:type="dxa" w:w="9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具备可扩展工具或业务系统接入能力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必须本地桌面安装</w:t>
            </w:r>
          </w:p>
        </w:tc>
        <w:tc>
          <w:tcPr>
            <w:tcW w:type="dxa" w:w="9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符合甲方终端环境与数据安全要求的部署方式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必须支持工作票、操作票</w:t>
            </w:r>
          </w:p>
        </w:tc>
        <w:tc>
          <w:tcPr>
            <w:tcW w:type="dxa" w:w="99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能适配甲方典型流程表单和作业类业务场景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十二、附件：我方优化动作清单</w:t>
      </w:r>
    </w:p>
    <w:tbl>
      <w:tblGrid>
        <w:gridCol w:w="1100"/>
        <w:gridCol w:w="3300"/>
        <w:gridCol w:w="98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动作</w:t>
            </w:r>
          </w:p>
        </w:tc>
        <w:tc>
          <w:tcPr>
            <w:tcW w:type="dxa" w:w="98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具体内容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固化五类试用场景包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制度问答、流程表单审核、操作步骤校核、检修计划、缺陷闭环。每类包含输入材料、目标产物、评分点、扣分样例和人工确认边界。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补齐作业票据字段和风险清单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围绕工作票、操作票、检修计划建立字段完整性、角色责任、危险点、安全措施、审批边界检查清单。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强化引用与待核验输出格式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所有制度类、票据类、安全类输出固定包含依据、材料出处、待核验事项和不得替代审批提示。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准备试用证据包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保留原始输入、产品输出、依据、耗时、人工修改点、是否采纳和用户评价，形成可复核链路。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目标机复验交付链路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在甲方同类终端上完成安装、双击启动、真实模型对话、附件解析、诊断导出和卸载/升级验证。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3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采纳率和成本数据采集</w:t>
            </w:r>
          </w:p>
        </w:tc>
        <w:tc>
          <w:tcPr>
            <w:tcW w:type="dxa" w:w="98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记录任务耗时、修改次数、节省时间、调用成本、失败重试和满意度，支撑最终得分。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十三、附件：试用记录表</w:t>
      </w:r>
    </w:p>
    <w:tbl>
      <w:tblGrid>
        <w:gridCol w:w="1400"/>
        <w:gridCol w:w="900"/>
        <w:gridCol w:w="1500"/>
        <w:gridCol w:w="1000"/>
        <w:gridCol w:w="1200"/>
        <w:gridCol w:w="1000"/>
        <w:gridCol w:w="900"/>
        <w:gridCol w:w="1400"/>
        <w:gridCol w:w="900"/>
        <w:gridCol w:w="4056"/>
      </w:tblGrid>
      <w:tblPr>
        <w:tblW w:type="dxa" w:w="1425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产品名称</w:t>
            </w:r>
          </w:p>
        </w:tc>
        <w:tc>
          <w:tcPr>
            <w:tcW w:type="dxa" w:w="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任务编号</w:t>
            </w:r>
          </w:p>
        </w:tc>
        <w:tc>
          <w:tcPr>
            <w:tcW w:type="dxa" w:w="1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任务类型</w:t>
            </w:r>
          </w:p>
        </w:tc>
        <w:tc>
          <w:tcPr>
            <w:tcW w:type="dxa" w:w="1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原始耗时</w:t>
            </w:r>
          </w:p>
        </w:tc>
        <w:tc>
          <w:tcPr>
            <w:tcW w:type="dxa" w:w="1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人工修改次数</w:t>
            </w:r>
          </w:p>
        </w:tc>
        <w:tc>
          <w:tcPr>
            <w:tcW w:type="dxa" w:w="1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是否采纳</w:t>
            </w:r>
          </w:p>
        </w:tc>
        <w:tc>
          <w:tcPr>
            <w:tcW w:type="dxa" w:w="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业务评分</w:t>
            </w:r>
          </w:p>
        </w:tc>
        <w:tc>
          <w:tcPr>
            <w:tcW w:type="dxa" w:w="1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信息化/安全评分</w:t>
            </w:r>
          </w:p>
        </w:tc>
        <w:tc>
          <w:tcPr>
            <w:tcW w:type="dxa" w:w="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运维评分</w:t>
            </w:r>
          </w:p>
        </w:tc>
        <w:tc>
          <w:tcPr>
            <w:tcW w:type="dxa" w:w="405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主要问题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太极 Agent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1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1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1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  <w:tc>
          <w:tcPr>
            <w:tcW w:type="dxa" w:w="40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十四、状态边界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本文件为我方内部预评价报告。涉及具体制度、流程、表单、系统接口、数据分类分级和安全要求时，应以甲方现行制度、脱敏样例材料和信息安全要求为准。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报告中的功能实现情况基于当前仓库文档、配置、脚本和测试线索整理；未用本轮真实页面操作或甲方目标机现场试用替代最终验收。</w:t>
      </w:r>
    </w:p>
    <w:p>
      <w:pPr>
        <w:spacing w:before="0" w:after="120" w:line="276" w:lineRule="auto"/>
        <w:ind w:firstLine="420"/>
      </w:pPr>
      <w:r>
        <w:rPr>
          <w:rFonts w:ascii="Arial" w:hAnsi="Arial" w:eastAsia="Microsoft YaHei"/>
          <w:b w:val="0"/>
          <w:color w:val="1F2933"/>
          <w:sz w:val="21"/>
        </w:rPr>
        <w:t>对外建议仍使用中立评价体系；本报告中的预计分、目标分和优化动作仅用于我方试用备战、演示准备和证据补齐。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B7A"/>
        <w:sz w:val="16"/>
      </w:rPr>
      <w:t>太极 Agent 预评价报告 | 内部备战参考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  <w:rPr>
      <w:rFonts w:ascii="Arial" w:hAnsi="Arial" w:eastAsia="Microsoft YaHei"/>
      <w:color w:val="1F2933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 w:eastAsia="Microsoft YaHei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智能体类产品试用评价体系-太极Agent预评价报告</dc:title>
  <dc:subject>产品比武预评价与功能响应对照</dc:subject>
  <dc:creator>Taiji Agent Team</dc:creator>
  <cp:keywords/>
  <dc:description>Generated as internal pre-evaluation report based on the evaluation system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