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center"/>
      </w:pPr>
      <w:r>
        <w:rPr>
          <w:rFonts w:ascii="Arial" w:hAnsi="Arial" w:eastAsia="Microsoft YaHei"/>
          <w:b/>
          <w:color w:val="1F4D78"/>
          <w:sz w:val="44"/>
        </w:rPr>
        <w:t>太极 Agent 功能竞争力预评价报告</w:t>
      </w:r>
    </w:p>
    <w:p>
      <w:pPr>
        <w:spacing w:before="0" w:after="140" w:line="252" w:lineRule="auto"/>
        <w:jc w:val="center"/>
      </w:pPr>
      <w:r>
        <w:rPr>
          <w:rFonts w:ascii="Arial" w:hAnsi="Arial" w:eastAsia="Microsoft YaHei"/>
          <w:b/>
          <w:color w:val="2E74B5"/>
          <w:sz w:val="29"/>
        </w:rPr>
        <w:t>基于新版功能评价体系的内部备战稿</w:t>
      </w:r>
    </w:p>
    <w:p>
      <w:pPr>
        <w:spacing w:before="0" w:after="200" w:line="252" w:lineRule="auto"/>
        <w:jc w:val="center"/>
      </w:pPr>
      <w:r>
        <w:rPr>
          <w:rFonts w:ascii="Arial" w:hAnsi="Arial" w:eastAsia="Microsoft YaHei"/>
          <w:color w:val="5F6B7A"/>
          <w:sz w:val="18"/>
        </w:rPr>
        <w:t>版本：v0.2 | 日期：2026-06-12 | 用途：内部预评价、演示准备和试用证据补齐</w:t>
      </w: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一、结论摘要</w:t>
      </w:r>
    </w:p>
    <w:p>
      <w:pPr>
        <w:spacing w:before="0" w:after="120" w:line="276" w:lineRule="auto"/>
        <w:ind w:firstLine="440"/>
      </w:pPr>
      <w:r>
        <w:rPr>
          <w:rFonts w:ascii="Arial" w:hAnsi="Arial" w:eastAsia="Microsoft YaHei"/>
          <w:b w:val="0"/>
          <w:color w:val="1F2933"/>
          <w:sz w:val="21"/>
        </w:rPr>
        <w:t>本报告围绕新版《国网日常办公智能化应用试用评价体系》进行我方预评价，不作为甲方公开评分标准发布。相比上一版，本报告不再以技术实现和交付形态作为主线，而是把我方“能办什么事、产物能不能用、竞品短期难不难追”作为评价重点。</w:t>
      </w:r>
    </w:p>
    <w:p>
      <w:pPr>
        <w:spacing w:before="0" w:after="120" w:line="276" w:lineRule="auto"/>
        <w:ind w:firstLine="440"/>
      </w:pPr>
      <w:r>
        <w:rPr>
          <w:rFonts w:ascii="Arial" w:hAnsi="Arial" w:eastAsia="Microsoft YaHei"/>
          <w:b w:val="0"/>
          <w:color w:val="1F2933"/>
          <w:sz w:val="21"/>
        </w:rPr>
        <w:t>当前保守预估总分为 85.0/100；完成日常办公文档样例、作业表单检查清单、依据引用格式和真实试用证据采集后，目标分约 92.3/100。</w:t>
      </w:r>
    </w:p>
    <w:p>
      <w:pPr>
        <w:spacing w:before="0" w:after="120" w:line="276" w:lineRule="auto"/>
        <w:ind w:firstLine="440"/>
      </w:pPr>
      <w:r>
        <w:rPr>
          <w:rFonts w:ascii="Arial" w:hAnsi="Arial" w:eastAsia="Microsoft YaHei"/>
          <w:b w:val="0"/>
          <w:color w:val="1F2933"/>
          <w:sz w:val="21"/>
        </w:rPr>
        <w:t>内部备战重点应放在三件事：第一，把日常办公文档生成做成最直观优势；第二，把工作票、操作票、检修、缺陷等业务表单做成带坑样例；第三，把依据、待核验和人工确认边界固化到每个高风险输出里。</w:t>
      </w: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二、得分与竞争力汇总</w:t>
      </w:r>
    </w:p>
    <w:tbl>
      <w:tblGrid>
        <w:gridCol w:w="2700"/>
        <w:gridCol w:w="750"/>
        <w:gridCol w:w="1050"/>
        <w:gridCol w:w="1050"/>
        <w:gridCol w:w="1200"/>
        <w:gridCol w:w="8088"/>
      </w:tblGrid>
      <w:tblPr>
        <w:tblW w:type="dxa" w:w="1483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一级指标</w:t>
            </w:r>
          </w:p>
        </w:tc>
        <w:tc>
          <w:tcPr>
            <w:tcW w:type="dxa" w:w="7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权重</w:t>
            </w:r>
          </w:p>
        </w:tc>
        <w:tc>
          <w:tcPr>
            <w:tcW w:type="dxa" w:w="10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当前预估</w:t>
            </w:r>
          </w:p>
        </w:tc>
        <w:tc>
          <w:tcPr>
            <w:tcW w:type="dxa" w:w="10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目标预估</w:t>
            </w:r>
          </w:p>
        </w:tc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竞品追赶难度</w:t>
            </w:r>
          </w:p>
        </w:tc>
        <w:tc>
          <w:tcPr>
            <w:tcW w:type="dxa" w:w="808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判断依据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日常办公业务办理能力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20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17.5/20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19.0/20</w:t>
            </w:r>
          </w:p>
        </w:tc>
        <w:tc>
          <w:tcPr>
            <w:tcW w:type="dxa" w:w="12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中高</w:t>
            </w:r>
          </w:p>
        </w:tc>
        <w:tc>
          <w:tcPr>
            <w:tcW w:type="dxa" w:w="8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已有制度问答、纪要/报告/清单类材料生成基础，和领导要求的“日常办公文档格式”高度一致。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典型业务表单与流程适配能力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20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16.5/20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18.5/20</w:t>
            </w:r>
          </w:p>
        </w:tc>
        <w:tc>
          <w:tcPr>
            <w:tcW w:type="dxa" w:w="12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高</w:t>
            </w:r>
          </w:p>
        </w:tc>
        <w:tc>
          <w:tcPr>
            <w:tcW w:type="dxa" w:w="8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工作票、操作票、检修、缺陷等业务理解是我方主要差异点，竞品临时补模板容易，补业务判断难。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办公文档生成与格式规范能力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13.5/15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14.3/15</w:t>
            </w:r>
          </w:p>
        </w:tc>
        <w:tc>
          <w:tcPr>
            <w:tcW w:type="dxa" w:w="12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中高</w:t>
            </w:r>
          </w:p>
        </w:tc>
        <w:tc>
          <w:tcPr>
            <w:tcW w:type="dxa" w:w="8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可把输出做成 Word 风格结构化材料；需补更多甲方正式文档样例。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可信依据与编造控制能力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11.5/15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13.0/15</w:t>
            </w:r>
          </w:p>
        </w:tc>
        <w:tc>
          <w:tcPr>
            <w:tcW w:type="dxa" w:w="12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中</w:t>
            </w:r>
          </w:p>
        </w:tc>
        <w:tc>
          <w:tcPr>
            <w:tcW w:type="dxa" w:w="8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有材料优先和待核验边界，但需强化条款定位、引用复核和反向测试。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任务闭环与过程可追踪能力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13.5/15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14.0/15</w:t>
            </w:r>
          </w:p>
        </w:tc>
        <w:tc>
          <w:tcPr>
            <w:tcW w:type="dxa" w:w="120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中高</w:t>
            </w:r>
          </w:p>
        </w:tc>
        <w:tc>
          <w:tcPr>
            <w:tcW w:type="dxa" w:w="8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阶段状态、过程记录、产物沉淀和返工处理是功能型产品优势。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易用性与业务人员采纳度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10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8.0/10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8.8/10</w:t>
            </w:r>
          </w:p>
        </w:tc>
        <w:tc>
          <w:tcPr>
            <w:tcW w:type="dxa" w:w="12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中</w:t>
            </w:r>
          </w:p>
        </w:tc>
        <w:tc>
          <w:tcPr>
            <w:tcW w:type="dxa" w:w="8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简化入口和业务话术有基础；最终仍要靠真实试用数据证明。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安全合规与交付适配能力</w:t>
            </w:r>
          </w:p>
        </w:tc>
        <w:tc>
          <w:tcPr>
            <w:tcW w:type="dxa" w:w="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4.5/5</w:t>
            </w:r>
          </w:p>
        </w:tc>
        <w:tc>
          <w:tcPr>
            <w:tcW w:type="dxa" w:w="1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4.7/5</w:t>
            </w:r>
          </w:p>
        </w:tc>
        <w:tc>
          <w:tcPr>
            <w:tcW w:type="dxa" w:w="12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中</w:t>
            </w:r>
          </w:p>
        </w:tc>
        <w:tc>
          <w:tcPr>
            <w:tcW w:type="dxa" w:w="8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本地化交付、授权、诊断和脱敏链路能支撑试用，但对外不宜作为主卖点。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三、功能竞争力对照表</w:t>
      </w:r>
    </w:p>
    <w:tbl>
      <w:tblGrid>
        <w:gridCol w:w="2300"/>
        <w:gridCol w:w="4200"/>
        <w:gridCol w:w="1450"/>
        <w:gridCol w:w="3750"/>
        <w:gridCol w:w="3138"/>
      </w:tblGrid>
      <w:tblPr>
        <w:tblW w:type="dxa" w:w="1483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功能方向</w:t>
            </w:r>
          </w:p>
        </w:tc>
        <w:tc>
          <w:tcPr>
            <w:tcW w:type="dxa" w:w="4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我方优势</w:t>
            </w:r>
          </w:p>
        </w:tc>
        <w:tc>
          <w:tcPr>
            <w:tcW w:type="dxa" w:w="14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竞品短期追赶难度</w:t>
            </w:r>
          </w:p>
        </w:tc>
        <w:tc>
          <w:tcPr>
            <w:tcW w:type="dxa" w:w="37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试用展示证据</w:t>
            </w:r>
          </w:p>
        </w:tc>
        <w:tc>
          <w:tcPr>
            <w:tcW w:type="dxa" w:w="313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补强动作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制度问答与依据检索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能围绕制度材料回答，并输出依据、待核验事项和人工确认边界。</w:t>
            </w:r>
          </w:p>
        </w:tc>
        <w:tc>
          <w:tcPr>
            <w:tcW w:type="dxa" w:w="145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中</w:t>
            </w:r>
          </w:p>
        </w:tc>
        <w:tc>
          <w:tcPr>
            <w:tcW w:type="dxa" w:w="3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给一份管理办法，要求回答具体问题并标注依据。</w:t>
            </w:r>
          </w:p>
        </w:tc>
        <w:tc>
          <w:tcPr>
            <w:tcW w:type="dxa" w:w="31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补充条款号、页码、引用原文摘要的固定输出格式。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工作票/流程表单审核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能把表单字段、角色责任、风险点和修改建议组织成审核意见。</w:t>
            </w:r>
          </w:p>
        </w:tc>
        <w:tc>
          <w:tcPr>
            <w:tcW w:type="dxa" w:w="145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3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给一张带缺项的脱敏样例，输出缺项清单、风险提示、建议完善项。</w:t>
            </w:r>
          </w:p>
        </w:tc>
        <w:tc>
          <w:tcPr>
            <w:tcW w:type="dxa" w:w="31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建立字段完整性和风险点检查清单。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操作票/步骤校核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能关注顺序、前置条件、危险点和确认动作，避免直接替代人工审批。</w:t>
            </w:r>
          </w:p>
        </w:tc>
        <w:tc>
          <w:tcPr>
            <w:tcW w:type="dxa" w:w="145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高</w:t>
            </w:r>
          </w:p>
        </w:tc>
        <w:tc>
          <w:tcPr>
            <w:tcW w:type="dxa" w:w="3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给一组顺序有问题的步骤，输出校核意见和人工复核提示。</w:t>
            </w:r>
          </w:p>
        </w:tc>
        <w:tc>
          <w:tcPr>
            <w:tcW w:type="dxa" w:w="31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补充常见危险点、前置条件和确认环节模板。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检修计划生成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能将设备、窗口期、人员、材料和风险整理成计划初稿。</w:t>
            </w:r>
          </w:p>
        </w:tc>
        <w:tc>
          <w:tcPr>
            <w:tcW w:type="dxa" w:w="145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中高</w:t>
            </w:r>
          </w:p>
        </w:tc>
        <w:tc>
          <w:tcPr>
            <w:tcW w:type="dxa" w:w="3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给零散输入，输出检修计划、分工表、材料清单和风险措施。</w:t>
            </w:r>
          </w:p>
        </w:tc>
        <w:tc>
          <w:tcPr>
            <w:tcW w:type="dxa" w:w="31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准备甲方常用计划模板和历史样例。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办公文档生成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能形成纪要、报告、请示、方案、整改清单等 Word 风格材料。</w:t>
            </w:r>
          </w:p>
        </w:tc>
        <w:tc>
          <w:tcPr>
            <w:tcW w:type="dxa" w:w="145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中高</w:t>
            </w:r>
          </w:p>
        </w:tc>
        <w:tc>
          <w:tcPr>
            <w:tcW w:type="dxa" w:w="3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要求把试用过程整理成汇报或整改说明，检查标题、段落、表格和语气。</w:t>
            </w:r>
          </w:p>
        </w:tc>
        <w:tc>
          <w:tcPr>
            <w:tcW w:type="dxa" w:w="31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沉淀常用文档模板、标题层级和公文表达库。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任务闭环工作台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能展示阶段状态、过程记录、产物清单、下一步和返工处理。</w:t>
            </w:r>
          </w:p>
        </w:tc>
        <w:tc>
          <w:tcPr>
            <w:tcW w:type="dxa" w:w="1450"/>
            <w:shd w:fill="EAF4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中高</w:t>
            </w:r>
          </w:p>
        </w:tc>
        <w:tc>
          <w:tcPr>
            <w:tcW w:type="dxa" w:w="3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执行一个多步骤任务，保留阶段记录和最终产物。</w:t>
            </w:r>
          </w:p>
        </w:tc>
        <w:tc>
          <w:tcPr>
            <w:tcW w:type="dxa" w:w="31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把业务任务证据导出成试用记录表。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交付适配与诊断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能支持甲方终端环境、数据边界、问题诊断和恢复使用。</w:t>
            </w:r>
          </w:p>
        </w:tc>
        <w:tc>
          <w:tcPr>
            <w:tcW w:type="dxa" w:w="145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中</w:t>
            </w:r>
          </w:p>
        </w:tc>
        <w:tc>
          <w:tcPr>
            <w:tcW w:type="dxa" w:w="3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展示安装验证、配置说明、脱敏诊断报告和异常恢复路径。</w:t>
            </w:r>
          </w:p>
        </w:tc>
        <w:tc>
          <w:tcPr>
            <w:tcW w:type="dxa" w:w="31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5"/>
              </w:rPr>
              <w:t>准备不和甲方安全管控冲突的部署边界说明。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四、建议演示顺序</w:t>
      </w:r>
    </w:p>
    <w:tbl>
      <w:tblGrid>
        <w:gridCol w:w="800"/>
        <w:gridCol w:w="3000"/>
        <w:gridCol w:w="11038"/>
      </w:tblGrid>
      <w:tblPr>
        <w:tblW w:type="dxa" w:w="1483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顺序</w:t>
            </w:r>
          </w:p>
        </w:tc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演示点</w:t>
            </w:r>
          </w:p>
        </w:tc>
        <w:tc>
          <w:tcPr>
            <w:tcW w:type="dxa" w:w="11038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目的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日常办公文档生成</w:t>
            </w:r>
          </w:p>
        </w:tc>
        <w:tc>
          <w:tcPr>
            <w:tcW w:type="dxa" w:w="110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先展示会议纪要、汇报材料、整改清单，快速建立“能直接干活”的印象。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制度问答与依据标注</w:t>
            </w:r>
          </w:p>
        </w:tc>
        <w:tc>
          <w:tcPr>
            <w:tcW w:type="dxa" w:w="110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再展示基于制度材料回答、标注依据、列出待核验事项。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工作票/操作票审核</w:t>
            </w:r>
          </w:p>
        </w:tc>
        <w:tc>
          <w:tcPr>
            <w:tcW w:type="dxa" w:w="110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用带坑样例展示字段缺项、角色责任、风险点和人工确认边界。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检修计划与缺陷闭环</w:t>
            </w:r>
          </w:p>
        </w:tc>
        <w:tc>
          <w:tcPr>
            <w:tcW w:type="dxa" w:w="110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展示从零散描述到计划、清单、责任分工和复盘材料。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过程记录与采纳证据</w:t>
            </w:r>
          </w:p>
        </w:tc>
        <w:tc>
          <w:tcPr>
            <w:tcW w:type="dxa" w:w="110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展示阶段状态、产物清单、修改前后对比和节省时间记录。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五、内部优化动作清单</w:t>
      </w:r>
    </w:p>
    <w:tbl>
      <w:tblGrid>
        <w:gridCol w:w="1000"/>
        <w:gridCol w:w="4000"/>
        <w:gridCol w:w="9838"/>
      </w:tblGrid>
      <w:tblPr>
        <w:tblW w:type="dxa" w:w="1483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4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动作</w:t>
            </w:r>
          </w:p>
        </w:tc>
        <w:tc>
          <w:tcPr>
            <w:tcW w:type="dxa" w:w="983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具体内容</w:t>
            </w:r>
          </w:p>
        </w:tc>
      </w:tr>
      <w:tr>
        <w:tc>
          <w:tcPr>
            <w:tcW w:type="dxa" w:w="1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P0</w:t>
            </w:r>
          </w:p>
        </w:tc>
        <w:tc>
          <w:tcPr>
            <w:tcW w:type="dxa" w:w="4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把“日常办公文档生成”做成第一演示点</w:t>
            </w:r>
          </w:p>
        </w:tc>
        <w:tc>
          <w:tcPr>
            <w:tcW w:type="dxa" w:w="98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准备纪要、汇报、请示、方案、整改清单 5 个样例，展示少改可用。</w:t>
            </w:r>
          </w:p>
        </w:tc>
      </w:tr>
      <w:tr>
        <w:tc>
          <w:tcPr>
            <w:tcW w:type="dxa" w:w="1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P0</w:t>
            </w:r>
          </w:p>
        </w:tc>
        <w:tc>
          <w:tcPr>
            <w:tcW w:type="dxa" w:w="4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把工作票/操作票能力产品化表达</w:t>
            </w:r>
          </w:p>
        </w:tc>
        <w:tc>
          <w:tcPr>
            <w:tcW w:type="dxa" w:w="98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不要只说懂业务，直接展示缺项识别、风险提示、角色责任、人工确认边界。</w:t>
            </w:r>
          </w:p>
        </w:tc>
      </w:tr>
      <w:tr>
        <w:tc>
          <w:tcPr>
            <w:tcW w:type="dxa" w:w="1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P0</w:t>
            </w:r>
          </w:p>
        </w:tc>
        <w:tc>
          <w:tcPr>
            <w:tcW w:type="dxa" w:w="4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强化可信依据格式</w:t>
            </w:r>
          </w:p>
        </w:tc>
        <w:tc>
          <w:tcPr>
            <w:tcW w:type="dxa" w:w="98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所有制度和表单类输出固定包含依据、出处、待核验和不得替代审批提示。</w:t>
            </w:r>
          </w:p>
        </w:tc>
      </w:tr>
      <w:tr>
        <w:tc>
          <w:tcPr>
            <w:tcW w:type="dxa" w:w="1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P1</w:t>
            </w:r>
          </w:p>
        </w:tc>
        <w:tc>
          <w:tcPr>
            <w:tcW w:type="dxa" w:w="4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准备竞品难以临时补齐的证据</w:t>
            </w:r>
          </w:p>
        </w:tc>
        <w:tc>
          <w:tcPr>
            <w:tcW w:type="dxa" w:w="98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用带坑样例证明业务判断能力，而不是只看通用生成能力。</w:t>
            </w:r>
          </w:p>
        </w:tc>
      </w:tr>
      <w:tr>
        <w:tc>
          <w:tcPr>
            <w:tcW w:type="dxa" w:w="1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P1</w:t>
            </w:r>
          </w:p>
        </w:tc>
        <w:tc>
          <w:tcPr>
            <w:tcW w:type="dxa" w:w="4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补试用采纳数据</w:t>
            </w:r>
          </w:p>
        </w:tc>
        <w:tc>
          <w:tcPr>
            <w:tcW w:type="dxa" w:w="98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记录修改次数、修改耗时、是否采纳、节省时间和用户反馈。</w:t>
            </w:r>
          </w:p>
        </w:tc>
      </w:tr>
      <w:tr>
        <w:tc>
          <w:tcPr>
            <w:tcW w:type="dxa" w:w="1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P1</w:t>
            </w:r>
          </w:p>
        </w:tc>
        <w:tc>
          <w:tcPr>
            <w:tcW w:type="dxa" w:w="4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安全交付表述降权但留证</w:t>
            </w:r>
          </w:p>
        </w:tc>
        <w:tc>
          <w:tcPr>
            <w:tcW w:type="dxa" w:w="98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对外只写符合终端环境和数据安全要求，内部保留安装、授权、诊断、脱敏材料。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六、对外措辞边界</w:t>
      </w:r>
    </w:p>
    <w:tbl>
      <w:tblGrid>
        <w:gridCol w:w="3600"/>
        <w:gridCol w:w="6500"/>
        <w:gridCol w:w="4738"/>
      </w:tblGrid>
      <w:tblPr>
        <w:tblW w:type="dxa" w:w="14838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内部想表达</w:t>
            </w:r>
          </w:p>
        </w:tc>
        <w:tc>
          <w:tcPr>
            <w:tcW w:type="dxa" w:w="6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对外建议表述</w:t>
            </w:r>
          </w:p>
        </w:tc>
        <w:tc>
          <w:tcPr>
            <w:tcW w:type="dxa" w:w="4738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避免写法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我们有多角色协同和阶段化能力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多步骤任务协同和过程可追踪能力</w:t>
            </w:r>
          </w:p>
        </w:tc>
        <w:tc>
          <w:tcPr>
            <w:tcW w:type="dxa" w:w="47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必须具备专家团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我们能做工作票、操作票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适配典型流程表单和作业类业务场景</w:t>
            </w:r>
          </w:p>
        </w:tc>
        <w:tc>
          <w:tcPr>
            <w:tcW w:type="dxa" w:w="47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必须支持某类票据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我们能沉淀业务能力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具备可复用业务技能和能力模板</w:t>
            </w:r>
          </w:p>
        </w:tc>
        <w:tc>
          <w:tcPr>
            <w:tcW w:type="dxa" w:w="47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必须支持某内部能力名称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我们有本地化交付经验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符合甲方终端环境与数据安全要求的交付方式</w:t>
            </w:r>
          </w:p>
        </w:tc>
        <w:tc>
          <w:tcPr>
            <w:tcW w:type="dxa" w:w="47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必须采用某种部署形态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我们能减少人工改稿</w:t>
            </w:r>
          </w:p>
        </w:tc>
        <w:tc>
          <w:tcPr>
            <w:tcW w:type="dxa" w:w="65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办公文档格式规范，少量修改后可用</w:t>
            </w:r>
          </w:p>
        </w:tc>
        <w:tc>
          <w:tcPr>
            <w:tcW w:type="dxa" w:w="473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F2933"/>
                <w:sz w:val="16"/>
              </w:rPr>
              <w:t>生成效果好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40" w:line="264" w:lineRule="auto"/>
      </w:pPr>
      <w:r>
        <w:rPr>
          <w:rFonts w:ascii="Arial" w:hAnsi="Arial" w:eastAsia="Microsoft YaHei"/>
          <w:b/>
          <w:color w:val="2E74B5"/>
          <w:sz w:val="32"/>
        </w:rPr>
        <w:t>七、证据边界</w:t>
      </w:r>
    </w:p>
    <w:p>
      <w:pPr>
        <w:spacing w:before="0" w:after="120" w:line="276" w:lineRule="auto"/>
        <w:ind w:firstLine="440"/>
      </w:pPr>
      <w:r>
        <w:rPr>
          <w:rFonts w:ascii="Arial" w:hAnsi="Arial" w:eastAsia="Microsoft YaHei"/>
          <w:b w:val="0"/>
          <w:color w:val="1F2933"/>
          <w:sz w:val="21"/>
        </w:rPr>
        <w:t>已查看并用于本报告的证据包括当前评价体系文档、内部备战清单、产品打包实现报告、附件能力和诊断链路相关线索。</w:t>
      </w:r>
    </w:p>
    <w:p>
      <w:pPr>
        <w:spacing w:before="0" w:after="120" w:line="276" w:lineRule="auto"/>
        <w:ind w:firstLine="440"/>
      </w:pPr>
      <w:r>
        <w:rPr>
          <w:rFonts w:ascii="Arial" w:hAnsi="Arial" w:eastAsia="Microsoft YaHei"/>
          <w:b w:val="0"/>
          <w:color w:val="1F2933"/>
          <w:sz w:val="21"/>
        </w:rPr>
        <w:t>未在本轮重新启动产品页面、未在甲方终端重新安装验证、未用真实模型跑完全部样例。因此当前分数属于内部预估，正式结论必须以统一材料试用、业务人员评分和留存证据为准。</w:t>
      </w:r>
    </w:p>
    <w:p>
      <w:pPr>
        <w:spacing w:before="0" w:after="120" w:line="276" w:lineRule="auto"/>
        <w:ind w:firstLine="440"/>
      </w:pPr>
      <w:r>
        <w:rPr>
          <w:rFonts w:ascii="Arial" w:hAnsi="Arial" w:eastAsia="Microsoft YaHei"/>
          <w:b w:val="0"/>
          <w:color w:val="1F2933"/>
          <w:sz w:val="21"/>
        </w:rPr>
        <w:t>内部版可以使用“我方优势”和“竞品追赶难度”表达，但对外版仍应保持中立，不能把我方实现方式直接写成评价门槛。</w:t>
      </w:r>
    </w:p>
    <w:sectPr w:rsidR="00FC693F" w:rsidRPr="0006063C" w:rsidSect="00034616">
      <w:footerReference w:type="default" r:id="rId9"/>
      <w:pgSz w:w="16834" w:h="11909" w:orient="landscape"/>
      <w:pgMar w:top="936" w:right="1008" w:bottom="792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F6B7A"/>
        <w:sz w:val="16"/>
      </w:rPr>
      <w:t>太极 Agent 功能竞争力预评价报告 | 内部备战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76" w:lineRule="auto"/>
      <w:ind w:left="720"/>
      <w:contextualSpacing/>
    </w:pPr>
    <w:rPr>
      <w:rFonts w:ascii="Arial" w:hAnsi="Arial" w:eastAsia="Microsoft YaHei"/>
      <w:color w:val="1F2933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 w:eastAsia="Microsoft YaHei"/>
      <w:color w:val="1F293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太极Agent功能竞争力预评价报告</dc:title>
  <dc:subject/>
  <dc:creator>Taiji Agent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