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1E669036" w:rsidR="002A2999" w:rsidRPr="00F4692B" w:rsidRDefault="003149B0" w:rsidP="000407E6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Module </w:t>
      </w:r>
      <w:r w:rsidR="00BE26F9">
        <w:rPr>
          <w:rFonts w:ascii="Calibri" w:eastAsiaTheme="majorEastAsia" w:hAnsi="Calibri" w:cstheme="majorBidi"/>
          <w:caps/>
          <w:spacing w:val="10"/>
          <w:sz w:val="52"/>
          <w:szCs w:val="52"/>
        </w:rPr>
        <w:t>D</w:t>
      </w:r>
      <w:r w:rsidR="00373A76">
        <w:rPr>
          <w:rFonts w:ascii="Calibri" w:eastAsiaTheme="majorEastAsia" w:hAnsi="Calibri" w:cstheme="majorBidi"/>
          <w:caps/>
          <w:spacing w:val="10"/>
          <w:sz w:val="52"/>
          <w:szCs w:val="52"/>
        </w:rPr>
        <w:t>1</w:t>
      </w: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BE26F9" w:rsidRPr="000B37AE">
        <w:rPr>
          <w:rFonts w:ascii="Calibri" w:eastAsiaTheme="majorEastAsia" w:hAnsi="Calibri" w:cstheme="majorBidi"/>
          <w:caps/>
          <w:spacing w:val="10"/>
          <w:sz w:val="52"/>
          <w:szCs w:val="52"/>
        </w:rPr>
        <w:t>Sandboxing and other techniques for the safe execution/opening of files of unknown origin and/or functionality.</w:t>
      </w:r>
    </w:p>
    <w:p w14:paraId="172DB88A" w14:textId="1687AA20" w:rsidR="002A2999" w:rsidRDefault="00283CA7" w:rsidP="000407E6">
      <w:pPr>
        <w:pStyle w:val="Heading1"/>
        <w:spacing w:beforeAutospacing="1" w:after="100" w:afterAutospacing="1" w:line="240" w:lineRule="auto"/>
      </w:pPr>
      <w:r>
        <w:t>SANDBOXING</w:t>
      </w:r>
    </w:p>
    <w:p w14:paraId="783D4055" w14:textId="5CA3EE72" w:rsidR="005233DE" w:rsidRPr="005233DE" w:rsidRDefault="005233DE" w:rsidP="000407E6">
      <w:pPr>
        <w:spacing w:beforeAutospacing="1" w:after="100" w:afterAutospacing="1" w:line="240" w:lineRule="auto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F4692B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</w:t>
      </w:r>
      <w:r w:rsidR="00BE26F9">
        <w:rPr>
          <w:sz w:val="24"/>
          <w:szCs w:val="24"/>
        </w:rPr>
        <w:t>see the effects of your analysis instruments on the sandbox and to minimize the effects of these instruments.</w:t>
      </w:r>
      <w:r>
        <w:rPr>
          <w:sz w:val="24"/>
          <w:szCs w:val="24"/>
        </w:rPr>
        <w:t xml:space="preserve"> </w:t>
      </w:r>
    </w:p>
    <w:p w14:paraId="25EF2CC7" w14:textId="3E602351" w:rsidR="002A2999" w:rsidRDefault="002A2999" w:rsidP="000407E6">
      <w:pPr>
        <w:spacing w:beforeAutospacing="1" w:after="100" w:afterAutospacing="1" w:line="240" w:lineRule="auto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7C40D1">
        <w:rPr>
          <w:sz w:val="24"/>
          <w:szCs w:val="24"/>
        </w:rPr>
        <w:t xml:space="preserve">This is intended to be an interactive lab with the instructor providing guidance to extend student demonstrations of </w:t>
      </w:r>
      <w:r w:rsidR="00876B73">
        <w:rPr>
          <w:sz w:val="24"/>
          <w:szCs w:val="24"/>
        </w:rPr>
        <w:t>very basic SRE skills</w:t>
      </w:r>
      <w:r>
        <w:rPr>
          <w:sz w:val="24"/>
          <w:szCs w:val="24"/>
        </w:rPr>
        <w:t xml:space="preserve">. </w:t>
      </w:r>
      <w:r w:rsidR="008D5A07">
        <w:rPr>
          <w:sz w:val="24"/>
          <w:szCs w:val="24"/>
        </w:rPr>
        <w:t>The exercise</w:t>
      </w:r>
      <w:r w:rsidR="007C40D1">
        <w:rPr>
          <w:sz w:val="24"/>
          <w:szCs w:val="24"/>
        </w:rPr>
        <w:t xml:space="preserve"> </w:t>
      </w:r>
      <w:r w:rsidR="008D5A07">
        <w:rPr>
          <w:sz w:val="24"/>
          <w:szCs w:val="24"/>
        </w:rPr>
        <w:t xml:space="preserve">should be run in a protected environment as it </w:t>
      </w:r>
      <w:r w:rsidR="00876B73">
        <w:rPr>
          <w:sz w:val="24"/>
          <w:szCs w:val="24"/>
        </w:rPr>
        <w:t>may deal with</w:t>
      </w:r>
      <w:r w:rsidR="008D5A07">
        <w:rPr>
          <w:sz w:val="24"/>
          <w:szCs w:val="24"/>
        </w:rPr>
        <w:t xml:space="preserve"> malware</w:t>
      </w:r>
      <w:r w:rsidR="007C40D1">
        <w:rPr>
          <w:sz w:val="24"/>
          <w:szCs w:val="24"/>
        </w:rPr>
        <w:t>.</w:t>
      </w:r>
      <w:r w:rsidR="00F4692B">
        <w:rPr>
          <w:sz w:val="24"/>
          <w:szCs w:val="24"/>
        </w:rPr>
        <w:t xml:space="preserve"> </w:t>
      </w:r>
      <w:r w:rsidR="008D5A07">
        <w:rPr>
          <w:sz w:val="24"/>
          <w:szCs w:val="24"/>
        </w:rPr>
        <w:t xml:space="preserve">It </w:t>
      </w:r>
      <w:r w:rsidR="007C40D1">
        <w:rPr>
          <w:sz w:val="24"/>
          <w:szCs w:val="24"/>
        </w:rPr>
        <w:t>can be run in the SRE class virtual environment</w:t>
      </w:r>
      <w:r w:rsidR="00BE26F9">
        <w:rPr>
          <w:sz w:val="24"/>
          <w:szCs w:val="24"/>
        </w:rPr>
        <w:t>.</w:t>
      </w:r>
      <w:r w:rsidR="00A34D2B">
        <w:rPr>
          <w:sz w:val="24"/>
          <w:szCs w:val="24"/>
        </w:rPr>
        <w:t xml:space="preserve"> </w:t>
      </w:r>
    </w:p>
    <w:p w14:paraId="18FD683C" w14:textId="75D79FF1" w:rsidR="00F4692B" w:rsidRPr="007C1F28" w:rsidRDefault="00F4692B" w:rsidP="000407E6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 1</w:t>
      </w:r>
    </w:p>
    <w:p w14:paraId="586AC58F" w14:textId="16CACF0B" w:rsidR="002A2999" w:rsidRPr="008D5A07" w:rsidRDefault="008D5A07" w:rsidP="000407E6">
      <w:pPr>
        <w:spacing w:beforeAutospacing="1" w:after="100" w:afterAutospacing="1" w:line="240" w:lineRule="auto"/>
        <w:rPr>
          <w:sz w:val="24"/>
          <w:szCs w:val="24"/>
        </w:rPr>
      </w:pPr>
      <w:r w:rsidRPr="008D5A07">
        <w:rPr>
          <w:sz w:val="24"/>
          <w:szCs w:val="24"/>
        </w:rPr>
        <w:t>The instructor needs to clearly express the following warning:</w:t>
      </w:r>
    </w:p>
    <w:p w14:paraId="7D759A7B" w14:textId="5E1BFD31" w:rsidR="008D5A07" w:rsidRPr="00F859BF" w:rsidRDefault="008D5A07" w:rsidP="000407E6">
      <w:pPr>
        <w:spacing w:beforeAutospacing="1" w:after="100" w:afterAutospacing="1" w:line="240" w:lineRule="auto"/>
        <w:rPr>
          <w:color w:val="FFFF00"/>
        </w:rPr>
      </w:pPr>
      <w:r w:rsidRPr="00F4692B">
        <w:rPr>
          <w:color w:val="FFFF00"/>
          <w:shd w:val="clear" w:color="auto" w:fill="0B0BF5"/>
        </w:rPr>
        <w:t>WARNING: The binary can be found in your VM, but can also be downloaded from </w:t>
      </w:r>
      <w:r w:rsidRPr="00F4692B">
        <w:rPr>
          <w:color w:val="FFFF00"/>
          <w:u w:val="single"/>
          <w:shd w:val="clear" w:color="auto" w:fill="0B0BF5"/>
        </w:rPr>
        <w:t>https://nullify.cc/binary.exe</w:t>
      </w:r>
      <w:r w:rsidR="00B928FE">
        <w:rPr>
          <w:color w:val="FFFF00"/>
          <w:u w:val="single"/>
          <w:shd w:val="clear" w:color="auto" w:fill="0B0BF5"/>
        </w:rPr>
        <w:t xml:space="preserve"> </w:t>
      </w:r>
      <w:r w:rsidRPr="00F4692B">
        <w:rPr>
          <w:color w:val="FFFF00"/>
          <w:shd w:val="clear" w:color="auto" w:fill="0B0BF5"/>
        </w:rPr>
        <w:t>NOTE: this is not a benign binary, and may trigger Anti-Virus or other similar security tools.</w:t>
      </w:r>
      <w:r w:rsidR="00F4692B">
        <w:rPr>
          <w:color w:val="FFFF00"/>
          <w:shd w:val="clear" w:color="auto" w:fill="0B0BF5"/>
        </w:rPr>
        <w:t xml:space="preserve"> </w:t>
      </w:r>
      <w:r w:rsidRPr="00F4692B">
        <w:rPr>
          <w:color w:val="FFFF00"/>
          <w:shd w:val="clear" w:color="auto" w:fill="0B0BF5"/>
        </w:rPr>
        <w:t>DO NOT EXECUTE THIS BINARY ON ANY SYSTEM.</w:t>
      </w:r>
      <w:r w:rsidR="00F4692B">
        <w:rPr>
          <w:color w:val="FFFF00"/>
          <w:shd w:val="clear" w:color="auto" w:fill="0B0BF5"/>
        </w:rPr>
        <w:t xml:space="preserve"> </w:t>
      </w:r>
      <w:r w:rsidRPr="00F4692B">
        <w:rPr>
          <w:color w:val="FFFF00"/>
          <w:shd w:val="clear" w:color="auto" w:fill="0B0BF5"/>
        </w:rPr>
        <w:t>The safest approach is to examine this within the environment you have been provided.</w:t>
      </w:r>
    </w:p>
    <w:p w14:paraId="1329E06F" w14:textId="0903C109" w:rsidR="002A2999" w:rsidRPr="007C1F28" w:rsidRDefault="002A2999" w:rsidP="000407E6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07160279" w14:textId="57CDB7B3" w:rsidR="00F4692B" w:rsidRPr="000407E6" w:rsidRDefault="00BE26F9" w:rsidP="000407E6">
      <w:pPr>
        <w:pStyle w:val="Heading1"/>
        <w:spacing w:beforeAutospacing="1" w:after="100" w:afterAutospacing="1" w:line="240" w:lineRule="auto"/>
        <w:rPr>
          <w:sz w:val="28"/>
        </w:rPr>
      </w:pPr>
      <w:r>
        <w:t>Exercise:</w:t>
      </w:r>
    </w:p>
    <w:p w14:paraId="1A05E5A6" w14:textId="582463D0" w:rsidR="00BE26F9" w:rsidRPr="004B55C4" w:rsidRDefault="00BE26F9" w:rsidP="000407E6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sz w:val="24"/>
        </w:rPr>
      </w:pPr>
      <w:r w:rsidRPr="004B55C4">
        <w:rPr>
          <w:sz w:val="24"/>
        </w:rPr>
        <w:t>In your SysInternals folder, launch</w:t>
      </w:r>
      <w:r>
        <w:rPr>
          <w:sz w:val="24"/>
        </w:rPr>
        <w:t>, and</w:t>
      </w:r>
      <w:r w:rsidRPr="004B55C4">
        <w:rPr>
          <w:sz w:val="24"/>
        </w:rPr>
        <w:t xml:space="preserve"> then close procexp.exe and procmon.exe</w:t>
      </w:r>
    </w:p>
    <w:p w14:paraId="6F47D304" w14:textId="77777777" w:rsidR="00BE26F9" w:rsidRPr="004B55C4" w:rsidRDefault="00BE26F9" w:rsidP="000407E6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sz w:val="24"/>
        </w:rPr>
      </w:pPr>
      <w:r w:rsidRPr="004B55C4">
        <w:rPr>
          <w:sz w:val="24"/>
        </w:rPr>
        <w:t>Launch and then close IDA Pro</w:t>
      </w:r>
    </w:p>
    <w:p w14:paraId="317725C2" w14:textId="77777777" w:rsidR="00BE26F9" w:rsidRPr="004B55C4" w:rsidRDefault="00BE26F9" w:rsidP="000407E6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sz w:val="24"/>
        </w:rPr>
      </w:pPr>
      <w:r w:rsidRPr="004B55C4">
        <w:rPr>
          <w:sz w:val="24"/>
        </w:rPr>
        <w:t>Launch and then close Immunity Debugger</w:t>
      </w:r>
    </w:p>
    <w:p w14:paraId="42F04D22" w14:textId="77777777" w:rsidR="00BE26F9" w:rsidRPr="004B55C4" w:rsidRDefault="00BE26F9" w:rsidP="000407E6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sz w:val="24"/>
        </w:rPr>
      </w:pPr>
      <w:r w:rsidRPr="004B55C4">
        <w:rPr>
          <w:sz w:val="24"/>
        </w:rPr>
        <w:t>Now take a snapshot of the Windows registry using regshot</w:t>
      </w:r>
    </w:p>
    <w:p w14:paraId="17CBDA09" w14:textId="77777777" w:rsidR="00BE26F9" w:rsidRPr="004B55C4" w:rsidRDefault="00BE26F9" w:rsidP="000407E6">
      <w:pPr>
        <w:pStyle w:val="ListParagraph"/>
        <w:numPr>
          <w:ilvl w:val="1"/>
          <w:numId w:val="16"/>
        </w:numPr>
        <w:spacing w:beforeAutospacing="1" w:after="100" w:afterAutospacing="1" w:line="240" w:lineRule="auto"/>
        <w:rPr>
          <w:sz w:val="24"/>
        </w:rPr>
      </w:pPr>
      <w:r w:rsidRPr="004B55C4">
        <w:rPr>
          <w:sz w:val="24"/>
        </w:rPr>
        <w:t>Launch regshot</w:t>
      </w:r>
    </w:p>
    <w:p w14:paraId="02784618" w14:textId="77777777" w:rsidR="00BE26F9" w:rsidRPr="004B55C4" w:rsidRDefault="00BE26F9" w:rsidP="000407E6">
      <w:pPr>
        <w:pStyle w:val="ListParagraph"/>
        <w:numPr>
          <w:ilvl w:val="1"/>
          <w:numId w:val="16"/>
        </w:numPr>
        <w:spacing w:beforeAutospacing="1" w:after="100" w:afterAutospacing="1" w:line="240" w:lineRule="auto"/>
        <w:rPr>
          <w:sz w:val="24"/>
        </w:rPr>
      </w:pPr>
      <w:r w:rsidRPr="004B55C4">
        <w:rPr>
          <w:sz w:val="24"/>
        </w:rPr>
        <w:lastRenderedPageBreak/>
        <w:t>Choose the HTML document format</w:t>
      </w:r>
    </w:p>
    <w:p w14:paraId="5B25AA62" w14:textId="77777777" w:rsidR="00BE26F9" w:rsidRPr="004B55C4" w:rsidRDefault="00BE26F9" w:rsidP="000407E6">
      <w:pPr>
        <w:pStyle w:val="ListParagraph"/>
        <w:numPr>
          <w:ilvl w:val="1"/>
          <w:numId w:val="16"/>
        </w:numPr>
        <w:spacing w:beforeAutospacing="1" w:after="100" w:afterAutospacing="1" w:line="240" w:lineRule="auto"/>
        <w:rPr>
          <w:sz w:val="24"/>
        </w:rPr>
      </w:pPr>
      <w:r w:rsidRPr="004B55C4">
        <w:rPr>
          <w:sz w:val="24"/>
        </w:rPr>
        <w:t>Choose 1st shot (no need to save)</w:t>
      </w:r>
    </w:p>
    <w:p w14:paraId="4F065D20" w14:textId="69F555D1" w:rsidR="00BE26F9" w:rsidRDefault="00BE26F9" w:rsidP="000407E6">
      <w:pPr>
        <w:spacing w:beforeAutospacing="1" w:after="100" w:afterAutospacing="1" w:line="240" w:lineRule="auto"/>
        <w:ind w:firstLine="360"/>
        <w:rPr>
          <w:sz w:val="24"/>
        </w:rPr>
      </w:pPr>
      <w:r w:rsidRPr="00DB30C2">
        <w:rPr>
          <w:sz w:val="24"/>
        </w:rPr>
        <w:t xml:space="preserve">(You have </w:t>
      </w:r>
      <w:r>
        <w:rPr>
          <w:sz w:val="24"/>
        </w:rPr>
        <w:t xml:space="preserve">now </w:t>
      </w:r>
      <w:r w:rsidRPr="00601FD1">
        <w:rPr>
          <w:sz w:val="24"/>
        </w:rPr>
        <w:t>captured the state of the registry prior to infection.)</w:t>
      </w:r>
    </w:p>
    <w:p w14:paraId="0BDDEE47" w14:textId="0684038C" w:rsidR="009979CC" w:rsidRPr="009979CC" w:rsidRDefault="009979CC" w:rsidP="000407E6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sz w:val="24"/>
        </w:rPr>
      </w:pPr>
      <w:r>
        <w:rPr>
          <w:sz w:val="24"/>
        </w:rPr>
        <w:t>Open a new program (can be a malware sample, or can be something benign, like Microsoft Word or a browser)</w:t>
      </w:r>
    </w:p>
    <w:p w14:paraId="422F7834" w14:textId="77777777" w:rsidR="00BE26F9" w:rsidRPr="00601FD1" w:rsidRDefault="00BE26F9" w:rsidP="000407E6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sz w:val="24"/>
        </w:rPr>
      </w:pPr>
      <w:r w:rsidRPr="00601FD1">
        <w:rPr>
          <w:sz w:val="24"/>
        </w:rPr>
        <w:t>Launch procexp.exe to see a list of processes running on the Windows system</w:t>
      </w:r>
    </w:p>
    <w:p w14:paraId="32234C17" w14:textId="19F206BB" w:rsidR="00BE26F9" w:rsidRPr="00601FD1" w:rsidRDefault="00BE26F9" w:rsidP="000407E6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sz w:val="24"/>
        </w:rPr>
      </w:pPr>
      <w:r w:rsidRPr="00601FD1">
        <w:rPr>
          <w:sz w:val="24"/>
        </w:rPr>
        <w:t>Launch procmon.exe to see a list of events taking place on the system.</w:t>
      </w:r>
      <w:r w:rsidR="00F4692B">
        <w:rPr>
          <w:sz w:val="24"/>
        </w:rPr>
        <w:t xml:space="preserve"> </w:t>
      </w:r>
      <w:r w:rsidRPr="00601FD1">
        <w:rPr>
          <w:sz w:val="24"/>
        </w:rPr>
        <w:t>(procmon will generate a lot of noise so we will build a filter to focus on just the events generated by our malware)</w:t>
      </w:r>
    </w:p>
    <w:p w14:paraId="0F2AE919" w14:textId="77777777" w:rsidR="00BE26F9" w:rsidRPr="00601FD1" w:rsidRDefault="00BE26F9" w:rsidP="000407E6">
      <w:pPr>
        <w:pStyle w:val="ListParagraph"/>
        <w:spacing w:beforeAutospacing="1" w:after="100" w:afterAutospacing="1" w:line="240" w:lineRule="auto"/>
        <w:rPr>
          <w:sz w:val="24"/>
        </w:rPr>
      </w:pPr>
    </w:p>
    <w:p w14:paraId="7C3D1648" w14:textId="77777777" w:rsidR="00BE26F9" w:rsidRPr="00601FD1" w:rsidRDefault="00BE26F9" w:rsidP="000407E6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</w:rPr>
      </w:pPr>
      <w:r w:rsidRPr="00601FD1">
        <w:rPr>
          <w:sz w:val="24"/>
        </w:rPr>
        <w:t>Open the filter dialog (Ctrl-L)</w:t>
      </w:r>
    </w:p>
    <w:p w14:paraId="08349717" w14:textId="5E7DDF40" w:rsidR="00BE26F9" w:rsidRPr="00601FD1" w:rsidRDefault="00BE26F9" w:rsidP="000407E6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</w:rPr>
      </w:pPr>
      <w:r w:rsidRPr="00601FD1">
        <w:rPr>
          <w:sz w:val="24"/>
        </w:rPr>
        <w:t xml:space="preserve">Use the editing tools at the top of the dialog to create a filter that </w:t>
      </w:r>
      <w:r w:rsidR="009979CC">
        <w:rPr>
          <w:sz w:val="24"/>
        </w:rPr>
        <w:t>to show results from your chosen process</w:t>
      </w:r>
    </w:p>
    <w:p w14:paraId="41A73010" w14:textId="15272128" w:rsidR="00BE26F9" w:rsidRPr="000407E6" w:rsidRDefault="00BE26F9" w:rsidP="000407E6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</w:rPr>
      </w:pPr>
      <w:r w:rsidRPr="00601FD1">
        <w:rPr>
          <w:sz w:val="24"/>
        </w:rPr>
        <w:t>Click the Add button, then click OK.</w:t>
      </w:r>
    </w:p>
    <w:p w14:paraId="7D843221" w14:textId="350E70D2" w:rsidR="002A2999" w:rsidRDefault="002A2999" w:rsidP="000407E6">
      <w:pPr>
        <w:pStyle w:val="Heading1"/>
        <w:spacing w:beforeAutospacing="1" w:after="100" w:afterAutospacing="1" w:line="240" w:lineRule="auto"/>
      </w:pPr>
      <w:r w:rsidRPr="00517993">
        <w:t>What to submit</w:t>
      </w:r>
    </w:p>
    <w:p w14:paraId="3B6E5481" w14:textId="3B811C5F" w:rsidR="00876B73" w:rsidRDefault="00876B73" w:rsidP="000407E6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Instructor Notes:</w:t>
      </w:r>
      <w:r w:rsidR="00F4692B">
        <w:rPr>
          <w:sz w:val="24"/>
          <w:szCs w:val="24"/>
        </w:rPr>
        <w:t xml:space="preserve"> </w:t>
      </w:r>
      <w:r w:rsidR="00515892">
        <w:rPr>
          <w:sz w:val="24"/>
          <w:szCs w:val="24"/>
        </w:rPr>
        <w:t>This example includes dynamic analysis of malware.</w:t>
      </w:r>
      <w:r w:rsidR="00F4692B">
        <w:rPr>
          <w:sz w:val="24"/>
          <w:szCs w:val="24"/>
        </w:rPr>
        <w:t xml:space="preserve"> </w:t>
      </w:r>
    </w:p>
    <w:p w14:paraId="252708A3" w14:textId="4FDAE42F" w:rsidR="00876B73" w:rsidRDefault="00876B73" w:rsidP="000407E6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For this reason, t</w:t>
      </w:r>
      <w:r w:rsidR="0044493F">
        <w:rPr>
          <w:sz w:val="24"/>
          <w:szCs w:val="24"/>
        </w:rPr>
        <w:t xml:space="preserve">his is intended to be an in-class exercise with the instructor and students </w:t>
      </w:r>
      <w:r>
        <w:rPr>
          <w:sz w:val="24"/>
          <w:szCs w:val="24"/>
        </w:rPr>
        <w:t xml:space="preserve">working on the </w:t>
      </w:r>
      <w:r w:rsidR="00515892">
        <w:rPr>
          <w:sz w:val="24"/>
          <w:szCs w:val="24"/>
        </w:rPr>
        <w:t>assignment</w:t>
      </w:r>
      <w:r w:rsidR="0044493F">
        <w:rPr>
          <w:sz w:val="24"/>
          <w:szCs w:val="24"/>
        </w:rPr>
        <w:t xml:space="preserve"> </w:t>
      </w:r>
      <w:r>
        <w:rPr>
          <w:sz w:val="24"/>
          <w:szCs w:val="24"/>
        </w:rPr>
        <w:t>in parallel to ensure that the learning objectives for this module are met (rather than measuring a student’s ability to search the web.)</w:t>
      </w:r>
    </w:p>
    <w:p w14:paraId="3840CACD" w14:textId="744B85D2" w:rsidR="00A34D2B" w:rsidRPr="00AF72A1" w:rsidRDefault="00A34D2B" w:rsidP="000407E6">
      <w:pPr>
        <w:spacing w:beforeAutospacing="1" w:after="100" w:afterAutospacing="1" w:line="240" w:lineRule="auto"/>
        <w:rPr>
          <w:b/>
          <w:sz w:val="24"/>
          <w:szCs w:val="24"/>
        </w:rPr>
      </w:pPr>
      <w:r w:rsidRPr="00AF72A1">
        <w:rPr>
          <w:b/>
          <w:sz w:val="24"/>
          <w:szCs w:val="24"/>
        </w:rPr>
        <w:t xml:space="preserve">Options – </w:t>
      </w:r>
    </w:p>
    <w:p w14:paraId="21FD8996" w14:textId="304298E3" w:rsidR="00515892" w:rsidRDefault="00515892" w:rsidP="000407E6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Instructors can require students t</w:t>
      </w:r>
      <w:bookmarkStart w:id="1" w:name="_GoBack"/>
      <w:bookmarkEnd w:id="1"/>
      <w:r>
        <w:rPr>
          <w:sz w:val="24"/>
          <w:szCs w:val="24"/>
        </w:rPr>
        <w:t>o answer the following questions (or similar) to demonstrate that they have met the objectives:</w:t>
      </w:r>
    </w:p>
    <w:p w14:paraId="7AF224AC" w14:textId="07F758D6" w:rsidR="00515892" w:rsidRPr="006721C2" w:rsidRDefault="00515892" w:rsidP="000407E6">
      <w:pPr>
        <w:pStyle w:val="ListParagraph"/>
        <w:numPr>
          <w:ilvl w:val="0"/>
          <w:numId w:val="18"/>
        </w:numPr>
        <w:spacing w:beforeAutospacing="1" w:after="100" w:afterAutospacing="1" w:line="240" w:lineRule="auto"/>
        <w:rPr>
          <w:sz w:val="24"/>
        </w:rPr>
      </w:pPr>
      <w:r w:rsidRPr="0008485B">
        <w:rPr>
          <w:sz w:val="24"/>
        </w:rPr>
        <w:t>What is the purpose of opening and closing tools without performing any additional actions with the tools?</w:t>
      </w:r>
    </w:p>
    <w:sectPr w:rsidR="00515892" w:rsidRPr="006721C2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D3047" w14:textId="77777777" w:rsidR="002176A0" w:rsidRDefault="002176A0">
      <w:r>
        <w:separator/>
      </w:r>
    </w:p>
  </w:endnote>
  <w:endnote w:type="continuationSeparator" w:id="0">
    <w:p w14:paraId="75A8C086" w14:textId="77777777" w:rsidR="002176A0" w:rsidRDefault="0021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180B6A65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0407E6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2DCF47E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692B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4A810E58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2176A0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C55E13E" w14:textId="5C325A15" w:rsidR="002A2999" w:rsidRPr="00D40DB9" w:rsidRDefault="00F4692B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4D8C210D" wp14:editId="13DCC8F7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1F3C5" w14:textId="77777777" w:rsidR="002176A0" w:rsidRDefault="002176A0">
      <w:r>
        <w:separator/>
      </w:r>
    </w:p>
  </w:footnote>
  <w:footnote w:type="continuationSeparator" w:id="0">
    <w:p w14:paraId="19F8BCB3" w14:textId="77777777" w:rsidR="002176A0" w:rsidRDefault="00217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9FB"/>
    <w:multiLevelType w:val="hybridMultilevel"/>
    <w:tmpl w:val="A9EEBD94"/>
    <w:lvl w:ilvl="0" w:tplc="DB6C6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4D54F2F"/>
    <w:multiLevelType w:val="hybridMultilevel"/>
    <w:tmpl w:val="E5AA5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F3782"/>
    <w:multiLevelType w:val="hybridMultilevel"/>
    <w:tmpl w:val="23C4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1"/>
  </w:num>
  <w:num w:numId="5">
    <w:abstractNumId w:val="16"/>
  </w:num>
  <w:num w:numId="6">
    <w:abstractNumId w:val="15"/>
  </w:num>
  <w:num w:numId="7">
    <w:abstractNumId w:val="3"/>
  </w:num>
  <w:num w:numId="8">
    <w:abstractNumId w:val="1"/>
  </w:num>
  <w:num w:numId="9">
    <w:abstractNumId w:val="5"/>
  </w:num>
  <w:num w:numId="10">
    <w:abstractNumId w:val="17"/>
  </w:num>
  <w:num w:numId="11">
    <w:abstractNumId w:val="12"/>
  </w:num>
  <w:num w:numId="12">
    <w:abstractNumId w:val="2"/>
  </w:num>
  <w:num w:numId="13">
    <w:abstractNumId w:val="14"/>
  </w:num>
  <w:num w:numId="14">
    <w:abstractNumId w:val="6"/>
  </w:num>
  <w:num w:numId="15">
    <w:abstractNumId w:val="8"/>
  </w:num>
  <w:num w:numId="16">
    <w:abstractNumId w:val="10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D4"/>
    <w:rsid w:val="00006B32"/>
    <w:rsid w:val="00010706"/>
    <w:rsid w:val="000211A1"/>
    <w:rsid w:val="000407E6"/>
    <w:rsid w:val="000A4BDE"/>
    <w:rsid w:val="000D6E7E"/>
    <w:rsid w:val="000F2971"/>
    <w:rsid w:val="000F3AD6"/>
    <w:rsid w:val="001242F6"/>
    <w:rsid w:val="001327D7"/>
    <w:rsid w:val="001C5A11"/>
    <w:rsid w:val="001E68C2"/>
    <w:rsid w:val="0020119C"/>
    <w:rsid w:val="0020324C"/>
    <w:rsid w:val="002176A0"/>
    <w:rsid w:val="00226247"/>
    <w:rsid w:val="00283CA7"/>
    <w:rsid w:val="0029208D"/>
    <w:rsid w:val="002A2999"/>
    <w:rsid w:val="002C4B43"/>
    <w:rsid w:val="002E41EC"/>
    <w:rsid w:val="002E7E76"/>
    <w:rsid w:val="002F2CEF"/>
    <w:rsid w:val="00313533"/>
    <w:rsid w:val="003149B0"/>
    <w:rsid w:val="0032640A"/>
    <w:rsid w:val="00347B71"/>
    <w:rsid w:val="00373A76"/>
    <w:rsid w:val="003A066E"/>
    <w:rsid w:val="003C4E7E"/>
    <w:rsid w:val="003C57A9"/>
    <w:rsid w:val="00404576"/>
    <w:rsid w:val="0044493F"/>
    <w:rsid w:val="004B0A21"/>
    <w:rsid w:val="004C0EFC"/>
    <w:rsid w:val="0051152D"/>
    <w:rsid w:val="00515892"/>
    <w:rsid w:val="0051761D"/>
    <w:rsid w:val="00517993"/>
    <w:rsid w:val="005221D0"/>
    <w:rsid w:val="005233DE"/>
    <w:rsid w:val="0052471D"/>
    <w:rsid w:val="00545D68"/>
    <w:rsid w:val="00593E74"/>
    <w:rsid w:val="005B588F"/>
    <w:rsid w:val="005E329B"/>
    <w:rsid w:val="00637983"/>
    <w:rsid w:val="00643963"/>
    <w:rsid w:val="00663D33"/>
    <w:rsid w:val="006721C2"/>
    <w:rsid w:val="006D3E1E"/>
    <w:rsid w:val="006E378B"/>
    <w:rsid w:val="006E392E"/>
    <w:rsid w:val="00714366"/>
    <w:rsid w:val="00751B0B"/>
    <w:rsid w:val="007B5098"/>
    <w:rsid w:val="007C1F28"/>
    <w:rsid w:val="007C40D1"/>
    <w:rsid w:val="007F4A7C"/>
    <w:rsid w:val="008308D9"/>
    <w:rsid w:val="00850A4E"/>
    <w:rsid w:val="008678B8"/>
    <w:rsid w:val="00876B73"/>
    <w:rsid w:val="008B6969"/>
    <w:rsid w:val="008C72D2"/>
    <w:rsid w:val="008C7E92"/>
    <w:rsid w:val="008D2ADF"/>
    <w:rsid w:val="008D5430"/>
    <w:rsid w:val="008D5A07"/>
    <w:rsid w:val="0092482E"/>
    <w:rsid w:val="0095227A"/>
    <w:rsid w:val="0096469A"/>
    <w:rsid w:val="009979CC"/>
    <w:rsid w:val="009B1AE2"/>
    <w:rsid w:val="00A02C4C"/>
    <w:rsid w:val="00A252FA"/>
    <w:rsid w:val="00A34D2B"/>
    <w:rsid w:val="00A517CC"/>
    <w:rsid w:val="00A565F1"/>
    <w:rsid w:val="00A621B6"/>
    <w:rsid w:val="00A66CF8"/>
    <w:rsid w:val="00A76C1E"/>
    <w:rsid w:val="00A7799E"/>
    <w:rsid w:val="00AF72A1"/>
    <w:rsid w:val="00B10FD5"/>
    <w:rsid w:val="00B11EB6"/>
    <w:rsid w:val="00B70DE3"/>
    <w:rsid w:val="00B71E53"/>
    <w:rsid w:val="00B928FE"/>
    <w:rsid w:val="00B94610"/>
    <w:rsid w:val="00BA6B8E"/>
    <w:rsid w:val="00BB7A64"/>
    <w:rsid w:val="00BC3835"/>
    <w:rsid w:val="00BE26F9"/>
    <w:rsid w:val="00BE6ED4"/>
    <w:rsid w:val="00C228D3"/>
    <w:rsid w:val="00C27DAD"/>
    <w:rsid w:val="00CC184F"/>
    <w:rsid w:val="00CD551A"/>
    <w:rsid w:val="00D07D29"/>
    <w:rsid w:val="00D37AD7"/>
    <w:rsid w:val="00D40DB9"/>
    <w:rsid w:val="00D73DE0"/>
    <w:rsid w:val="00D86D64"/>
    <w:rsid w:val="00D96113"/>
    <w:rsid w:val="00D9671A"/>
    <w:rsid w:val="00DC0C38"/>
    <w:rsid w:val="00DD03EF"/>
    <w:rsid w:val="00DF2652"/>
    <w:rsid w:val="00E13F36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0397B"/>
    <w:rsid w:val="00F4692B"/>
    <w:rsid w:val="00F652FA"/>
    <w:rsid w:val="00F859BF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A92392A-7D12-4FAB-8909-052EE8FF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F4692B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4692B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36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14</cp:revision>
  <cp:lastPrinted>2018-02-27T15:56:00Z</cp:lastPrinted>
  <dcterms:created xsi:type="dcterms:W3CDTF">2018-02-27T15:59:00Z</dcterms:created>
  <dcterms:modified xsi:type="dcterms:W3CDTF">2019-12-17T15:47:00Z</dcterms:modified>
</cp:coreProperties>
</file>