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EF" w:rsidRPr="009A35A1" w:rsidRDefault="00C501EF" w:rsidP="007E2639">
      <w:pPr>
        <w:tabs>
          <w:tab w:val="left" w:pos="180"/>
          <w:tab w:val="left" w:pos="450"/>
        </w:tabs>
        <w:spacing w:before="100" w:beforeAutospacing="1" w:after="100" w:afterAutospacing="1"/>
        <w:ind w:right="3"/>
        <w:rPr>
          <w:rFonts w:asciiTheme="minorHAnsi" w:hAnsiTheme="minorHAnsi" w:cstheme="minorHAnsi"/>
          <w:b/>
          <w:sz w:val="22"/>
          <w:szCs w:val="22"/>
        </w:rPr>
      </w:pPr>
    </w:p>
    <w:p w:rsidR="00E61EA5" w:rsidRPr="009A35A1" w:rsidRDefault="00E61EA5" w:rsidP="007E2639">
      <w:pPr>
        <w:tabs>
          <w:tab w:val="left" w:pos="180"/>
          <w:tab w:val="left" w:pos="450"/>
        </w:tabs>
        <w:spacing w:before="100" w:beforeAutospacing="1" w:after="100" w:afterAutospacing="1"/>
        <w:ind w:right="3"/>
        <w:rPr>
          <w:rFonts w:asciiTheme="minorHAnsi" w:hAnsiTheme="minorHAnsi" w:cstheme="minorHAnsi"/>
          <w:b/>
          <w:sz w:val="22"/>
          <w:szCs w:val="22"/>
        </w:rPr>
      </w:pPr>
    </w:p>
    <w:p w:rsidR="00E61EA5" w:rsidRPr="009A35A1" w:rsidRDefault="00E61EA5" w:rsidP="007E2639">
      <w:pPr>
        <w:tabs>
          <w:tab w:val="left" w:pos="180"/>
          <w:tab w:val="left" w:pos="450"/>
        </w:tabs>
        <w:spacing w:before="100" w:beforeAutospacing="1" w:after="100" w:afterAutospacing="1"/>
        <w:ind w:right="3"/>
        <w:rPr>
          <w:rFonts w:asciiTheme="minorHAnsi" w:hAnsiTheme="minorHAnsi" w:cstheme="minorHAnsi"/>
          <w:b/>
          <w:sz w:val="22"/>
          <w:szCs w:val="22"/>
        </w:rPr>
      </w:pPr>
    </w:p>
    <w:p w:rsidR="00E61EA5" w:rsidRPr="009A35A1" w:rsidRDefault="00E61EA5" w:rsidP="007E2639">
      <w:pPr>
        <w:tabs>
          <w:tab w:val="left" w:pos="180"/>
          <w:tab w:val="left" w:pos="450"/>
        </w:tabs>
        <w:spacing w:before="100" w:beforeAutospacing="1" w:after="100" w:afterAutospacing="1"/>
        <w:ind w:right="3"/>
        <w:rPr>
          <w:rFonts w:asciiTheme="minorHAnsi" w:hAnsiTheme="minorHAnsi" w:cstheme="minorHAnsi"/>
          <w:b/>
          <w:sz w:val="22"/>
          <w:szCs w:val="22"/>
        </w:rPr>
      </w:pPr>
    </w:p>
    <w:p w:rsidR="00E61EA5" w:rsidRPr="009A35A1" w:rsidRDefault="00E61EA5" w:rsidP="007E2639">
      <w:pPr>
        <w:tabs>
          <w:tab w:val="left" w:pos="180"/>
          <w:tab w:val="left" w:pos="450"/>
        </w:tabs>
        <w:spacing w:before="100" w:beforeAutospacing="1" w:after="100" w:afterAutospacing="1"/>
        <w:ind w:right="3"/>
        <w:rPr>
          <w:rFonts w:asciiTheme="minorHAnsi" w:hAnsiTheme="minorHAnsi" w:cstheme="minorHAnsi"/>
          <w:b/>
          <w:sz w:val="22"/>
          <w:szCs w:val="22"/>
        </w:rPr>
      </w:pPr>
    </w:p>
    <w:p w:rsidR="00E61EA5" w:rsidRPr="009A35A1" w:rsidRDefault="00E61EA5" w:rsidP="007E2639">
      <w:pPr>
        <w:tabs>
          <w:tab w:val="left" w:pos="180"/>
          <w:tab w:val="left" w:pos="450"/>
        </w:tabs>
        <w:spacing w:before="100" w:beforeAutospacing="1" w:after="100" w:afterAutospacing="1"/>
        <w:ind w:right="3"/>
        <w:rPr>
          <w:rFonts w:asciiTheme="minorHAnsi" w:hAnsiTheme="minorHAnsi" w:cstheme="minorHAnsi"/>
          <w:b/>
          <w:sz w:val="48"/>
          <w:szCs w:val="48"/>
        </w:rPr>
      </w:pPr>
    </w:p>
    <w:p w:rsidR="00824511" w:rsidRPr="009A35A1" w:rsidRDefault="00EF1FDE" w:rsidP="00AC06C5">
      <w:pPr>
        <w:tabs>
          <w:tab w:val="left" w:pos="180"/>
          <w:tab w:val="left" w:pos="450"/>
        </w:tabs>
        <w:spacing w:before="100" w:beforeAutospacing="1" w:after="100" w:afterAutospacing="1"/>
        <w:ind w:right="3"/>
        <w:jc w:val="center"/>
        <w:rPr>
          <w:rFonts w:asciiTheme="minorHAnsi" w:hAnsiTheme="minorHAnsi" w:cstheme="minorHAnsi"/>
          <w:b/>
          <w:color w:val="002060"/>
          <w:sz w:val="48"/>
          <w:szCs w:val="48"/>
        </w:rPr>
      </w:pPr>
      <w:r w:rsidRPr="009A35A1">
        <w:rPr>
          <w:rFonts w:asciiTheme="minorHAnsi" w:hAnsiTheme="minorHAnsi" w:cstheme="minorHAnsi"/>
          <w:b/>
          <w:color w:val="002060"/>
          <w:sz w:val="48"/>
          <w:szCs w:val="48"/>
        </w:rPr>
        <w:t>LEGAL</w:t>
      </w:r>
      <w:r w:rsidR="00AC06C5" w:rsidRPr="009A35A1">
        <w:rPr>
          <w:rFonts w:asciiTheme="minorHAnsi" w:hAnsiTheme="minorHAnsi" w:cstheme="minorHAnsi"/>
          <w:b/>
          <w:color w:val="002060"/>
          <w:sz w:val="48"/>
          <w:szCs w:val="48"/>
        </w:rPr>
        <w:t xml:space="preserve"> </w:t>
      </w:r>
      <w:r w:rsidR="00B57A55" w:rsidRPr="009A35A1">
        <w:rPr>
          <w:rFonts w:asciiTheme="minorHAnsi" w:hAnsiTheme="minorHAnsi" w:cstheme="minorHAnsi"/>
          <w:b/>
          <w:color w:val="002060"/>
          <w:sz w:val="48"/>
          <w:szCs w:val="48"/>
        </w:rPr>
        <w:t xml:space="preserve">AND REGULATORY </w:t>
      </w:r>
      <w:r w:rsidR="009A3F42" w:rsidRPr="009A35A1">
        <w:rPr>
          <w:rFonts w:asciiTheme="minorHAnsi" w:hAnsiTheme="minorHAnsi" w:cstheme="minorHAnsi"/>
          <w:b/>
          <w:color w:val="002060"/>
          <w:sz w:val="48"/>
          <w:szCs w:val="48"/>
        </w:rPr>
        <w:t xml:space="preserve">COMPLIANCE </w:t>
      </w:r>
      <w:r w:rsidR="00A55187" w:rsidRPr="009A35A1">
        <w:rPr>
          <w:rFonts w:asciiTheme="minorHAnsi" w:hAnsiTheme="minorHAnsi" w:cstheme="minorHAnsi"/>
          <w:b/>
          <w:color w:val="002060"/>
          <w:sz w:val="48"/>
          <w:szCs w:val="48"/>
        </w:rPr>
        <w:t xml:space="preserve">POLICY </w:t>
      </w:r>
      <w:r w:rsidR="000D244D">
        <w:rPr>
          <w:rFonts w:asciiTheme="minorHAnsi" w:hAnsiTheme="minorHAnsi" w:cstheme="minorHAnsi"/>
          <w:b/>
          <w:color w:val="002060"/>
          <w:sz w:val="48"/>
          <w:szCs w:val="48"/>
        </w:rPr>
        <w:t>AND PROCEDURE</w:t>
      </w:r>
    </w:p>
    <w:p w:rsidR="00E61EA5" w:rsidRPr="00001C42" w:rsidRDefault="00824511" w:rsidP="00001C42">
      <w:pPr>
        <w:tabs>
          <w:tab w:val="left" w:pos="180"/>
          <w:tab w:val="left" w:pos="450"/>
        </w:tabs>
        <w:spacing w:before="100" w:beforeAutospacing="1" w:after="100" w:afterAutospacing="1"/>
        <w:ind w:right="3"/>
        <w:jc w:val="center"/>
        <w:rPr>
          <w:rFonts w:asciiTheme="minorHAnsi" w:hAnsiTheme="minorHAnsi" w:cstheme="minorHAnsi"/>
          <w:b/>
          <w:color w:val="002060"/>
          <w:sz w:val="48"/>
          <w:szCs w:val="48"/>
        </w:rPr>
      </w:pPr>
      <w:r w:rsidRPr="009A35A1">
        <w:rPr>
          <w:rFonts w:asciiTheme="minorHAnsi" w:hAnsiTheme="minorHAnsi" w:cstheme="minorHAnsi"/>
          <w:b/>
          <w:color w:val="002060"/>
          <w:sz w:val="48"/>
          <w:szCs w:val="48"/>
        </w:rPr>
        <w:t>QHP104</w:t>
      </w:r>
      <w:bookmarkStart w:id="0" w:name="_Toc317069139"/>
    </w:p>
    <w:p w:rsidR="00E61EA5" w:rsidRPr="009A35A1" w:rsidRDefault="00E61EA5">
      <w:pPr>
        <w:spacing w:after="200" w:line="276" w:lineRule="auto"/>
        <w:rPr>
          <w:rFonts w:asciiTheme="minorHAnsi" w:hAnsiTheme="minorHAnsi" w:cstheme="minorHAnsi"/>
          <w:sz w:val="22"/>
          <w:szCs w:val="22"/>
        </w:rPr>
      </w:pPr>
    </w:p>
    <w:p w:rsidR="00E61EA5" w:rsidRPr="009A35A1" w:rsidRDefault="00E61EA5">
      <w:pPr>
        <w:spacing w:after="200" w:line="276" w:lineRule="auto"/>
        <w:rPr>
          <w:rFonts w:asciiTheme="minorHAnsi" w:hAnsiTheme="minorHAnsi" w:cstheme="minorHAnsi"/>
          <w:sz w:val="22"/>
          <w:szCs w:val="22"/>
        </w:rPr>
      </w:pPr>
    </w:p>
    <w:p w:rsidR="00E61EA5" w:rsidRPr="009A35A1" w:rsidRDefault="00E61EA5">
      <w:pPr>
        <w:spacing w:after="200" w:line="276" w:lineRule="auto"/>
        <w:rPr>
          <w:rFonts w:asciiTheme="minorHAnsi" w:hAnsiTheme="minorHAnsi" w:cstheme="minorHAnsi"/>
          <w:sz w:val="22"/>
          <w:szCs w:val="22"/>
        </w:rPr>
      </w:pPr>
    </w:p>
    <w:p w:rsidR="00E61EA5" w:rsidRPr="009A35A1" w:rsidRDefault="00E61EA5">
      <w:pPr>
        <w:spacing w:after="200" w:line="276" w:lineRule="auto"/>
        <w:rPr>
          <w:rFonts w:asciiTheme="minorHAnsi" w:hAnsiTheme="minorHAnsi" w:cstheme="minorHAnsi"/>
          <w:sz w:val="22"/>
          <w:szCs w:val="22"/>
        </w:rPr>
      </w:pPr>
    </w:p>
    <w:p w:rsidR="00E61EA5" w:rsidRPr="009A35A1" w:rsidRDefault="00E61EA5">
      <w:pPr>
        <w:spacing w:after="200" w:line="276" w:lineRule="auto"/>
        <w:rPr>
          <w:rFonts w:asciiTheme="minorHAnsi" w:hAnsiTheme="minorHAnsi" w:cstheme="minorHAnsi"/>
          <w:sz w:val="22"/>
          <w:szCs w:val="22"/>
        </w:rPr>
      </w:pPr>
    </w:p>
    <w:p w:rsidR="00E61EA5" w:rsidRPr="009A35A1" w:rsidRDefault="00E61EA5">
      <w:pPr>
        <w:spacing w:after="200" w:line="276" w:lineRule="auto"/>
        <w:rPr>
          <w:rFonts w:asciiTheme="minorHAnsi" w:hAnsiTheme="minorHAnsi" w:cstheme="minorHAnsi"/>
          <w:sz w:val="22"/>
          <w:szCs w:val="22"/>
        </w:rPr>
      </w:pPr>
    </w:p>
    <w:p w:rsidR="00E61EA5" w:rsidRPr="009A35A1" w:rsidRDefault="00E61EA5">
      <w:pPr>
        <w:spacing w:after="200" w:line="276" w:lineRule="auto"/>
        <w:rPr>
          <w:rFonts w:asciiTheme="minorHAnsi" w:hAnsiTheme="minorHAnsi" w:cstheme="minorHAnsi"/>
          <w:sz w:val="22"/>
          <w:szCs w:val="22"/>
        </w:rPr>
      </w:pPr>
    </w:p>
    <w:p w:rsidR="00E61EA5" w:rsidRPr="009A35A1" w:rsidRDefault="00E61EA5" w:rsidP="00421206">
      <w:pPr>
        <w:spacing w:after="200" w:line="276" w:lineRule="auto"/>
        <w:ind w:left="5760" w:hanging="5760"/>
        <w:rPr>
          <w:rFonts w:asciiTheme="minorHAnsi" w:hAnsiTheme="minorHAnsi" w:cstheme="minorHAnsi"/>
          <w:b/>
          <w:color w:val="0D0D0D" w:themeColor="text1" w:themeTint="F2"/>
          <w:sz w:val="22"/>
          <w:szCs w:val="22"/>
        </w:rPr>
        <w:sectPr w:rsidR="00E61EA5" w:rsidRPr="009A35A1" w:rsidSect="006A1BB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193" w:gutter="0"/>
          <w:cols w:space="720"/>
          <w:docGrid w:linePitch="360"/>
        </w:sectPr>
      </w:pPr>
    </w:p>
    <w:p w:rsidR="00260749" w:rsidRPr="009A35A1" w:rsidRDefault="000D0055" w:rsidP="00925FFC">
      <w:pPr>
        <w:pStyle w:val="HeadinBlue14Caps"/>
        <w:numPr>
          <w:ilvl w:val="0"/>
          <w:numId w:val="15"/>
        </w:numPr>
        <w:tabs>
          <w:tab w:val="clear" w:pos="180"/>
          <w:tab w:val="clear" w:pos="450"/>
          <w:tab w:val="clear" w:pos="567"/>
          <w:tab w:val="left" w:pos="720"/>
        </w:tabs>
        <w:spacing w:before="0" w:beforeAutospacing="0" w:after="240" w:afterAutospacing="0" w:line="276" w:lineRule="auto"/>
        <w:ind w:left="720" w:hanging="720"/>
        <w:rPr>
          <w:sz w:val="22"/>
          <w:szCs w:val="22"/>
        </w:rPr>
      </w:pPr>
      <w:bookmarkStart w:id="1" w:name="_Toc330555880"/>
      <w:bookmarkStart w:id="2" w:name="PolicyIntroduction"/>
      <w:r w:rsidRPr="009A35A1">
        <w:rPr>
          <w:sz w:val="22"/>
          <w:szCs w:val="22"/>
        </w:rPr>
        <w:lastRenderedPageBreak/>
        <w:t>INTRODUCTION</w:t>
      </w:r>
      <w:bookmarkEnd w:id="0"/>
      <w:bookmarkEnd w:id="1"/>
    </w:p>
    <w:bookmarkEnd w:id="2"/>
    <w:p w:rsidR="00264163" w:rsidRDefault="00B47AB6" w:rsidP="00925FFC">
      <w:pPr>
        <w:pStyle w:val="BlackTextBody"/>
        <w:tabs>
          <w:tab w:val="clear" w:pos="720"/>
          <w:tab w:val="left" w:pos="0"/>
        </w:tabs>
        <w:spacing w:before="80" w:after="80"/>
        <w:contextualSpacing/>
      </w:pPr>
      <w:r>
        <w:t xml:space="preserve">There are numerous </w:t>
      </w:r>
      <w:r w:rsidR="003560D1">
        <w:t xml:space="preserve">legal and </w:t>
      </w:r>
      <w:r>
        <w:t xml:space="preserve">regulatory requirements applicable to National Ambulance’s core business and supporting activities.  </w:t>
      </w:r>
      <w:r w:rsidR="003560D1">
        <w:t>Regulatory</w:t>
      </w:r>
      <w:r>
        <w:t xml:space="preserve"> requirements have been issued by a range of authorities, at both an emirate and national level.  National Ambulance (NA) is obliged to </w:t>
      </w:r>
      <w:r w:rsidR="00264163">
        <w:t>comply with these requirements.</w:t>
      </w:r>
    </w:p>
    <w:p w:rsidR="00264163" w:rsidRDefault="00264163" w:rsidP="00925FFC">
      <w:pPr>
        <w:pStyle w:val="BlackTextBody"/>
        <w:tabs>
          <w:tab w:val="clear" w:pos="720"/>
          <w:tab w:val="left" w:pos="0"/>
        </w:tabs>
        <w:spacing w:before="80" w:after="80"/>
        <w:contextualSpacing/>
      </w:pPr>
    </w:p>
    <w:p w:rsidR="00FF2EA0" w:rsidRDefault="00FF2EA0" w:rsidP="00925FFC">
      <w:pPr>
        <w:pStyle w:val="BlackTextBody"/>
        <w:tabs>
          <w:tab w:val="clear" w:pos="720"/>
          <w:tab w:val="left" w:pos="0"/>
        </w:tabs>
        <w:spacing w:before="80" w:after="80"/>
        <w:contextualSpacing/>
      </w:pPr>
      <w:r>
        <w:t>The governing regulations that directly impact NA</w:t>
      </w:r>
      <w:r w:rsidR="008D5D30">
        <w:t xml:space="preserve"> are f</w:t>
      </w:r>
      <w:r>
        <w:t xml:space="preserve">ederal based, covering the whole of the UAE and mandating certain legal requirements, which are sometimes subsequently </w:t>
      </w:r>
      <w:r w:rsidR="00EA28E3">
        <w:t xml:space="preserve">further </w:t>
      </w:r>
      <w:r>
        <w:t>released as decrees.</w:t>
      </w:r>
    </w:p>
    <w:p w:rsidR="00FF2EA0" w:rsidRDefault="00FF2EA0" w:rsidP="00925FFC">
      <w:pPr>
        <w:pStyle w:val="BlackTextBody"/>
        <w:tabs>
          <w:tab w:val="clear" w:pos="720"/>
          <w:tab w:val="left" w:pos="0"/>
        </w:tabs>
        <w:spacing w:before="80" w:after="80"/>
        <w:contextualSpacing/>
      </w:pPr>
    </w:p>
    <w:p w:rsidR="00FF2EA0" w:rsidRDefault="00B47AB6" w:rsidP="00925FFC">
      <w:pPr>
        <w:pStyle w:val="BlackTextBody"/>
        <w:tabs>
          <w:tab w:val="clear" w:pos="720"/>
          <w:tab w:val="left" w:pos="0"/>
        </w:tabs>
        <w:spacing w:before="80" w:after="80"/>
        <w:contextualSpacing/>
      </w:pPr>
      <w:r>
        <w:t xml:space="preserve">The principal </w:t>
      </w:r>
      <w:r w:rsidR="00FF2EA0">
        <w:t xml:space="preserve">clinical </w:t>
      </w:r>
      <w:r>
        <w:t>regulatory</w:t>
      </w:r>
      <w:r w:rsidR="00264163">
        <w:t xml:space="preserve"> authorities for NA are </w:t>
      </w:r>
      <w:r w:rsidR="003560D1">
        <w:t>UAE Ministry of H</w:t>
      </w:r>
      <w:r w:rsidR="00264163">
        <w:t xml:space="preserve">ealth (MOH) and </w:t>
      </w:r>
      <w:r w:rsidR="003560D1">
        <w:t>He</w:t>
      </w:r>
      <w:r w:rsidR="00264163">
        <w:t xml:space="preserve">alth Authority Abu Dhabi (HAAD), and both of these authorities have issued numerous requirements which directly impact NA activities.  </w:t>
      </w:r>
    </w:p>
    <w:p w:rsidR="00FF2EA0" w:rsidRDefault="00FF2EA0" w:rsidP="00925FFC">
      <w:pPr>
        <w:pStyle w:val="BlackTextBody"/>
        <w:tabs>
          <w:tab w:val="clear" w:pos="720"/>
          <w:tab w:val="left" w:pos="0"/>
        </w:tabs>
        <w:spacing w:before="80" w:after="80"/>
        <w:contextualSpacing/>
      </w:pPr>
    </w:p>
    <w:p w:rsidR="003560D1" w:rsidDel="00FF2EA0" w:rsidRDefault="00FD4057" w:rsidP="00925FFC">
      <w:pPr>
        <w:pStyle w:val="BlackTextBody"/>
        <w:tabs>
          <w:tab w:val="clear" w:pos="720"/>
          <w:tab w:val="left" w:pos="0"/>
        </w:tabs>
        <w:spacing w:before="80" w:after="80"/>
        <w:contextualSpacing/>
      </w:pPr>
      <w:r w:rsidDel="00FF2EA0">
        <w:t>National Ambulance also has l</w:t>
      </w:r>
      <w:r w:rsidR="003560D1" w:rsidDel="00FF2EA0">
        <w:t xml:space="preserve">egal obligations arising from contracts.  </w:t>
      </w:r>
      <w:r w:rsidDel="00FF2EA0">
        <w:t>Specific l</w:t>
      </w:r>
      <w:r w:rsidR="003560D1" w:rsidDel="00FF2EA0">
        <w:t xml:space="preserve">egal advice </w:t>
      </w:r>
      <w:r w:rsidR="00FF2EA0">
        <w:t>has</w:t>
      </w:r>
      <w:r w:rsidR="00FF2EA0" w:rsidDel="00FF2EA0">
        <w:t xml:space="preserve"> </w:t>
      </w:r>
      <w:r w:rsidR="00F414E9">
        <w:t xml:space="preserve">to </w:t>
      </w:r>
      <w:r w:rsidR="00426F57" w:rsidDel="00FF2EA0">
        <w:t xml:space="preserve">be sought on individual contracts. </w:t>
      </w:r>
    </w:p>
    <w:p w:rsidR="00597A4A" w:rsidRPr="009A35A1" w:rsidRDefault="00597A4A" w:rsidP="00925FFC">
      <w:pPr>
        <w:pStyle w:val="BlackTextBody"/>
        <w:tabs>
          <w:tab w:val="clear" w:pos="720"/>
          <w:tab w:val="left" w:pos="0"/>
        </w:tabs>
        <w:spacing w:before="80" w:after="80"/>
        <w:contextualSpacing/>
      </w:pPr>
    </w:p>
    <w:p w:rsidR="00ED143A" w:rsidRDefault="00264163" w:rsidP="00925FFC">
      <w:pPr>
        <w:pStyle w:val="BlackTextBody"/>
        <w:tabs>
          <w:tab w:val="clear" w:pos="720"/>
          <w:tab w:val="left" w:pos="0"/>
        </w:tabs>
        <w:spacing w:before="80" w:after="80"/>
        <w:contextualSpacing/>
      </w:pPr>
      <w:r>
        <w:t>This</w:t>
      </w:r>
      <w:r w:rsidR="00BA0897">
        <w:t xml:space="preserve"> policy </w:t>
      </w:r>
      <w:r w:rsidR="00E26E8B">
        <w:t>sets out</w:t>
      </w:r>
      <w:r w:rsidR="00EF1FDE" w:rsidRPr="009A35A1">
        <w:t xml:space="preserve"> the method to identify the applicable legal and other requirements </w:t>
      </w:r>
      <w:r w:rsidR="00426F57">
        <w:t>which apply to</w:t>
      </w:r>
      <w:r w:rsidR="00EF1FDE" w:rsidRPr="009A35A1">
        <w:t xml:space="preserve"> National Ambulance</w:t>
      </w:r>
      <w:r w:rsidR="00426F57">
        <w:t>, their potential impact and compliance requirements</w:t>
      </w:r>
      <w:r w:rsidR="00E26E8B">
        <w:t>, in addition to providing a current listing of such requirements</w:t>
      </w:r>
      <w:r w:rsidR="00426F57">
        <w:t xml:space="preserve">. </w:t>
      </w:r>
      <w:r>
        <w:t xml:space="preserve"> </w:t>
      </w:r>
    </w:p>
    <w:p w:rsidR="00597A4A" w:rsidRPr="009A35A1" w:rsidRDefault="00597A4A" w:rsidP="00925FFC">
      <w:pPr>
        <w:pStyle w:val="BlackTextBody"/>
        <w:tabs>
          <w:tab w:val="clear" w:pos="720"/>
          <w:tab w:val="left" w:pos="0"/>
        </w:tabs>
        <w:spacing w:before="80" w:after="80"/>
        <w:contextualSpacing/>
      </w:pPr>
    </w:p>
    <w:p w:rsidR="002F4A30" w:rsidRDefault="00E26E8B" w:rsidP="00925FFC">
      <w:pPr>
        <w:pStyle w:val="BlackTextBody"/>
        <w:tabs>
          <w:tab w:val="clear" w:pos="720"/>
          <w:tab w:val="left" w:pos="0"/>
        </w:tabs>
        <w:spacing w:before="80" w:after="80"/>
        <w:contextualSpacing/>
      </w:pPr>
      <w:r>
        <w:t>T</w:t>
      </w:r>
      <w:r w:rsidR="00426F57">
        <w:t>his p</w:t>
      </w:r>
      <w:r w:rsidR="008677BD">
        <w:t xml:space="preserve">olicy </w:t>
      </w:r>
      <w:r>
        <w:t xml:space="preserve">also </w:t>
      </w:r>
      <w:r w:rsidR="00324DB9">
        <w:t>recognizes</w:t>
      </w:r>
      <w:bookmarkStart w:id="3" w:name="_GoBack"/>
      <w:bookmarkEnd w:id="3"/>
      <w:r w:rsidR="00264163">
        <w:t xml:space="preserve"> the relevance of </w:t>
      </w:r>
      <w:r w:rsidR="00426F57">
        <w:t xml:space="preserve">other requirements </w:t>
      </w:r>
      <w:r w:rsidR="00264163">
        <w:t xml:space="preserve">that are </w:t>
      </w:r>
      <w:r w:rsidR="00426F57">
        <w:t>of a best practice</w:t>
      </w:r>
      <w:r w:rsidR="00264163">
        <w:t xml:space="preserve">, industry standard or guidance nature that </w:t>
      </w:r>
      <w:r w:rsidR="002F4A30">
        <w:t>NA may choose to follow to impr</w:t>
      </w:r>
      <w:r w:rsidR="004012DE">
        <w:t>o</w:t>
      </w:r>
      <w:r w:rsidR="002F4A30">
        <w:t>ve quality and safety of its services</w:t>
      </w:r>
      <w:r w:rsidR="00264163">
        <w:t>, or</w:t>
      </w:r>
      <w:r w:rsidR="004012DE">
        <w:t xml:space="preserve"> to prepare for </w:t>
      </w:r>
      <w:r w:rsidR="00264163">
        <w:t xml:space="preserve">possible </w:t>
      </w:r>
      <w:r w:rsidR="004012DE">
        <w:t>future mandatory requirements</w:t>
      </w:r>
      <w:r w:rsidR="002F4A30">
        <w:t>.</w:t>
      </w:r>
    </w:p>
    <w:p w:rsidR="00597A4A" w:rsidRDefault="00597A4A" w:rsidP="00925FFC">
      <w:pPr>
        <w:pStyle w:val="BlackTextBody"/>
        <w:tabs>
          <w:tab w:val="clear" w:pos="720"/>
          <w:tab w:val="left" w:pos="0"/>
        </w:tabs>
        <w:spacing w:before="80" w:after="80"/>
        <w:contextualSpacing/>
      </w:pPr>
    </w:p>
    <w:p w:rsidR="00264163" w:rsidRDefault="00264163" w:rsidP="00925FFC">
      <w:pPr>
        <w:pStyle w:val="BlackTextBody"/>
        <w:tabs>
          <w:tab w:val="clear" w:pos="720"/>
          <w:tab w:val="left" w:pos="0"/>
        </w:tabs>
        <w:spacing w:before="80" w:after="80"/>
        <w:contextualSpacing/>
      </w:pPr>
      <w:r w:rsidRPr="009A35A1">
        <w:t>This policy is in support of the “Risk Evaluation and Management” and the “Policies and Objectives” Management Components.</w:t>
      </w:r>
    </w:p>
    <w:p w:rsidR="00264163" w:rsidRDefault="00264163" w:rsidP="00597A4A">
      <w:pPr>
        <w:pStyle w:val="BlackTextBody"/>
        <w:tabs>
          <w:tab w:val="clear" w:pos="720"/>
          <w:tab w:val="left" w:pos="0"/>
        </w:tabs>
        <w:spacing w:before="80" w:after="80" w:line="276" w:lineRule="auto"/>
        <w:contextualSpacing/>
      </w:pPr>
    </w:p>
    <w:p w:rsidR="009B554A" w:rsidRPr="009A35A1" w:rsidRDefault="00BC77FE" w:rsidP="00925FFC">
      <w:pPr>
        <w:pStyle w:val="HeadinBlue14Caps"/>
        <w:numPr>
          <w:ilvl w:val="0"/>
          <w:numId w:val="15"/>
        </w:numPr>
        <w:tabs>
          <w:tab w:val="clear" w:pos="180"/>
          <w:tab w:val="clear" w:pos="450"/>
          <w:tab w:val="clear" w:pos="567"/>
          <w:tab w:val="left" w:pos="720"/>
        </w:tabs>
        <w:spacing w:before="0" w:beforeAutospacing="0" w:after="240" w:afterAutospacing="0" w:line="276" w:lineRule="auto"/>
        <w:ind w:left="720" w:hanging="720"/>
        <w:rPr>
          <w:sz w:val="22"/>
          <w:szCs w:val="22"/>
        </w:rPr>
      </w:pPr>
      <w:bookmarkStart w:id="4" w:name="_Toc330555883"/>
      <w:r w:rsidRPr="009A35A1">
        <w:rPr>
          <w:sz w:val="22"/>
          <w:szCs w:val="22"/>
        </w:rPr>
        <w:t>SCOPE</w:t>
      </w:r>
      <w:bookmarkEnd w:id="4"/>
    </w:p>
    <w:p w:rsidR="00264163" w:rsidRDefault="00EF1FDE" w:rsidP="00925FFC">
      <w:pPr>
        <w:pStyle w:val="BlackTextBody"/>
        <w:tabs>
          <w:tab w:val="clear" w:pos="720"/>
          <w:tab w:val="left" w:pos="0"/>
        </w:tabs>
        <w:spacing w:before="80" w:after="80"/>
        <w:contextualSpacing/>
      </w:pPr>
      <w:r w:rsidRPr="009A35A1">
        <w:t>This p</w:t>
      </w:r>
      <w:r w:rsidR="00081CFC" w:rsidRPr="009A35A1">
        <w:t>olicy</w:t>
      </w:r>
      <w:r w:rsidRPr="009A35A1">
        <w:t xml:space="preserve"> </w:t>
      </w:r>
      <w:r w:rsidR="00057C84" w:rsidRPr="009A35A1">
        <w:t>applies to</w:t>
      </w:r>
      <w:r w:rsidRPr="009A35A1">
        <w:t xml:space="preserve"> all </w:t>
      </w:r>
      <w:r w:rsidR="00264163">
        <w:t>NA activities, including emergency medical services in the Northern Emirates, contracts, and supporting activities including pharmacy functions, procurement, logistics, IT, fleet management, office activities,</w:t>
      </w:r>
      <w:r w:rsidR="00371A7A">
        <w:t xml:space="preserve"> staff accommodation management,</w:t>
      </w:r>
      <w:r w:rsidR="00264163">
        <w:t xml:space="preserve"> HR, finance, clinical education and credentialing, amongst others. </w:t>
      </w:r>
      <w:r w:rsidRPr="009A35A1">
        <w:t xml:space="preserve"> </w:t>
      </w:r>
    </w:p>
    <w:p w:rsidR="00264163" w:rsidRDefault="00264163" w:rsidP="00925FFC">
      <w:pPr>
        <w:pStyle w:val="BlackTextBody"/>
        <w:tabs>
          <w:tab w:val="clear" w:pos="720"/>
          <w:tab w:val="left" w:pos="0"/>
        </w:tabs>
        <w:spacing w:before="80" w:after="80"/>
        <w:contextualSpacing/>
      </w:pPr>
    </w:p>
    <w:p w:rsidR="009B554A" w:rsidRDefault="0004411F" w:rsidP="00925FFC">
      <w:pPr>
        <w:pStyle w:val="BlackTextBody"/>
        <w:tabs>
          <w:tab w:val="clear" w:pos="720"/>
          <w:tab w:val="left" w:pos="0"/>
        </w:tabs>
        <w:spacing w:before="80" w:after="80"/>
        <w:contextualSpacing/>
      </w:pPr>
      <w:r w:rsidRPr="009A35A1">
        <w:t xml:space="preserve">This document can be used to </w:t>
      </w:r>
      <w:r w:rsidR="00650404">
        <w:t>inform preparation or review of procedures and contracts, and to review the impact of changes to existing business services, processes, assets and other resources.</w:t>
      </w:r>
      <w:r w:rsidR="00EF1FDE" w:rsidRPr="009A35A1">
        <w:t xml:space="preserve"> </w:t>
      </w:r>
    </w:p>
    <w:p w:rsidR="00597A4A" w:rsidRPr="009A35A1" w:rsidRDefault="00597A4A" w:rsidP="00925FFC">
      <w:pPr>
        <w:pStyle w:val="BlackTextBody"/>
        <w:tabs>
          <w:tab w:val="clear" w:pos="720"/>
          <w:tab w:val="left" w:pos="0"/>
        </w:tabs>
        <w:spacing w:before="80" w:after="80"/>
        <w:contextualSpacing/>
      </w:pPr>
    </w:p>
    <w:p w:rsidR="00EF1FDE" w:rsidRDefault="00EF1FDE" w:rsidP="00925FFC">
      <w:pPr>
        <w:pStyle w:val="BlackTextBody"/>
        <w:tabs>
          <w:tab w:val="clear" w:pos="720"/>
          <w:tab w:val="left" w:pos="0"/>
        </w:tabs>
        <w:spacing w:before="80" w:after="80"/>
        <w:contextualSpacing/>
      </w:pPr>
      <w:r w:rsidRPr="009A35A1">
        <w:t xml:space="preserve">The evaluation of compliance activities are </w:t>
      </w:r>
      <w:r w:rsidR="005B2B04">
        <w:t>necessary aspects of</w:t>
      </w:r>
      <w:r w:rsidRPr="009A35A1">
        <w:t xml:space="preserve"> </w:t>
      </w:r>
      <w:r w:rsidR="008773E6">
        <w:t>c</w:t>
      </w:r>
      <w:r w:rsidR="00DF0CF7">
        <w:t xml:space="preserve">orporate, </w:t>
      </w:r>
      <w:r w:rsidR="008773E6">
        <w:t>c</w:t>
      </w:r>
      <w:r w:rsidR="00DF0CF7">
        <w:t xml:space="preserve">linical and </w:t>
      </w:r>
      <w:r w:rsidR="004F4F72" w:rsidRPr="009A35A1">
        <w:t>QHSE</w:t>
      </w:r>
      <w:r w:rsidRPr="009A35A1">
        <w:t xml:space="preserve"> </w:t>
      </w:r>
      <w:r w:rsidR="005B2B04">
        <w:t xml:space="preserve">including </w:t>
      </w:r>
      <w:r w:rsidR="008773E6">
        <w:t>b</w:t>
      </w:r>
      <w:r w:rsidR="005B2B04">
        <w:t xml:space="preserve">usiness </w:t>
      </w:r>
      <w:r w:rsidR="008773E6">
        <w:t>c</w:t>
      </w:r>
      <w:r w:rsidR="005B2B04">
        <w:t xml:space="preserve">ontinuity </w:t>
      </w:r>
      <w:r w:rsidRPr="009A35A1">
        <w:t>programs</w:t>
      </w:r>
      <w:r w:rsidR="008773E6">
        <w:t xml:space="preserve">, and </w:t>
      </w:r>
      <w:r w:rsidR="005B2B04">
        <w:t xml:space="preserve">forms part of National Ambulance’s </w:t>
      </w:r>
      <w:r w:rsidR="008773E6">
        <w:t xml:space="preserve">QHSE (including business continuity) </w:t>
      </w:r>
      <w:r w:rsidR="005B2B04">
        <w:t>m</w:t>
      </w:r>
      <w:r w:rsidR="004F4F72" w:rsidRPr="009A35A1">
        <w:t xml:space="preserve">anagement </w:t>
      </w:r>
      <w:r w:rsidR="008773E6">
        <w:t xml:space="preserve">framework and </w:t>
      </w:r>
      <w:r w:rsidR="005B2B04">
        <w:t>s</w:t>
      </w:r>
      <w:r w:rsidR="004F4F72" w:rsidRPr="009A35A1">
        <w:t>ystem</w:t>
      </w:r>
      <w:r w:rsidRPr="009A35A1">
        <w:t>.</w:t>
      </w:r>
    </w:p>
    <w:p w:rsidR="00925FFC" w:rsidRDefault="00925FFC" w:rsidP="00925FFC">
      <w:pPr>
        <w:pStyle w:val="BlackTextBody"/>
        <w:tabs>
          <w:tab w:val="clear" w:pos="720"/>
          <w:tab w:val="left" w:pos="0"/>
        </w:tabs>
        <w:spacing w:before="80" w:after="80"/>
        <w:contextualSpacing/>
      </w:pPr>
    </w:p>
    <w:p w:rsidR="00597A4A" w:rsidRPr="00597A4A" w:rsidRDefault="00597A4A" w:rsidP="00925FFC">
      <w:pPr>
        <w:pStyle w:val="HeadinBlue14Caps"/>
        <w:numPr>
          <w:ilvl w:val="0"/>
          <w:numId w:val="15"/>
        </w:numPr>
        <w:tabs>
          <w:tab w:val="clear" w:pos="180"/>
          <w:tab w:val="clear" w:pos="450"/>
          <w:tab w:val="clear" w:pos="567"/>
          <w:tab w:val="left" w:pos="720"/>
        </w:tabs>
        <w:spacing w:before="0" w:beforeAutospacing="0" w:after="240" w:afterAutospacing="0" w:line="276" w:lineRule="auto"/>
        <w:ind w:left="720" w:hanging="720"/>
        <w:rPr>
          <w:sz w:val="22"/>
          <w:szCs w:val="22"/>
        </w:rPr>
      </w:pPr>
      <w:r>
        <w:rPr>
          <w:sz w:val="22"/>
          <w:szCs w:val="22"/>
        </w:rPr>
        <w:lastRenderedPageBreak/>
        <w:t>AIMs and OBJECTIVES</w:t>
      </w:r>
    </w:p>
    <w:p w:rsidR="00597A4A" w:rsidRDefault="00337212" w:rsidP="001F6F53">
      <w:pPr>
        <w:pStyle w:val="BlackTextBody"/>
        <w:tabs>
          <w:tab w:val="clear" w:pos="720"/>
          <w:tab w:val="left" w:pos="0"/>
        </w:tabs>
        <w:spacing w:beforeLines="80" w:before="192" w:after="80" w:line="276" w:lineRule="auto"/>
        <w:contextualSpacing/>
      </w:pPr>
      <w:r>
        <w:t xml:space="preserve">This aim of this policy is to provide a framework and process to enable National Ambulance to comply with mandatory legal requirements, and reasonably practicable non-mandatory requirements, </w:t>
      </w:r>
      <w:r w:rsidR="001F6F53">
        <w:t>through</w:t>
      </w:r>
      <w:r>
        <w:t xml:space="preserve"> the following objectives:</w:t>
      </w:r>
    </w:p>
    <w:p w:rsidR="00337212" w:rsidRDefault="00337212" w:rsidP="00C4436C">
      <w:pPr>
        <w:pStyle w:val="BlackTextBody"/>
        <w:numPr>
          <w:ilvl w:val="0"/>
          <w:numId w:val="18"/>
        </w:numPr>
        <w:tabs>
          <w:tab w:val="clear" w:pos="720"/>
          <w:tab w:val="left" w:pos="0"/>
        </w:tabs>
        <w:spacing w:before="80" w:after="80" w:line="276" w:lineRule="auto"/>
        <w:ind w:hanging="634"/>
      </w:pPr>
      <w:r>
        <w:t xml:space="preserve">Describe </w:t>
      </w:r>
      <w:r w:rsidR="00E26E8B" w:rsidRPr="009A35A1">
        <w:t xml:space="preserve">the method to identify legal and other requirements </w:t>
      </w:r>
      <w:r>
        <w:t>applicable to</w:t>
      </w:r>
      <w:r w:rsidR="00E26E8B" w:rsidRPr="009A35A1">
        <w:t xml:space="preserve"> National Ambulance</w:t>
      </w:r>
      <w:r>
        <w:t>;</w:t>
      </w:r>
    </w:p>
    <w:p w:rsidR="00337212" w:rsidRDefault="00337212" w:rsidP="00C4436C">
      <w:pPr>
        <w:pStyle w:val="BlackTextBody"/>
        <w:numPr>
          <w:ilvl w:val="0"/>
          <w:numId w:val="18"/>
        </w:numPr>
        <w:tabs>
          <w:tab w:val="clear" w:pos="720"/>
          <w:tab w:val="left" w:pos="0"/>
        </w:tabs>
        <w:spacing w:before="80" w:after="80" w:line="276" w:lineRule="auto"/>
        <w:ind w:hanging="634"/>
      </w:pPr>
      <w:r>
        <w:t xml:space="preserve">Identify the specific </w:t>
      </w:r>
      <w:r w:rsidR="00E26E8B">
        <w:t>compliance requirements</w:t>
      </w:r>
      <w:r>
        <w:t xml:space="preserve"> from mandatory regulatory instruments and the NA activities that they are relevant to; </w:t>
      </w:r>
      <w:r w:rsidR="004808C5">
        <w:t xml:space="preserve">and </w:t>
      </w:r>
    </w:p>
    <w:p w:rsidR="00E26E8B" w:rsidRDefault="00337212" w:rsidP="004808C5">
      <w:pPr>
        <w:pStyle w:val="BlackTextBody"/>
        <w:numPr>
          <w:ilvl w:val="0"/>
          <w:numId w:val="18"/>
        </w:numPr>
        <w:tabs>
          <w:tab w:val="clear" w:pos="720"/>
          <w:tab w:val="left" w:pos="0"/>
        </w:tabs>
        <w:spacing w:before="80" w:after="80" w:line="276" w:lineRule="auto"/>
        <w:ind w:hanging="634"/>
      </w:pPr>
      <w:r>
        <w:t>Identify requirements from</w:t>
      </w:r>
      <w:r w:rsidR="004808C5">
        <w:t xml:space="preserve"> non-mandatory</w:t>
      </w:r>
      <w:r>
        <w:t xml:space="preserve"> standards and guidelines, or </w:t>
      </w:r>
      <w:r w:rsidR="004808C5">
        <w:t>other legislation not currently applicable to NA that may assist future compliance.</w:t>
      </w:r>
    </w:p>
    <w:p w:rsidR="0052496F" w:rsidRPr="009A35A1" w:rsidRDefault="0052496F" w:rsidP="00E26E8B">
      <w:pPr>
        <w:pStyle w:val="BlackTextBody"/>
        <w:tabs>
          <w:tab w:val="clear" w:pos="720"/>
          <w:tab w:val="left" w:pos="0"/>
        </w:tabs>
        <w:spacing w:beforeLines="80" w:before="192" w:after="80" w:line="276" w:lineRule="auto"/>
        <w:contextualSpacing/>
      </w:pPr>
    </w:p>
    <w:p w:rsidR="001C2B0E" w:rsidRPr="009A35A1" w:rsidRDefault="00F022A8" w:rsidP="00925FFC">
      <w:pPr>
        <w:pStyle w:val="HeadinBlue14Caps"/>
        <w:numPr>
          <w:ilvl w:val="0"/>
          <w:numId w:val="15"/>
        </w:numPr>
        <w:tabs>
          <w:tab w:val="clear" w:pos="180"/>
          <w:tab w:val="clear" w:pos="450"/>
          <w:tab w:val="clear" w:pos="567"/>
          <w:tab w:val="left" w:pos="720"/>
        </w:tabs>
        <w:spacing w:before="0" w:beforeAutospacing="0" w:after="240" w:afterAutospacing="0" w:line="276" w:lineRule="auto"/>
        <w:ind w:left="720" w:hanging="720"/>
        <w:rPr>
          <w:sz w:val="22"/>
          <w:szCs w:val="22"/>
        </w:rPr>
      </w:pPr>
      <w:r w:rsidRPr="009A35A1">
        <w:rPr>
          <w:sz w:val="22"/>
          <w:szCs w:val="22"/>
        </w:rPr>
        <w:t>roles and responsibilities</w:t>
      </w:r>
    </w:p>
    <w:p w:rsidR="00E26E8B" w:rsidRDefault="00EF1FDE" w:rsidP="0052496F">
      <w:pPr>
        <w:pStyle w:val="BlackTextBody"/>
        <w:tabs>
          <w:tab w:val="clear" w:pos="720"/>
          <w:tab w:val="left" w:pos="0"/>
        </w:tabs>
        <w:spacing w:before="80" w:after="80" w:line="276" w:lineRule="auto"/>
        <w:contextualSpacing/>
      </w:pPr>
      <w:r w:rsidRPr="009A35A1">
        <w:t xml:space="preserve">The </w:t>
      </w:r>
      <w:r w:rsidR="00E26E8B">
        <w:t>following roles and responsibilities</w:t>
      </w:r>
      <w:r w:rsidR="00793253">
        <w:t xml:space="preserve"> are defined for legal compliance activities</w:t>
      </w:r>
      <w:r w:rsidR="00E26E8B">
        <w:t xml:space="preserve">: </w:t>
      </w:r>
    </w:p>
    <w:p w:rsidR="00E26E8B" w:rsidRDefault="00E26E8B" w:rsidP="00597A4A">
      <w:pPr>
        <w:pStyle w:val="BlackTextBody"/>
        <w:tabs>
          <w:tab w:val="clear" w:pos="720"/>
          <w:tab w:val="left" w:pos="0"/>
        </w:tabs>
        <w:spacing w:before="80" w:after="80" w:line="276" w:lineRule="auto"/>
        <w:contextualSpacing/>
      </w:pPr>
    </w:p>
    <w:p w:rsidR="007353E8" w:rsidRPr="000D244D" w:rsidRDefault="000D244D" w:rsidP="007353E8">
      <w:pPr>
        <w:pStyle w:val="BlackTextBody"/>
        <w:tabs>
          <w:tab w:val="clear" w:pos="720"/>
          <w:tab w:val="left" w:pos="0"/>
        </w:tabs>
        <w:spacing w:before="80" w:after="80" w:line="276" w:lineRule="auto"/>
        <w:contextualSpacing/>
        <w:rPr>
          <w:color w:val="002060"/>
        </w:rPr>
      </w:pPr>
      <w:r w:rsidRPr="000D244D">
        <w:rPr>
          <w:b/>
          <w:bCs/>
          <w:color w:val="002060"/>
        </w:rPr>
        <w:t>4.1</w:t>
      </w:r>
      <w:r w:rsidRPr="000D244D">
        <w:rPr>
          <w:b/>
          <w:bCs/>
          <w:color w:val="002060"/>
        </w:rPr>
        <w:tab/>
      </w:r>
      <w:r w:rsidR="00EF1FDE" w:rsidRPr="000D244D">
        <w:rPr>
          <w:b/>
          <w:bCs/>
          <w:color w:val="002060"/>
        </w:rPr>
        <w:t>C</w:t>
      </w:r>
      <w:r w:rsidR="00082D5C" w:rsidRPr="000D244D">
        <w:rPr>
          <w:b/>
          <w:bCs/>
          <w:color w:val="002060"/>
        </w:rPr>
        <w:t xml:space="preserve">hief Administrative </w:t>
      </w:r>
      <w:r w:rsidR="00EF1FDE" w:rsidRPr="000D244D">
        <w:rPr>
          <w:b/>
          <w:bCs/>
          <w:color w:val="002060"/>
        </w:rPr>
        <w:t>O</w:t>
      </w:r>
      <w:r w:rsidR="00082D5C" w:rsidRPr="000D244D">
        <w:rPr>
          <w:b/>
          <w:bCs/>
          <w:color w:val="002060"/>
        </w:rPr>
        <w:t>fficer</w:t>
      </w:r>
    </w:p>
    <w:p w:rsidR="007353E8" w:rsidRDefault="00A87EB5" w:rsidP="00925FFC">
      <w:pPr>
        <w:pStyle w:val="BlackTextBody"/>
        <w:numPr>
          <w:ilvl w:val="0"/>
          <w:numId w:val="20"/>
        </w:numPr>
        <w:tabs>
          <w:tab w:val="clear" w:pos="720"/>
          <w:tab w:val="left" w:pos="0"/>
        </w:tabs>
        <w:spacing w:before="80" w:after="80"/>
        <w:ind w:hanging="634"/>
      </w:pPr>
      <w:r>
        <w:t>Implementation</w:t>
      </w:r>
      <w:r w:rsidR="00EF1FDE" w:rsidRPr="009A35A1">
        <w:t xml:space="preserve"> of </w:t>
      </w:r>
      <w:r w:rsidR="0052496F">
        <w:t>overall</w:t>
      </w:r>
      <w:r w:rsidR="00EF1FDE" w:rsidRPr="009A35A1">
        <w:t xml:space="preserve"> </w:t>
      </w:r>
      <w:r w:rsidR="0052496F">
        <w:t xml:space="preserve">legal compliance </w:t>
      </w:r>
      <w:r w:rsidR="00EF1FDE" w:rsidRPr="009A35A1">
        <w:t>p</w:t>
      </w:r>
      <w:r w:rsidR="00081CFC" w:rsidRPr="009A35A1">
        <w:t>olicy</w:t>
      </w:r>
      <w:r w:rsidR="007353E8">
        <w:t xml:space="preserve"> and legal register; </w:t>
      </w:r>
    </w:p>
    <w:p w:rsidR="00E26E8B" w:rsidRDefault="007353E8" w:rsidP="00925FFC">
      <w:pPr>
        <w:pStyle w:val="BlackTextBody"/>
        <w:numPr>
          <w:ilvl w:val="0"/>
          <w:numId w:val="20"/>
        </w:numPr>
        <w:tabs>
          <w:tab w:val="clear" w:pos="720"/>
          <w:tab w:val="left" w:pos="0"/>
        </w:tabs>
        <w:spacing w:before="80" w:after="80"/>
        <w:ind w:hanging="634"/>
      </w:pPr>
      <w:r>
        <w:t>Allocation of competent staff and budget to enable periodic review and update of this policy;</w:t>
      </w:r>
    </w:p>
    <w:p w:rsidR="0052496F" w:rsidRDefault="0052496F" w:rsidP="003E54D7">
      <w:pPr>
        <w:pStyle w:val="BlackTextBody"/>
        <w:numPr>
          <w:ilvl w:val="0"/>
          <w:numId w:val="20"/>
        </w:numPr>
        <w:tabs>
          <w:tab w:val="clear" w:pos="720"/>
          <w:tab w:val="left" w:pos="0"/>
        </w:tabs>
        <w:spacing w:before="80" w:after="80"/>
        <w:ind w:hanging="634"/>
      </w:pPr>
      <w:r>
        <w:t xml:space="preserve">Ensure provision of external legal advice as required to review this policy and register, </w:t>
      </w:r>
      <w:r w:rsidR="003E54D7">
        <w:t>review contracts to provide ambulance services as deemed prudent, and</w:t>
      </w:r>
      <w:r>
        <w:t xml:space="preserve"> advise on other</w:t>
      </w:r>
      <w:r w:rsidR="003E54D7">
        <w:t xml:space="preserve"> legal compliance requirements as required; </w:t>
      </w:r>
    </w:p>
    <w:p w:rsidR="003E54D7" w:rsidRDefault="003E54D7" w:rsidP="003E54D7">
      <w:pPr>
        <w:pStyle w:val="BlackTextBody"/>
        <w:numPr>
          <w:ilvl w:val="0"/>
          <w:numId w:val="20"/>
        </w:numPr>
        <w:tabs>
          <w:tab w:val="clear" w:pos="720"/>
          <w:tab w:val="left" w:pos="0"/>
        </w:tabs>
        <w:spacing w:before="80" w:after="80"/>
        <w:ind w:hanging="634"/>
      </w:pPr>
      <w:r>
        <w:t xml:space="preserve">Ensure compliance reporting to external authorities/ regulator is duly carried out; </w:t>
      </w:r>
    </w:p>
    <w:p w:rsidR="00460876" w:rsidRDefault="003E54D7" w:rsidP="003E54D7">
      <w:pPr>
        <w:pStyle w:val="BlackTextBody"/>
        <w:numPr>
          <w:ilvl w:val="0"/>
          <w:numId w:val="20"/>
        </w:numPr>
        <w:tabs>
          <w:tab w:val="clear" w:pos="720"/>
          <w:tab w:val="left" w:pos="0"/>
        </w:tabs>
        <w:spacing w:before="80" w:after="80"/>
        <w:ind w:hanging="634"/>
      </w:pPr>
      <w:r>
        <w:t>R</w:t>
      </w:r>
      <w:r w:rsidR="00460876">
        <w:t>eport significant legal risks and non-compliances</w:t>
      </w:r>
      <w:r>
        <w:t xml:space="preserve"> to the Chief Executive Officer in a timely manner;</w:t>
      </w:r>
    </w:p>
    <w:p w:rsidR="00460876" w:rsidRDefault="003E54D7" w:rsidP="00925FFC">
      <w:pPr>
        <w:pStyle w:val="BlackTextBody"/>
        <w:numPr>
          <w:ilvl w:val="0"/>
          <w:numId w:val="20"/>
        </w:numPr>
        <w:tabs>
          <w:tab w:val="clear" w:pos="720"/>
          <w:tab w:val="left" w:pos="0"/>
        </w:tabs>
        <w:spacing w:before="80" w:after="80"/>
        <w:ind w:hanging="634"/>
      </w:pPr>
      <w:r>
        <w:t>Direct</w:t>
      </w:r>
      <w:r w:rsidR="00460876">
        <w:t xml:space="preserve"> immediate actions to mitigate risks and impacts from unplanned significant</w:t>
      </w:r>
      <w:r w:rsidR="00F4656B">
        <w:t xml:space="preserve"> legal non-compliances</w:t>
      </w:r>
      <w:r w:rsidR="003F2811">
        <w:t>.</w:t>
      </w:r>
    </w:p>
    <w:p w:rsidR="00925FFC" w:rsidRDefault="00925FFC" w:rsidP="00597A4A">
      <w:pPr>
        <w:pStyle w:val="BlackTextBody"/>
        <w:tabs>
          <w:tab w:val="clear" w:pos="720"/>
          <w:tab w:val="left" w:pos="0"/>
        </w:tabs>
        <w:spacing w:before="80" w:after="80" w:line="276" w:lineRule="auto"/>
        <w:contextualSpacing/>
      </w:pPr>
    </w:p>
    <w:p w:rsidR="00F022A8" w:rsidRPr="000D244D" w:rsidRDefault="000D244D" w:rsidP="00597A4A">
      <w:pPr>
        <w:pStyle w:val="BlackTextBody"/>
        <w:tabs>
          <w:tab w:val="clear" w:pos="720"/>
          <w:tab w:val="left" w:pos="0"/>
        </w:tabs>
        <w:spacing w:before="80" w:after="80" w:line="276" w:lineRule="auto"/>
        <w:contextualSpacing/>
        <w:rPr>
          <w:color w:val="002060"/>
        </w:rPr>
      </w:pPr>
      <w:r w:rsidRPr="000D244D">
        <w:rPr>
          <w:b/>
          <w:bCs/>
          <w:color w:val="002060"/>
        </w:rPr>
        <w:t>4.2</w:t>
      </w:r>
      <w:r w:rsidRPr="000D244D">
        <w:rPr>
          <w:b/>
          <w:bCs/>
          <w:color w:val="002060"/>
        </w:rPr>
        <w:tab/>
      </w:r>
      <w:r w:rsidR="00762C89" w:rsidRPr="000D244D">
        <w:rPr>
          <w:b/>
          <w:bCs/>
          <w:color w:val="002060"/>
        </w:rPr>
        <w:t>Chief Medical Advisor</w:t>
      </w:r>
    </w:p>
    <w:p w:rsidR="00E26E8B" w:rsidRDefault="007353E8" w:rsidP="00925FFC">
      <w:pPr>
        <w:pStyle w:val="BlackTextBody"/>
        <w:numPr>
          <w:ilvl w:val="0"/>
          <w:numId w:val="20"/>
        </w:numPr>
        <w:tabs>
          <w:tab w:val="clear" w:pos="720"/>
          <w:tab w:val="left" w:pos="0"/>
        </w:tabs>
        <w:spacing w:before="80" w:after="80"/>
        <w:ind w:hanging="634"/>
      </w:pPr>
      <w:r>
        <w:t xml:space="preserve">Identification of new clinical legal and other compliance requirements; </w:t>
      </w:r>
    </w:p>
    <w:p w:rsidR="00A87EB5" w:rsidRDefault="00A87EB5" w:rsidP="00925FFC">
      <w:pPr>
        <w:pStyle w:val="BlackTextBody"/>
        <w:numPr>
          <w:ilvl w:val="0"/>
          <w:numId w:val="20"/>
        </w:numPr>
        <w:tabs>
          <w:tab w:val="clear" w:pos="720"/>
          <w:tab w:val="left" w:pos="0"/>
        </w:tabs>
        <w:spacing w:before="80" w:after="80"/>
        <w:ind w:hanging="634"/>
      </w:pPr>
      <w:r>
        <w:t xml:space="preserve">Identification and </w:t>
      </w:r>
      <w:r w:rsidR="00460876">
        <w:t xml:space="preserve">immediate </w:t>
      </w:r>
      <w:r>
        <w:t>reporting of significant actual and potential non-compliances with c</w:t>
      </w:r>
      <w:r w:rsidR="00460876">
        <w:t xml:space="preserve">linical mandatory requirements to the Chief Administration Officer; </w:t>
      </w:r>
    </w:p>
    <w:p w:rsidR="00A87EB5" w:rsidRDefault="0052496F" w:rsidP="00925FFC">
      <w:pPr>
        <w:pStyle w:val="BlackTextBody"/>
        <w:numPr>
          <w:ilvl w:val="0"/>
          <w:numId w:val="20"/>
        </w:numPr>
        <w:tabs>
          <w:tab w:val="clear" w:pos="720"/>
          <w:tab w:val="left" w:pos="0"/>
        </w:tabs>
        <w:spacing w:before="80" w:after="80"/>
        <w:ind w:hanging="634"/>
      </w:pPr>
      <w:r>
        <w:t>Implementation of clinical requirements</w:t>
      </w:r>
      <w:r w:rsidR="00F4656B">
        <w:t xml:space="preserve">, including incorporating into the clinical policies and procedures and ensuring mandatory requirements are </w:t>
      </w:r>
      <w:r w:rsidR="00786E5B">
        <w:t>stated</w:t>
      </w:r>
      <w:r w:rsidR="00F4656B">
        <w:t xml:space="preserve"> as such; </w:t>
      </w:r>
    </w:p>
    <w:p w:rsidR="004375BA" w:rsidRDefault="004375BA" w:rsidP="00925FFC">
      <w:pPr>
        <w:pStyle w:val="BlackTextBody"/>
        <w:numPr>
          <w:ilvl w:val="0"/>
          <w:numId w:val="20"/>
        </w:numPr>
        <w:tabs>
          <w:tab w:val="clear" w:pos="720"/>
          <w:tab w:val="left" w:pos="0"/>
        </w:tabs>
        <w:spacing w:before="80" w:after="80"/>
        <w:ind w:hanging="634"/>
      </w:pPr>
      <w:r>
        <w:t>Preparation of external compliance reports required by regulatory instruments, relating to clinical practices.</w:t>
      </w:r>
    </w:p>
    <w:p w:rsidR="007353E8" w:rsidRDefault="007353E8" w:rsidP="00597A4A">
      <w:pPr>
        <w:pStyle w:val="BlackTextBody"/>
        <w:tabs>
          <w:tab w:val="clear" w:pos="720"/>
          <w:tab w:val="left" w:pos="0"/>
        </w:tabs>
        <w:spacing w:before="80" w:after="80" w:line="276" w:lineRule="auto"/>
        <w:contextualSpacing/>
      </w:pPr>
    </w:p>
    <w:p w:rsidR="00E26E8B" w:rsidRPr="000D244D" w:rsidRDefault="000D244D" w:rsidP="00597A4A">
      <w:pPr>
        <w:pStyle w:val="BlackTextBody"/>
        <w:tabs>
          <w:tab w:val="clear" w:pos="720"/>
          <w:tab w:val="left" w:pos="0"/>
        </w:tabs>
        <w:spacing w:before="80" w:after="80" w:line="276" w:lineRule="auto"/>
        <w:contextualSpacing/>
        <w:rPr>
          <w:b/>
          <w:bCs/>
          <w:color w:val="002060"/>
        </w:rPr>
      </w:pPr>
      <w:r w:rsidRPr="000D244D">
        <w:rPr>
          <w:b/>
          <w:bCs/>
          <w:color w:val="002060"/>
        </w:rPr>
        <w:t>4.3</w:t>
      </w:r>
      <w:r w:rsidRPr="000D244D">
        <w:rPr>
          <w:b/>
          <w:bCs/>
          <w:color w:val="002060"/>
        </w:rPr>
        <w:tab/>
      </w:r>
      <w:r w:rsidR="00E26E8B" w:rsidRPr="000D244D">
        <w:rPr>
          <w:b/>
          <w:bCs/>
          <w:color w:val="002060"/>
        </w:rPr>
        <w:t>Director</w:t>
      </w:r>
      <w:r w:rsidR="00C16D5B" w:rsidRPr="000D244D">
        <w:rPr>
          <w:b/>
          <w:bCs/>
          <w:color w:val="002060"/>
        </w:rPr>
        <w:t xml:space="preserve"> of Performance &amp; Evaluation</w:t>
      </w:r>
    </w:p>
    <w:p w:rsidR="00E26E8B" w:rsidRDefault="007353E8" w:rsidP="00925FFC">
      <w:pPr>
        <w:pStyle w:val="BlackTextBody"/>
        <w:numPr>
          <w:ilvl w:val="0"/>
          <w:numId w:val="20"/>
        </w:numPr>
        <w:tabs>
          <w:tab w:val="clear" w:pos="720"/>
          <w:tab w:val="left" w:pos="0"/>
        </w:tabs>
        <w:spacing w:before="80" w:after="80"/>
        <w:ind w:hanging="634"/>
      </w:pPr>
      <w:r>
        <w:t xml:space="preserve">Communication of identified legal requirements to relevant parts of the </w:t>
      </w:r>
      <w:r w:rsidR="00324DB9">
        <w:t>organization</w:t>
      </w:r>
      <w:r w:rsidR="00A87EB5">
        <w:t>;</w:t>
      </w:r>
    </w:p>
    <w:p w:rsidR="0052496F" w:rsidRDefault="0052496F" w:rsidP="00925FFC">
      <w:pPr>
        <w:pStyle w:val="BlackTextBody"/>
        <w:numPr>
          <w:ilvl w:val="0"/>
          <w:numId w:val="20"/>
        </w:numPr>
        <w:tabs>
          <w:tab w:val="clear" w:pos="720"/>
          <w:tab w:val="left" w:pos="0"/>
        </w:tabs>
        <w:spacing w:before="80" w:after="80"/>
        <w:ind w:hanging="634"/>
      </w:pPr>
      <w:r>
        <w:t>Implementation of QHSE and business continuity legal requirements</w:t>
      </w:r>
      <w:r w:rsidR="00786E5B" w:rsidRPr="00786E5B">
        <w:t xml:space="preserve"> </w:t>
      </w:r>
      <w:r w:rsidR="00786E5B">
        <w:t>including incorporating into the clinical policies and procedures and ensuring mandatory requirements are stated as such</w:t>
      </w:r>
      <w:r>
        <w:t xml:space="preserve">; </w:t>
      </w:r>
    </w:p>
    <w:p w:rsidR="004375BA" w:rsidRDefault="004375BA" w:rsidP="00925FFC">
      <w:pPr>
        <w:pStyle w:val="BlackTextBody"/>
        <w:numPr>
          <w:ilvl w:val="0"/>
          <w:numId w:val="20"/>
        </w:numPr>
        <w:tabs>
          <w:tab w:val="clear" w:pos="720"/>
          <w:tab w:val="left" w:pos="0"/>
        </w:tabs>
        <w:spacing w:before="80" w:after="80"/>
        <w:ind w:hanging="634"/>
      </w:pPr>
      <w:r>
        <w:t>Preparation of external compliance reports required by regulatory instruments, related to QHSE (including business continuity);</w:t>
      </w:r>
    </w:p>
    <w:p w:rsidR="0052496F" w:rsidRDefault="0052496F" w:rsidP="00137062">
      <w:pPr>
        <w:pStyle w:val="BlackTextBody"/>
        <w:numPr>
          <w:ilvl w:val="0"/>
          <w:numId w:val="20"/>
        </w:numPr>
        <w:tabs>
          <w:tab w:val="clear" w:pos="720"/>
          <w:tab w:val="left" w:pos="0"/>
        </w:tabs>
        <w:spacing w:before="80" w:after="80"/>
        <w:ind w:hanging="634"/>
      </w:pPr>
      <w:r>
        <w:t>Identification and reporting of significant actual and potential non-compliances with QHSE and business continuity mandatory requirements</w:t>
      </w:r>
      <w:r w:rsidR="00460876">
        <w:t xml:space="preserve"> to the Chief Administration Officer</w:t>
      </w:r>
      <w:r>
        <w:t>; Scheduling and coordination of external legal reviews</w:t>
      </w:r>
      <w:r w:rsidR="00137062">
        <w:t>, as and when required</w:t>
      </w:r>
      <w:r>
        <w:t>;</w:t>
      </w:r>
    </w:p>
    <w:p w:rsidR="007353E8" w:rsidRDefault="007353E8" w:rsidP="00925FFC">
      <w:pPr>
        <w:pStyle w:val="BlackTextBody"/>
        <w:numPr>
          <w:ilvl w:val="0"/>
          <w:numId w:val="20"/>
        </w:numPr>
        <w:tabs>
          <w:tab w:val="clear" w:pos="720"/>
          <w:tab w:val="left" w:pos="0"/>
        </w:tabs>
        <w:spacing w:before="80" w:after="80"/>
        <w:ind w:hanging="634"/>
      </w:pPr>
      <w:r>
        <w:t xml:space="preserve">Monitoring </w:t>
      </w:r>
      <w:r w:rsidR="0052496F">
        <w:t xml:space="preserve">and review </w:t>
      </w:r>
      <w:r>
        <w:t xml:space="preserve">of </w:t>
      </w:r>
      <w:r w:rsidR="0052496F">
        <w:t>the</w:t>
      </w:r>
      <w:r>
        <w:t xml:space="preserve"> implementation of </w:t>
      </w:r>
      <w:r w:rsidR="0052496F">
        <w:t xml:space="preserve">this policy and the </w:t>
      </w:r>
      <w:r>
        <w:t>legal requirements;</w:t>
      </w:r>
    </w:p>
    <w:p w:rsidR="007353E8" w:rsidRDefault="0052496F" w:rsidP="00925FFC">
      <w:pPr>
        <w:pStyle w:val="BlackTextBody"/>
        <w:numPr>
          <w:ilvl w:val="0"/>
          <w:numId w:val="20"/>
        </w:numPr>
        <w:tabs>
          <w:tab w:val="clear" w:pos="720"/>
          <w:tab w:val="left" w:pos="0"/>
        </w:tabs>
        <w:spacing w:before="80" w:after="80"/>
        <w:ind w:hanging="634"/>
      </w:pPr>
      <w:r>
        <w:t>Periodic r</w:t>
      </w:r>
      <w:r w:rsidR="007353E8">
        <w:t>eporting to the Chief Administrative Office</w:t>
      </w:r>
      <w:r w:rsidR="00A87EB5">
        <w:t>r</w:t>
      </w:r>
      <w:r w:rsidR="007353E8">
        <w:t xml:space="preserve"> on the outcomes of </w:t>
      </w:r>
      <w:r>
        <w:t>monitoring and review</w:t>
      </w:r>
      <w:r w:rsidR="004375BA">
        <w:t>.</w:t>
      </w:r>
    </w:p>
    <w:p w:rsidR="00460876" w:rsidRDefault="00460876" w:rsidP="00793253">
      <w:pPr>
        <w:pStyle w:val="BlackTextBody"/>
        <w:tabs>
          <w:tab w:val="clear" w:pos="720"/>
          <w:tab w:val="left" w:pos="0"/>
        </w:tabs>
        <w:spacing w:before="80" w:after="80" w:line="276" w:lineRule="auto"/>
        <w:contextualSpacing/>
        <w:rPr>
          <w:b/>
          <w:bCs/>
        </w:rPr>
      </w:pPr>
    </w:p>
    <w:p w:rsidR="00793253" w:rsidRPr="000D244D" w:rsidRDefault="000D244D" w:rsidP="00793253">
      <w:pPr>
        <w:pStyle w:val="BlackTextBody"/>
        <w:tabs>
          <w:tab w:val="clear" w:pos="720"/>
          <w:tab w:val="left" w:pos="0"/>
        </w:tabs>
        <w:spacing w:before="80" w:after="80" w:line="276" w:lineRule="auto"/>
        <w:contextualSpacing/>
        <w:rPr>
          <w:b/>
          <w:bCs/>
          <w:color w:val="002060"/>
        </w:rPr>
      </w:pPr>
      <w:r w:rsidRPr="000D244D">
        <w:rPr>
          <w:b/>
          <w:bCs/>
          <w:color w:val="002060"/>
        </w:rPr>
        <w:t>4.4</w:t>
      </w:r>
      <w:r w:rsidRPr="000D244D">
        <w:rPr>
          <w:b/>
          <w:bCs/>
          <w:color w:val="002060"/>
        </w:rPr>
        <w:tab/>
      </w:r>
      <w:r w:rsidR="00793253" w:rsidRPr="000D244D">
        <w:rPr>
          <w:b/>
          <w:bCs/>
          <w:color w:val="002060"/>
        </w:rPr>
        <w:t>All Staff</w:t>
      </w:r>
    </w:p>
    <w:p w:rsidR="004375BA" w:rsidRDefault="004375BA" w:rsidP="00925FFC">
      <w:pPr>
        <w:pStyle w:val="BlackTextBody"/>
        <w:numPr>
          <w:ilvl w:val="0"/>
          <w:numId w:val="20"/>
        </w:numPr>
        <w:tabs>
          <w:tab w:val="clear" w:pos="720"/>
          <w:tab w:val="left" w:pos="0"/>
        </w:tabs>
        <w:spacing w:before="80" w:after="80"/>
        <w:ind w:hanging="634"/>
      </w:pPr>
      <w:r>
        <w:t xml:space="preserve">Implement and comply with all legal requirements relevant to their duty, unless doing so would cause or would be likely to cause injury, death, sickness, significant environmental harm, or significant property loss or cost to the business.  Such a situation must be immediately reported to the staff line manager; </w:t>
      </w:r>
    </w:p>
    <w:p w:rsidR="00793253" w:rsidRDefault="00793253" w:rsidP="00925FFC">
      <w:pPr>
        <w:pStyle w:val="BlackTextBody"/>
        <w:numPr>
          <w:ilvl w:val="0"/>
          <w:numId w:val="20"/>
        </w:numPr>
        <w:tabs>
          <w:tab w:val="clear" w:pos="720"/>
          <w:tab w:val="left" w:pos="0"/>
        </w:tabs>
        <w:spacing w:before="80" w:after="80"/>
        <w:ind w:hanging="634"/>
      </w:pPr>
      <w:r>
        <w:t xml:space="preserve">Report </w:t>
      </w:r>
      <w:r w:rsidR="00C16D5B">
        <w:t>to line manager and/ via the QHSE incident report procedure any</w:t>
      </w:r>
      <w:r>
        <w:t xml:space="preserve"> </w:t>
      </w:r>
      <w:r w:rsidR="00C16D5B">
        <w:t>actual or expected failure</w:t>
      </w:r>
      <w:r>
        <w:t xml:space="preserve"> to comply with legal requirements relevant to their normal duties</w:t>
      </w:r>
      <w:r w:rsidR="00C16D5B">
        <w:t xml:space="preserve">; </w:t>
      </w:r>
    </w:p>
    <w:p w:rsidR="0052496F" w:rsidRDefault="00C16D5B" w:rsidP="00925FFC">
      <w:pPr>
        <w:pStyle w:val="BlackTextBody"/>
        <w:numPr>
          <w:ilvl w:val="0"/>
          <w:numId w:val="20"/>
        </w:numPr>
        <w:tabs>
          <w:tab w:val="clear" w:pos="720"/>
          <w:tab w:val="left" w:pos="0"/>
        </w:tabs>
        <w:spacing w:before="80" w:after="80"/>
        <w:ind w:hanging="634"/>
      </w:pPr>
      <w:r>
        <w:t xml:space="preserve">Inform line manager </w:t>
      </w:r>
      <w:r w:rsidR="000413AA">
        <w:t xml:space="preserve">or create QHSE incident report </w:t>
      </w:r>
      <w:r>
        <w:t xml:space="preserve">of any new legal requirements that come to their attention, not currently identified in the </w:t>
      </w:r>
      <w:r w:rsidR="0052496F">
        <w:t>legal register</w:t>
      </w:r>
      <w:r w:rsidR="000413AA">
        <w:t>, or errors with the current register</w:t>
      </w:r>
      <w:r w:rsidR="0052496F">
        <w:t>.</w:t>
      </w:r>
    </w:p>
    <w:p w:rsidR="004375BA" w:rsidRDefault="004375BA" w:rsidP="00925FFC">
      <w:pPr>
        <w:pStyle w:val="BlackTextBody"/>
        <w:numPr>
          <w:ilvl w:val="0"/>
          <w:numId w:val="20"/>
        </w:numPr>
        <w:tabs>
          <w:tab w:val="clear" w:pos="720"/>
          <w:tab w:val="left" w:pos="0"/>
        </w:tabs>
        <w:spacing w:before="80" w:after="80"/>
        <w:ind w:hanging="634"/>
      </w:pPr>
      <w:r>
        <w:t xml:space="preserve">Assisting in data gathering for compliance reporting, and document keeping as may be required by mandatory standards, regulations, decrees or laws. </w:t>
      </w:r>
    </w:p>
    <w:p w:rsidR="00C16D5B" w:rsidRPr="00076482" w:rsidRDefault="00C16D5B" w:rsidP="00076482">
      <w:pPr>
        <w:pStyle w:val="BlackTextBody"/>
        <w:tabs>
          <w:tab w:val="clear" w:pos="720"/>
          <w:tab w:val="left" w:pos="0"/>
        </w:tabs>
        <w:spacing w:before="80" w:after="80" w:line="276" w:lineRule="auto"/>
        <w:contextualSpacing/>
        <w:rPr>
          <w:b/>
          <w:bCs/>
        </w:rPr>
      </w:pPr>
    </w:p>
    <w:p w:rsidR="004D05E0" w:rsidRPr="009A35A1" w:rsidRDefault="00D10DB4" w:rsidP="00925FFC">
      <w:pPr>
        <w:pStyle w:val="HeadinBlue14Caps"/>
        <w:numPr>
          <w:ilvl w:val="0"/>
          <w:numId w:val="15"/>
        </w:numPr>
        <w:tabs>
          <w:tab w:val="clear" w:pos="180"/>
          <w:tab w:val="clear" w:pos="450"/>
          <w:tab w:val="clear" w:pos="567"/>
          <w:tab w:val="left" w:pos="720"/>
        </w:tabs>
        <w:spacing w:before="0" w:beforeAutospacing="0" w:after="240" w:afterAutospacing="0" w:line="276" w:lineRule="auto"/>
        <w:ind w:left="720" w:hanging="720"/>
        <w:rPr>
          <w:sz w:val="22"/>
          <w:szCs w:val="22"/>
        </w:rPr>
      </w:pPr>
      <w:bookmarkStart w:id="5" w:name="_Toc317069146"/>
      <w:r w:rsidRPr="009A35A1">
        <w:rPr>
          <w:sz w:val="22"/>
          <w:szCs w:val="22"/>
        </w:rPr>
        <w:t xml:space="preserve">Legal </w:t>
      </w:r>
      <w:r w:rsidR="004F4F72" w:rsidRPr="009A35A1">
        <w:rPr>
          <w:sz w:val="22"/>
          <w:szCs w:val="22"/>
        </w:rPr>
        <w:t>Compliance policy</w:t>
      </w:r>
      <w:bookmarkStart w:id="6" w:name="_Toc317069140"/>
      <w:bookmarkEnd w:id="5"/>
      <w:r w:rsidR="00E53F4C">
        <w:rPr>
          <w:sz w:val="22"/>
          <w:szCs w:val="22"/>
        </w:rPr>
        <w:t xml:space="preserve"> and procedure</w:t>
      </w:r>
    </w:p>
    <w:p w:rsidR="00BE602F" w:rsidRDefault="00190F9E" w:rsidP="00BE602F">
      <w:pPr>
        <w:pStyle w:val="BlackTextBody"/>
        <w:tabs>
          <w:tab w:val="clear" w:pos="720"/>
          <w:tab w:val="left" w:pos="0"/>
        </w:tabs>
        <w:spacing w:before="80" w:after="80" w:line="276" w:lineRule="auto"/>
        <w:contextualSpacing/>
      </w:pPr>
      <w:r w:rsidRPr="00082D5C">
        <w:t>N</w:t>
      </w:r>
      <w:r w:rsidR="004375BA">
        <w:t xml:space="preserve">ational </w:t>
      </w:r>
      <w:r w:rsidRPr="00082D5C">
        <w:t>A</w:t>
      </w:r>
      <w:r w:rsidR="004375BA">
        <w:t>mbulance</w:t>
      </w:r>
      <w:r w:rsidRPr="00082D5C">
        <w:t xml:space="preserve"> will </w:t>
      </w:r>
      <w:r w:rsidR="00BE602F">
        <w:t>identify new legal requirements through the following processes:</w:t>
      </w:r>
    </w:p>
    <w:p w:rsidR="00BE602F" w:rsidRDefault="00BE602F" w:rsidP="00BE602F">
      <w:pPr>
        <w:pStyle w:val="BlackTextBody"/>
        <w:tabs>
          <w:tab w:val="clear" w:pos="720"/>
          <w:tab w:val="left" w:pos="0"/>
        </w:tabs>
        <w:spacing w:before="80" w:after="80" w:line="276" w:lineRule="auto"/>
        <w:contextualSpacing/>
      </w:pPr>
    </w:p>
    <w:p w:rsidR="00BE602F" w:rsidRDefault="00BE602F" w:rsidP="00925FFC">
      <w:pPr>
        <w:pStyle w:val="BlackTextBody"/>
        <w:numPr>
          <w:ilvl w:val="0"/>
          <w:numId w:val="21"/>
        </w:numPr>
        <w:tabs>
          <w:tab w:val="clear" w:pos="720"/>
          <w:tab w:val="left" w:pos="0"/>
        </w:tabs>
        <w:spacing w:before="120" w:after="80"/>
        <w:ind w:hanging="720"/>
      </w:pPr>
      <w:r>
        <w:t>Notification</w:t>
      </w:r>
      <w:r w:rsidR="00E53F4C">
        <w:t>s</w:t>
      </w:r>
      <w:r>
        <w:t xml:space="preserve"> from all staff of new requirements relating to their practice or area of work, via QHSE incident reports or line management reporting;</w:t>
      </w:r>
    </w:p>
    <w:p w:rsidR="00BE602F" w:rsidRDefault="00BE602F" w:rsidP="00925FFC">
      <w:pPr>
        <w:pStyle w:val="BlackTextBody"/>
        <w:numPr>
          <w:ilvl w:val="0"/>
          <w:numId w:val="21"/>
        </w:numPr>
        <w:tabs>
          <w:tab w:val="clear" w:pos="720"/>
          <w:tab w:val="left" w:pos="0"/>
        </w:tabs>
        <w:spacing w:before="120" w:after="80"/>
        <w:ind w:hanging="720"/>
      </w:pPr>
      <w:r>
        <w:t>Notification</w:t>
      </w:r>
      <w:r w:rsidR="00E53F4C">
        <w:t>s</w:t>
      </w:r>
      <w:r>
        <w:t xml:space="preserve"> from senior staff with designated responsibility for identifying new legal requirements pertaining to their area of responsibility (refer Section 4); </w:t>
      </w:r>
    </w:p>
    <w:p w:rsidR="00BE602F" w:rsidRDefault="00E53F4C" w:rsidP="00925FFC">
      <w:pPr>
        <w:pStyle w:val="BlackTextBody"/>
        <w:numPr>
          <w:ilvl w:val="0"/>
          <w:numId w:val="21"/>
        </w:numPr>
        <w:tabs>
          <w:tab w:val="clear" w:pos="720"/>
          <w:tab w:val="left" w:pos="0"/>
        </w:tabs>
        <w:spacing w:before="120" w:after="80"/>
        <w:ind w:hanging="720"/>
      </w:pPr>
      <w:r>
        <w:t xml:space="preserve">Liaison of senior staff and management with NA’s regulators – Health Authority Abu Dhabi and Ministry of Health, through meetings, correspondence and participation in industry forums; </w:t>
      </w:r>
    </w:p>
    <w:p w:rsidR="00E53F4C" w:rsidRDefault="00E53F4C" w:rsidP="00925FFC">
      <w:pPr>
        <w:pStyle w:val="BlackTextBody"/>
        <w:numPr>
          <w:ilvl w:val="0"/>
          <w:numId w:val="21"/>
        </w:numPr>
        <w:tabs>
          <w:tab w:val="clear" w:pos="720"/>
          <w:tab w:val="left" w:pos="0"/>
        </w:tabs>
        <w:spacing w:before="120" w:after="80"/>
        <w:ind w:hanging="720"/>
      </w:pPr>
      <w:r>
        <w:t>Annual internal review of the legal compliance policy and legal register as part of the QHSE Management System.  This will be achieved through online searches and reviews of the regulators’</w:t>
      </w:r>
      <w:r w:rsidR="00663E24">
        <w:t xml:space="preserve"> websites;</w:t>
      </w:r>
    </w:p>
    <w:p w:rsidR="00E53F4C" w:rsidRDefault="001F6F53" w:rsidP="001F6F53">
      <w:pPr>
        <w:pStyle w:val="BlackTextBody"/>
        <w:numPr>
          <w:ilvl w:val="0"/>
          <w:numId w:val="21"/>
        </w:numPr>
        <w:tabs>
          <w:tab w:val="clear" w:pos="720"/>
          <w:tab w:val="left" w:pos="0"/>
        </w:tabs>
        <w:spacing w:before="120" w:after="80"/>
        <w:ind w:hanging="720"/>
      </w:pPr>
      <w:r>
        <w:t>Service contracts that oblige NA to provide ambulance</w:t>
      </w:r>
      <w:r w:rsidR="004F4F72" w:rsidRPr="009A35A1">
        <w:t xml:space="preserve"> </w:t>
      </w:r>
      <w:r>
        <w:t xml:space="preserve">services </w:t>
      </w:r>
      <w:r w:rsidR="004F4F72" w:rsidRPr="009A35A1">
        <w:t xml:space="preserve">will be assessed by </w:t>
      </w:r>
      <w:r w:rsidR="00BE602F">
        <w:t>third party l</w:t>
      </w:r>
      <w:r w:rsidR="00E53F4C">
        <w:t xml:space="preserve">egal counsel </w:t>
      </w:r>
      <w:r>
        <w:t>at the discretion of the Chief Administrative Officer.</w:t>
      </w:r>
      <w:r w:rsidR="004F4F72" w:rsidRPr="009A35A1">
        <w:t xml:space="preserve"> </w:t>
      </w:r>
      <w:r w:rsidR="00E53F4C">
        <w:t xml:space="preserve"> </w:t>
      </w:r>
      <w:r w:rsidR="00460876">
        <w:t xml:space="preserve">The legal advice </w:t>
      </w:r>
      <w:r>
        <w:t>should</w:t>
      </w:r>
      <w:r w:rsidR="00460876">
        <w:t xml:space="preserve"> include likely or potential failures to meet contractual clauses and conditions</w:t>
      </w:r>
      <w:r w:rsidR="003F2811">
        <w:t xml:space="preserve"> from either party to the contract, and</w:t>
      </w:r>
      <w:r w:rsidR="00460876">
        <w:t xml:space="preserve"> </w:t>
      </w:r>
      <w:r w:rsidR="000413AA">
        <w:t xml:space="preserve">the risks of such non-compliances. </w:t>
      </w:r>
    </w:p>
    <w:p w:rsidR="00E53F4C" w:rsidRDefault="00E53F4C" w:rsidP="00925FFC">
      <w:pPr>
        <w:pStyle w:val="BlackTextBody"/>
        <w:tabs>
          <w:tab w:val="clear" w:pos="720"/>
          <w:tab w:val="left" w:pos="0"/>
        </w:tabs>
        <w:spacing w:before="80" w:after="80"/>
        <w:contextualSpacing/>
      </w:pPr>
    </w:p>
    <w:p w:rsidR="000D244D" w:rsidRDefault="003E54D7" w:rsidP="003E54D7">
      <w:pPr>
        <w:pStyle w:val="BlackTextBody"/>
        <w:tabs>
          <w:tab w:val="clear" w:pos="720"/>
          <w:tab w:val="left" w:pos="0"/>
        </w:tabs>
        <w:spacing w:before="80" w:after="80"/>
        <w:contextualSpacing/>
      </w:pPr>
      <w:r>
        <w:lastRenderedPageBreak/>
        <w:t>N</w:t>
      </w:r>
      <w:r w:rsidR="000D244D">
        <w:t xml:space="preserve">ew or updated </w:t>
      </w:r>
      <w:r>
        <w:t>mandatory</w:t>
      </w:r>
      <w:r w:rsidR="000D244D">
        <w:t xml:space="preserve"> and non-mandatory requirements will be added to </w:t>
      </w:r>
      <w:r w:rsidR="008D5D30">
        <w:t xml:space="preserve">QHP109 </w:t>
      </w:r>
      <w:r w:rsidR="000D244D">
        <w:t>Legal Register</w:t>
      </w:r>
      <w:r w:rsidR="008D5D30">
        <w:t xml:space="preserve"> </w:t>
      </w:r>
      <w:r w:rsidR="000D244D">
        <w:t xml:space="preserve">or Legal Register – </w:t>
      </w:r>
      <w:r w:rsidR="001A5054" w:rsidRPr="001A5054">
        <w:t>Requirements from Standards, Guidelines and Other Industry Best Practices</w:t>
      </w:r>
      <w:r w:rsidR="001A5054">
        <w:t xml:space="preserve"> </w:t>
      </w:r>
      <w:r w:rsidR="000D244D">
        <w:t xml:space="preserve">(Annex </w:t>
      </w:r>
      <w:r w:rsidR="008D5D30">
        <w:t>A</w:t>
      </w:r>
      <w:r w:rsidR="000D244D">
        <w:t xml:space="preserve">) </w:t>
      </w:r>
    </w:p>
    <w:p w:rsidR="000D244D" w:rsidRDefault="000D244D" w:rsidP="00925FFC">
      <w:pPr>
        <w:pStyle w:val="BlackTextBody"/>
        <w:tabs>
          <w:tab w:val="clear" w:pos="720"/>
          <w:tab w:val="left" w:pos="0"/>
        </w:tabs>
        <w:spacing w:before="80" w:after="80"/>
        <w:contextualSpacing/>
      </w:pPr>
    </w:p>
    <w:p w:rsidR="004F4F72" w:rsidRDefault="004F4F72" w:rsidP="003E54D7">
      <w:pPr>
        <w:pStyle w:val="BlackTextBody"/>
        <w:tabs>
          <w:tab w:val="clear" w:pos="720"/>
          <w:tab w:val="left" w:pos="0"/>
        </w:tabs>
        <w:spacing w:before="80" w:after="80"/>
        <w:contextualSpacing/>
      </w:pPr>
      <w:r w:rsidRPr="009A35A1">
        <w:t xml:space="preserve">National Ambulance will maintain records of </w:t>
      </w:r>
      <w:r w:rsidR="003E54D7">
        <w:t>third-party</w:t>
      </w:r>
      <w:r w:rsidRPr="009A35A1">
        <w:t xml:space="preserve"> </w:t>
      </w:r>
      <w:r w:rsidR="00AD0041">
        <w:t>legal advice</w:t>
      </w:r>
      <w:r w:rsidR="003E54D7">
        <w:t xml:space="preserve"> received</w:t>
      </w:r>
      <w:r w:rsidR="00AD0041">
        <w:t xml:space="preserve">, </w:t>
      </w:r>
      <w:r w:rsidR="003E54D7">
        <w:t>and will</w:t>
      </w:r>
      <w:r w:rsidR="00460876">
        <w:t xml:space="preserve"> consider and adopt </w:t>
      </w:r>
      <w:r w:rsidR="003E54D7">
        <w:t xml:space="preserve">it </w:t>
      </w:r>
      <w:r w:rsidR="00460876">
        <w:t>where appropriate</w:t>
      </w:r>
      <w:r w:rsidRPr="009A35A1">
        <w:t xml:space="preserve">. </w:t>
      </w:r>
    </w:p>
    <w:p w:rsidR="000413AA" w:rsidRDefault="000413AA" w:rsidP="00925FFC">
      <w:pPr>
        <w:pStyle w:val="BlackTextBody"/>
        <w:tabs>
          <w:tab w:val="clear" w:pos="720"/>
          <w:tab w:val="left" w:pos="0"/>
        </w:tabs>
        <w:spacing w:before="80" w:after="80"/>
        <w:contextualSpacing/>
      </w:pPr>
    </w:p>
    <w:p w:rsidR="00E27483" w:rsidRDefault="00E27483" w:rsidP="00455385">
      <w:pPr>
        <w:pStyle w:val="BlackTextBody"/>
        <w:tabs>
          <w:tab w:val="clear" w:pos="720"/>
          <w:tab w:val="left" w:pos="0"/>
        </w:tabs>
        <w:spacing w:before="80" w:after="80"/>
        <w:contextualSpacing/>
      </w:pPr>
      <w:r>
        <w:t>Th</w:t>
      </w:r>
      <w:r w:rsidR="00455385">
        <w:t>is</w:t>
      </w:r>
      <w:r>
        <w:t xml:space="preserve"> legal policy and </w:t>
      </w:r>
      <w:r w:rsidR="000D244D">
        <w:t xml:space="preserve">procedure, including the </w:t>
      </w:r>
      <w:r w:rsidR="008D5D30">
        <w:t>QHP109 L</w:t>
      </w:r>
      <w:r w:rsidR="000D244D">
        <w:t xml:space="preserve">egal </w:t>
      </w:r>
      <w:r w:rsidR="008D5D30">
        <w:t>R</w:t>
      </w:r>
      <w:r>
        <w:t>egister</w:t>
      </w:r>
      <w:r w:rsidR="000D244D">
        <w:t>,</w:t>
      </w:r>
      <w:r>
        <w:t xml:space="preserve"> will be available</w:t>
      </w:r>
      <w:r w:rsidR="00455385">
        <w:t xml:space="preserve"> to all staff via the e-Library</w:t>
      </w:r>
      <w:r>
        <w:t xml:space="preserve"> as a controlled document.</w:t>
      </w:r>
      <w:r w:rsidRPr="00E27483">
        <w:t xml:space="preserve"> </w:t>
      </w:r>
      <w:r>
        <w:t xml:space="preserve">Compliance requirements will be addressed in policies, procedures, and other documents where appropriate.   Staff will receive training in policies and procedures that apply to their duties, which address legal requirements.  </w:t>
      </w:r>
    </w:p>
    <w:p w:rsidR="00E27483" w:rsidRDefault="00E27483" w:rsidP="00925FFC">
      <w:pPr>
        <w:pStyle w:val="BlackTextBody"/>
        <w:tabs>
          <w:tab w:val="clear" w:pos="720"/>
          <w:tab w:val="left" w:pos="0"/>
        </w:tabs>
        <w:spacing w:before="80" w:after="80"/>
        <w:contextualSpacing/>
      </w:pPr>
    </w:p>
    <w:p w:rsidR="000413AA" w:rsidRDefault="00E27483" w:rsidP="00925FFC">
      <w:pPr>
        <w:pStyle w:val="BlackTextBody"/>
        <w:tabs>
          <w:tab w:val="clear" w:pos="720"/>
          <w:tab w:val="left" w:pos="0"/>
        </w:tabs>
        <w:spacing w:before="80" w:after="80"/>
        <w:contextualSpacing/>
      </w:pPr>
      <w:r>
        <w:t xml:space="preserve">Where a duty to report on compliance </w:t>
      </w:r>
      <w:r w:rsidR="004375BA">
        <w:t xml:space="preserve">to an external authority </w:t>
      </w:r>
      <w:r>
        <w:t xml:space="preserve">arises in a regulatory instrument, the </w:t>
      </w:r>
      <w:r w:rsidR="004375BA">
        <w:t>responsibility</w:t>
      </w:r>
      <w:r>
        <w:t xml:space="preserve"> for </w:t>
      </w:r>
      <w:r w:rsidR="00663E24">
        <w:t xml:space="preserve">data </w:t>
      </w:r>
      <w:r>
        <w:t>collation and preparation o</w:t>
      </w:r>
      <w:r w:rsidR="00663E24">
        <w:t>f</w:t>
      </w:r>
      <w:r>
        <w:t xml:space="preserve"> the report will </w:t>
      </w:r>
      <w:r w:rsidR="004375BA">
        <w:t xml:space="preserve">lie with the department </w:t>
      </w:r>
      <w:r w:rsidR="00663E24">
        <w:t xml:space="preserve">mainly </w:t>
      </w:r>
      <w:r w:rsidR="004375BA">
        <w:t>responsib</w:t>
      </w:r>
      <w:r w:rsidR="00663E24">
        <w:t>le</w:t>
      </w:r>
      <w:r w:rsidR="004375BA">
        <w:t xml:space="preserve"> for the activity being reported on, and must be submitted in good time to the Chief Administration Officer for review and submission.  </w:t>
      </w:r>
    </w:p>
    <w:p w:rsidR="00460876" w:rsidRPr="009A35A1" w:rsidRDefault="00460876" w:rsidP="00925FFC">
      <w:pPr>
        <w:pStyle w:val="BlackTextBody"/>
        <w:tabs>
          <w:tab w:val="clear" w:pos="720"/>
          <w:tab w:val="left" w:pos="0"/>
        </w:tabs>
        <w:spacing w:before="80" w:after="80"/>
        <w:contextualSpacing/>
      </w:pPr>
    </w:p>
    <w:bookmarkEnd w:id="6"/>
    <w:p w:rsidR="00C75986" w:rsidRDefault="00460876" w:rsidP="00455385">
      <w:pPr>
        <w:pStyle w:val="BlackTextBody"/>
        <w:tabs>
          <w:tab w:val="clear" w:pos="720"/>
          <w:tab w:val="left" w:pos="0"/>
        </w:tabs>
        <w:spacing w:before="80" w:after="80"/>
        <w:contextualSpacing/>
      </w:pPr>
      <w:r w:rsidRPr="009A35A1">
        <w:t xml:space="preserve">Compliance with these requirements </w:t>
      </w:r>
      <w:r w:rsidR="00455385">
        <w:t>will be</w:t>
      </w:r>
      <w:r w:rsidRPr="009A35A1">
        <w:t xml:space="preserve"> evaluated annually as per the </w:t>
      </w:r>
      <w:r w:rsidRPr="0062132F">
        <w:t xml:space="preserve">Audit </w:t>
      </w:r>
      <w:r w:rsidR="0062132F">
        <w:t>and</w:t>
      </w:r>
      <w:r w:rsidRPr="0062132F">
        <w:t xml:space="preserve"> Inspection Schedule</w:t>
      </w:r>
      <w:r w:rsidR="000413AA">
        <w:t>.</w:t>
      </w:r>
      <w:r w:rsidRPr="00597A4A">
        <w:t xml:space="preserve"> </w:t>
      </w:r>
      <w:r w:rsidR="000413AA">
        <w:t xml:space="preserve"> </w:t>
      </w:r>
    </w:p>
    <w:p w:rsidR="00460876" w:rsidRPr="009A35A1" w:rsidRDefault="00460876" w:rsidP="00597A4A">
      <w:pPr>
        <w:pStyle w:val="BlackTextBody"/>
        <w:tabs>
          <w:tab w:val="clear" w:pos="720"/>
          <w:tab w:val="left" w:pos="0"/>
        </w:tabs>
        <w:spacing w:before="80" w:after="80" w:line="276" w:lineRule="auto"/>
        <w:contextualSpacing/>
      </w:pPr>
    </w:p>
    <w:p w:rsidR="00BE602F" w:rsidRPr="00460876" w:rsidRDefault="00460876" w:rsidP="00460876">
      <w:pPr>
        <w:pStyle w:val="HeadinBlue14Caps"/>
        <w:numPr>
          <w:ilvl w:val="0"/>
          <w:numId w:val="15"/>
        </w:numPr>
        <w:tabs>
          <w:tab w:val="clear" w:pos="180"/>
          <w:tab w:val="clear" w:pos="450"/>
          <w:tab w:val="clear" w:pos="567"/>
          <w:tab w:val="left" w:pos="720"/>
        </w:tabs>
        <w:spacing w:before="0" w:beforeAutospacing="0" w:after="120" w:afterAutospacing="0" w:line="276" w:lineRule="auto"/>
        <w:ind w:left="720" w:hanging="720"/>
        <w:rPr>
          <w:sz w:val="22"/>
          <w:szCs w:val="22"/>
        </w:rPr>
      </w:pPr>
      <w:r>
        <w:rPr>
          <w:sz w:val="22"/>
          <w:szCs w:val="22"/>
        </w:rPr>
        <w:t>LEGAL REGISTER</w:t>
      </w:r>
    </w:p>
    <w:p w:rsidR="00925FFC" w:rsidRDefault="00925FFC" w:rsidP="00925FFC">
      <w:pPr>
        <w:pStyle w:val="BlackTextBody"/>
        <w:tabs>
          <w:tab w:val="clear" w:pos="720"/>
          <w:tab w:val="left" w:pos="0"/>
        </w:tabs>
        <w:spacing w:before="80" w:after="80"/>
        <w:contextualSpacing/>
      </w:pPr>
    </w:p>
    <w:p w:rsidR="00B107EB" w:rsidRDefault="00460876" w:rsidP="001A5054">
      <w:pPr>
        <w:pStyle w:val="BlackTextBody"/>
        <w:tabs>
          <w:tab w:val="clear" w:pos="720"/>
          <w:tab w:val="left" w:pos="0"/>
        </w:tabs>
        <w:spacing w:before="80" w:after="80"/>
        <w:contextualSpacing/>
      </w:pPr>
      <w:r>
        <w:t xml:space="preserve">Mandatory legal requirements are listed in the </w:t>
      </w:r>
      <w:r w:rsidR="008D5D30" w:rsidRPr="008D5D30">
        <w:t xml:space="preserve">QHP109 </w:t>
      </w:r>
      <w:r>
        <w:t>Legal Register</w:t>
      </w:r>
      <w:r w:rsidR="00EA28E3">
        <w:t>.</w:t>
      </w:r>
      <w:r w:rsidR="00663E24">
        <w:t xml:space="preserve"> </w:t>
      </w:r>
      <w:r>
        <w:t xml:space="preserve">.  </w:t>
      </w:r>
      <w:r w:rsidR="00B107EB">
        <w:t>The assignment within the register of “</w:t>
      </w:r>
      <w:r w:rsidR="00EA28E3" w:rsidRPr="00EA28E3">
        <w:t>Responsible Department / Working Group</w:t>
      </w:r>
      <w:r w:rsidR="00B107EB">
        <w:t>” and “</w:t>
      </w:r>
      <w:r w:rsidR="00EA28E3" w:rsidRPr="00EA28E3">
        <w:t>Named Subject Matter Expert</w:t>
      </w:r>
      <w:r w:rsidR="00B107EB">
        <w:t>” is an indication of the department and area of operat</w:t>
      </w:r>
      <w:r w:rsidR="001A5054">
        <w:t xml:space="preserve">ions most likely to be affected, however, is not exhaustive list of requirements and may be subject to review/ reassignment outside of the review process for the Legal Register. </w:t>
      </w:r>
      <w:r w:rsidR="00B107EB">
        <w:t xml:space="preserve"> The regulatory instruments highlighted in grey may contain further specific requirements.</w:t>
      </w:r>
    </w:p>
    <w:p w:rsidR="00460876" w:rsidRDefault="00460876" w:rsidP="00925FFC">
      <w:pPr>
        <w:pStyle w:val="BlackTextBody"/>
        <w:tabs>
          <w:tab w:val="clear" w:pos="720"/>
          <w:tab w:val="left" w:pos="0"/>
        </w:tabs>
        <w:spacing w:before="80" w:after="80"/>
        <w:contextualSpacing/>
      </w:pPr>
    </w:p>
    <w:p w:rsidR="000413AA" w:rsidRDefault="00460876" w:rsidP="008653FB">
      <w:pPr>
        <w:pStyle w:val="BlackTextBody"/>
        <w:tabs>
          <w:tab w:val="clear" w:pos="720"/>
          <w:tab w:val="left" w:pos="0"/>
        </w:tabs>
        <w:spacing w:before="80" w:after="80"/>
        <w:contextualSpacing/>
      </w:pPr>
      <w:r>
        <w:t xml:space="preserve">Requirements from standards and guidelines of a non-mandatory nature are set out in </w:t>
      </w:r>
      <w:r w:rsidR="008653FB">
        <w:t xml:space="preserve">Legal Register - </w:t>
      </w:r>
      <w:r w:rsidR="008653FB">
        <w:rPr>
          <w:lang w:val="en-AU"/>
        </w:rPr>
        <w:t>Non-mandatory Standards, Guidelines and Best Practice</w:t>
      </w:r>
      <w:r w:rsidR="008653FB">
        <w:t xml:space="preserve"> (</w:t>
      </w:r>
      <w:r>
        <w:t>Annex B</w:t>
      </w:r>
      <w:r w:rsidR="008653FB">
        <w:t>)</w:t>
      </w:r>
      <w:r w:rsidR="00663E24">
        <w:t xml:space="preserve">. </w:t>
      </w:r>
    </w:p>
    <w:p w:rsidR="00663E24" w:rsidRDefault="00663E24" w:rsidP="00663E24">
      <w:pPr>
        <w:pStyle w:val="BlackTextBody"/>
        <w:tabs>
          <w:tab w:val="clear" w:pos="720"/>
          <w:tab w:val="left" w:pos="0"/>
        </w:tabs>
        <w:spacing w:before="80" w:after="80" w:line="276" w:lineRule="auto"/>
        <w:contextualSpacing/>
      </w:pPr>
    </w:p>
    <w:p w:rsidR="00B107EB" w:rsidRPr="00B107EB" w:rsidRDefault="00B107EB" w:rsidP="00925FFC">
      <w:pPr>
        <w:pStyle w:val="HeadinBlue14Caps"/>
        <w:numPr>
          <w:ilvl w:val="0"/>
          <w:numId w:val="15"/>
        </w:numPr>
        <w:tabs>
          <w:tab w:val="clear" w:pos="180"/>
          <w:tab w:val="clear" w:pos="450"/>
          <w:tab w:val="clear" w:pos="567"/>
          <w:tab w:val="left" w:pos="720"/>
        </w:tabs>
        <w:spacing w:before="0" w:beforeAutospacing="0" w:after="120" w:afterAutospacing="0" w:line="276" w:lineRule="auto"/>
        <w:ind w:left="720" w:hanging="720"/>
        <w:rPr>
          <w:sz w:val="22"/>
          <w:szCs w:val="22"/>
        </w:rPr>
      </w:pPr>
      <w:r w:rsidRPr="00B107EB">
        <w:rPr>
          <w:sz w:val="22"/>
          <w:szCs w:val="22"/>
        </w:rPr>
        <w:t>DOCUMENT CONTROL</w:t>
      </w:r>
      <w:r w:rsidRPr="00925FFC">
        <w:rPr>
          <w:sz w:val="22"/>
          <w:szCs w:val="22"/>
        </w:rPr>
        <w:t xml:space="preserve"> </w:t>
      </w:r>
    </w:p>
    <w:p w:rsidR="00076482" w:rsidRPr="00113773" w:rsidRDefault="00113773" w:rsidP="008653FB">
      <w:pPr>
        <w:pStyle w:val="BlackTextBody"/>
        <w:tabs>
          <w:tab w:val="left" w:pos="0"/>
        </w:tabs>
        <w:spacing w:before="160" w:after="100"/>
        <w:rPr>
          <w:b/>
          <w:color w:val="002060"/>
          <w:lang w:val="en-AU"/>
        </w:rPr>
      </w:pPr>
      <w:r>
        <w:rPr>
          <w:b/>
          <w:color w:val="002060"/>
          <w:lang w:val="en-AU"/>
        </w:rPr>
        <w:t>7.1</w:t>
      </w:r>
      <w:r>
        <w:rPr>
          <w:b/>
          <w:color w:val="002060"/>
          <w:lang w:val="en-AU"/>
        </w:rPr>
        <w:tab/>
      </w:r>
      <w:r w:rsidR="00076482" w:rsidRPr="00113773">
        <w:rPr>
          <w:b/>
          <w:color w:val="002060"/>
          <w:lang w:val="en-AU"/>
        </w:rPr>
        <w:t>Review Policy</w:t>
      </w:r>
    </w:p>
    <w:p w:rsidR="00CB6B84" w:rsidRDefault="00CB6B84" w:rsidP="001F6F53">
      <w:pPr>
        <w:pStyle w:val="BlackTextBody"/>
      </w:pPr>
      <w:r>
        <w:t>This policy and procedure is subject to NA’s document control policy.  R</w:t>
      </w:r>
      <w:r w:rsidRPr="003F39AB">
        <w:t>eview</w:t>
      </w:r>
      <w:r>
        <w:t xml:space="preserve">s will be carried out on a periodic basis aligned with NA’s management system reviews and at least on an annual basis, or otherwise as required in response to major external or internal changes or incidents. </w:t>
      </w:r>
      <w:r w:rsidR="00455385">
        <w:t xml:space="preserve"> </w:t>
      </w:r>
      <w:r>
        <w:t xml:space="preserve">Examples of situations where a review would be carried out include:  major </w:t>
      </w:r>
      <w:r w:rsidR="00324DB9">
        <w:t>organizational</w:t>
      </w:r>
      <w:r>
        <w:t xml:space="preserve"> restructure, changes to company core business and functions,</w:t>
      </w:r>
      <w:r w:rsidRPr="00925FFC">
        <w:t xml:space="preserve"> </w:t>
      </w:r>
      <w:r>
        <w:t xml:space="preserve">issue </w:t>
      </w:r>
      <w:r w:rsidRPr="00925FFC">
        <w:t>of new l</w:t>
      </w:r>
      <w:r>
        <w:t xml:space="preserve">egislative </w:t>
      </w:r>
      <w:r w:rsidR="001F6F53">
        <w:t>requirements</w:t>
      </w:r>
      <w:r>
        <w:t xml:space="preserve"> from NA’s regulators</w:t>
      </w:r>
      <w:r w:rsidRPr="00925FFC">
        <w:t xml:space="preserve">, or </w:t>
      </w:r>
      <w:r>
        <w:t>a major legal non-compliance.</w:t>
      </w:r>
    </w:p>
    <w:p w:rsidR="00CB6B84" w:rsidRPr="00925FFC" w:rsidRDefault="00CB6B84" w:rsidP="003F2811">
      <w:pPr>
        <w:pStyle w:val="BlackTextBody"/>
        <w:tabs>
          <w:tab w:val="clear" w:pos="720"/>
          <w:tab w:val="left" w:pos="0"/>
        </w:tabs>
        <w:spacing w:before="80" w:after="80"/>
        <w:contextualSpacing/>
      </w:pPr>
    </w:p>
    <w:p w:rsidR="00B107EB" w:rsidRPr="009A35A1" w:rsidRDefault="00B107EB" w:rsidP="00E64AE7">
      <w:pPr>
        <w:pStyle w:val="BlackTextBody"/>
        <w:tabs>
          <w:tab w:val="clear" w:pos="720"/>
          <w:tab w:val="left" w:pos="0"/>
        </w:tabs>
        <w:spacing w:before="80" w:after="80"/>
        <w:contextualSpacing/>
        <w:rPr>
          <w:rFonts w:eastAsiaTheme="minorHAnsi"/>
          <w:color w:val="FFFFFF"/>
        </w:rPr>
      </w:pPr>
      <w:r w:rsidRPr="00925FFC">
        <w:t>This document ownersh</w:t>
      </w:r>
      <w:r w:rsidR="00E64AE7">
        <w:t>ip for editing is identified as:</w:t>
      </w:r>
    </w:p>
    <w:p w:rsidR="00E64AE7" w:rsidRPr="00E64AE7" w:rsidRDefault="00E64AE7" w:rsidP="00E64AE7">
      <w:pPr>
        <w:pStyle w:val="BlackTextBody"/>
        <w:numPr>
          <w:ilvl w:val="0"/>
          <w:numId w:val="5"/>
        </w:numPr>
        <w:spacing w:before="100" w:beforeAutospacing="1" w:after="100" w:afterAutospacing="1"/>
        <w:ind w:right="3" w:hanging="720"/>
        <w:rPr>
          <w:b/>
          <w:lang w:val="en-AU"/>
        </w:rPr>
      </w:pPr>
      <w:r>
        <w:rPr>
          <w:rFonts w:eastAsiaTheme="minorHAnsi"/>
        </w:rPr>
        <w:t>Chief Administrative Officer</w:t>
      </w:r>
    </w:p>
    <w:p w:rsidR="008653FB" w:rsidRDefault="008653FB" w:rsidP="00113773">
      <w:pPr>
        <w:pStyle w:val="BlackTextBody"/>
        <w:spacing w:before="100" w:after="200"/>
        <w:rPr>
          <w:b/>
          <w:color w:val="002060"/>
          <w:lang w:val="en-AU"/>
        </w:rPr>
        <w:sectPr w:rsidR="008653FB" w:rsidSect="00597A4A">
          <w:pgSz w:w="12240" w:h="15840" w:code="1"/>
          <w:pgMar w:top="720" w:right="1170" w:bottom="720" w:left="1350" w:header="720" w:footer="193" w:gutter="0"/>
          <w:cols w:space="720"/>
          <w:docGrid w:linePitch="360"/>
        </w:sectPr>
      </w:pPr>
    </w:p>
    <w:p w:rsidR="00DB032D" w:rsidRPr="00113773" w:rsidRDefault="00113773" w:rsidP="00113773">
      <w:pPr>
        <w:pStyle w:val="BlackTextBody"/>
        <w:spacing w:before="100" w:after="200"/>
        <w:rPr>
          <w:b/>
          <w:color w:val="002060"/>
          <w:lang w:val="en-AU"/>
        </w:rPr>
      </w:pPr>
      <w:r>
        <w:rPr>
          <w:b/>
          <w:color w:val="002060"/>
          <w:lang w:val="en-AU"/>
        </w:rPr>
        <w:lastRenderedPageBreak/>
        <w:t>7.2</w:t>
      </w:r>
      <w:r>
        <w:rPr>
          <w:b/>
          <w:color w:val="002060"/>
          <w:lang w:val="en-AU"/>
        </w:rPr>
        <w:tab/>
      </w:r>
      <w:r w:rsidR="00B107EB" w:rsidRPr="00113773">
        <w:rPr>
          <w:b/>
          <w:color w:val="002060"/>
          <w:lang w:val="en-AU"/>
        </w:rPr>
        <w:t>Change Brief</w:t>
      </w:r>
    </w:p>
    <w:tbl>
      <w:tblPr>
        <w:tblW w:w="9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080"/>
        <w:gridCol w:w="7932"/>
      </w:tblGrid>
      <w:tr w:rsidR="00B107EB" w:rsidRPr="009A35A1" w:rsidTr="00113773">
        <w:tc>
          <w:tcPr>
            <w:tcW w:w="985" w:type="dxa"/>
            <w:shd w:val="clear" w:color="auto" w:fill="D9D9D9" w:themeFill="background1" w:themeFillShade="D9"/>
            <w:vAlign w:val="center"/>
          </w:tcPr>
          <w:p w:rsidR="00B107EB" w:rsidRPr="009A35A1" w:rsidRDefault="00B107EB" w:rsidP="00E64AE7">
            <w:pPr>
              <w:tabs>
                <w:tab w:val="left" w:pos="180"/>
                <w:tab w:val="left" w:pos="450"/>
              </w:tabs>
              <w:spacing w:before="100" w:beforeAutospacing="1" w:after="100" w:afterAutospacing="1"/>
              <w:ind w:right="3"/>
              <w:jc w:val="center"/>
              <w:rPr>
                <w:rFonts w:asciiTheme="minorHAnsi" w:hAnsiTheme="minorHAnsi" w:cstheme="minorHAnsi"/>
                <w:b/>
                <w:sz w:val="22"/>
                <w:szCs w:val="22"/>
                <w:lang w:val="en-AU"/>
              </w:rPr>
            </w:pPr>
            <w:r w:rsidRPr="009A35A1">
              <w:rPr>
                <w:rFonts w:asciiTheme="minorHAnsi" w:hAnsiTheme="minorHAnsi" w:cstheme="minorHAnsi"/>
                <w:b/>
                <w:sz w:val="22"/>
                <w:szCs w:val="22"/>
                <w:lang w:val="en-AU"/>
              </w:rPr>
              <w:t>Version No.</w:t>
            </w:r>
          </w:p>
        </w:tc>
        <w:tc>
          <w:tcPr>
            <w:tcW w:w="1080" w:type="dxa"/>
            <w:shd w:val="clear" w:color="auto" w:fill="D9D9D9" w:themeFill="background1" w:themeFillShade="D9"/>
            <w:vAlign w:val="center"/>
          </w:tcPr>
          <w:p w:rsidR="00B107EB" w:rsidRPr="009A35A1" w:rsidRDefault="00B107EB" w:rsidP="00E64AE7">
            <w:pPr>
              <w:tabs>
                <w:tab w:val="left" w:pos="180"/>
                <w:tab w:val="left" w:pos="450"/>
              </w:tabs>
              <w:spacing w:before="100" w:beforeAutospacing="1" w:after="100" w:afterAutospacing="1"/>
              <w:ind w:right="3"/>
              <w:jc w:val="both"/>
              <w:rPr>
                <w:rFonts w:asciiTheme="minorHAnsi" w:hAnsiTheme="minorHAnsi" w:cstheme="minorHAnsi"/>
                <w:b/>
                <w:sz w:val="22"/>
                <w:szCs w:val="22"/>
                <w:lang w:val="en-AU"/>
              </w:rPr>
            </w:pPr>
            <w:r w:rsidRPr="009A35A1">
              <w:rPr>
                <w:rFonts w:asciiTheme="minorHAnsi" w:hAnsiTheme="minorHAnsi" w:cstheme="minorHAnsi"/>
                <w:b/>
                <w:sz w:val="22"/>
                <w:szCs w:val="22"/>
                <w:lang w:val="en-AU"/>
              </w:rPr>
              <w:t>Date</w:t>
            </w:r>
          </w:p>
        </w:tc>
        <w:tc>
          <w:tcPr>
            <w:tcW w:w="7932" w:type="dxa"/>
            <w:shd w:val="clear" w:color="auto" w:fill="D9D9D9" w:themeFill="background1" w:themeFillShade="D9"/>
            <w:vAlign w:val="center"/>
          </w:tcPr>
          <w:p w:rsidR="00B107EB" w:rsidRPr="009A35A1" w:rsidRDefault="00B107EB" w:rsidP="000D244D">
            <w:pPr>
              <w:tabs>
                <w:tab w:val="left" w:pos="450"/>
              </w:tabs>
              <w:spacing w:before="100" w:beforeAutospacing="1" w:after="100" w:afterAutospacing="1"/>
              <w:ind w:right="3"/>
              <w:jc w:val="both"/>
              <w:rPr>
                <w:rFonts w:asciiTheme="minorHAnsi" w:hAnsiTheme="minorHAnsi" w:cstheme="minorHAnsi"/>
                <w:b/>
                <w:sz w:val="22"/>
                <w:szCs w:val="22"/>
                <w:lang w:val="en-AU"/>
              </w:rPr>
            </w:pPr>
            <w:r w:rsidRPr="009A35A1">
              <w:rPr>
                <w:rFonts w:asciiTheme="minorHAnsi" w:hAnsiTheme="minorHAnsi" w:cstheme="minorHAnsi"/>
                <w:b/>
                <w:sz w:val="22"/>
                <w:szCs w:val="22"/>
                <w:lang w:val="en-AU"/>
              </w:rPr>
              <w:t>Changes</w:t>
            </w:r>
          </w:p>
        </w:tc>
      </w:tr>
      <w:tr w:rsidR="00B107EB" w:rsidRPr="009A35A1" w:rsidTr="00113773">
        <w:tc>
          <w:tcPr>
            <w:tcW w:w="985" w:type="dxa"/>
            <w:vAlign w:val="center"/>
          </w:tcPr>
          <w:p w:rsidR="00B107EB" w:rsidRPr="009A35A1" w:rsidRDefault="00B107EB" w:rsidP="00E64AE7">
            <w:pPr>
              <w:tabs>
                <w:tab w:val="left" w:pos="180"/>
                <w:tab w:val="left" w:pos="450"/>
              </w:tabs>
              <w:spacing w:before="100" w:beforeAutospacing="1" w:after="100" w:afterAutospacing="1"/>
              <w:ind w:right="3"/>
              <w:jc w:val="center"/>
              <w:rPr>
                <w:rFonts w:asciiTheme="minorHAnsi" w:hAnsiTheme="minorHAnsi" w:cstheme="minorHAnsi"/>
                <w:sz w:val="22"/>
                <w:szCs w:val="22"/>
                <w:lang w:val="en-AU"/>
              </w:rPr>
            </w:pPr>
            <w:r w:rsidRPr="009A35A1">
              <w:rPr>
                <w:rFonts w:asciiTheme="minorHAnsi" w:hAnsiTheme="minorHAnsi" w:cstheme="minorHAnsi"/>
                <w:sz w:val="22"/>
                <w:szCs w:val="22"/>
                <w:lang w:val="en-AU"/>
              </w:rPr>
              <w:t>2</w:t>
            </w:r>
          </w:p>
        </w:tc>
        <w:tc>
          <w:tcPr>
            <w:tcW w:w="1080" w:type="dxa"/>
            <w:shd w:val="clear" w:color="auto" w:fill="auto"/>
            <w:vAlign w:val="center"/>
          </w:tcPr>
          <w:p w:rsidR="00B107EB" w:rsidRPr="009A35A1" w:rsidRDefault="00B107EB" w:rsidP="00E64AE7">
            <w:pPr>
              <w:tabs>
                <w:tab w:val="left" w:pos="180"/>
                <w:tab w:val="left" w:pos="450"/>
              </w:tabs>
              <w:spacing w:before="100" w:beforeAutospacing="1" w:after="100" w:afterAutospacing="1"/>
              <w:ind w:right="3"/>
              <w:rPr>
                <w:rFonts w:asciiTheme="minorHAnsi" w:hAnsiTheme="minorHAnsi" w:cstheme="minorHAnsi"/>
                <w:sz w:val="22"/>
                <w:szCs w:val="22"/>
                <w:lang w:val="en-AU"/>
              </w:rPr>
            </w:pPr>
            <w:r w:rsidRPr="009A35A1">
              <w:rPr>
                <w:rFonts w:asciiTheme="minorHAnsi" w:hAnsiTheme="minorHAnsi" w:cstheme="minorHAnsi"/>
                <w:sz w:val="22"/>
                <w:szCs w:val="22"/>
                <w:lang w:val="en-AU"/>
              </w:rPr>
              <w:t>Dec 2011</w:t>
            </w:r>
          </w:p>
        </w:tc>
        <w:tc>
          <w:tcPr>
            <w:tcW w:w="7932" w:type="dxa"/>
            <w:shd w:val="clear" w:color="auto" w:fill="auto"/>
            <w:vAlign w:val="center"/>
          </w:tcPr>
          <w:p w:rsidR="00B107EB" w:rsidRPr="009A35A1" w:rsidRDefault="00B107EB" w:rsidP="00113773">
            <w:pPr>
              <w:pStyle w:val="ListParagraph"/>
              <w:numPr>
                <w:ilvl w:val="0"/>
                <w:numId w:val="23"/>
              </w:numPr>
              <w:spacing w:before="60" w:after="60"/>
              <w:ind w:left="346"/>
              <w:contextualSpacing w:val="0"/>
              <w:rPr>
                <w:rFonts w:asciiTheme="minorHAnsi" w:hAnsiTheme="minorHAnsi" w:cstheme="minorHAnsi"/>
                <w:sz w:val="22"/>
                <w:szCs w:val="22"/>
                <w:lang w:val="en-AU"/>
              </w:rPr>
            </w:pPr>
            <w:r w:rsidRPr="009A35A1">
              <w:rPr>
                <w:rFonts w:asciiTheme="minorHAnsi" w:hAnsiTheme="minorHAnsi" w:cstheme="minorHAnsi"/>
                <w:sz w:val="22"/>
                <w:szCs w:val="22"/>
                <w:lang w:val="en-AU"/>
              </w:rPr>
              <w:t xml:space="preserve">Inclusion of </w:t>
            </w:r>
            <w:r w:rsidR="00E64AE7">
              <w:rPr>
                <w:rFonts w:asciiTheme="minorHAnsi" w:hAnsiTheme="minorHAnsi" w:cstheme="minorHAnsi"/>
                <w:sz w:val="22"/>
                <w:szCs w:val="22"/>
                <w:lang w:val="en-AU"/>
              </w:rPr>
              <w:t xml:space="preserve">ISO </w:t>
            </w:r>
            <w:r w:rsidRPr="009A35A1">
              <w:rPr>
                <w:rFonts w:asciiTheme="minorHAnsi" w:hAnsiTheme="minorHAnsi" w:cstheme="minorHAnsi"/>
                <w:sz w:val="22"/>
                <w:szCs w:val="22"/>
                <w:lang w:val="en-AU"/>
              </w:rPr>
              <w:t xml:space="preserve">14001 </w:t>
            </w:r>
            <w:r w:rsidR="00E64AE7">
              <w:rPr>
                <w:rFonts w:asciiTheme="minorHAnsi" w:hAnsiTheme="minorHAnsi" w:cstheme="minorHAnsi"/>
                <w:sz w:val="22"/>
                <w:szCs w:val="22"/>
                <w:lang w:val="en-AU"/>
              </w:rPr>
              <w:t>and</w:t>
            </w:r>
            <w:r w:rsidRPr="009A35A1">
              <w:rPr>
                <w:rFonts w:asciiTheme="minorHAnsi" w:hAnsiTheme="minorHAnsi" w:cstheme="minorHAnsi"/>
                <w:sz w:val="22"/>
                <w:szCs w:val="22"/>
                <w:lang w:val="en-AU"/>
              </w:rPr>
              <w:t xml:space="preserve"> 18001 </w:t>
            </w:r>
            <w:r w:rsidR="00E64AE7">
              <w:rPr>
                <w:rFonts w:asciiTheme="minorHAnsi" w:hAnsiTheme="minorHAnsi" w:cstheme="minorHAnsi"/>
                <w:sz w:val="22"/>
                <w:szCs w:val="22"/>
                <w:lang w:val="en-AU"/>
              </w:rPr>
              <w:t>s</w:t>
            </w:r>
            <w:r w:rsidRPr="009A35A1">
              <w:rPr>
                <w:rFonts w:asciiTheme="minorHAnsi" w:hAnsiTheme="minorHAnsi" w:cstheme="minorHAnsi"/>
                <w:sz w:val="22"/>
                <w:szCs w:val="22"/>
                <w:lang w:val="en-AU"/>
              </w:rPr>
              <w:t>ystems (</w:t>
            </w:r>
            <w:r w:rsidR="00E64AE7">
              <w:rPr>
                <w:rFonts w:asciiTheme="minorHAnsi" w:hAnsiTheme="minorHAnsi" w:cstheme="minorHAnsi"/>
                <w:sz w:val="22"/>
                <w:szCs w:val="22"/>
                <w:lang w:val="en-AU"/>
              </w:rPr>
              <w:t>v</w:t>
            </w:r>
            <w:r w:rsidRPr="009A35A1">
              <w:rPr>
                <w:rFonts w:asciiTheme="minorHAnsi" w:hAnsiTheme="minorHAnsi" w:cstheme="minorHAnsi"/>
                <w:sz w:val="22"/>
                <w:szCs w:val="22"/>
                <w:lang w:val="en-AU"/>
              </w:rPr>
              <w:t>ersion 2.0)</w:t>
            </w:r>
          </w:p>
        </w:tc>
      </w:tr>
      <w:tr w:rsidR="00B107EB" w:rsidRPr="009A35A1" w:rsidTr="00113773">
        <w:tc>
          <w:tcPr>
            <w:tcW w:w="985" w:type="dxa"/>
            <w:vAlign w:val="center"/>
          </w:tcPr>
          <w:p w:rsidR="00B107EB" w:rsidRPr="009A35A1" w:rsidRDefault="00B107EB" w:rsidP="00E64AE7">
            <w:pPr>
              <w:tabs>
                <w:tab w:val="left" w:pos="180"/>
                <w:tab w:val="left" w:pos="450"/>
              </w:tabs>
              <w:spacing w:before="100" w:beforeAutospacing="1" w:after="100" w:afterAutospacing="1"/>
              <w:ind w:right="3"/>
              <w:jc w:val="center"/>
              <w:rPr>
                <w:rFonts w:asciiTheme="minorHAnsi" w:hAnsiTheme="minorHAnsi" w:cstheme="minorHAnsi"/>
                <w:sz w:val="22"/>
                <w:szCs w:val="22"/>
                <w:lang w:val="en-AU"/>
              </w:rPr>
            </w:pPr>
            <w:r w:rsidRPr="009A35A1">
              <w:rPr>
                <w:rFonts w:asciiTheme="minorHAnsi" w:hAnsiTheme="minorHAnsi" w:cstheme="minorHAnsi"/>
                <w:sz w:val="22"/>
                <w:szCs w:val="22"/>
                <w:lang w:val="en-AU"/>
              </w:rPr>
              <w:t>3</w:t>
            </w:r>
          </w:p>
        </w:tc>
        <w:tc>
          <w:tcPr>
            <w:tcW w:w="1080" w:type="dxa"/>
            <w:shd w:val="clear" w:color="auto" w:fill="auto"/>
            <w:vAlign w:val="center"/>
          </w:tcPr>
          <w:p w:rsidR="00B107EB" w:rsidRPr="009A35A1" w:rsidRDefault="00E64AE7" w:rsidP="00E64AE7">
            <w:pPr>
              <w:tabs>
                <w:tab w:val="left" w:pos="180"/>
                <w:tab w:val="left" w:pos="450"/>
              </w:tabs>
              <w:spacing w:before="100" w:beforeAutospacing="1" w:after="100" w:afterAutospacing="1"/>
              <w:ind w:right="3"/>
              <w:rPr>
                <w:rFonts w:asciiTheme="minorHAnsi" w:hAnsiTheme="minorHAnsi" w:cstheme="minorHAnsi"/>
                <w:sz w:val="22"/>
                <w:szCs w:val="22"/>
                <w:lang w:val="en-AU"/>
              </w:rPr>
            </w:pPr>
            <w:r>
              <w:rPr>
                <w:rFonts w:asciiTheme="minorHAnsi" w:hAnsiTheme="minorHAnsi" w:cstheme="minorHAnsi"/>
                <w:sz w:val="22"/>
                <w:szCs w:val="22"/>
                <w:lang w:val="en-AU"/>
              </w:rPr>
              <w:t>Aug</w:t>
            </w:r>
            <w:r w:rsidR="00B107EB" w:rsidRPr="009A35A1">
              <w:rPr>
                <w:rFonts w:asciiTheme="minorHAnsi" w:hAnsiTheme="minorHAnsi" w:cstheme="minorHAnsi"/>
                <w:sz w:val="22"/>
                <w:szCs w:val="22"/>
                <w:lang w:val="en-AU"/>
              </w:rPr>
              <w:t xml:space="preserve"> 2012</w:t>
            </w:r>
          </w:p>
        </w:tc>
        <w:tc>
          <w:tcPr>
            <w:tcW w:w="7932" w:type="dxa"/>
            <w:shd w:val="clear" w:color="auto" w:fill="auto"/>
            <w:vAlign w:val="center"/>
          </w:tcPr>
          <w:p w:rsidR="00B107EB" w:rsidRPr="009A35A1" w:rsidRDefault="00B107EB" w:rsidP="00113773">
            <w:pPr>
              <w:pStyle w:val="ListParagraph"/>
              <w:numPr>
                <w:ilvl w:val="0"/>
                <w:numId w:val="23"/>
              </w:numPr>
              <w:spacing w:before="60" w:after="60"/>
              <w:ind w:left="346"/>
              <w:contextualSpacing w:val="0"/>
              <w:rPr>
                <w:rFonts w:asciiTheme="minorHAnsi" w:hAnsiTheme="minorHAnsi" w:cstheme="minorHAnsi"/>
                <w:sz w:val="22"/>
                <w:szCs w:val="22"/>
                <w:lang w:val="en-AU"/>
              </w:rPr>
            </w:pPr>
            <w:r w:rsidRPr="009A35A1">
              <w:rPr>
                <w:rFonts w:asciiTheme="minorHAnsi" w:hAnsiTheme="minorHAnsi" w:cstheme="minorHAnsi"/>
                <w:sz w:val="22"/>
                <w:szCs w:val="22"/>
                <w:lang w:val="en-AU"/>
              </w:rPr>
              <w:t>Review of Legislation</w:t>
            </w:r>
            <w:r w:rsidR="00E64AE7">
              <w:rPr>
                <w:rFonts w:asciiTheme="minorHAnsi" w:hAnsiTheme="minorHAnsi" w:cstheme="minorHAnsi"/>
                <w:sz w:val="22"/>
                <w:szCs w:val="22"/>
                <w:lang w:val="en-AU"/>
              </w:rPr>
              <w:t xml:space="preserve"> and update requirements table;  </w:t>
            </w:r>
            <w:r w:rsidRPr="009A35A1">
              <w:rPr>
                <w:rFonts w:asciiTheme="minorHAnsi" w:hAnsiTheme="minorHAnsi" w:cstheme="minorHAnsi"/>
                <w:sz w:val="22"/>
                <w:szCs w:val="22"/>
                <w:lang w:val="en-AU"/>
              </w:rPr>
              <w:t>Formatting and Document name and number change</w:t>
            </w:r>
            <w:r w:rsidR="00E64AE7">
              <w:rPr>
                <w:rFonts w:asciiTheme="minorHAnsi" w:hAnsiTheme="minorHAnsi" w:cstheme="minorHAnsi"/>
                <w:sz w:val="22"/>
                <w:szCs w:val="22"/>
                <w:lang w:val="en-AU"/>
              </w:rPr>
              <w:t xml:space="preserve">; </w:t>
            </w:r>
            <w:r>
              <w:rPr>
                <w:rFonts w:asciiTheme="minorHAnsi" w:hAnsiTheme="minorHAnsi" w:cstheme="minorHAnsi"/>
                <w:sz w:val="22"/>
                <w:szCs w:val="22"/>
                <w:lang w:val="en-AU"/>
              </w:rPr>
              <w:t xml:space="preserve"> </w:t>
            </w:r>
            <w:r w:rsidRPr="009A35A1">
              <w:rPr>
                <w:rFonts w:asciiTheme="minorHAnsi" w:hAnsiTheme="minorHAnsi" w:cstheme="minorHAnsi"/>
                <w:sz w:val="22"/>
                <w:szCs w:val="22"/>
                <w:lang w:val="en-AU"/>
              </w:rPr>
              <w:t>Update of legislation to reflect current non-legislative requirement to follow EHSMS</w:t>
            </w:r>
            <w:r w:rsidR="00E64AE7">
              <w:rPr>
                <w:rFonts w:asciiTheme="minorHAnsi" w:hAnsiTheme="minorHAnsi" w:cstheme="minorHAnsi"/>
                <w:sz w:val="22"/>
                <w:szCs w:val="22"/>
                <w:lang w:val="en-AU"/>
              </w:rPr>
              <w:t>;</w:t>
            </w:r>
          </w:p>
        </w:tc>
      </w:tr>
      <w:tr w:rsidR="00B107EB" w:rsidRPr="009A35A1" w:rsidTr="00113773">
        <w:tc>
          <w:tcPr>
            <w:tcW w:w="985" w:type="dxa"/>
            <w:vAlign w:val="center"/>
          </w:tcPr>
          <w:p w:rsidR="00B107EB" w:rsidRPr="009A35A1" w:rsidRDefault="00B107EB" w:rsidP="00E64AE7">
            <w:pPr>
              <w:tabs>
                <w:tab w:val="left" w:pos="180"/>
                <w:tab w:val="left" w:pos="450"/>
              </w:tabs>
              <w:spacing w:before="100" w:beforeAutospacing="1" w:after="100" w:afterAutospacing="1"/>
              <w:ind w:right="3"/>
              <w:jc w:val="center"/>
              <w:rPr>
                <w:rFonts w:asciiTheme="minorHAnsi" w:hAnsiTheme="minorHAnsi" w:cstheme="minorHAnsi"/>
                <w:sz w:val="22"/>
                <w:szCs w:val="22"/>
                <w:lang w:val="en-AU"/>
              </w:rPr>
            </w:pPr>
            <w:r w:rsidRPr="009A35A1">
              <w:rPr>
                <w:rFonts w:asciiTheme="minorHAnsi" w:hAnsiTheme="minorHAnsi" w:cstheme="minorHAnsi"/>
                <w:sz w:val="22"/>
                <w:szCs w:val="22"/>
                <w:lang w:val="en-AU"/>
              </w:rPr>
              <w:t>4</w:t>
            </w:r>
          </w:p>
        </w:tc>
        <w:tc>
          <w:tcPr>
            <w:tcW w:w="1080" w:type="dxa"/>
            <w:shd w:val="clear" w:color="auto" w:fill="auto"/>
            <w:vAlign w:val="center"/>
          </w:tcPr>
          <w:p w:rsidR="00B107EB" w:rsidRPr="009A35A1" w:rsidRDefault="00B107EB" w:rsidP="00E64AE7">
            <w:pPr>
              <w:tabs>
                <w:tab w:val="left" w:pos="180"/>
                <w:tab w:val="left" w:pos="450"/>
              </w:tabs>
              <w:spacing w:before="100" w:beforeAutospacing="1" w:after="100" w:afterAutospacing="1"/>
              <w:ind w:right="3"/>
              <w:rPr>
                <w:rFonts w:asciiTheme="minorHAnsi" w:hAnsiTheme="minorHAnsi" w:cstheme="minorHAnsi"/>
                <w:sz w:val="22"/>
                <w:szCs w:val="22"/>
                <w:lang w:val="en-AU"/>
              </w:rPr>
            </w:pPr>
            <w:r w:rsidRPr="009A35A1">
              <w:rPr>
                <w:rFonts w:asciiTheme="minorHAnsi" w:hAnsiTheme="minorHAnsi" w:cstheme="minorHAnsi"/>
                <w:sz w:val="22"/>
                <w:szCs w:val="22"/>
                <w:lang w:val="en-AU"/>
              </w:rPr>
              <w:t>Aug 201</w:t>
            </w:r>
            <w:r>
              <w:rPr>
                <w:rFonts w:asciiTheme="minorHAnsi" w:hAnsiTheme="minorHAnsi" w:cstheme="minorHAnsi"/>
                <w:sz w:val="22"/>
                <w:szCs w:val="22"/>
                <w:lang w:val="en-AU"/>
              </w:rPr>
              <w:t>3</w:t>
            </w:r>
          </w:p>
        </w:tc>
        <w:tc>
          <w:tcPr>
            <w:tcW w:w="7932" w:type="dxa"/>
            <w:shd w:val="clear" w:color="auto" w:fill="auto"/>
            <w:vAlign w:val="center"/>
          </w:tcPr>
          <w:p w:rsidR="00B107EB" w:rsidRPr="009A35A1" w:rsidRDefault="00B107EB" w:rsidP="00113773">
            <w:pPr>
              <w:pStyle w:val="ListParagraph"/>
              <w:numPr>
                <w:ilvl w:val="0"/>
                <w:numId w:val="23"/>
              </w:numPr>
              <w:spacing w:before="60" w:after="60"/>
              <w:ind w:left="346"/>
              <w:contextualSpacing w:val="0"/>
              <w:rPr>
                <w:rFonts w:asciiTheme="minorHAnsi" w:hAnsiTheme="minorHAnsi" w:cstheme="minorHAnsi"/>
                <w:sz w:val="22"/>
                <w:szCs w:val="22"/>
                <w:lang w:val="en-AU"/>
              </w:rPr>
            </w:pPr>
            <w:r>
              <w:rPr>
                <w:rFonts w:asciiTheme="minorHAnsi" w:hAnsiTheme="minorHAnsi" w:cstheme="minorHAnsi"/>
                <w:sz w:val="22"/>
                <w:szCs w:val="22"/>
                <w:lang w:val="en-AU"/>
              </w:rPr>
              <w:t>Review of legislation and alignment with scope of services</w:t>
            </w:r>
            <w:r w:rsidR="00E64AE7">
              <w:rPr>
                <w:rFonts w:asciiTheme="minorHAnsi" w:hAnsiTheme="minorHAnsi" w:cstheme="minorHAnsi"/>
                <w:sz w:val="22"/>
                <w:szCs w:val="22"/>
                <w:lang w:val="en-AU"/>
              </w:rPr>
              <w:t>;</w:t>
            </w:r>
          </w:p>
        </w:tc>
      </w:tr>
      <w:tr w:rsidR="00B107EB" w:rsidRPr="009A35A1" w:rsidTr="00113773">
        <w:tc>
          <w:tcPr>
            <w:tcW w:w="985" w:type="dxa"/>
            <w:vAlign w:val="center"/>
          </w:tcPr>
          <w:p w:rsidR="00B107EB" w:rsidRPr="009A35A1" w:rsidRDefault="00B107EB" w:rsidP="00E64AE7">
            <w:pPr>
              <w:tabs>
                <w:tab w:val="left" w:pos="180"/>
                <w:tab w:val="left" w:pos="450"/>
              </w:tabs>
              <w:spacing w:before="100" w:beforeAutospacing="1" w:after="100" w:afterAutospacing="1"/>
              <w:ind w:right="3"/>
              <w:jc w:val="center"/>
              <w:rPr>
                <w:rFonts w:asciiTheme="minorHAnsi" w:hAnsiTheme="minorHAnsi" w:cstheme="minorHAnsi"/>
                <w:sz w:val="22"/>
                <w:szCs w:val="22"/>
                <w:lang w:val="en-AU"/>
              </w:rPr>
            </w:pPr>
            <w:r>
              <w:rPr>
                <w:rFonts w:asciiTheme="minorHAnsi" w:hAnsiTheme="minorHAnsi" w:cstheme="minorHAnsi"/>
                <w:sz w:val="22"/>
                <w:szCs w:val="22"/>
                <w:lang w:val="en-AU"/>
              </w:rPr>
              <w:t>5</w:t>
            </w:r>
          </w:p>
        </w:tc>
        <w:tc>
          <w:tcPr>
            <w:tcW w:w="1080" w:type="dxa"/>
            <w:shd w:val="clear" w:color="auto" w:fill="auto"/>
            <w:vAlign w:val="center"/>
          </w:tcPr>
          <w:p w:rsidR="00B107EB" w:rsidRPr="009A35A1" w:rsidRDefault="00B107EB" w:rsidP="00E64AE7">
            <w:pPr>
              <w:tabs>
                <w:tab w:val="left" w:pos="180"/>
                <w:tab w:val="left" w:pos="450"/>
              </w:tabs>
              <w:spacing w:before="100" w:beforeAutospacing="1" w:after="100" w:afterAutospacing="1"/>
              <w:ind w:right="3"/>
              <w:rPr>
                <w:rFonts w:asciiTheme="minorHAnsi" w:hAnsiTheme="minorHAnsi" w:cstheme="minorHAnsi"/>
                <w:sz w:val="22"/>
                <w:szCs w:val="22"/>
                <w:lang w:val="en-AU"/>
              </w:rPr>
            </w:pPr>
            <w:r>
              <w:rPr>
                <w:rFonts w:asciiTheme="minorHAnsi" w:hAnsiTheme="minorHAnsi" w:cstheme="minorHAnsi"/>
                <w:sz w:val="22"/>
                <w:szCs w:val="22"/>
                <w:lang w:val="en-AU"/>
              </w:rPr>
              <w:t>Jul 2014</w:t>
            </w:r>
          </w:p>
        </w:tc>
        <w:tc>
          <w:tcPr>
            <w:tcW w:w="7932" w:type="dxa"/>
            <w:shd w:val="clear" w:color="auto" w:fill="auto"/>
            <w:vAlign w:val="center"/>
          </w:tcPr>
          <w:p w:rsidR="00B107EB" w:rsidRPr="009A35A1" w:rsidRDefault="00B107EB" w:rsidP="00113773">
            <w:pPr>
              <w:pStyle w:val="ListParagraph"/>
              <w:numPr>
                <w:ilvl w:val="0"/>
                <w:numId w:val="23"/>
              </w:numPr>
              <w:spacing w:before="60" w:after="60"/>
              <w:ind w:left="346"/>
              <w:contextualSpacing w:val="0"/>
              <w:rPr>
                <w:rFonts w:asciiTheme="minorHAnsi" w:hAnsiTheme="minorHAnsi" w:cstheme="minorHAnsi"/>
                <w:sz w:val="22"/>
                <w:szCs w:val="22"/>
                <w:lang w:val="en-AU"/>
              </w:rPr>
            </w:pPr>
            <w:r>
              <w:rPr>
                <w:rFonts w:asciiTheme="minorHAnsi" w:hAnsiTheme="minorHAnsi" w:cstheme="minorHAnsi"/>
                <w:sz w:val="22"/>
                <w:szCs w:val="22"/>
                <w:lang w:val="en-AU"/>
              </w:rPr>
              <w:t>Review of legislation and alignment with scope of services</w:t>
            </w:r>
            <w:r w:rsidR="00E64AE7">
              <w:rPr>
                <w:rFonts w:asciiTheme="minorHAnsi" w:hAnsiTheme="minorHAnsi" w:cstheme="minorHAnsi"/>
                <w:sz w:val="22"/>
                <w:szCs w:val="22"/>
                <w:lang w:val="en-AU"/>
              </w:rPr>
              <w:t>;</w:t>
            </w:r>
          </w:p>
        </w:tc>
      </w:tr>
      <w:tr w:rsidR="00B107EB" w:rsidRPr="009A35A1" w:rsidTr="00113773">
        <w:tc>
          <w:tcPr>
            <w:tcW w:w="985" w:type="dxa"/>
            <w:vAlign w:val="center"/>
          </w:tcPr>
          <w:p w:rsidR="00B107EB" w:rsidRDefault="00B107EB" w:rsidP="00E64AE7">
            <w:pPr>
              <w:tabs>
                <w:tab w:val="left" w:pos="180"/>
                <w:tab w:val="left" w:pos="450"/>
              </w:tabs>
              <w:spacing w:before="100" w:beforeAutospacing="1" w:after="100" w:afterAutospacing="1"/>
              <w:ind w:right="3"/>
              <w:jc w:val="center"/>
              <w:rPr>
                <w:rFonts w:asciiTheme="minorHAnsi" w:hAnsiTheme="minorHAnsi" w:cstheme="minorHAnsi"/>
                <w:sz w:val="22"/>
                <w:szCs w:val="22"/>
                <w:lang w:val="en-AU"/>
              </w:rPr>
            </w:pPr>
            <w:r>
              <w:rPr>
                <w:rFonts w:asciiTheme="minorHAnsi" w:hAnsiTheme="minorHAnsi" w:cstheme="minorHAnsi"/>
                <w:sz w:val="22"/>
                <w:szCs w:val="22"/>
                <w:lang w:val="en-AU"/>
              </w:rPr>
              <w:t>6</w:t>
            </w:r>
          </w:p>
        </w:tc>
        <w:tc>
          <w:tcPr>
            <w:tcW w:w="1080" w:type="dxa"/>
            <w:shd w:val="clear" w:color="auto" w:fill="auto"/>
            <w:vAlign w:val="center"/>
          </w:tcPr>
          <w:p w:rsidR="00B107EB" w:rsidRDefault="00B107EB" w:rsidP="00E64AE7">
            <w:pPr>
              <w:tabs>
                <w:tab w:val="left" w:pos="180"/>
                <w:tab w:val="left" w:pos="450"/>
              </w:tabs>
              <w:spacing w:before="100" w:beforeAutospacing="1" w:after="100" w:afterAutospacing="1"/>
              <w:ind w:right="3"/>
              <w:rPr>
                <w:rFonts w:asciiTheme="minorHAnsi" w:hAnsiTheme="minorHAnsi" w:cstheme="minorHAnsi"/>
                <w:sz w:val="22"/>
                <w:szCs w:val="22"/>
                <w:lang w:val="en-AU"/>
              </w:rPr>
            </w:pPr>
            <w:r>
              <w:rPr>
                <w:rFonts w:asciiTheme="minorHAnsi" w:hAnsiTheme="minorHAnsi" w:cstheme="minorHAnsi"/>
                <w:sz w:val="22"/>
                <w:szCs w:val="22"/>
                <w:lang w:val="en-AU"/>
              </w:rPr>
              <w:t>Jun 2015</w:t>
            </w:r>
          </w:p>
        </w:tc>
        <w:tc>
          <w:tcPr>
            <w:tcW w:w="7932" w:type="dxa"/>
            <w:shd w:val="clear" w:color="auto" w:fill="auto"/>
            <w:vAlign w:val="center"/>
          </w:tcPr>
          <w:p w:rsidR="00B107EB" w:rsidRDefault="00B107EB" w:rsidP="00113773">
            <w:pPr>
              <w:pStyle w:val="ListParagraph"/>
              <w:numPr>
                <w:ilvl w:val="0"/>
                <w:numId w:val="23"/>
              </w:numPr>
              <w:spacing w:before="60" w:after="60"/>
              <w:ind w:left="346"/>
              <w:contextualSpacing w:val="0"/>
              <w:rPr>
                <w:rFonts w:asciiTheme="minorHAnsi" w:hAnsiTheme="minorHAnsi" w:cstheme="minorHAnsi"/>
                <w:sz w:val="22"/>
                <w:szCs w:val="22"/>
                <w:lang w:val="en-AU"/>
              </w:rPr>
            </w:pPr>
            <w:r>
              <w:rPr>
                <w:rFonts w:asciiTheme="minorHAnsi" w:hAnsiTheme="minorHAnsi" w:cstheme="minorHAnsi"/>
                <w:sz w:val="22"/>
                <w:szCs w:val="22"/>
                <w:lang w:val="en-AU"/>
              </w:rPr>
              <w:t>Revision against scope of services, HAAD and MOH regulations and other authority requirements such as National Qualifications Authority</w:t>
            </w:r>
            <w:r w:rsidR="00E64AE7">
              <w:rPr>
                <w:rFonts w:asciiTheme="minorHAnsi" w:hAnsiTheme="minorHAnsi" w:cstheme="minorHAnsi"/>
                <w:sz w:val="22"/>
                <w:szCs w:val="22"/>
                <w:lang w:val="en-AU"/>
              </w:rPr>
              <w:t xml:space="preserve"> and new information regarding E</w:t>
            </w:r>
            <w:r>
              <w:rPr>
                <w:rFonts w:asciiTheme="minorHAnsi" w:hAnsiTheme="minorHAnsi" w:cstheme="minorHAnsi"/>
                <w:sz w:val="22"/>
                <w:szCs w:val="22"/>
                <w:lang w:val="en-AU"/>
              </w:rPr>
              <w:t>mirati</w:t>
            </w:r>
            <w:r w:rsidR="00E64AE7">
              <w:rPr>
                <w:rFonts w:asciiTheme="minorHAnsi" w:hAnsiTheme="minorHAnsi" w:cstheme="minorHAnsi"/>
                <w:sz w:val="22"/>
                <w:szCs w:val="22"/>
                <w:lang w:val="en-AU"/>
              </w:rPr>
              <w:t>s</w:t>
            </w:r>
            <w:r>
              <w:rPr>
                <w:rFonts w:asciiTheme="minorHAnsi" w:hAnsiTheme="minorHAnsi" w:cstheme="minorHAnsi"/>
                <w:sz w:val="22"/>
                <w:szCs w:val="22"/>
                <w:lang w:val="en-AU"/>
              </w:rPr>
              <w:t>ation</w:t>
            </w:r>
            <w:r w:rsidR="00E64AE7">
              <w:rPr>
                <w:rFonts w:asciiTheme="minorHAnsi" w:hAnsiTheme="minorHAnsi" w:cstheme="minorHAnsi"/>
                <w:sz w:val="22"/>
                <w:szCs w:val="22"/>
                <w:lang w:val="en-AU"/>
              </w:rPr>
              <w:t>;</w:t>
            </w:r>
          </w:p>
        </w:tc>
      </w:tr>
      <w:tr w:rsidR="00E64AE7" w:rsidRPr="009A35A1" w:rsidTr="00113773">
        <w:trPr>
          <w:trHeight w:val="2708"/>
        </w:trPr>
        <w:tc>
          <w:tcPr>
            <w:tcW w:w="985" w:type="dxa"/>
            <w:vAlign w:val="center"/>
          </w:tcPr>
          <w:p w:rsidR="00E64AE7" w:rsidRDefault="00E64AE7" w:rsidP="00E64AE7">
            <w:pPr>
              <w:tabs>
                <w:tab w:val="left" w:pos="180"/>
                <w:tab w:val="left" w:pos="450"/>
              </w:tabs>
              <w:spacing w:before="100" w:beforeAutospacing="1" w:after="100" w:afterAutospacing="1"/>
              <w:ind w:right="3"/>
              <w:jc w:val="center"/>
              <w:rPr>
                <w:rFonts w:asciiTheme="minorHAnsi" w:hAnsiTheme="minorHAnsi" w:cstheme="minorHAnsi"/>
                <w:sz w:val="22"/>
                <w:szCs w:val="22"/>
                <w:lang w:val="en-AU"/>
              </w:rPr>
            </w:pPr>
            <w:r>
              <w:rPr>
                <w:rFonts w:asciiTheme="minorHAnsi" w:hAnsiTheme="minorHAnsi" w:cstheme="minorHAnsi"/>
                <w:sz w:val="22"/>
                <w:szCs w:val="22"/>
                <w:lang w:val="en-AU"/>
              </w:rPr>
              <w:t>7</w:t>
            </w:r>
          </w:p>
        </w:tc>
        <w:tc>
          <w:tcPr>
            <w:tcW w:w="1080" w:type="dxa"/>
            <w:shd w:val="clear" w:color="auto" w:fill="auto"/>
            <w:vAlign w:val="center"/>
          </w:tcPr>
          <w:p w:rsidR="00E64AE7" w:rsidRDefault="00E64AE7" w:rsidP="00E64AE7">
            <w:pPr>
              <w:tabs>
                <w:tab w:val="left" w:pos="180"/>
                <w:tab w:val="left" w:pos="450"/>
              </w:tabs>
              <w:spacing w:before="100" w:beforeAutospacing="1" w:after="100" w:afterAutospacing="1"/>
              <w:ind w:right="3"/>
              <w:rPr>
                <w:rFonts w:asciiTheme="minorHAnsi" w:hAnsiTheme="minorHAnsi" w:cstheme="minorHAnsi"/>
                <w:sz w:val="22"/>
                <w:szCs w:val="22"/>
                <w:lang w:val="en-AU"/>
              </w:rPr>
            </w:pPr>
            <w:r>
              <w:rPr>
                <w:rFonts w:asciiTheme="minorHAnsi" w:hAnsiTheme="minorHAnsi" w:cstheme="minorHAnsi"/>
                <w:sz w:val="22"/>
                <w:szCs w:val="22"/>
                <w:lang w:val="en-AU"/>
              </w:rPr>
              <w:t>Jan 2016</w:t>
            </w:r>
          </w:p>
        </w:tc>
        <w:tc>
          <w:tcPr>
            <w:tcW w:w="7932" w:type="dxa"/>
            <w:shd w:val="clear" w:color="auto" w:fill="auto"/>
            <w:vAlign w:val="center"/>
          </w:tcPr>
          <w:p w:rsidR="00E64AE7" w:rsidRPr="00113773" w:rsidRDefault="00E64AE7" w:rsidP="00113773">
            <w:pPr>
              <w:pStyle w:val="ListParagraph"/>
              <w:numPr>
                <w:ilvl w:val="0"/>
                <w:numId w:val="23"/>
              </w:numPr>
              <w:spacing w:before="60" w:after="60"/>
              <w:ind w:left="346"/>
              <w:contextualSpacing w:val="0"/>
              <w:rPr>
                <w:rFonts w:asciiTheme="minorHAnsi" w:hAnsiTheme="minorHAnsi" w:cstheme="minorHAnsi"/>
                <w:sz w:val="22"/>
                <w:szCs w:val="22"/>
                <w:lang w:val="en-AU"/>
              </w:rPr>
            </w:pPr>
            <w:r w:rsidRPr="00E67F51">
              <w:rPr>
                <w:rFonts w:asciiTheme="minorHAnsi" w:hAnsiTheme="minorHAnsi" w:cstheme="minorHAnsi"/>
                <w:b/>
                <w:bCs/>
                <w:sz w:val="22"/>
                <w:szCs w:val="22"/>
                <w:lang w:val="en-AU"/>
              </w:rPr>
              <w:t>Major revision</w:t>
            </w:r>
            <w:r w:rsidRPr="00113773">
              <w:rPr>
                <w:rFonts w:asciiTheme="minorHAnsi" w:hAnsiTheme="minorHAnsi" w:cstheme="minorHAnsi"/>
                <w:sz w:val="22"/>
                <w:szCs w:val="22"/>
                <w:lang w:val="en-AU"/>
              </w:rPr>
              <w:t xml:space="preserve"> of Legal Compliance Policy</w:t>
            </w:r>
            <w:r w:rsidR="000D244D">
              <w:rPr>
                <w:rFonts w:asciiTheme="minorHAnsi" w:hAnsiTheme="minorHAnsi" w:cstheme="minorHAnsi"/>
                <w:sz w:val="22"/>
                <w:szCs w:val="22"/>
                <w:lang w:val="en-AU"/>
              </w:rPr>
              <w:t xml:space="preserve"> and Procedure</w:t>
            </w:r>
            <w:r w:rsidRPr="00113773">
              <w:rPr>
                <w:rFonts w:asciiTheme="minorHAnsi" w:hAnsiTheme="minorHAnsi" w:cstheme="minorHAnsi"/>
                <w:sz w:val="22"/>
                <w:szCs w:val="22"/>
                <w:lang w:val="en-AU"/>
              </w:rPr>
              <w:t>:</w:t>
            </w:r>
            <w:r w:rsidR="00113773" w:rsidRPr="00113773">
              <w:rPr>
                <w:rFonts w:asciiTheme="minorHAnsi" w:hAnsiTheme="minorHAnsi" w:cstheme="minorHAnsi"/>
                <w:sz w:val="22"/>
                <w:szCs w:val="22"/>
                <w:lang w:val="en-AU"/>
              </w:rPr>
              <w:t xml:space="preserve">  </w:t>
            </w:r>
            <w:r w:rsidR="000D244D">
              <w:rPr>
                <w:rFonts w:asciiTheme="minorHAnsi" w:hAnsiTheme="minorHAnsi" w:cstheme="minorHAnsi"/>
                <w:sz w:val="22"/>
                <w:szCs w:val="22"/>
                <w:lang w:val="en-AU"/>
              </w:rPr>
              <w:t xml:space="preserve">Changed title to “Legal Compliance Policy and Procedure; </w:t>
            </w:r>
            <w:r w:rsidRPr="00113773">
              <w:rPr>
                <w:rFonts w:asciiTheme="minorHAnsi" w:hAnsiTheme="minorHAnsi" w:cstheme="minorHAnsi"/>
                <w:sz w:val="22"/>
                <w:szCs w:val="22"/>
                <w:lang w:val="en-AU"/>
              </w:rPr>
              <w:t xml:space="preserve">Added specific objectives to support the policy aim; </w:t>
            </w:r>
            <w:r w:rsidR="00113773" w:rsidRPr="00113773">
              <w:rPr>
                <w:rFonts w:asciiTheme="minorHAnsi" w:hAnsiTheme="minorHAnsi" w:cstheme="minorHAnsi"/>
                <w:sz w:val="22"/>
                <w:szCs w:val="22"/>
                <w:lang w:val="en-AU"/>
              </w:rPr>
              <w:t>a</w:t>
            </w:r>
            <w:r w:rsidRPr="00113773">
              <w:rPr>
                <w:rFonts w:asciiTheme="minorHAnsi" w:hAnsiTheme="minorHAnsi" w:cstheme="minorHAnsi"/>
                <w:sz w:val="22"/>
                <w:szCs w:val="22"/>
                <w:lang w:val="en-AU"/>
              </w:rPr>
              <w:t>dded detailed roles and responsibilities;</w:t>
            </w:r>
            <w:r w:rsidR="00113773" w:rsidRPr="00113773">
              <w:rPr>
                <w:rFonts w:asciiTheme="minorHAnsi" w:hAnsiTheme="minorHAnsi" w:cstheme="minorHAnsi"/>
                <w:sz w:val="22"/>
                <w:szCs w:val="22"/>
                <w:lang w:val="en-AU"/>
              </w:rPr>
              <w:t xml:space="preserve"> a</w:t>
            </w:r>
            <w:r w:rsidRPr="00113773">
              <w:rPr>
                <w:rFonts w:asciiTheme="minorHAnsi" w:hAnsiTheme="minorHAnsi" w:cstheme="minorHAnsi"/>
                <w:sz w:val="22"/>
                <w:szCs w:val="22"/>
                <w:lang w:val="en-AU"/>
              </w:rPr>
              <w:t xml:space="preserve">dded specific processes and mechanisms to achieve aim and objectives of identifying legal requirements; </w:t>
            </w:r>
            <w:r w:rsidR="00113773" w:rsidRPr="00113773">
              <w:rPr>
                <w:rFonts w:asciiTheme="minorHAnsi" w:hAnsiTheme="minorHAnsi" w:cstheme="minorHAnsi"/>
                <w:sz w:val="22"/>
                <w:szCs w:val="22"/>
                <w:lang w:val="en-AU"/>
              </w:rPr>
              <w:t>u</w:t>
            </w:r>
            <w:r w:rsidRPr="00113773">
              <w:rPr>
                <w:rFonts w:asciiTheme="minorHAnsi" w:hAnsiTheme="minorHAnsi" w:cstheme="minorHAnsi"/>
                <w:sz w:val="22"/>
                <w:szCs w:val="22"/>
                <w:lang w:val="en-AU"/>
              </w:rPr>
              <w:t>pdated external review process;</w:t>
            </w:r>
            <w:r w:rsidR="00113773" w:rsidRPr="00113773">
              <w:rPr>
                <w:rFonts w:asciiTheme="minorHAnsi" w:hAnsiTheme="minorHAnsi" w:cstheme="minorHAnsi"/>
                <w:sz w:val="22"/>
                <w:szCs w:val="22"/>
                <w:lang w:val="en-AU"/>
              </w:rPr>
              <w:t xml:space="preserve"> r</w:t>
            </w:r>
            <w:r w:rsidRPr="00113773">
              <w:rPr>
                <w:rFonts w:asciiTheme="minorHAnsi" w:hAnsiTheme="minorHAnsi" w:cstheme="minorHAnsi"/>
                <w:sz w:val="22"/>
                <w:szCs w:val="22"/>
                <w:lang w:val="en-AU"/>
              </w:rPr>
              <w:t>eformatted document.</w:t>
            </w:r>
          </w:p>
          <w:p w:rsidR="003F2811" w:rsidRPr="00113773" w:rsidRDefault="00E64AE7" w:rsidP="00113773">
            <w:pPr>
              <w:pStyle w:val="ListParagraph"/>
              <w:numPr>
                <w:ilvl w:val="0"/>
                <w:numId w:val="23"/>
              </w:numPr>
              <w:tabs>
                <w:tab w:val="left" w:pos="450"/>
              </w:tabs>
              <w:spacing w:before="60" w:after="60"/>
              <w:ind w:left="346"/>
              <w:contextualSpacing w:val="0"/>
              <w:rPr>
                <w:rFonts w:asciiTheme="minorHAnsi" w:hAnsiTheme="minorHAnsi" w:cstheme="minorHAnsi"/>
                <w:sz w:val="22"/>
                <w:szCs w:val="22"/>
                <w:lang w:val="en-AU"/>
              </w:rPr>
            </w:pPr>
            <w:r w:rsidRPr="00E67F51">
              <w:rPr>
                <w:rFonts w:asciiTheme="minorHAnsi" w:hAnsiTheme="minorHAnsi" w:cstheme="minorHAnsi"/>
                <w:b/>
                <w:bCs/>
                <w:sz w:val="22"/>
                <w:szCs w:val="22"/>
                <w:lang w:val="en-AU"/>
              </w:rPr>
              <w:t>Major revision</w:t>
            </w:r>
            <w:r w:rsidRPr="00113773">
              <w:rPr>
                <w:rFonts w:asciiTheme="minorHAnsi" w:hAnsiTheme="minorHAnsi" w:cstheme="minorHAnsi"/>
                <w:sz w:val="22"/>
                <w:szCs w:val="22"/>
                <w:lang w:val="en-AU"/>
              </w:rPr>
              <w:t xml:space="preserve"> of Legal Register - Mandatory Requirements (Annex A)</w:t>
            </w:r>
            <w:r w:rsidR="00113773" w:rsidRPr="00113773">
              <w:rPr>
                <w:rFonts w:asciiTheme="minorHAnsi" w:hAnsiTheme="minorHAnsi" w:cstheme="minorHAnsi"/>
                <w:sz w:val="22"/>
                <w:szCs w:val="22"/>
                <w:lang w:val="en-AU"/>
              </w:rPr>
              <w:t xml:space="preserve">:  </w:t>
            </w:r>
            <w:r w:rsidRPr="00113773">
              <w:rPr>
                <w:rFonts w:asciiTheme="minorHAnsi" w:hAnsiTheme="minorHAnsi" w:cstheme="minorHAnsi"/>
                <w:sz w:val="22"/>
                <w:szCs w:val="22"/>
                <w:lang w:val="en-AU"/>
              </w:rPr>
              <w:t>Listed specific regulatory</w:t>
            </w:r>
            <w:r w:rsidR="003F2811" w:rsidRPr="00113773">
              <w:rPr>
                <w:rFonts w:asciiTheme="minorHAnsi" w:hAnsiTheme="minorHAnsi" w:cstheme="minorHAnsi"/>
                <w:sz w:val="22"/>
                <w:szCs w:val="22"/>
                <w:lang w:val="en-AU"/>
              </w:rPr>
              <w:t xml:space="preserve"> instruments, relevant clauses references, and requirements; </w:t>
            </w:r>
            <w:r w:rsidR="00113773" w:rsidRPr="00113773">
              <w:rPr>
                <w:rFonts w:asciiTheme="minorHAnsi" w:hAnsiTheme="minorHAnsi" w:cstheme="minorHAnsi"/>
                <w:sz w:val="22"/>
                <w:szCs w:val="22"/>
                <w:lang w:val="en-AU"/>
              </w:rPr>
              <w:t>i</w:t>
            </w:r>
            <w:r w:rsidR="003F2811" w:rsidRPr="00113773">
              <w:rPr>
                <w:rFonts w:asciiTheme="minorHAnsi" w:hAnsiTheme="minorHAnsi" w:cstheme="minorHAnsi"/>
                <w:sz w:val="22"/>
                <w:szCs w:val="22"/>
                <w:lang w:val="en-AU"/>
              </w:rPr>
              <w:t xml:space="preserve">dentified likely areas of activity and responsibility for each mandatory requirements; </w:t>
            </w:r>
            <w:r w:rsidR="00113773" w:rsidRPr="00113773">
              <w:rPr>
                <w:rFonts w:asciiTheme="minorHAnsi" w:hAnsiTheme="minorHAnsi" w:cstheme="minorHAnsi"/>
                <w:sz w:val="22"/>
                <w:szCs w:val="22"/>
                <w:lang w:val="en-AU"/>
              </w:rPr>
              <w:t>l</w:t>
            </w:r>
            <w:r w:rsidR="003F2811" w:rsidRPr="00113773">
              <w:rPr>
                <w:rFonts w:asciiTheme="minorHAnsi" w:hAnsiTheme="minorHAnsi" w:cstheme="minorHAnsi"/>
                <w:sz w:val="22"/>
                <w:szCs w:val="22"/>
                <w:lang w:val="en-AU"/>
              </w:rPr>
              <w:t>isted new regulations/ standards/ laws not previously identified;</w:t>
            </w:r>
          </w:p>
          <w:p w:rsidR="00E64AE7" w:rsidRPr="00113773" w:rsidRDefault="00E64AE7" w:rsidP="00113773">
            <w:pPr>
              <w:pStyle w:val="ListParagraph"/>
              <w:numPr>
                <w:ilvl w:val="0"/>
                <w:numId w:val="23"/>
              </w:numPr>
              <w:spacing w:before="60" w:after="60"/>
              <w:ind w:left="346"/>
              <w:contextualSpacing w:val="0"/>
              <w:rPr>
                <w:rFonts w:asciiTheme="minorHAnsi" w:hAnsiTheme="minorHAnsi" w:cstheme="minorHAnsi"/>
                <w:sz w:val="22"/>
                <w:szCs w:val="22"/>
                <w:lang w:val="en-AU"/>
              </w:rPr>
            </w:pPr>
            <w:r w:rsidRPr="00113773">
              <w:rPr>
                <w:rFonts w:asciiTheme="minorHAnsi" w:hAnsiTheme="minorHAnsi" w:cstheme="minorHAnsi"/>
                <w:sz w:val="22"/>
                <w:szCs w:val="22"/>
                <w:lang w:val="en-AU"/>
              </w:rPr>
              <w:t>Minor revision of Legal Register –</w:t>
            </w:r>
            <w:r w:rsidR="000D244D">
              <w:rPr>
                <w:rFonts w:asciiTheme="minorHAnsi" w:hAnsiTheme="minorHAnsi" w:cstheme="minorHAnsi"/>
                <w:sz w:val="22"/>
                <w:szCs w:val="22"/>
                <w:lang w:val="en-AU"/>
              </w:rPr>
              <w:t xml:space="preserve"> Non-mandatory Standards, Guidelines and Best Practice</w:t>
            </w:r>
            <w:r w:rsidRPr="00113773">
              <w:rPr>
                <w:rFonts w:asciiTheme="minorHAnsi" w:hAnsiTheme="minorHAnsi" w:cstheme="minorHAnsi"/>
                <w:sz w:val="22"/>
                <w:szCs w:val="22"/>
                <w:lang w:val="en-AU"/>
              </w:rPr>
              <w:t xml:space="preserve"> (Annex B)</w:t>
            </w:r>
            <w:r w:rsidR="00113773" w:rsidRPr="00113773">
              <w:rPr>
                <w:rFonts w:asciiTheme="minorHAnsi" w:hAnsiTheme="minorHAnsi" w:cstheme="minorHAnsi"/>
                <w:sz w:val="22"/>
                <w:szCs w:val="22"/>
                <w:lang w:val="en-AU"/>
              </w:rPr>
              <w:t>:  F</w:t>
            </w:r>
            <w:r w:rsidRPr="00113773">
              <w:rPr>
                <w:rFonts w:asciiTheme="minorHAnsi" w:hAnsiTheme="minorHAnsi" w:cstheme="minorHAnsi"/>
                <w:sz w:val="22"/>
                <w:szCs w:val="22"/>
                <w:lang w:val="en-AU"/>
              </w:rPr>
              <w:t>ormatting of table and text</w:t>
            </w:r>
            <w:r w:rsidR="00113773">
              <w:rPr>
                <w:rFonts w:asciiTheme="minorHAnsi" w:hAnsiTheme="minorHAnsi" w:cstheme="minorHAnsi"/>
                <w:sz w:val="22"/>
                <w:szCs w:val="22"/>
                <w:lang w:val="en-AU"/>
              </w:rPr>
              <w:t>.</w:t>
            </w:r>
          </w:p>
        </w:tc>
      </w:tr>
      <w:tr w:rsidR="00FF2EA0" w:rsidRPr="009A35A1" w:rsidTr="005D1D90">
        <w:trPr>
          <w:trHeight w:val="728"/>
        </w:trPr>
        <w:tc>
          <w:tcPr>
            <w:tcW w:w="985" w:type="dxa"/>
            <w:vAlign w:val="center"/>
          </w:tcPr>
          <w:p w:rsidR="00FF2EA0" w:rsidRDefault="00FF2EA0" w:rsidP="00E64AE7">
            <w:pPr>
              <w:tabs>
                <w:tab w:val="left" w:pos="180"/>
                <w:tab w:val="left" w:pos="450"/>
              </w:tabs>
              <w:spacing w:before="100" w:beforeAutospacing="1" w:after="100" w:afterAutospacing="1"/>
              <w:ind w:right="3"/>
              <w:jc w:val="center"/>
              <w:rPr>
                <w:rFonts w:asciiTheme="minorHAnsi" w:hAnsiTheme="minorHAnsi" w:cstheme="minorHAnsi"/>
                <w:sz w:val="22"/>
                <w:szCs w:val="22"/>
                <w:lang w:val="en-AU"/>
              </w:rPr>
            </w:pPr>
            <w:r>
              <w:rPr>
                <w:rFonts w:asciiTheme="minorHAnsi" w:hAnsiTheme="minorHAnsi" w:cstheme="minorHAnsi"/>
                <w:sz w:val="22"/>
                <w:szCs w:val="22"/>
                <w:lang w:val="en-AU"/>
              </w:rPr>
              <w:t>8</w:t>
            </w:r>
          </w:p>
        </w:tc>
        <w:tc>
          <w:tcPr>
            <w:tcW w:w="1080" w:type="dxa"/>
            <w:shd w:val="clear" w:color="auto" w:fill="auto"/>
            <w:vAlign w:val="center"/>
          </w:tcPr>
          <w:p w:rsidR="00FF2EA0" w:rsidRDefault="00FF2EA0" w:rsidP="00E64AE7">
            <w:pPr>
              <w:tabs>
                <w:tab w:val="left" w:pos="180"/>
                <w:tab w:val="left" w:pos="450"/>
              </w:tabs>
              <w:spacing w:before="100" w:beforeAutospacing="1" w:after="100" w:afterAutospacing="1"/>
              <w:ind w:right="3"/>
              <w:rPr>
                <w:rFonts w:asciiTheme="minorHAnsi" w:hAnsiTheme="minorHAnsi" w:cstheme="minorHAnsi"/>
                <w:sz w:val="22"/>
                <w:szCs w:val="22"/>
                <w:lang w:val="en-AU"/>
              </w:rPr>
            </w:pPr>
            <w:r>
              <w:rPr>
                <w:rFonts w:asciiTheme="minorHAnsi" w:hAnsiTheme="minorHAnsi" w:cstheme="minorHAnsi"/>
                <w:sz w:val="22"/>
                <w:szCs w:val="22"/>
                <w:lang w:val="en-AU"/>
              </w:rPr>
              <w:t>Aug 2017</w:t>
            </w:r>
          </w:p>
        </w:tc>
        <w:tc>
          <w:tcPr>
            <w:tcW w:w="7932" w:type="dxa"/>
            <w:shd w:val="clear" w:color="auto" w:fill="auto"/>
            <w:vAlign w:val="center"/>
          </w:tcPr>
          <w:p w:rsidR="00403AD2" w:rsidRPr="005D1D90" w:rsidRDefault="00403AD2" w:rsidP="00113773">
            <w:pPr>
              <w:pStyle w:val="ListParagraph"/>
              <w:numPr>
                <w:ilvl w:val="0"/>
                <w:numId w:val="23"/>
              </w:numPr>
              <w:spacing w:before="60" w:after="60"/>
              <w:ind w:left="346"/>
              <w:contextualSpacing w:val="0"/>
              <w:rPr>
                <w:rFonts w:asciiTheme="minorHAnsi" w:hAnsiTheme="minorHAnsi" w:cstheme="minorHAnsi"/>
                <w:bCs/>
                <w:sz w:val="22"/>
                <w:szCs w:val="22"/>
                <w:lang w:val="en-AU"/>
              </w:rPr>
            </w:pPr>
            <w:r w:rsidRPr="005D1D90">
              <w:rPr>
                <w:rFonts w:asciiTheme="minorHAnsi" w:hAnsiTheme="minorHAnsi" w:cstheme="minorHAnsi"/>
                <w:bCs/>
                <w:sz w:val="22"/>
                <w:szCs w:val="22"/>
                <w:lang w:val="en-AU"/>
              </w:rPr>
              <w:t>Hierarchy of legal documentation updated</w:t>
            </w:r>
          </w:p>
          <w:p w:rsidR="00137062" w:rsidRDefault="008D5D30" w:rsidP="005D1D90">
            <w:pPr>
              <w:pStyle w:val="ListParagraph"/>
              <w:numPr>
                <w:ilvl w:val="0"/>
                <w:numId w:val="23"/>
              </w:numPr>
              <w:spacing w:before="60" w:after="60"/>
              <w:ind w:left="346"/>
              <w:contextualSpacing w:val="0"/>
              <w:rPr>
                <w:rFonts w:asciiTheme="minorHAnsi" w:hAnsiTheme="minorHAnsi" w:cstheme="minorHAnsi"/>
                <w:bCs/>
                <w:sz w:val="22"/>
                <w:szCs w:val="22"/>
                <w:lang w:val="en-AU"/>
              </w:rPr>
            </w:pPr>
            <w:r w:rsidRPr="005D1D90">
              <w:rPr>
                <w:rFonts w:asciiTheme="minorHAnsi" w:hAnsiTheme="minorHAnsi" w:cstheme="minorHAnsi"/>
                <w:bCs/>
                <w:sz w:val="22"/>
                <w:szCs w:val="22"/>
                <w:lang w:val="en-AU"/>
              </w:rPr>
              <w:t xml:space="preserve">QHP109 </w:t>
            </w:r>
            <w:r w:rsidR="00403AD2" w:rsidRPr="005D1D90">
              <w:rPr>
                <w:rFonts w:asciiTheme="minorHAnsi" w:hAnsiTheme="minorHAnsi" w:cstheme="minorHAnsi"/>
                <w:bCs/>
                <w:sz w:val="22"/>
                <w:szCs w:val="22"/>
                <w:lang w:val="en-AU"/>
              </w:rPr>
              <w:t>L</w:t>
            </w:r>
            <w:r w:rsidRPr="005D1D90">
              <w:rPr>
                <w:rFonts w:asciiTheme="minorHAnsi" w:hAnsiTheme="minorHAnsi" w:cstheme="minorHAnsi"/>
                <w:bCs/>
                <w:sz w:val="22"/>
                <w:szCs w:val="22"/>
                <w:lang w:val="en-AU"/>
              </w:rPr>
              <w:t>egal R</w:t>
            </w:r>
            <w:r w:rsidR="00403AD2" w:rsidRPr="005D1D90">
              <w:rPr>
                <w:rFonts w:asciiTheme="minorHAnsi" w:hAnsiTheme="minorHAnsi" w:cstheme="minorHAnsi"/>
                <w:bCs/>
                <w:sz w:val="22"/>
                <w:szCs w:val="22"/>
                <w:lang w:val="en-AU"/>
              </w:rPr>
              <w:t xml:space="preserve">egister </w:t>
            </w:r>
            <w:r w:rsidRPr="005D1D90">
              <w:rPr>
                <w:rFonts w:asciiTheme="minorHAnsi" w:hAnsiTheme="minorHAnsi" w:cstheme="minorHAnsi"/>
                <w:bCs/>
                <w:sz w:val="22"/>
                <w:szCs w:val="22"/>
                <w:lang w:val="en-AU"/>
              </w:rPr>
              <w:t>Reference.</w:t>
            </w:r>
          </w:p>
          <w:p w:rsidR="00FF2EA0" w:rsidRDefault="00137062" w:rsidP="005D1D90">
            <w:pPr>
              <w:pStyle w:val="ListParagraph"/>
              <w:numPr>
                <w:ilvl w:val="0"/>
                <w:numId w:val="23"/>
              </w:numPr>
              <w:spacing w:before="60" w:after="60"/>
              <w:ind w:left="346"/>
              <w:contextualSpacing w:val="0"/>
              <w:rPr>
                <w:rFonts w:asciiTheme="minorHAnsi" w:hAnsiTheme="minorHAnsi" w:cstheme="minorHAnsi"/>
                <w:bCs/>
                <w:sz w:val="22"/>
                <w:szCs w:val="22"/>
                <w:lang w:val="en-AU"/>
              </w:rPr>
            </w:pPr>
            <w:r>
              <w:rPr>
                <w:rFonts w:asciiTheme="minorHAnsi" w:hAnsiTheme="minorHAnsi" w:cstheme="minorHAnsi"/>
                <w:bCs/>
                <w:sz w:val="22"/>
                <w:szCs w:val="22"/>
                <w:lang w:val="en-AU"/>
              </w:rPr>
              <w:t xml:space="preserve">Amended text for role of Director of Performance and Evaluation - </w:t>
            </w:r>
            <w:r w:rsidRPr="005D1D90">
              <w:rPr>
                <w:rFonts w:asciiTheme="minorHAnsi" w:hAnsiTheme="minorHAnsi" w:cstheme="minorHAnsi"/>
                <w:bCs/>
                <w:sz w:val="22"/>
                <w:szCs w:val="22"/>
                <w:lang w:val="en-AU"/>
              </w:rPr>
              <w:t>Scheduling and coordination of external legal reviews, as and when required</w:t>
            </w:r>
            <w:r w:rsidR="00D6619A">
              <w:rPr>
                <w:rFonts w:asciiTheme="minorHAnsi" w:hAnsiTheme="minorHAnsi" w:cstheme="minorHAnsi"/>
                <w:bCs/>
                <w:sz w:val="22"/>
                <w:szCs w:val="22"/>
                <w:lang w:val="en-AU"/>
              </w:rPr>
              <w:t>, and reflected as such in other section</w:t>
            </w:r>
            <w:r w:rsidR="00873722">
              <w:rPr>
                <w:rFonts w:asciiTheme="minorHAnsi" w:hAnsiTheme="minorHAnsi" w:cstheme="minorHAnsi"/>
                <w:bCs/>
                <w:sz w:val="22"/>
                <w:szCs w:val="22"/>
                <w:lang w:val="en-AU"/>
              </w:rPr>
              <w:t>s</w:t>
            </w:r>
          </w:p>
          <w:p w:rsidR="00D6619A" w:rsidRPr="005D1D90" w:rsidRDefault="00D6619A" w:rsidP="005D1D90">
            <w:pPr>
              <w:spacing w:before="60" w:after="60"/>
              <w:rPr>
                <w:rFonts w:asciiTheme="minorHAnsi" w:hAnsiTheme="minorHAnsi" w:cstheme="minorHAnsi"/>
                <w:bCs/>
                <w:sz w:val="22"/>
                <w:szCs w:val="22"/>
                <w:lang w:val="en-AU"/>
              </w:rPr>
            </w:pPr>
          </w:p>
        </w:tc>
      </w:tr>
    </w:tbl>
    <w:p w:rsidR="00B107EB" w:rsidRPr="009A35A1" w:rsidRDefault="003F2811" w:rsidP="00B107EB">
      <w:pPr>
        <w:tabs>
          <w:tab w:val="left" w:pos="180"/>
          <w:tab w:val="left" w:pos="450"/>
        </w:tabs>
        <w:spacing w:before="100" w:beforeAutospacing="1" w:after="100" w:afterAutospacing="1"/>
        <w:ind w:right="3"/>
        <w:jc w:val="both"/>
        <w:rPr>
          <w:rFonts w:asciiTheme="minorHAnsi" w:hAnsiTheme="minorHAnsi" w:cstheme="minorHAnsi"/>
          <w:sz w:val="22"/>
          <w:szCs w:val="22"/>
          <w:lang w:val="en-AU"/>
        </w:rPr>
      </w:pPr>
      <w:r>
        <w:rPr>
          <w:rFonts w:asciiTheme="minorHAnsi" w:hAnsiTheme="minorHAnsi" w:cstheme="minorHAnsi"/>
          <w:sz w:val="22"/>
          <w:szCs w:val="22"/>
          <w:lang w:val="en-AU"/>
        </w:rPr>
        <w:t>Review and</w:t>
      </w:r>
      <w:r w:rsidR="00B107EB" w:rsidRPr="009A35A1">
        <w:rPr>
          <w:rFonts w:asciiTheme="minorHAnsi" w:hAnsiTheme="minorHAnsi" w:cstheme="minorHAnsi"/>
          <w:sz w:val="22"/>
          <w:szCs w:val="22"/>
          <w:lang w:val="en-AU"/>
        </w:rPr>
        <w:t xml:space="preserve"> Approval:</w:t>
      </w:r>
    </w:p>
    <w:p w:rsidR="00B107EB" w:rsidRPr="009A35A1" w:rsidRDefault="00B107EB" w:rsidP="00B107EB">
      <w:pPr>
        <w:tabs>
          <w:tab w:val="left" w:pos="180"/>
          <w:tab w:val="left" w:pos="450"/>
        </w:tabs>
        <w:spacing w:before="100" w:beforeAutospacing="1" w:after="100" w:afterAutospacing="1"/>
        <w:ind w:right="3"/>
        <w:jc w:val="both"/>
        <w:rPr>
          <w:rFonts w:asciiTheme="minorHAnsi" w:hAnsiTheme="minorHAnsi" w:cstheme="minorHAnsi"/>
          <w:sz w:val="22"/>
          <w:szCs w:val="22"/>
          <w:lang w:val="en-AU"/>
        </w:rPr>
      </w:pPr>
    </w:p>
    <w:p w:rsidR="00B107EB" w:rsidRPr="009A35A1" w:rsidRDefault="00B107EB" w:rsidP="00A51D0F">
      <w:pPr>
        <w:tabs>
          <w:tab w:val="left" w:pos="180"/>
          <w:tab w:val="left" w:pos="450"/>
          <w:tab w:val="left" w:pos="4770"/>
        </w:tabs>
        <w:spacing w:before="100" w:beforeAutospacing="1" w:after="100" w:afterAutospacing="1"/>
        <w:ind w:right="3"/>
        <w:jc w:val="both"/>
        <w:rPr>
          <w:rFonts w:asciiTheme="minorHAnsi" w:hAnsiTheme="minorHAnsi" w:cstheme="minorHAnsi"/>
          <w:sz w:val="22"/>
          <w:szCs w:val="22"/>
          <w:lang w:val="en-AU"/>
        </w:rPr>
      </w:pPr>
      <w:r w:rsidRPr="009A35A1">
        <w:rPr>
          <w:rFonts w:asciiTheme="minorHAnsi" w:hAnsiTheme="minorHAnsi" w:cstheme="minorHAnsi"/>
          <w:sz w:val="22"/>
          <w:szCs w:val="22"/>
          <w:lang w:val="en-AU"/>
        </w:rPr>
        <w:t>____________________________</w:t>
      </w:r>
      <w:r w:rsidR="00A51D0F">
        <w:rPr>
          <w:rFonts w:asciiTheme="minorHAnsi" w:hAnsiTheme="minorHAnsi" w:cstheme="minorHAnsi"/>
          <w:sz w:val="22"/>
          <w:szCs w:val="22"/>
          <w:lang w:val="en-AU"/>
        </w:rPr>
        <w:tab/>
      </w:r>
      <w:r>
        <w:rPr>
          <w:rFonts w:asciiTheme="minorHAnsi" w:hAnsiTheme="minorHAnsi" w:cstheme="minorHAnsi"/>
          <w:sz w:val="22"/>
          <w:szCs w:val="22"/>
          <w:lang w:val="en-AU"/>
        </w:rPr>
        <w:t>Date ____________________</w:t>
      </w:r>
    </w:p>
    <w:p w:rsidR="00A51D0F" w:rsidRDefault="00B107EB" w:rsidP="00B107EB">
      <w:pPr>
        <w:pStyle w:val="BlackTextBody"/>
      </w:pPr>
      <w:r>
        <w:t xml:space="preserve">Wayne </w:t>
      </w:r>
      <w:r w:rsidR="00A51D0F">
        <w:t>Wilkinson</w:t>
      </w:r>
    </w:p>
    <w:p w:rsidR="00B107EB" w:rsidRDefault="00B107EB" w:rsidP="00B107EB">
      <w:pPr>
        <w:pStyle w:val="BlackTextBody"/>
      </w:pPr>
      <w:r>
        <w:t>Chief Administrative Officer</w:t>
      </w:r>
    </w:p>
    <w:p w:rsidR="00A51D0F" w:rsidRPr="009A35A1" w:rsidRDefault="00A51D0F" w:rsidP="00B107EB">
      <w:pPr>
        <w:pStyle w:val="BlackTextBody"/>
      </w:pPr>
    </w:p>
    <w:p w:rsidR="00B107EB" w:rsidRPr="009A35A1" w:rsidRDefault="00B107EB" w:rsidP="00B107EB">
      <w:pPr>
        <w:pStyle w:val="BlackTextBody"/>
      </w:pPr>
    </w:p>
    <w:p w:rsidR="00460876" w:rsidRPr="00597A4A" w:rsidRDefault="00460876" w:rsidP="00E53F4C">
      <w:pPr>
        <w:pStyle w:val="BlackTextBody"/>
        <w:tabs>
          <w:tab w:val="clear" w:pos="720"/>
          <w:tab w:val="left" w:pos="0"/>
        </w:tabs>
        <w:spacing w:before="80" w:after="80" w:line="276" w:lineRule="auto"/>
        <w:contextualSpacing/>
        <w:sectPr w:rsidR="00460876" w:rsidRPr="00597A4A" w:rsidSect="00597A4A">
          <w:pgSz w:w="12240" w:h="15840" w:code="1"/>
          <w:pgMar w:top="720" w:right="1170" w:bottom="720" w:left="1350" w:header="720" w:footer="193" w:gutter="0"/>
          <w:cols w:space="720"/>
          <w:docGrid w:linePitch="360"/>
        </w:sectPr>
      </w:pPr>
    </w:p>
    <w:p w:rsidR="00A77CD5" w:rsidRPr="008653FB" w:rsidRDefault="00B107EB" w:rsidP="00B107EB">
      <w:pPr>
        <w:pStyle w:val="BlackTextBody"/>
        <w:rPr>
          <w:rFonts w:ascii="Calibri" w:eastAsiaTheme="minorHAnsi" w:hAnsi="Calibri"/>
          <w:b/>
          <w:color w:val="002060"/>
          <w:sz w:val="24"/>
          <w:szCs w:val="24"/>
        </w:rPr>
      </w:pPr>
      <w:r w:rsidRPr="008653FB">
        <w:rPr>
          <w:rFonts w:ascii="Calibri" w:eastAsiaTheme="minorHAnsi" w:hAnsi="Calibri"/>
          <w:b/>
          <w:color w:val="002060"/>
          <w:sz w:val="24"/>
          <w:szCs w:val="24"/>
        </w:rPr>
        <w:lastRenderedPageBreak/>
        <w:t xml:space="preserve">ANNEX </w:t>
      </w:r>
      <w:r w:rsidR="008D5D30">
        <w:rPr>
          <w:rFonts w:ascii="Calibri" w:eastAsiaTheme="minorHAnsi" w:hAnsi="Calibri"/>
          <w:b/>
          <w:color w:val="002060"/>
          <w:sz w:val="24"/>
          <w:szCs w:val="24"/>
        </w:rPr>
        <w:t>A</w:t>
      </w:r>
      <w:r w:rsidRPr="008653FB">
        <w:rPr>
          <w:rFonts w:ascii="Calibri" w:eastAsiaTheme="minorHAnsi" w:hAnsi="Calibri"/>
          <w:b/>
          <w:color w:val="002060"/>
          <w:sz w:val="24"/>
          <w:szCs w:val="24"/>
        </w:rPr>
        <w:t xml:space="preserve"> - Requirements from Standards, Guidelines and Other Industry Best Practices</w:t>
      </w:r>
    </w:p>
    <w:p w:rsidR="00B107EB" w:rsidRPr="009A5AC9" w:rsidRDefault="00B107EB" w:rsidP="00A77CD5">
      <w:pPr>
        <w:pStyle w:val="BlackTextBody"/>
        <w:rPr>
          <w:rFonts w:ascii="Calibri" w:eastAsiaTheme="minorHAnsi" w:hAnsi="Calibri"/>
          <w:b/>
          <w:sz w:val="20"/>
          <w:szCs w:val="20"/>
        </w:rPr>
      </w:pPr>
    </w:p>
    <w:tbl>
      <w:tblPr>
        <w:tblW w:w="5115" w:type="pct"/>
        <w:tblLayout w:type="fixed"/>
        <w:tblLook w:val="04A0" w:firstRow="1" w:lastRow="0" w:firstColumn="1" w:lastColumn="0" w:noHBand="0" w:noVBand="1"/>
      </w:tblPr>
      <w:tblGrid>
        <w:gridCol w:w="522"/>
        <w:gridCol w:w="2186"/>
        <w:gridCol w:w="3416"/>
        <w:gridCol w:w="1964"/>
        <w:gridCol w:w="2854"/>
        <w:gridCol w:w="3328"/>
      </w:tblGrid>
      <w:tr w:rsidR="0018636A" w:rsidRPr="009A5AC9" w:rsidTr="001F6F53">
        <w:trPr>
          <w:trHeight w:val="728"/>
          <w:tblHeader/>
        </w:trPr>
        <w:tc>
          <w:tcPr>
            <w:tcW w:w="183" w:type="pct"/>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18636A" w:rsidRPr="009A5AC9" w:rsidRDefault="0018636A" w:rsidP="00B107EB">
            <w:pPr>
              <w:rPr>
                <w:rFonts w:ascii="Calibri" w:hAnsi="Calibri" w:cstheme="minorHAnsi"/>
                <w:b/>
                <w:bCs/>
                <w:color w:val="000000"/>
                <w:sz w:val="20"/>
                <w:szCs w:val="20"/>
              </w:rPr>
            </w:pPr>
          </w:p>
        </w:tc>
        <w:tc>
          <w:tcPr>
            <w:tcW w:w="766" w:type="pct"/>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18636A" w:rsidRPr="009A5AC9" w:rsidRDefault="0018636A" w:rsidP="00432858">
            <w:pPr>
              <w:jc w:val="center"/>
              <w:rPr>
                <w:rFonts w:ascii="Calibri" w:hAnsi="Calibri" w:cstheme="minorHAnsi"/>
                <w:b/>
                <w:bCs/>
                <w:color w:val="000000"/>
                <w:sz w:val="20"/>
                <w:szCs w:val="20"/>
              </w:rPr>
            </w:pPr>
            <w:r w:rsidRPr="009A5AC9">
              <w:rPr>
                <w:rFonts w:ascii="Calibri" w:hAnsi="Calibri" w:cstheme="minorHAnsi"/>
                <w:b/>
                <w:bCs/>
                <w:color w:val="000000"/>
                <w:sz w:val="20"/>
                <w:szCs w:val="20"/>
              </w:rPr>
              <w:t>Strategic Driver</w:t>
            </w:r>
            <w:r w:rsidR="00432858">
              <w:rPr>
                <w:rFonts w:ascii="Calibri" w:hAnsi="Calibri" w:cstheme="minorHAnsi"/>
                <w:b/>
                <w:bCs/>
                <w:color w:val="000000"/>
                <w:sz w:val="20"/>
                <w:szCs w:val="20"/>
              </w:rPr>
              <w:t xml:space="preserve"> or Best Practice</w:t>
            </w:r>
          </w:p>
        </w:tc>
        <w:tc>
          <w:tcPr>
            <w:tcW w:w="1197" w:type="pct"/>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18636A" w:rsidRPr="009A5AC9" w:rsidRDefault="0018636A" w:rsidP="00A77CD5">
            <w:pPr>
              <w:jc w:val="center"/>
              <w:rPr>
                <w:rFonts w:ascii="Calibri" w:hAnsi="Calibri" w:cstheme="minorHAnsi"/>
                <w:b/>
                <w:bCs/>
                <w:color w:val="000000"/>
                <w:sz w:val="20"/>
                <w:szCs w:val="20"/>
              </w:rPr>
            </w:pPr>
            <w:r w:rsidRPr="009A5AC9">
              <w:rPr>
                <w:rFonts w:ascii="Calibri" w:hAnsi="Calibri" w:cstheme="minorHAnsi"/>
                <w:b/>
                <w:bCs/>
                <w:color w:val="000000"/>
                <w:sz w:val="20"/>
                <w:szCs w:val="20"/>
              </w:rPr>
              <w:t>Why Applicable</w:t>
            </w:r>
          </w:p>
        </w:tc>
        <w:tc>
          <w:tcPr>
            <w:tcW w:w="688" w:type="pct"/>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18636A" w:rsidRPr="009A5AC9" w:rsidRDefault="0018636A" w:rsidP="00A77CD5">
            <w:pPr>
              <w:jc w:val="center"/>
              <w:rPr>
                <w:rFonts w:ascii="Calibri" w:hAnsi="Calibri" w:cstheme="minorHAnsi"/>
                <w:b/>
                <w:bCs/>
                <w:sz w:val="20"/>
                <w:szCs w:val="20"/>
              </w:rPr>
            </w:pPr>
            <w:r w:rsidRPr="009A5AC9">
              <w:rPr>
                <w:rFonts w:ascii="Calibri" w:hAnsi="Calibri" w:cstheme="minorHAnsi"/>
                <w:b/>
                <w:bCs/>
                <w:sz w:val="20"/>
                <w:szCs w:val="20"/>
              </w:rPr>
              <w:t>Sponsoring Entity</w:t>
            </w:r>
          </w:p>
        </w:tc>
        <w:tc>
          <w:tcPr>
            <w:tcW w:w="1000" w:type="pct"/>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18636A" w:rsidRPr="009A5AC9" w:rsidRDefault="0018636A" w:rsidP="00A77CD5">
            <w:pPr>
              <w:jc w:val="center"/>
              <w:rPr>
                <w:rFonts w:ascii="Calibri" w:hAnsi="Calibri" w:cstheme="minorHAnsi"/>
                <w:b/>
                <w:bCs/>
                <w:sz w:val="20"/>
                <w:szCs w:val="20"/>
              </w:rPr>
            </w:pPr>
            <w:r w:rsidRPr="009A5AC9">
              <w:rPr>
                <w:rFonts w:ascii="Calibri" w:hAnsi="Calibri" w:cstheme="minorHAnsi"/>
                <w:b/>
                <w:bCs/>
                <w:sz w:val="20"/>
                <w:szCs w:val="20"/>
              </w:rPr>
              <w:t xml:space="preserve">Relevant </w:t>
            </w:r>
            <w:r>
              <w:rPr>
                <w:rFonts w:ascii="Calibri" w:hAnsi="Calibri" w:cstheme="minorHAnsi"/>
                <w:b/>
                <w:bCs/>
                <w:sz w:val="20"/>
                <w:szCs w:val="20"/>
              </w:rPr>
              <w:t>Guidance/</w:t>
            </w:r>
            <w:r w:rsidRPr="009A5AC9">
              <w:rPr>
                <w:rFonts w:ascii="Calibri" w:hAnsi="Calibri" w:cstheme="minorHAnsi"/>
                <w:b/>
                <w:bCs/>
                <w:sz w:val="20"/>
                <w:szCs w:val="20"/>
              </w:rPr>
              <w:t>Document/s</w:t>
            </w:r>
          </w:p>
        </w:tc>
        <w:tc>
          <w:tcPr>
            <w:tcW w:w="1166" w:type="pct"/>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18636A" w:rsidRPr="009A5AC9" w:rsidRDefault="0018636A" w:rsidP="00A77CD5">
            <w:pPr>
              <w:jc w:val="center"/>
              <w:rPr>
                <w:rFonts w:ascii="Calibri" w:hAnsi="Calibri" w:cstheme="minorHAnsi"/>
                <w:b/>
                <w:bCs/>
                <w:color w:val="000000"/>
                <w:sz w:val="20"/>
                <w:szCs w:val="20"/>
              </w:rPr>
            </w:pPr>
            <w:r w:rsidRPr="009A5AC9">
              <w:rPr>
                <w:rFonts w:ascii="Calibri" w:hAnsi="Calibri" w:cstheme="minorHAnsi"/>
                <w:b/>
                <w:bCs/>
                <w:color w:val="000000"/>
                <w:sz w:val="20"/>
                <w:szCs w:val="20"/>
              </w:rPr>
              <w:t xml:space="preserve">Relevance/Impact for </w:t>
            </w:r>
            <w:r w:rsidRPr="009A5AC9">
              <w:rPr>
                <w:rFonts w:ascii="Calibri" w:hAnsi="Calibri" w:cstheme="minorHAnsi"/>
                <w:b/>
                <w:bCs/>
                <w:color w:val="000000"/>
                <w:sz w:val="20"/>
                <w:szCs w:val="20"/>
              </w:rPr>
              <w:br/>
              <w:t>National Ambulance</w:t>
            </w:r>
          </w:p>
        </w:tc>
      </w:tr>
      <w:tr w:rsidR="007A7D35" w:rsidRPr="009A5AC9" w:rsidTr="00B107EB">
        <w:trPr>
          <w:trHeight w:val="1050"/>
        </w:trPr>
        <w:tc>
          <w:tcPr>
            <w:tcW w:w="183" w:type="pct"/>
            <w:vMerge w:val="restart"/>
            <w:tcBorders>
              <w:top w:val="single" w:sz="4" w:space="0" w:color="auto"/>
              <w:left w:val="single" w:sz="4" w:space="0" w:color="auto"/>
              <w:right w:val="single" w:sz="4" w:space="0" w:color="auto"/>
            </w:tcBorders>
            <w:vAlign w:val="center"/>
          </w:tcPr>
          <w:p w:rsidR="007A7D35" w:rsidRPr="00B107EB" w:rsidRDefault="00B107EB" w:rsidP="00B107EB">
            <w:pPr>
              <w:rPr>
                <w:rFonts w:ascii="Calibri" w:hAnsi="Calibri" w:cstheme="minorHAnsi"/>
                <w:color w:val="000000"/>
                <w:sz w:val="20"/>
                <w:szCs w:val="20"/>
              </w:rPr>
            </w:pPr>
            <w:r>
              <w:rPr>
                <w:rFonts w:ascii="Calibri" w:hAnsi="Calibri" w:cstheme="minorHAnsi"/>
                <w:color w:val="000000"/>
                <w:sz w:val="20"/>
                <w:szCs w:val="20"/>
              </w:rPr>
              <w:t>1</w:t>
            </w:r>
          </w:p>
        </w:tc>
        <w:tc>
          <w:tcPr>
            <w:tcW w:w="766" w:type="pct"/>
            <w:vMerge w:val="restart"/>
            <w:tcBorders>
              <w:top w:val="nil"/>
              <w:left w:val="single" w:sz="4" w:space="0" w:color="auto"/>
              <w:bottom w:val="single" w:sz="4" w:space="0" w:color="auto"/>
              <w:right w:val="single" w:sz="4" w:space="0" w:color="auto"/>
            </w:tcBorders>
            <w:shd w:val="clear" w:color="auto" w:fill="auto"/>
            <w:vAlign w:val="center"/>
            <w:hideMark/>
          </w:tcPr>
          <w:p w:rsidR="007A7D35" w:rsidRPr="009A5AC9" w:rsidRDefault="007A7D35" w:rsidP="00B107EB">
            <w:pPr>
              <w:rPr>
                <w:rFonts w:ascii="Calibri" w:hAnsi="Calibri" w:cstheme="minorHAnsi"/>
                <w:color w:val="000000"/>
                <w:sz w:val="20"/>
                <w:szCs w:val="20"/>
              </w:rPr>
            </w:pPr>
            <w:r w:rsidRPr="009A5AC9">
              <w:rPr>
                <w:rFonts w:ascii="Calibri" w:hAnsi="Calibri" w:cstheme="minorHAnsi"/>
                <w:color w:val="000000"/>
                <w:sz w:val="20"/>
                <w:szCs w:val="20"/>
              </w:rPr>
              <w:t>Abu Dhabi Economic Vision 2030</w:t>
            </w:r>
          </w:p>
        </w:tc>
        <w:tc>
          <w:tcPr>
            <w:tcW w:w="1197" w:type="pct"/>
            <w:vMerge w:val="restart"/>
            <w:tcBorders>
              <w:top w:val="nil"/>
              <w:left w:val="single" w:sz="4" w:space="0" w:color="auto"/>
              <w:bottom w:val="single" w:sz="4" w:space="0" w:color="auto"/>
              <w:right w:val="single" w:sz="4" w:space="0" w:color="auto"/>
            </w:tcBorders>
            <w:shd w:val="clear" w:color="auto" w:fill="auto"/>
            <w:vAlign w:val="center"/>
            <w:hideMark/>
          </w:tcPr>
          <w:p w:rsidR="00B107EB" w:rsidRPr="009A5AC9" w:rsidRDefault="007A7D35" w:rsidP="00B107EB">
            <w:pPr>
              <w:rPr>
                <w:rFonts w:ascii="Calibri" w:hAnsi="Calibri" w:cstheme="minorHAnsi"/>
                <w:color w:val="000000"/>
                <w:sz w:val="20"/>
                <w:szCs w:val="20"/>
              </w:rPr>
            </w:pPr>
            <w:r w:rsidRPr="009A5AC9">
              <w:rPr>
                <w:rFonts w:ascii="Calibri" w:hAnsi="Calibri" w:cstheme="minorHAnsi"/>
                <w:color w:val="000000"/>
                <w:sz w:val="20"/>
                <w:szCs w:val="20"/>
              </w:rPr>
              <w:t>Establishes a common framework for aligning all policies and plans that contribute to the ongoing development of the Emirate’s economy. It seeks to create significant opportunities for the local and international privat</w:t>
            </w:r>
            <w:r w:rsidR="00B107EB">
              <w:rPr>
                <w:rFonts w:ascii="Calibri" w:hAnsi="Calibri" w:cstheme="minorHAnsi"/>
                <w:color w:val="000000"/>
                <w:sz w:val="20"/>
                <w:szCs w:val="20"/>
              </w:rPr>
              <w:t xml:space="preserve">e sector in the Emirate of Abu Dhabi. </w:t>
            </w:r>
          </w:p>
        </w:tc>
        <w:tc>
          <w:tcPr>
            <w:tcW w:w="688" w:type="pct"/>
            <w:tcBorders>
              <w:top w:val="nil"/>
              <w:left w:val="nil"/>
              <w:bottom w:val="single" w:sz="4" w:space="0" w:color="auto"/>
              <w:right w:val="single" w:sz="4" w:space="0" w:color="auto"/>
            </w:tcBorders>
            <w:shd w:val="clear" w:color="auto" w:fill="auto"/>
            <w:vAlign w:val="center"/>
            <w:hideMark/>
          </w:tcPr>
          <w:p w:rsidR="007A7D35" w:rsidRPr="009A5AC9" w:rsidRDefault="00324DB9" w:rsidP="00B107EB">
            <w:pPr>
              <w:rPr>
                <w:rFonts w:ascii="Calibri" w:hAnsi="Calibri" w:cstheme="minorHAnsi"/>
                <w:sz w:val="20"/>
                <w:szCs w:val="20"/>
              </w:rPr>
            </w:pPr>
            <w:hyperlink r:id="rId13" w:history="1">
              <w:r w:rsidR="007A7D35" w:rsidRPr="009A5AC9">
                <w:rPr>
                  <w:rFonts w:ascii="Calibri" w:hAnsi="Calibri" w:cstheme="minorHAnsi"/>
                  <w:sz w:val="20"/>
                  <w:szCs w:val="20"/>
                </w:rPr>
                <w:t xml:space="preserve">Executive Council </w:t>
              </w:r>
              <w:r w:rsidR="007A7D35" w:rsidRPr="009A5AC9">
                <w:rPr>
                  <w:rFonts w:ascii="Calibri" w:hAnsi="Calibri" w:cstheme="minorHAnsi"/>
                  <w:sz w:val="20"/>
                  <w:szCs w:val="20"/>
                </w:rPr>
                <w:br/>
                <w:t>of Abu Dhabi</w:t>
              </w:r>
            </w:hyperlink>
          </w:p>
        </w:tc>
        <w:tc>
          <w:tcPr>
            <w:tcW w:w="1000" w:type="pct"/>
            <w:vMerge w:val="restart"/>
            <w:tcBorders>
              <w:top w:val="nil"/>
              <w:left w:val="single" w:sz="4" w:space="0" w:color="auto"/>
              <w:bottom w:val="single" w:sz="4" w:space="0" w:color="auto"/>
              <w:right w:val="single" w:sz="4" w:space="0" w:color="auto"/>
            </w:tcBorders>
            <w:shd w:val="clear" w:color="auto" w:fill="auto"/>
            <w:vAlign w:val="center"/>
            <w:hideMark/>
          </w:tcPr>
          <w:p w:rsidR="007A7D35" w:rsidRPr="009A5AC9" w:rsidRDefault="00324DB9" w:rsidP="00B107EB">
            <w:pPr>
              <w:rPr>
                <w:rFonts w:ascii="Calibri" w:hAnsi="Calibri" w:cstheme="minorHAnsi"/>
                <w:sz w:val="20"/>
                <w:szCs w:val="20"/>
              </w:rPr>
            </w:pPr>
            <w:hyperlink r:id="rId14" w:history="1">
              <w:r w:rsidR="007A7D35" w:rsidRPr="009A5AC9">
                <w:rPr>
                  <w:rFonts w:ascii="Calibri" w:hAnsi="Calibri" w:cstheme="minorHAnsi"/>
                  <w:sz w:val="20"/>
                  <w:szCs w:val="20"/>
                </w:rPr>
                <w:t>Abu Dhabi Economic Vision 2030</w:t>
              </w:r>
            </w:hyperlink>
          </w:p>
        </w:tc>
        <w:tc>
          <w:tcPr>
            <w:tcW w:w="1166" w:type="pct"/>
            <w:vMerge w:val="restart"/>
            <w:tcBorders>
              <w:top w:val="nil"/>
              <w:left w:val="single" w:sz="4" w:space="0" w:color="auto"/>
              <w:bottom w:val="single" w:sz="4" w:space="0" w:color="auto"/>
              <w:right w:val="single" w:sz="4" w:space="0" w:color="auto"/>
            </w:tcBorders>
            <w:shd w:val="clear" w:color="auto" w:fill="auto"/>
            <w:vAlign w:val="center"/>
            <w:hideMark/>
          </w:tcPr>
          <w:p w:rsidR="007A7D35" w:rsidRPr="009A5AC9" w:rsidRDefault="007A7D35" w:rsidP="00B107EB">
            <w:pPr>
              <w:rPr>
                <w:rFonts w:ascii="Calibri" w:hAnsi="Calibri" w:cstheme="minorHAnsi"/>
                <w:color w:val="000000"/>
                <w:sz w:val="20"/>
                <w:szCs w:val="20"/>
              </w:rPr>
            </w:pPr>
            <w:r w:rsidRPr="009A5AC9">
              <w:rPr>
                <w:rFonts w:ascii="Calibri" w:hAnsi="Calibri" w:cstheme="minorHAnsi"/>
                <w:color w:val="000000"/>
                <w:sz w:val="20"/>
                <w:szCs w:val="20"/>
              </w:rPr>
              <w:t>Strategic Planning should align to Abu Dhabi Economic Vision 2030</w:t>
            </w:r>
          </w:p>
        </w:tc>
      </w:tr>
      <w:tr w:rsidR="007A7D35" w:rsidRPr="009A5AC9" w:rsidTr="00B107EB">
        <w:trPr>
          <w:trHeight w:val="1070"/>
        </w:trPr>
        <w:tc>
          <w:tcPr>
            <w:tcW w:w="183" w:type="pct"/>
            <w:vMerge/>
            <w:tcBorders>
              <w:left w:val="single" w:sz="4" w:space="0" w:color="auto"/>
              <w:bottom w:val="single" w:sz="4" w:space="0" w:color="auto"/>
              <w:right w:val="single" w:sz="4" w:space="0" w:color="auto"/>
            </w:tcBorders>
            <w:vAlign w:val="center"/>
          </w:tcPr>
          <w:p w:rsidR="007A7D35" w:rsidRPr="00B107EB" w:rsidRDefault="007A7D35" w:rsidP="00B107EB">
            <w:pPr>
              <w:rPr>
                <w:rFonts w:ascii="Calibri" w:hAnsi="Calibri" w:cstheme="minorHAnsi"/>
                <w:color w:val="000000"/>
                <w:sz w:val="20"/>
                <w:szCs w:val="20"/>
              </w:rPr>
            </w:pPr>
          </w:p>
        </w:tc>
        <w:tc>
          <w:tcPr>
            <w:tcW w:w="766" w:type="pct"/>
            <w:vMerge/>
            <w:tcBorders>
              <w:top w:val="nil"/>
              <w:left w:val="single" w:sz="4" w:space="0" w:color="auto"/>
              <w:bottom w:val="single" w:sz="4" w:space="0" w:color="auto"/>
              <w:right w:val="single" w:sz="4" w:space="0" w:color="auto"/>
            </w:tcBorders>
            <w:vAlign w:val="center"/>
            <w:hideMark/>
          </w:tcPr>
          <w:p w:rsidR="007A7D35" w:rsidRPr="009A5AC9" w:rsidRDefault="007A7D35" w:rsidP="00B107EB">
            <w:pPr>
              <w:rPr>
                <w:rFonts w:ascii="Calibri" w:hAnsi="Calibri" w:cstheme="minorHAnsi"/>
                <w:color w:val="000000"/>
                <w:sz w:val="20"/>
                <w:szCs w:val="20"/>
              </w:rPr>
            </w:pPr>
          </w:p>
        </w:tc>
        <w:tc>
          <w:tcPr>
            <w:tcW w:w="1197" w:type="pct"/>
            <w:vMerge/>
            <w:tcBorders>
              <w:top w:val="nil"/>
              <w:left w:val="single" w:sz="4" w:space="0" w:color="auto"/>
              <w:bottom w:val="single" w:sz="4" w:space="0" w:color="auto"/>
              <w:right w:val="single" w:sz="4" w:space="0" w:color="auto"/>
            </w:tcBorders>
            <w:vAlign w:val="center"/>
            <w:hideMark/>
          </w:tcPr>
          <w:p w:rsidR="007A7D35" w:rsidRPr="009A5AC9" w:rsidRDefault="007A7D35" w:rsidP="00B107EB">
            <w:pPr>
              <w:rPr>
                <w:rFonts w:ascii="Calibri" w:hAnsi="Calibri" w:cstheme="minorHAnsi"/>
                <w:color w:val="000000"/>
                <w:sz w:val="20"/>
                <w:szCs w:val="20"/>
              </w:rPr>
            </w:pPr>
          </w:p>
        </w:tc>
        <w:tc>
          <w:tcPr>
            <w:tcW w:w="688" w:type="pct"/>
            <w:tcBorders>
              <w:top w:val="nil"/>
              <w:left w:val="nil"/>
              <w:bottom w:val="single" w:sz="4" w:space="0" w:color="auto"/>
              <w:right w:val="single" w:sz="4" w:space="0" w:color="auto"/>
            </w:tcBorders>
            <w:shd w:val="clear" w:color="auto" w:fill="auto"/>
            <w:vAlign w:val="center"/>
            <w:hideMark/>
          </w:tcPr>
          <w:p w:rsidR="007A7D35" w:rsidRPr="009A5AC9" w:rsidRDefault="00324DB9" w:rsidP="00B107EB">
            <w:pPr>
              <w:rPr>
                <w:rFonts w:ascii="Calibri" w:hAnsi="Calibri" w:cstheme="minorHAnsi"/>
                <w:sz w:val="20"/>
                <w:szCs w:val="20"/>
              </w:rPr>
            </w:pPr>
            <w:hyperlink r:id="rId15" w:history="1">
              <w:r w:rsidR="007A7D35" w:rsidRPr="009A5AC9">
                <w:rPr>
                  <w:rFonts w:ascii="Calibri" w:hAnsi="Calibri" w:cstheme="minorHAnsi"/>
                  <w:sz w:val="20"/>
                  <w:szCs w:val="20"/>
                </w:rPr>
                <w:t>Abu Dhabi Council for Economic Development</w:t>
              </w:r>
            </w:hyperlink>
          </w:p>
        </w:tc>
        <w:tc>
          <w:tcPr>
            <w:tcW w:w="1000" w:type="pct"/>
            <w:vMerge/>
            <w:tcBorders>
              <w:top w:val="nil"/>
              <w:left w:val="single" w:sz="4" w:space="0" w:color="auto"/>
              <w:bottom w:val="single" w:sz="4" w:space="0" w:color="auto"/>
              <w:right w:val="single" w:sz="4" w:space="0" w:color="auto"/>
            </w:tcBorders>
            <w:vAlign w:val="center"/>
            <w:hideMark/>
          </w:tcPr>
          <w:p w:rsidR="007A7D35" w:rsidRPr="009A5AC9" w:rsidRDefault="007A7D35" w:rsidP="00B107EB">
            <w:pPr>
              <w:rPr>
                <w:rFonts w:ascii="Calibri" w:hAnsi="Calibri" w:cstheme="minorHAnsi"/>
                <w:sz w:val="20"/>
                <w:szCs w:val="20"/>
              </w:rPr>
            </w:pPr>
          </w:p>
        </w:tc>
        <w:tc>
          <w:tcPr>
            <w:tcW w:w="1166" w:type="pct"/>
            <w:vMerge/>
            <w:tcBorders>
              <w:top w:val="nil"/>
              <w:left w:val="single" w:sz="4" w:space="0" w:color="auto"/>
              <w:bottom w:val="single" w:sz="4" w:space="0" w:color="auto"/>
              <w:right w:val="single" w:sz="4" w:space="0" w:color="auto"/>
            </w:tcBorders>
            <w:vAlign w:val="center"/>
            <w:hideMark/>
          </w:tcPr>
          <w:p w:rsidR="007A7D35" w:rsidRPr="009A5AC9" w:rsidRDefault="007A7D35" w:rsidP="00B107EB">
            <w:pPr>
              <w:rPr>
                <w:rFonts w:ascii="Calibri" w:hAnsi="Calibri" w:cstheme="minorHAnsi"/>
                <w:color w:val="000000"/>
                <w:sz w:val="20"/>
                <w:szCs w:val="20"/>
              </w:rPr>
            </w:pPr>
          </w:p>
        </w:tc>
      </w:tr>
      <w:tr w:rsidR="007A7D35" w:rsidRPr="009A5AC9" w:rsidTr="00B107EB">
        <w:trPr>
          <w:trHeight w:val="1394"/>
        </w:trPr>
        <w:tc>
          <w:tcPr>
            <w:tcW w:w="183" w:type="pct"/>
            <w:tcBorders>
              <w:top w:val="single" w:sz="4" w:space="0" w:color="auto"/>
              <w:left w:val="single" w:sz="4" w:space="0" w:color="auto"/>
              <w:bottom w:val="single" w:sz="4" w:space="0" w:color="auto"/>
              <w:right w:val="single" w:sz="4" w:space="0" w:color="auto"/>
            </w:tcBorders>
            <w:vAlign w:val="center"/>
          </w:tcPr>
          <w:p w:rsidR="007A7D35" w:rsidRPr="00B107EB" w:rsidRDefault="00B107EB" w:rsidP="00B107EB">
            <w:pPr>
              <w:rPr>
                <w:rFonts w:ascii="Calibri" w:hAnsi="Calibri" w:cstheme="minorHAnsi"/>
                <w:color w:val="000000"/>
                <w:sz w:val="20"/>
                <w:szCs w:val="20"/>
              </w:rPr>
            </w:pPr>
            <w:r>
              <w:rPr>
                <w:rFonts w:ascii="Calibri" w:hAnsi="Calibri" w:cstheme="minorHAnsi"/>
                <w:color w:val="000000"/>
                <w:sz w:val="20"/>
                <w:szCs w:val="20"/>
              </w:rPr>
              <w:t>2</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7D35" w:rsidRPr="009A5AC9" w:rsidRDefault="007A7D35" w:rsidP="00B107EB">
            <w:pPr>
              <w:rPr>
                <w:rFonts w:ascii="Calibri" w:hAnsi="Calibri" w:cstheme="minorHAnsi"/>
                <w:color w:val="000000"/>
                <w:sz w:val="20"/>
                <w:szCs w:val="20"/>
              </w:rPr>
            </w:pPr>
            <w:r w:rsidRPr="009A5AC9">
              <w:rPr>
                <w:rFonts w:ascii="Calibri" w:hAnsi="Calibri" w:cstheme="minorHAnsi"/>
                <w:color w:val="000000"/>
                <w:sz w:val="20"/>
                <w:szCs w:val="20"/>
              </w:rPr>
              <w:t>Towards Innovation Policy in Abu Dhabi</w:t>
            </w:r>
          </w:p>
        </w:tc>
        <w:tc>
          <w:tcPr>
            <w:tcW w:w="119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7D35" w:rsidRPr="009A5AC9" w:rsidRDefault="007A7D35" w:rsidP="00B107EB">
            <w:pPr>
              <w:rPr>
                <w:rFonts w:ascii="Calibri" w:hAnsi="Calibri" w:cstheme="minorHAnsi"/>
                <w:color w:val="000000"/>
                <w:sz w:val="20"/>
                <w:szCs w:val="20"/>
              </w:rPr>
            </w:pPr>
            <w:r w:rsidRPr="009A5AC9">
              <w:rPr>
                <w:rFonts w:ascii="Calibri" w:hAnsi="Calibri" w:cstheme="minorHAnsi"/>
                <w:color w:val="000000"/>
                <w:sz w:val="20"/>
                <w:szCs w:val="20"/>
              </w:rPr>
              <w:t>Establishes a common framework for developing knowledge management and innovation across all AD Government Entities.</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7D35" w:rsidRPr="009A5AC9" w:rsidRDefault="00324DB9" w:rsidP="00B107EB">
            <w:pPr>
              <w:rPr>
                <w:rFonts w:ascii="Calibri" w:hAnsi="Calibri" w:cstheme="minorHAnsi"/>
                <w:sz w:val="20"/>
                <w:szCs w:val="20"/>
              </w:rPr>
            </w:pPr>
            <w:hyperlink r:id="rId16" w:history="1">
              <w:r w:rsidR="007A7D35" w:rsidRPr="009A5AC9">
                <w:rPr>
                  <w:rFonts w:ascii="Calibri" w:hAnsi="Calibri" w:cstheme="minorHAnsi"/>
                  <w:sz w:val="20"/>
                  <w:szCs w:val="20"/>
                </w:rPr>
                <w:t xml:space="preserve">Executive Council </w:t>
              </w:r>
              <w:r w:rsidR="007A7D35" w:rsidRPr="009A5AC9">
                <w:rPr>
                  <w:rFonts w:ascii="Calibri" w:hAnsi="Calibri" w:cstheme="minorHAnsi"/>
                  <w:sz w:val="20"/>
                  <w:szCs w:val="20"/>
                </w:rPr>
                <w:br/>
                <w:t>of Abu Dhabi</w:t>
              </w:r>
            </w:hyperlink>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7D35" w:rsidRPr="009A5AC9" w:rsidRDefault="00324DB9" w:rsidP="00B107EB">
            <w:pPr>
              <w:rPr>
                <w:rFonts w:ascii="Calibri" w:hAnsi="Calibri" w:cstheme="minorHAnsi"/>
                <w:sz w:val="20"/>
                <w:szCs w:val="20"/>
              </w:rPr>
            </w:pPr>
            <w:hyperlink r:id="rId17" w:history="1">
              <w:r w:rsidR="007A7D35" w:rsidRPr="009A5AC9">
                <w:rPr>
                  <w:rFonts w:ascii="Calibri" w:hAnsi="Calibri" w:cstheme="minorHAnsi"/>
                  <w:sz w:val="20"/>
                  <w:szCs w:val="20"/>
                </w:rPr>
                <w:t>Towards Innovation Policy in Abu Dhabi</w:t>
              </w:r>
            </w:hyperlink>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A7D35" w:rsidRPr="009A5AC9" w:rsidRDefault="007A7D35" w:rsidP="00B107EB">
            <w:pPr>
              <w:rPr>
                <w:rFonts w:ascii="Calibri" w:hAnsi="Calibri" w:cstheme="minorHAnsi"/>
                <w:color w:val="000000"/>
                <w:sz w:val="20"/>
                <w:szCs w:val="20"/>
              </w:rPr>
            </w:pPr>
            <w:r w:rsidRPr="009A5AC9">
              <w:rPr>
                <w:rFonts w:ascii="Calibri" w:hAnsi="Calibri" w:cstheme="minorHAnsi"/>
                <w:color w:val="000000"/>
                <w:sz w:val="20"/>
                <w:szCs w:val="20"/>
              </w:rPr>
              <w:t>This provides a valuable resource to follow and implement within NA where one of its key strengths is the knowledge and expertise of its workforce.</w:t>
            </w:r>
          </w:p>
        </w:tc>
      </w:tr>
      <w:tr w:rsidR="007A7D35" w:rsidRPr="009A5AC9" w:rsidTr="00B107EB">
        <w:trPr>
          <w:trHeight w:val="1825"/>
        </w:trPr>
        <w:tc>
          <w:tcPr>
            <w:tcW w:w="183" w:type="pct"/>
            <w:tcBorders>
              <w:top w:val="single" w:sz="4" w:space="0" w:color="auto"/>
              <w:left w:val="single" w:sz="4" w:space="0" w:color="auto"/>
              <w:bottom w:val="single" w:sz="4" w:space="0" w:color="auto"/>
              <w:right w:val="single" w:sz="4" w:space="0" w:color="auto"/>
            </w:tcBorders>
            <w:vAlign w:val="center"/>
          </w:tcPr>
          <w:p w:rsidR="007A7D35" w:rsidRPr="00B107EB" w:rsidRDefault="00B107EB" w:rsidP="00B107EB">
            <w:pPr>
              <w:rPr>
                <w:rFonts w:ascii="Calibri" w:hAnsi="Calibri" w:cstheme="minorHAnsi"/>
                <w:color w:val="000000"/>
                <w:sz w:val="20"/>
                <w:szCs w:val="20"/>
              </w:rPr>
            </w:pPr>
            <w:r>
              <w:rPr>
                <w:rFonts w:ascii="Calibri" w:hAnsi="Calibri" w:cstheme="minorHAnsi"/>
                <w:color w:val="000000"/>
                <w:sz w:val="20"/>
                <w:szCs w:val="20"/>
              </w:rPr>
              <w:t>3</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A5AC9" w:rsidRDefault="007A7D35" w:rsidP="00137062">
            <w:pPr>
              <w:rPr>
                <w:rFonts w:ascii="Calibri" w:hAnsi="Calibri" w:cstheme="minorHAnsi"/>
                <w:color w:val="000000"/>
                <w:sz w:val="20"/>
                <w:szCs w:val="20"/>
              </w:rPr>
            </w:pPr>
            <w:r w:rsidRPr="009A5AC9">
              <w:rPr>
                <w:rFonts w:ascii="Calibri" w:hAnsi="Calibri" w:cstheme="minorHAnsi"/>
                <w:color w:val="000000"/>
                <w:sz w:val="20"/>
                <w:szCs w:val="20"/>
              </w:rPr>
              <w:t>Information and Data Security.</w:t>
            </w:r>
          </w:p>
        </w:tc>
        <w:tc>
          <w:tcPr>
            <w:tcW w:w="1197"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A5AC9" w:rsidRDefault="007A7D35" w:rsidP="00B107EB">
            <w:pPr>
              <w:rPr>
                <w:rFonts w:ascii="Calibri" w:hAnsi="Calibri" w:cstheme="minorHAnsi"/>
                <w:color w:val="000000"/>
                <w:sz w:val="20"/>
                <w:szCs w:val="20"/>
              </w:rPr>
            </w:pPr>
            <w:r w:rsidRPr="009A5AC9">
              <w:rPr>
                <w:rFonts w:ascii="Calibri" w:hAnsi="Calibri" w:cstheme="minorHAnsi"/>
                <w:color w:val="000000"/>
                <w:sz w:val="20"/>
                <w:szCs w:val="20"/>
              </w:rPr>
              <w:t>ADSIC Information Security Policy defines best practice and guidelines for protecting, storage and retention of information in accordance with: Article 24 of Federal Law No. (1)</w:t>
            </w:r>
            <w:r w:rsidRPr="009A5AC9">
              <w:rPr>
                <w:rFonts w:ascii="Calibri" w:hAnsi="Calibri" w:cstheme="minorHAnsi"/>
                <w:color w:val="000000"/>
                <w:sz w:val="20"/>
                <w:szCs w:val="20"/>
              </w:rPr>
              <w:br/>
              <w:t>of 2006 concerning Electronic Transactions &amp; Commerce,</w:t>
            </w:r>
          </w:p>
          <w:p w:rsidR="007A7D35" w:rsidRPr="009A5AC9" w:rsidRDefault="007A7D35" w:rsidP="00B107EB">
            <w:pPr>
              <w:rPr>
                <w:rFonts w:ascii="Calibri" w:hAnsi="Calibri" w:cstheme="minorHAnsi"/>
                <w:color w:val="000000"/>
                <w:sz w:val="20"/>
                <w:szCs w:val="20"/>
              </w:rPr>
            </w:pPr>
            <w:r w:rsidRPr="009A5AC9">
              <w:rPr>
                <w:rFonts w:ascii="Calibri" w:hAnsi="Calibri" w:cstheme="minorHAnsi"/>
                <w:color w:val="000000"/>
                <w:sz w:val="20"/>
                <w:szCs w:val="20"/>
              </w:rPr>
              <w:t xml:space="preserve"> Federal Law No. 2 of 2006 concerning Cyber Crimes, which establishes the definition of cyber-crimes &amp; associated penalties; &amp; conforms with the AD Govt. Policy Agenda 2007-2008</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A5AC9" w:rsidRDefault="007A7D35" w:rsidP="00B107EB">
            <w:pPr>
              <w:rPr>
                <w:rFonts w:ascii="Calibri" w:hAnsi="Calibri"/>
                <w:sz w:val="20"/>
                <w:szCs w:val="20"/>
              </w:rPr>
            </w:pPr>
            <w:r w:rsidRPr="009A5AC9">
              <w:rPr>
                <w:rFonts w:ascii="Calibri" w:hAnsi="Calibri"/>
                <w:sz w:val="20"/>
                <w:szCs w:val="20"/>
              </w:rPr>
              <w:t>N/A</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A5AC9" w:rsidRDefault="007A7D35" w:rsidP="00B107EB">
            <w:pPr>
              <w:rPr>
                <w:rFonts w:ascii="Calibri" w:hAnsi="Calibri" w:cstheme="minorHAnsi"/>
                <w:color w:val="0000FF"/>
                <w:sz w:val="20"/>
                <w:szCs w:val="20"/>
                <w:u w:val="single"/>
              </w:rPr>
            </w:pPr>
            <w:r w:rsidRPr="009A5AC9">
              <w:rPr>
                <w:rFonts w:ascii="Calibri" w:hAnsi="Calibri" w:cstheme="minorHAnsi"/>
                <w:color w:val="000000"/>
                <w:sz w:val="20"/>
                <w:szCs w:val="20"/>
              </w:rPr>
              <w:t>Federal Law No. (1)</w:t>
            </w:r>
            <w:r w:rsidRPr="009A5AC9">
              <w:rPr>
                <w:rFonts w:ascii="Calibri" w:hAnsi="Calibri" w:cstheme="minorHAnsi"/>
                <w:color w:val="000000"/>
                <w:sz w:val="20"/>
                <w:szCs w:val="20"/>
              </w:rPr>
              <w:br/>
              <w:t>of 20</w:t>
            </w:r>
            <w:r w:rsidRPr="009A5AC9">
              <w:rPr>
                <w:rFonts w:ascii="Calibri" w:hAnsi="Calibri" w:cstheme="minorHAnsi"/>
                <w:sz w:val="20"/>
                <w:szCs w:val="20"/>
              </w:rPr>
              <w:t>06</w:t>
            </w: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A5AC9" w:rsidRDefault="007A7D35" w:rsidP="00B107EB">
            <w:pPr>
              <w:rPr>
                <w:rFonts w:ascii="Calibri" w:hAnsi="Calibri" w:cstheme="minorHAnsi"/>
                <w:color w:val="000000"/>
                <w:sz w:val="20"/>
                <w:szCs w:val="20"/>
              </w:rPr>
            </w:pPr>
            <w:r w:rsidRPr="009A5AC9">
              <w:rPr>
                <w:rFonts w:ascii="Calibri" w:hAnsi="Calibri" w:cstheme="minorHAnsi"/>
                <w:color w:val="000000"/>
                <w:sz w:val="20"/>
                <w:szCs w:val="20"/>
              </w:rPr>
              <w:t>ADSIC provide guidelines for achieving Information Security Standard and provide appropriate support and overview</w:t>
            </w:r>
          </w:p>
        </w:tc>
      </w:tr>
      <w:tr w:rsidR="007A7D35" w:rsidRPr="009A5AC9" w:rsidTr="00B107EB">
        <w:trPr>
          <w:trHeight w:val="1358"/>
        </w:trPr>
        <w:tc>
          <w:tcPr>
            <w:tcW w:w="183" w:type="pct"/>
            <w:tcBorders>
              <w:top w:val="single" w:sz="4" w:space="0" w:color="auto"/>
              <w:left w:val="single" w:sz="4" w:space="0" w:color="auto"/>
              <w:bottom w:val="single" w:sz="4" w:space="0" w:color="auto"/>
              <w:right w:val="single" w:sz="4" w:space="0" w:color="auto"/>
            </w:tcBorders>
            <w:vAlign w:val="center"/>
          </w:tcPr>
          <w:p w:rsidR="007A7D35" w:rsidRPr="00B107EB" w:rsidRDefault="00B107EB" w:rsidP="00B107EB">
            <w:pPr>
              <w:rPr>
                <w:rFonts w:ascii="Calibri" w:hAnsi="Calibri" w:cstheme="minorHAnsi"/>
                <w:bCs/>
                <w:color w:val="000000"/>
                <w:sz w:val="20"/>
                <w:szCs w:val="20"/>
              </w:rPr>
            </w:pPr>
            <w:r>
              <w:rPr>
                <w:rFonts w:ascii="Calibri" w:hAnsi="Calibri" w:cstheme="minorHAnsi"/>
                <w:bCs/>
                <w:color w:val="000000"/>
                <w:sz w:val="20"/>
                <w:szCs w:val="20"/>
              </w:rPr>
              <w:t>4</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A5AC9" w:rsidRDefault="00CE5109" w:rsidP="00CE5109">
            <w:pPr>
              <w:rPr>
                <w:rFonts w:ascii="Calibri" w:hAnsi="Calibri" w:cstheme="minorHAnsi"/>
                <w:color w:val="000000"/>
                <w:sz w:val="20"/>
                <w:szCs w:val="20"/>
              </w:rPr>
            </w:pPr>
            <w:r>
              <w:rPr>
                <w:rFonts w:ascii="Calibri" w:hAnsi="Calibri" w:cstheme="minorHAnsi"/>
                <w:color w:val="000000"/>
                <w:sz w:val="20"/>
                <w:szCs w:val="20"/>
              </w:rPr>
              <w:t xml:space="preserve">JCI, ISO, </w:t>
            </w:r>
            <w:r w:rsidR="007A7D35">
              <w:rPr>
                <w:rFonts w:ascii="Calibri" w:hAnsi="Calibri" w:cstheme="minorHAnsi"/>
                <w:color w:val="000000"/>
                <w:sz w:val="20"/>
                <w:szCs w:val="20"/>
              </w:rPr>
              <w:t>OSHAS</w:t>
            </w:r>
            <w:r>
              <w:rPr>
                <w:rFonts w:ascii="Calibri" w:hAnsi="Calibri" w:cstheme="minorHAnsi"/>
                <w:color w:val="000000"/>
                <w:sz w:val="20"/>
                <w:szCs w:val="20"/>
              </w:rPr>
              <w:t>,</w:t>
            </w:r>
            <w:r w:rsidR="007A7D35">
              <w:rPr>
                <w:rFonts w:ascii="Calibri" w:hAnsi="Calibri" w:cstheme="minorHAnsi"/>
                <w:color w:val="000000"/>
                <w:sz w:val="20"/>
                <w:szCs w:val="20"/>
              </w:rPr>
              <w:t xml:space="preserve"> </w:t>
            </w:r>
            <w:r>
              <w:rPr>
                <w:rFonts w:ascii="Calibri" w:hAnsi="Calibri" w:cstheme="minorHAnsi"/>
                <w:color w:val="000000"/>
                <w:sz w:val="20"/>
                <w:szCs w:val="20"/>
              </w:rPr>
              <w:t xml:space="preserve"> and NCEMA </w:t>
            </w:r>
            <w:r w:rsidR="007A7D35">
              <w:rPr>
                <w:rFonts w:ascii="Calibri" w:hAnsi="Calibri" w:cstheme="minorHAnsi"/>
                <w:color w:val="000000"/>
                <w:sz w:val="20"/>
                <w:szCs w:val="20"/>
              </w:rPr>
              <w:t>Standards</w:t>
            </w:r>
          </w:p>
        </w:tc>
        <w:tc>
          <w:tcPr>
            <w:tcW w:w="1197"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A5AC9" w:rsidRDefault="007A7D35" w:rsidP="00B107EB">
            <w:pPr>
              <w:rPr>
                <w:rFonts w:ascii="Calibri" w:hAnsi="Calibri" w:cstheme="minorHAnsi"/>
                <w:color w:val="000000"/>
                <w:sz w:val="20"/>
                <w:szCs w:val="20"/>
              </w:rPr>
            </w:pPr>
            <w:r>
              <w:rPr>
                <w:rFonts w:ascii="Calibri" w:hAnsi="Calibri" w:cstheme="minorHAnsi"/>
                <w:color w:val="000000"/>
                <w:sz w:val="20"/>
                <w:szCs w:val="20"/>
              </w:rPr>
              <w:t xml:space="preserve">National Ambulance wishes to achieve and maintain these standards throughout the </w:t>
            </w:r>
            <w:r w:rsidR="00324DB9">
              <w:rPr>
                <w:rFonts w:ascii="Calibri" w:hAnsi="Calibri" w:cstheme="minorHAnsi"/>
                <w:color w:val="000000"/>
                <w:sz w:val="20"/>
                <w:szCs w:val="20"/>
              </w:rPr>
              <w:t>organization</w:t>
            </w:r>
            <w:r>
              <w:rPr>
                <w:rFonts w:ascii="Calibri" w:hAnsi="Calibri" w:cstheme="minorHAnsi"/>
                <w:color w:val="000000"/>
                <w:sz w:val="20"/>
                <w:szCs w:val="20"/>
              </w:rPr>
              <w:t xml:space="preserve"> and supports the reputation of the </w:t>
            </w:r>
            <w:r w:rsidR="00324DB9">
              <w:rPr>
                <w:rFonts w:ascii="Calibri" w:hAnsi="Calibri" w:cstheme="minorHAnsi"/>
                <w:color w:val="000000"/>
                <w:sz w:val="20"/>
                <w:szCs w:val="20"/>
              </w:rPr>
              <w:t>organization</w:t>
            </w:r>
            <w:r>
              <w:rPr>
                <w:rFonts w:ascii="Calibri" w:hAnsi="Calibri" w:cstheme="minorHAnsi"/>
                <w:color w:val="000000"/>
                <w:sz w:val="20"/>
                <w:szCs w:val="20"/>
              </w:rPr>
              <w:t xml:space="preserve"> and the quality of services</w:t>
            </w:r>
            <w:r w:rsidR="00CE5109">
              <w:rPr>
                <w:rFonts w:ascii="Calibri" w:hAnsi="Calibri" w:cstheme="minorHAnsi"/>
                <w:color w:val="000000"/>
                <w:sz w:val="20"/>
                <w:szCs w:val="20"/>
              </w:rPr>
              <w:t>, and coordinates operates in a consistent way with other UAE emergency service providers</w:t>
            </w:r>
            <w:r>
              <w:rPr>
                <w:rFonts w:ascii="Calibri" w:hAnsi="Calibri" w:cstheme="minorHAnsi"/>
                <w:color w:val="000000"/>
                <w:sz w:val="20"/>
                <w:szCs w:val="20"/>
              </w:rPr>
              <w:t xml:space="preserve"> </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Default="007A7D35" w:rsidP="00B107EB">
            <w:pPr>
              <w:rPr>
                <w:rFonts w:ascii="Calibri" w:hAnsi="Calibri"/>
                <w:sz w:val="20"/>
                <w:szCs w:val="20"/>
              </w:rPr>
            </w:pPr>
            <w:r>
              <w:rPr>
                <w:rFonts w:ascii="Calibri" w:hAnsi="Calibri"/>
                <w:sz w:val="20"/>
                <w:szCs w:val="20"/>
              </w:rPr>
              <w:t>Joint Commission International (JCI) Standards ISO/OSHAS</w:t>
            </w:r>
          </w:p>
          <w:p w:rsidR="00CE5109" w:rsidRPr="009A5AC9" w:rsidRDefault="00CE5109" w:rsidP="00B107EB">
            <w:pPr>
              <w:rPr>
                <w:rFonts w:ascii="Calibri" w:hAnsi="Calibri"/>
                <w:sz w:val="20"/>
                <w:szCs w:val="20"/>
              </w:rPr>
            </w:pPr>
            <w:r>
              <w:rPr>
                <w:rFonts w:ascii="Calibri" w:hAnsi="Calibri"/>
                <w:sz w:val="20"/>
                <w:szCs w:val="20"/>
              </w:rPr>
              <w:t>NCEMA 7000:2015</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A5AC9" w:rsidRDefault="00CE5109" w:rsidP="00CE5109">
            <w:pPr>
              <w:rPr>
                <w:rFonts w:ascii="Calibri" w:hAnsi="Calibri" w:cstheme="minorHAnsi"/>
                <w:color w:val="000000"/>
                <w:sz w:val="20"/>
                <w:szCs w:val="20"/>
              </w:rPr>
            </w:pPr>
            <w:r>
              <w:rPr>
                <w:rFonts w:ascii="Calibri" w:hAnsi="Calibri" w:cstheme="minorHAnsi"/>
                <w:color w:val="000000"/>
                <w:sz w:val="20"/>
                <w:szCs w:val="20"/>
              </w:rPr>
              <w:t xml:space="preserve">JCI, ISO, </w:t>
            </w:r>
            <w:r w:rsidR="007A7D35">
              <w:rPr>
                <w:rFonts w:ascii="Calibri" w:hAnsi="Calibri" w:cstheme="minorHAnsi"/>
                <w:color w:val="000000"/>
                <w:sz w:val="20"/>
                <w:szCs w:val="20"/>
              </w:rPr>
              <w:t xml:space="preserve">OSHAS </w:t>
            </w:r>
            <w:r>
              <w:rPr>
                <w:rFonts w:ascii="Calibri" w:hAnsi="Calibri" w:cstheme="minorHAnsi"/>
                <w:color w:val="000000"/>
                <w:sz w:val="20"/>
                <w:szCs w:val="20"/>
              </w:rPr>
              <w:t xml:space="preserve">and NCEMA </w:t>
            </w:r>
            <w:r w:rsidR="007A7D35">
              <w:rPr>
                <w:rFonts w:ascii="Calibri" w:hAnsi="Calibri" w:cstheme="minorHAnsi"/>
                <w:color w:val="000000"/>
                <w:sz w:val="20"/>
                <w:szCs w:val="20"/>
              </w:rPr>
              <w:t>Standards</w:t>
            </w: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A5AC9" w:rsidRDefault="007A7D35" w:rsidP="00CE5109">
            <w:pPr>
              <w:rPr>
                <w:rFonts w:ascii="Calibri" w:hAnsi="Calibri" w:cstheme="minorHAnsi"/>
                <w:color w:val="000000"/>
                <w:sz w:val="20"/>
                <w:szCs w:val="20"/>
              </w:rPr>
            </w:pPr>
            <w:r>
              <w:rPr>
                <w:rFonts w:ascii="Calibri" w:hAnsi="Calibri" w:cstheme="minorHAnsi"/>
                <w:color w:val="000000"/>
                <w:sz w:val="20"/>
                <w:szCs w:val="20"/>
              </w:rPr>
              <w:t xml:space="preserve">Relevant to continuous quality improvement throughout the </w:t>
            </w:r>
            <w:r w:rsidR="00324DB9">
              <w:rPr>
                <w:rFonts w:ascii="Calibri" w:hAnsi="Calibri" w:cstheme="minorHAnsi"/>
                <w:color w:val="000000"/>
                <w:sz w:val="20"/>
                <w:szCs w:val="20"/>
              </w:rPr>
              <w:t>organization</w:t>
            </w:r>
            <w:r w:rsidR="00CE5109">
              <w:rPr>
                <w:rFonts w:ascii="Calibri" w:hAnsi="Calibri" w:cstheme="minorHAnsi"/>
                <w:color w:val="000000"/>
                <w:sz w:val="20"/>
                <w:szCs w:val="20"/>
              </w:rPr>
              <w:t>,</w:t>
            </w:r>
            <w:r>
              <w:rPr>
                <w:rFonts w:ascii="Calibri" w:hAnsi="Calibri" w:cstheme="minorHAnsi"/>
                <w:color w:val="000000"/>
                <w:sz w:val="20"/>
                <w:szCs w:val="20"/>
              </w:rPr>
              <w:t xml:space="preserve"> supports the reputation of the </w:t>
            </w:r>
            <w:r w:rsidR="00324DB9">
              <w:rPr>
                <w:rFonts w:ascii="Calibri" w:hAnsi="Calibri" w:cstheme="minorHAnsi"/>
                <w:color w:val="000000"/>
                <w:sz w:val="20"/>
                <w:szCs w:val="20"/>
              </w:rPr>
              <w:t>organization</w:t>
            </w:r>
            <w:r w:rsidR="00CE5109">
              <w:rPr>
                <w:rFonts w:ascii="Calibri" w:hAnsi="Calibri" w:cstheme="minorHAnsi"/>
                <w:color w:val="000000"/>
                <w:sz w:val="20"/>
                <w:szCs w:val="20"/>
              </w:rPr>
              <w:t>, and maintains coordinated framework for UAE emergency services</w:t>
            </w:r>
            <w:r>
              <w:rPr>
                <w:rFonts w:ascii="Calibri" w:hAnsi="Calibri" w:cstheme="minorHAnsi"/>
                <w:color w:val="000000"/>
                <w:sz w:val="20"/>
                <w:szCs w:val="20"/>
              </w:rPr>
              <w:t>.</w:t>
            </w:r>
          </w:p>
        </w:tc>
      </w:tr>
      <w:tr w:rsidR="007A7D35" w:rsidRPr="009A5AC9" w:rsidTr="00B107EB">
        <w:trPr>
          <w:trHeight w:val="1646"/>
        </w:trPr>
        <w:tc>
          <w:tcPr>
            <w:tcW w:w="183" w:type="pct"/>
            <w:tcBorders>
              <w:top w:val="single" w:sz="4" w:space="0" w:color="auto"/>
              <w:left w:val="single" w:sz="4" w:space="0" w:color="auto"/>
              <w:bottom w:val="single" w:sz="4" w:space="0" w:color="auto"/>
              <w:right w:val="single" w:sz="4" w:space="0" w:color="auto"/>
            </w:tcBorders>
            <w:vAlign w:val="center"/>
          </w:tcPr>
          <w:p w:rsidR="007A7D35" w:rsidRPr="00B107EB" w:rsidRDefault="00B107EB" w:rsidP="00B107EB">
            <w:pPr>
              <w:rPr>
                <w:rFonts w:ascii="Calibri" w:hAnsi="Calibri" w:cstheme="minorHAnsi"/>
                <w:bCs/>
                <w:color w:val="000000"/>
                <w:sz w:val="20"/>
                <w:szCs w:val="20"/>
              </w:rPr>
            </w:pPr>
            <w:r>
              <w:rPr>
                <w:rFonts w:ascii="Calibri" w:hAnsi="Calibri" w:cstheme="minorHAnsi"/>
                <w:bCs/>
                <w:color w:val="000000"/>
                <w:sz w:val="20"/>
                <w:szCs w:val="20"/>
              </w:rPr>
              <w:t>5</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Default="007A7D35" w:rsidP="00B107EB">
            <w:pPr>
              <w:rPr>
                <w:rFonts w:ascii="Calibri" w:hAnsi="Calibri" w:cstheme="minorHAnsi"/>
                <w:color w:val="000000"/>
                <w:sz w:val="20"/>
                <w:szCs w:val="20"/>
              </w:rPr>
            </w:pPr>
            <w:r>
              <w:rPr>
                <w:rFonts w:ascii="Calibri" w:hAnsi="Calibri" w:cstheme="minorHAnsi"/>
                <w:color w:val="000000"/>
                <w:sz w:val="20"/>
                <w:szCs w:val="20"/>
              </w:rPr>
              <w:t>Review of Operations including contracts/policies/insurances  etc.</w:t>
            </w:r>
          </w:p>
        </w:tc>
        <w:tc>
          <w:tcPr>
            <w:tcW w:w="1197"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Default="007A7D35" w:rsidP="00B107EB">
            <w:pPr>
              <w:rPr>
                <w:rFonts w:ascii="Calibri" w:hAnsi="Calibri" w:cstheme="minorHAnsi"/>
                <w:color w:val="000000"/>
                <w:sz w:val="20"/>
                <w:szCs w:val="20"/>
              </w:rPr>
            </w:pPr>
            <w:r>
              <w:rPr>
                <w:rFonts w:ascii="Calibri" w:hAnsi="Calibri" w:cstheme="minorHAnsi"/>
                <w:color w:val="000000"/>
                <w:sz w:val="20"/>
                <w:szCs w:val="20"/>
              </w:rPr>
              <w:t>To ensure compliance with contracts, quality, safety and reputation improvement</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Default="007A7D35" w:rsidP="00B107EB">
            <w:pPr>
              <w:rPr>
                <w:rFonts w:ascii="Calibri" w:hAnsi="Calibri"/>
                <w:sz w:val="20"/>
                <w:szCs w:val="20"/>
              </w:rPr>
            </w:pPr>
            <w:r>
              <w:rPr>
                <w:rFonts w:ascii="Calibri" w:hAnsi="Calibri"/>
                <w:sz w:val="20"/>
                <w:szCs w:val="20"/>
              </w:rPr>
              <w:t>Stakeholders ISO/OSHAS</w:t>
            </w:r>
          </w:p>
          <w:p w:rsidR="007A7D35" w:rsidRDefault="007A7D35" w:rsidP="00B107EB">
            <w:pPr>
              <w:rPr>
                <w:rFonts w:ascii="Calibri" w:hAnsi="Calibri"/>
                <w:sz w:val="20"/>
                <w:szCs w:val="20"/>
              </w:rPr>
            </w:pPr>
            <w:r>
              <w:rPr>
                <w:rFonts w:ascii="Calibri" w:hAnsi="Calibri"/>
                <w:sz w:val="20"/>
                <w:szCs w:val="20"/>
              </w:rPr>
              <w:t>JCIA</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Default="007A7D35" w:rsidP="00B107EB">
            <w:pPr>
              <w:rPr>
                <w:rFonts w:ascii="Calibri" w:hAnsi="Calibri"/>
                <w:sz w:val="20"/>
                <w:szCs w:val="20"/>
              </w:rPr>
            </w:pPr>
            <w:r>
              <w:rPr>
                <w:rFonts w:ascii="Calibri" w:hAnsi="Calibri"/>
                <w:sz w:val="20"/>
                <w:szCs w:val="20"/>
              </w:rPr>
              <w:t>Contracts for service provision</w:t>
            </w:r>
          </w:p>
          <w:p w:rsidR="007A7D35" w:rsidRDefault="007A7D35" w:rsidP="00B107EB">
            <w:pPr>
              <w:rPr>
                <w:rFonts w:ascii="Calibri" w:hAnsi="Calibri"/>
                <w:sz w:val="20"/>
                <w:szCs w:val="20"/>
              </w:rPr>
            </w:pPr>
            <w:r>
              <w:rPr>
                <w:rFonts w:ascii="Calibri" w:hAnsi="Calibri"/>
                <w:sz w:val="20"/>
                <w:szCs w:val="20"/>
              </w:rPr>
              <w:t>ISO/OSHAS Standards</w:t>
            </w:r>
          </w:p>
          <w:p w:rsidR="007A7D35" w:rsidRDefault="007A7D35" w:rsidP="00B107EB">
            <w:pPr>
              <w:rPr>
                <w:rFonts w:ascii="Calibri" w:hAnsi="Calibri"/>
                <w:sz w:val="20"/>
                <w:szCs w:val="20"/>
              </w:rPr>
            </w:pPr>
            <w:r>
              <w:rPr>
                <w:rFonts w:ascii="Calibri" w:hAnsi="Calibri"/>
                <w:sz w:val="20"/>
                <w:szCs w:val="20"/>
              </w:rPr>
              <w:t>JCIA Standards</w:t>
            </w:r>
          </w:p>
          <w:p w:rsidR="007A7D35" w:rsidRDefault="007A7D35" w:rsidP="00B107EB">
            <w:pPr>
              <w:rPr>
                <w:rFonts w:ascii="Calibri" w:hAnsi="Calibri" w:cstheme="minorHAnsi"/>
                <w:color w:val="000000"/>
                <w:sz w:val="20"/>
                <w:szCs w:val="20"/>
              </w:rPr>
            </w:pPr>
            <w:r>
              <w:rPr>
                <w:rFonts w:ascii="Calibri" w:hAnsi="Calibri"/>
                <w:sz w:val="20"/>
                <w:szCs w:val="20"/>
              </w:rPr>
              <w:t xml:space="preserve">UAE and Emirate Laws and Regulations </w:t>
            </w: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Default="007A7D35" w:rsidP="00B107EB">
            <w:pPr>
              <w:rPr>
                <w:rFonts w:ascii="Calibri" w:hAnsi="Calibri" w:cstheme="minorHAnsi"/>
                <w:color w:val="000000"/>
                <w:sz w:val="20"/>
                <w:szCs w:val="20"/>
              </w:rPr>
            </w:pPr>
            <w:r>
              <w:rPr>
                <w:rFonts w:ascii="Calibri" w:hAnsi="Calibri" w:cstheme="minorHAnsi"/>
                <w:color w:val="000000"/>
                <w:sz w:val="20"/>
                <w:szCs w:val="20"/>
              </w:rPr>
              <w:t xml:space="preserve">Meet requirements of contract ensure maintenance of best practice standards </w:t>
            </w:r>
          </w:p>
        </w:tc>
      </w:tr>
      <w:tr w:rsidR="007A7D35" w:rsidRPr="009A5AC9" w:rsidTr="00B107EB">
        <w:trPr>
          <w:trHeight w:val="2528"/>
        </w:trPr>
        <w:tc>
          <w:tcPr>
            <w:tcW w:w="183" w:type="pct"/>
            <w:tcBorders>
              <w:top w:val="single" w:sz="4" w:space="0" w:color="auto"/>
              <w:left w:val="single" w:sz="4" w:space="0" w:color="auto"/>
              <w:bottom w:val="single" w:sz="4" w:space="0" w:color="auto"/>
              <w:right w:val="single" w:sz="4" w:space="0" w:color="auto"/>
            </w:tcBorders>
            <w:vAlign w:val="center"/>
          </w:tcPr>
          <w:p w:rsidR="007A7D35" w:rsidRPr="00B107EB" w:rsidRDefault="00B107EB" w:rsidP="00B107EB">
            <w:pPr>
              <w:rPr>
                <w:rFonts w:ascii="Calibri" w:hAnsi="Calibri" w:cstheme="minorHAnsi"/>
                <w:bCs/>
                <w:color w:val="000000"/>
                <w:sz w:val="20"/>
                <w:szCs w:val="20"/>
              </w:rPr>
            </w:pPr>
            <w:r>
              <w:rPr>
                <w:rFonts w:ascii="Calibri" w:hAnsi="Calibri" w:cstheme="minorHAnsi"/>
                <w:bCs/>
                <w:color w:val="000000"/>
                <w:sz w:val="20"/>
                <w:szCs w:val="20"/>
              </w:rPr>
              <w:t>6</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52ACC" w:rsidRDefault="007A7D35" w:rsidP="00B107EB">
            <w:pPr>
              <w:rPr>
                <w:rFonts w:ascii="Calibri" w:hAnsi="Calibri" w:cstheme="minorHAnsi"/>
                <w:color w:val="000000"/>
                <w:sz w:val="20"/>
                <w:szCs w:val="20"/>
              </w:rPr>
            </w:pPr>
            <w:r>
              <w:rPr>
                <w:rFonts w:ascii="Calibri" w:hAnsi="Calibri" w:cstheme="minorHAnsi"/>
                <w:color w:val="000000"/>
                <w:sz w:val="20"/>
                <w:szCs w:val="20"/>
              </w:rPr>
              <w:t>C</w:t>
            </w:r>
            <w:r w:rsidRPr="00952ACC">
              <w:rPr>
                <w:rFonts w:ascii="Calibri" w:hAnsi="Calibri" w:cstheme="minorHAnsi"/>
                <w:color w:val="000000"/>
                <w:sz w:val="20"/>
                <w:szCs w:val="20"/>
              </w:rPr>
              <w:t xml:space="preserve">omply with </w:t>
            </w:r>
            <w:r w:rsidR="008D5D30">
              <w:rPr>
                <w:rFonts w:ascii="Calibri" w:hAnsi="Calibri" w:cstheme="minorHAnsi"/>
                <w:color w:val="000000"/>
                <w:sz w:val="20"/>
                <w:szCs w:val="20"/>
              </w:rPr>
              <w:t xml:space="preserve">AHA, (American Heart Association) </w:t>
            </w:r>
            <w:r w:rsidRPr="00952ACC">
              <w:rPr>
                <w:rFonts w:ascii="Calibri" w:hAnsi="Calibri" w:cstheme="minorHAnsi"/>
                <w:color w:val="000000"/>
                <w:sz w:val="20"/>
                <w:szCs w:val="20"/>
              </w:rPr>
              <w:t>National Qualifications Authority (NQA)</w:t>
            </w:r>
            <w:r>
              <w:rPr>
                <w:rFonts w:ascii="Calibri" w:hAnsi="Calibri" w:cstheme="minorHAnsi"/>
                <w:color w:val="000000"/>
                <w:sz w:val="20"/>
                <w:szCs w:val="20"/>
              </w:rPr>
              <w:t xml:space="preserve"> and ACTVET (Abu Dhabi </w:t>
            </w:r>
            <w:r w:rsidR="008D5D30">
              <w:rPr>
                <w:rFonts w:ascii="Calibri" w:hAnsi="Calibri" w:cstheme="minorHAnsi"/>
                <w:color w:val="000000"/>
                <w:sz w:val="20"/>
                <w:szCs w:val="20"/>
              </w:rPr>
              <w:t>C</w:t>
            </w:r>
            <w:r>
              <w:rPr>
                <w:rFonts w:ascii="Calibri" w:hAnsi="Calibri" w:cstheme="minorHAnsi"/>
                <w:color w:val="000000"/>
                <w:sz w:val="20"/>
                <w:szCs w:val="20"/>
              </w:rPr>
              <w:t>entre for Vocational Education &amp; training)</w:t>
            </w:r>
            <w:r w:rsidRPr="00952ACC">
              <w:rPr>
                <w:rFonts w:ascii="Calibri" w:hAnsi="Calibri" w:cstheme="minorHAnsi"/>
                <w:color w:val="000000"/>
                <w:sz w:val="20"/>
                <w:szCs w:val="20"/>
              </w:rPr>
              <w:t xml:space="preserve"> requirements for development and delivery of clinical education</w:t>
            </w:r>
          </w:p>
        </w:tc>
        <w:tc>
          <w:tcPr>
            <w:tcW w:w="1197"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52ACC" w:rsidRDefault="007A7D35" w:rsidP="00B107EB">
            <w:pPr>
              <w:rPr>
                <w:rFonts w:ascii="Calibri" w:hAnsi="Calibri" w:cstheme="minorHAnsi"/>
                <w:color w:val="000000"/>
                <w:sz w:val="20"/>
                <w:szCs w:val="20"/>
              </w:rPr>
            </w:pPr>
            <w:r w:rsidRPr="00952ACC">
              <w:rPr>
                <w:rFonts w:ascii="Calibri" w:hAnsi="Calibri" w:cstheme="minorHAnsi"/>
                <w:color w:val="000000"/>
                <w:sz w:val="20"/>
                <w:szCs w:val="20"/>
              </w:rPr>
              <w:t xml:space="preserve">Regulatory Standards apply from November 2014 to attain National Qualifications or Nationally </w:t>
            </w:r>
            <w:r w:rsidR="00324DB9" w:rsidRPr="00952ACC">
              <w:rPr>
                <w:rFonts w:ascii="Calibri" w:hAnsi="Calibri" w:cstheme="minorHAnsi"/>
                <w:color w:val="000000"/>
                <w:sz w:val="20"/>
                <w:szCs w:val="20"/>
              </w:rPr>
              <w:t>Recognized</w:t>
            </w:r>
            <w:r w:rsidRPr="00952ACC">
              <w:rPr>
                <w:rFonts w:ascii="Calibri" w:hAnsi="Calibri" w:cstheme="minorHAnsi"/>
                <w:color w:val="000000"/>
                <w:sz w:val="20"/>
                <w:szCs w:val="20"/>
              </w:rPr>
              <w:t xml:space="preserve"> Qualifications</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52ACC" w:rsidRDefault="007A7D35" w:rsidP="00B107EB">
            <w:pPr>
              <w:rPr>
                <w:rFonts w:ascii="Calibri" w:hAnsi="Calibri"/>
                <w:sz w:val="20"/>
                <w:szCs w:val="20"/>
              </w:rPr>
            </w:pPr>
            <w:r w:rsidRPr="00952ACC">
              <w:rPr>
                <w:rFonts w:ascii="Calibri" w:hAnsi="Calibri"/>
                <w:sz w:val="20"/>
                <w:szCs w:val="20"/>
              </w:rPr>
              <w:t>NQA</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52ACC" w:rsidRDefault="007A7D35" w:rsidP="00B107EB">
            <w:pPr>
              <w:rPr>
                <w:rFonts w:ascii="Calibri" w:hAnsi="Calibri"/>
                <w:sz w:val="20"/>
                <w:szCs w:val="20"/>
              </w:rPr>
            </w:pPr>
            <w:r w:rsidRPr="00952ACC">
              <w:rPr>
                <w:rFonts w:ascii="Calibri" w:hAnsi="Calibri"/>
                <w:sz w:val="20"/>
                <w:szCs w:val="20"/>
              </w:rPr>
              <w:t>Federal Decree No. (1) 2014 to establish and maintain the NQA</w:t>
            </w: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rsidR="007A7D35" w:rsidRPr="00952ACC" w:rsidRDefault="007A7D35" w:rsidP="00137062">
            <w:pPr>
              <w:rPr>
                <w:rFonts w:ascii="Calibri" w:hAnsi="Calibri" w:cstheme="minorHAnsi"/>
                <w:color w:val="000000"/>
                <w:sz w:val="20"/>
                <w:szCs w:val="20"/>
              </w:rPr>
            </w:pPr>
            <w:r w:rsidRPr="00952ACC">
              <w:rPr>
                <w:rFonts w:ascii="Calibri" w:hAnsi="Calibri" w:cstheme="minorHAnsi"/>
                <w:color w:val="000000"/>
                <w:sz w:val="20"/>
                <w:szCs w:val="20"/>
              </w:rPr>
              <w:t>No risk as HAAD accreditation currently sufficient</w:t>
            </w:r>
            <w:r>
              <w:rPr>
                <w:rFonts w:ascii="Calibri" w:hAnsi="Calibri" w:cstheme="minorHAnsi"/>
                <w:color w:val="000000"/>
                <w:sz w:val="20"/>
                <w:szCs w:val="20"/>
              </w:rPr>
              <w:t xml:space="preserve">, note ACTVET license mentioned in EPS tender, our license </w:t>
            </w:r>
            <w:r w:rsidR="00137062">
              <w:rPr>
                <w:rFonts w:ascii="Calibri" w:hAnsi="Calibri" w:cstheme="minorHAnsi"/>
                <w:color w:val="000000"/>
                <w:sz w:val="20"/>
                <w:szCs w:val="20"/>
              </w:rPr>
              <w:t>currently under renewal</w:t>
            </w:r>
          </w:p>
        </w:tc>
      </w:tr>
    </w:tbl>
    <w:p w:rsidR="00454309" w:rsidRDefault="00454309" w:rsidP="00B107EB">
      <w:pPr>
        <w:pStyle w:val="HeadinBlue14Caps"/>
        <w:spacing w:after="0" w:afterAutospacing="0"/>
      </w:pPr>
    </w:p>
    <w:p w:rsidR="00454309" w:rsidRPr="009A35A1" w:rsidRDefault="00454309" w:rsidP="00454309">
      <w:pPr>
        <w:pStyle w:val="HeadinBlue14Caps"/>
        <w:spacing w:after="0" w:afterAutospacing="0"/>
      </w:pPr>
    </w:p>
    <w:sectPr w:rsidR="00454309" w:rsidRPr="009A35A1" w:rsidSect="004B29F0">
      <w:pgSz w:w="16839" w:h="11907" w:orient="landscape" w:code="9"/>
      <w:pgMar w:top="1440" w:right="1440" w:bottom="1440" w:left="1440" w:header="720" w:footer="19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CB5" w:rsidRDefault="00B40CB5" w:rsidP="00306207">
      <w:r>
        <w:separator/>
      </w:r>
    </w:p>
  </w:endnote>
  <w:endnote w:type="continuationSeparator" w:id="0">
    <w:p w:rsidR="00B40CB5" w:rsidRDefault="00B40CB5" w:rsidP="0030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D0F" w:rsidRDefault="00A51D0F" w:rsidP="002127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1D0F" w:rsidRDefault="00A51D0F">
    <w:pPr>
      <w:pStyle w:val="Footer"/>
    </w:pPr>
  </w:p>
  <w:p w:rsidR="00A51D0F" w:rsidRDefault="00A51D0F"/>
  <w:p w:rsidR="00A51D0F" w:rsidRDefault="00A51D0F"/>
  <w:p w:rsidR="00A51D0F" w:rsidRDefault="00A51D0F"/>
  <w:p w:rsidR="00A51D0F" w:rsidRDefault="00A51D0F"/>
  <w:p w:rsidR="00A51D0F" w:rsidRDefault="00A51D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D0F" w:rsidRPr="006A1BB7" w:rsidRDefault="00A51D0F" w:rsidP="00C52886">
    <w:pPr>
      <w:pStyle w:val="Footer"/>
      <w:ind w:left="-1800" w:right="-1765"/>
      <w:rPr>
        <w:rFonts w:asciiTheme="minorHAnsi" w:hAnsiTheme="minorHAnsi" w:cstheme="minorHAnsi"/>
        <w:noProof/>
        <w:sz w:val="16"/>
        <w:szCs w:val="16"/>
      </w:rPr>
    </w:pPr>
    <w:r>
      <w:rPr>
        <w:noProof/>
      </w:rPr>
      <w:drawing>
        <wp:anchor distT="0" distB="0" distL="114300" distR="114300" simplePos="0" relativeHeight="251659264" behindDoc="1" locked="0" layoutInCell="1" allowOverlap="1" wp14:anchorId="005F1515" wp14:editId="3915CD63">
          <wp:simplePos x="0" y="0"/>
          <wp:positionH relativeFrom="column">
            <wp:posOffset>-438150</wp:posOffset>
          </wp:positionH>
          <wp:positionV relativeFrom="paragraph">
            <wp:posOffset>-100330</wp:posOffset>
          </wp:positionV>
          <wp:extent cx="7376795" cy="861695"/>
          <wp:effectExtent l="0" t="0" r="0" b="0"/>
          <wp:wrapNone/>
          <wp:docPr id="85" name="Picture 85"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QHSE\3.0 Generic Templates\NA Letterhead - landscape footer 1.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76795" cy="8616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ab/>
      <w:t xml:space="preserve">                                                                                                                                   </w:t>
    </w:r>
    <w:r w:rsidRPr="006A1BB7">
      <w:rPr>
        <w:rFonts w:asciiTheme="minorHAnsi" w:hAnsiTheme="minorHAnsi" w:cstheme="minorHAnsi"/>
        <w:sz w:val="16"/>
        <w:szCs w:val="16"/>
      </w:rPr>
      <w:t xml:space="preserve">Page </w:t>
    </w:r>
    <w:r w:rsidRPr="006A1BB7">
      <w:rPr>
        <w:rFonts w:asciiTheme="minorHAnsi" w:hAnsiTheme="minorHAnsi" w:cstheme="minorHAnsi"/>
        <w:b/>
        <w:sz w:val="16"/>
        <w:szCs w:val="16"/>
      </w:rPr>
      <w:fldChar w:fldCharType="begin"/>
    </w:r>
    <w:r w:rsidRPr="006A1BB7">
      <w:rPr>
        <w:rFonts w:asciiTheme="minorHAnsi" w:hAnsiTheme="minorHAnsi" w:cstheme="minorHAnsi"/>
        <w:b/>
        <w:sz w:val="16"/>
        <w:szCs w:val="16"/>
      </w:rPr>
      <w:instrText xml:space="preserve"> PAGE  \* Arabic  \* MERGEFORMAT </w:instrText>
    </w:r>
    <w:r w:rsidRPr="006A1BB7">
      <w:rPr>
        <w:rFonts w:asciiTheme="minorHAnsi" w:hAnsiTheme="minorHAnsi" w:cstheme="minorHAnsi"/>
        <w:b/>
        <w:sz w:val="16"/>
        <w:szCs w:val="16"/>
      </w:rPr>
      <w:fldChar w:fldCharType="separate"/>
    </w:r>
    <w:r w:rsidR="00324DB9">
      <w:rPr>
        <w:rFonts w:asciiTheme="minorHAnsi" w:hAnsiTheme="minorHAnsi" w:cstheme="minorHAnsi"/>
        <w:b/>
        <w:noProof/>
        <w:sz w:val="16"/>
        <w:szCs w:val="16"/>
      </w:rPr>
      <w:t>8</w:t>
    </w:r>
    <w:r w:rsidRPr="006A1BB7">
      <w:rPr>
        <w:rFonts w:asciiTheme="minorHAnsi" w:hAnsiTheme="minorHAnsi" w:cstheme="minorHAnsi"/>
        <w:b/>
        <w:sz w:val="16"/>
        <w:szCs w:val="16"/>
      </w:rPr>
      <w:fldChar w:fldCharType="end"/>
    </w:r>
    <w:r w:rsidRPr="006A1BB7">
      <w:rPr>
        <w:rFonts w:asciiTheme="minorHAnsi" w:hAnsiTheme="minorHAnsi" w:cstheme="minorHAnsi"/>
        <w:sz w:val="16"/>
        <w:szCs w:val="16"/>
      </w:rPr>
      <w:t xml:space="preserve"> of </w:t>
    </w:r>
    <w:r w:rsidRPr="006A1BB7">
      <w:rPr>
        <w:rFonts w:asciiTheme="minorHAnsi" w:hAnsiTheme="minorHAnsi" w:cstheme="minorHAnsi"/>
        <w:b/>
        <w:sz w:val="16"/>
        <w:szCs w:val="16"/>
      </w:rPr>
      <w:fldChar w:fldCharType="begin"/>
    </w:r>
    <w:r w:rsidRPr="006A1BB7">
      <w:rPr>
        <w:rFonts w:asciiTheme="minorHAnsi" w:hAnsiTheme="minorHAnsi" w:cstheme="minorHAnsi"/>
        <w:b/>
        <w:sz w:val="16"/>
        <w:szCs w:val="16"/>
      </w:rPr>
      <w:instrText xml:space="preserve"> NUMPAGES  \* Arabic  \* MERGEFORMAT </w:instrText>
    </w:r>
    <w:r w:rsidRPr="006A1BB7">
      <w:rPr>
        <w:rFonts w:asciiTheme="minorHAnsi" w:hAnsiTheme="minorHAnsi" w:cstheme="minorHAnsi"/>
        <w:b/>
        <w:sz w:val="16"/>
        <w:szCs w:val="16"/>
      </w:rPr>
      <w:fldChar w:fldCharType="separate"/>
    </w:r>
    <w:r w:rsidR="00324DB9">
      <w:rPr>
        <w:rFonts w:asciiTheme="minorHAnsi" w:hAnsiTheme="minorHAnsi" w:cstheme="minorHAnsi"/>
        <w:b/>
        <w:noProof/>
        <w:sz w:val="16"/>
        <w:szCs w:val="16"/>
      </w:rPr>
      <w:t>8</w:t>
    </w:r>
    <w:r w:rsidRPr="006A1BB7">
      <w:rPr>
        <w:rFonts w:asciiTheme="minorHAnsi" w:hAnsiTheme="minorHAnsi" w:cstheme="minorHAnsi"/>
        <w:b/>
        <w:sz w:val="16"/>
        <w:szCs w:val="16"/>
      </w:rPr>
      <w:fldChar w:fldCharType="end"/>
    </w:r>
  </w:p>
  <w:p w:rsidR="00A51D0F" w:rsidRDefault="00DB032D" w:rsidP="00C52886">
    <w:pPr>
      <w:pStyle w:val="Footer"/>
      <w:tabs>
        <w:tab w:val="left" w:pos="0"/>
      </w:tabs>
      <w:ind w:left="-1800" w:right="-1765"/>
      <w:jc w:val="both"/>
    </w:pPr>
    <w:r>
      <w:rPr>
        <w:noProof/>
      </w:rPr>
      <mc:AlternateContent>
        <mc:Choice Requires="wps">
          <w:drawing>
            <wp:anchor distT="0" distB="0" distL="114300" distR="114300" simplePos="0" relativeHeight="251657216" behindDoc="0" locked="0" layoutInCell="1" allowOverlap="1" wp14:anchorId="3F524374" wp14:editId="6D9BFEBB">
              <wp:simplePos x="0" y="0"/>
              <wp:positionH relativeFrom="column">
                <wp:posOffset>5981701</wp:posOffset>
              </wp:positionH>
              <wp:positionV relativeFrom="paragraph">
                <wp:posOffset>99695</wp:posOffset>
              </wp:positionV>
              <wp:extent cx="704850" cy="438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7048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1D0F" w:rsidRPr="006A1BB7" w:rsidRDefault="00A51D0F" w:rsidP="00C52886">
                          <w:pPr>
                            <w:pStyle w:val="NoSpacing"/>
                            <w:rPr>
                              <w:rFonts w:asciiTheme="minorHAnsi" w:hAnsiTheme="minorHAnsi" w:cstheme="minorHAnsi"/>
                              <w:sz w:val="16"/>
                              <w:szCs w:val="16"/>
                            </w:rPr>
                          </w:pPr>
                          <w:r>
                            <w:rPr>
                              <w:rFonts w:asciiTheme="minorHAnsi" w:hAnsiTheme="minorHAnsi" w:cstheme="minorHAnsi"/>
                              <w:sz w:val="16"/>
                              <w:szCs w:val="16"/>
                            </w:rPr>
                            <w:t>QHP104</w:t>
                          </w:r>
                        </w:p>
                        <w:p w:rsidR="00A51D0F" w:rsidRPr="006A1BB7" w:rsidRDefault="00A51D0F" w:rsidP="00E26E8B">
                          <w:pPr>
                            <w:pStyle w:val="NoSpacing"/>
                            <w:rPr>
                              <w:rFonts w:asciiTheme="minorHAnsi" w:hAnsiTheme="minorHAnsi" w:cstheme="minorHAnsi"/>
                              <w:sz w:val="16"/>
                              <w:szCs w:val="16"/>
                            </w:rPr>
                          </w:pPr>
                          <w:r w:rsidRPr="006A1BB7">
                            <w:rPr>
                              <w:rFonts w:asciiTheme="minorHAnsi" w:hAnsiTheme="minorHAnsi" w:cstheme="minorHAnsi"/>
                              <w:sz w:val="16"/>
                              <w:szCs w:val="16"/>
                            </w:rPr>
                            <w:t xml:space="preserve">Version </w:t>
                          </w:r>
                          <w:r w:rsidR="00956842">
                            <w:rPr>
                              <w:rFonts w:asciiTheme="minorHAnsi" w:hAnsiTheme="minorHAnsi" w:cstheme="minorHAnsi"/>
                              <w:sz w:val="16"/>
                              <w:szCs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24374" id="_x0000_t202" coordsize="21600,21600" o:spt="202" path="m,l,21600r21600,l21600,xe">
              <v:stroke joinstyle="miter"/>
              <v:path gradientshapeok="t" o:connecttype="rect"/>
            </v:shapetype>
            <v:shape id="Text Box 9" o:spid="_x0000_s1026" type="#_x0000_t202" style="position:absolute;left:0;text-align:left;margin-left:471pt;margin-top:7.85pt;width:55.5pt;height: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" fillcolor="white [3201]" stroked="f" strokeweight=".5pt">
              <v:textbox>
                <w:txbxContent>
                  <w:p w:rsidR="00A51D0F" w:rsidRPr="006A1BB7" w:rsidRDefault="00A51D0F" w:rsidP="00C52886">
                    <w:pPr>
                      <w:pStyle w:val="NoSpacing"/>
                      <w:rPr>
                        <w:rFonts w:asciiTheme="minorHAnsi" w:hAnsiTheme="minorHAnsi" w:cstheme="minorHAnsi"/>
                        <w:sz w:val="16"/>
                        <w:szCs w:val="16"/>
                      </w:rPr>
                    </w:pPr>
                    <w:r>
                      <w:rPr>
                        <w:rFonts w:asciiTheme="minorHAnsi" w:hAnsiTheme="minorHAnsi" w:cstheme="minorHAnsi"/>
                        <w:sz w:val="16"/>
                        <w:szCs w:val="16"/>
                      </w:rPr>
                      <w:t>QHP104</w:t>
                    </w:r>
                  </w:p>
                  <w:p w:rsidR="00A51D0F" w:rsidRPr="006A1BB7" w:rsidRDefault="00A51D0F" w:rsidP="00E26E8B">
                    <w:pPr>
                      <w:pStyle w:val="NoSpacing"/>
                      <w:rPr>
                        <w:rFonts w:asciiTheme="minorHAnsi" w:hAnsiTheme="minorHAnsi" w:cstheme="minorHAnsi"/>
                        <w:sz w:val="16"/>
                        <w:szCs w:val="16"/>
                      </w:rPr>
                    </w:pPr>
                    <w:r w:rsidRPr="006A1BB7">
                      <w:rPr>
                        <w:rFonts w:asciiTheme="minorHAnsi" w:hAnsiTheme="minorHAnsi" w:cstheme="minorHAnsi"/>
                        <w:sz w:val="16"/>
                        <w:szCs w:val="16"/>
                      </w:rPr>
                      <w:t xml:space="preserve">Version </w:t>
                    </w:r>
                    <w:r w:rsidR="00956842">
                      <w:rPr>
                        <w:rFonts w:asciiTheme="minorHAnsi" w:hAnsiTheme="minorHAnsi" w:cstheme="minorHAnsi"/>
                        <w:sz w:val="16"/>
                        <w:szCs w:val="16"/>
                      </w:rPr>
                      <w:t>8</w:t>
                    </w:r>
                  </w:p>
                </w:txbxContent>
              </v:textbox>
            </v:shape>
          </w:pict>
        </mc:Fallback>
      </mc:AlternateContent>
    </w:r>
    <w:r w:rsidR="000D244D">
      <w:rPr>
        <w:noProof/>
      </w:rPr>
      <mc:AlternateContent>
        <mc:Choice Requires="wps">
          <w:drawing>
            <wp:anchor distT="0" distB="0" distL="114300" distR="114300" simplePos="0" relativeHeight="251656192" behindDoc="0" locked="0" layoutInCell="1" allowOverlap="1" wp14:anchorId="5F85154E" wp14:editId="3BA4C019">
              <wp:simplePos x="0" y="0"/>
              <wp:positionH relativeFrom="column">
                <wp:posOffset>866775</wp:posOffset>
              </wp:positionH>
              <wp:positionV relativeFrom="paragraph">
                <wp:posOffset>109220</wp:posOffset>
              </wp:positionV>
              <wp:extent cx="2209800" cy="333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2098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1D0F" w:rsidRPr="006A1BB7" w:rsidRDefault="00A51D0F" w:rsidP="00C52886">
                          <w:pPr>
                            <w:pStyle w:val="NoSpacing"/>
                            <w:rPr>
                              <w:rFonts w:asciiTheme="minorHAnsi" w:hAnsiTheme="minorHAnsi" w:cstheme="minorHAnsi"/>
                              <w:sz w:val="16"/>
                              <w:szCs w:val="16"/>
                            </w:rPr>
                          </w:pPr>
                          <w:r>
                            <w:rPr>
                              <w:rFonts w:asciiTheme="minorHAnsi" w:hAnsiTheme="minorHAnsi" w:cstheme="minorHAnsi"/>
                              <w:sz w:val="16"/>
                              <w:szCs w:val="16"/>
                            </w:rPr>
                            <w:t>Legal Compliance Policy</w:t>
                          </w:r>
                          <w:r w:rsidR="000D244D">
                            <w:rPr>
                              <w:rFonts w:asciiTheme="minorHAnsi" w:hAnsiTheme="minorHAnsi" w:cstheme="minorHAnsi"/>
                              <w:sz w:val="16"/>
                              <w:szCs w:val="16"/>
                            </w:rPr>
                            <w:t xml:space="preserve"> and Procedure</w:t>
                          </w:r>
                        </w:p>
                        <w:p w:rsidR="00A51D0F" w:rsidRPr="006A1BB7" w:rsidRDefault="00FF2EA0" w:rsidP="00597A4A">
                          <w:pPr>
                            <w:pStyle w:val="NoSpacing"/>
                            <w:rPr>
                              <w:rFonts w:asciiTheme="minorHAnsi" w:hAnsiTheme="minorHAnsi" w:cstheme="minorHAnsi"/>
                              <w:sz w:val="16"/>
                              <w:szCs w:val="16"/>
                            </w:rPr>
                          </w:pPr>
                          <w:r>
                            <w:rPr>
                              <w:rFonts w:asciiTheme="minorHAnsi" w:hAnsiTheme="minorHAnsi" w:cstheme="minorHAnsi"/>
                              <w:sz w:val="16"/>
                              <w:szCs w:val="16"/>
                            </w:rPr>
                            <w:t xml:space="preserve">August </w:t>
                          </w:r>
                          <w:r w:rsidR="00A51D0F">
                            <w:rPr>
                              <w:rFonts w:asciiTheme="minorHAnsi" w:hAnsiTheme="minorHAnsi" w:cstheme="minorHAnsi"/>
                              <w:sz w:val="16"/>
                              <w:szCs w:val="16"/>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154E" id="Text Box 3" o:spid="_x0000_s1027" type="#_x0000_t202" style="position:absolute;left:0;text-align:left;margin-left:68.25pt;margin-top:8.6pt;width:174pt;height:2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" fillcolor="white [3201]" stroked="f" strokeweight=".5pt">
              <v:textbox>
                <w:txbxContent>
                  <w:p w:rsidR="00A51D0F" w:rsidRPr="006A1BB7" w:rsidRDefault="00A51D0F" w:rsidP="00C52886">
                    <w:pPr>
                      <w:pStyle w:val="NoSpacing"/>
                      <w:rPr>
                        <w:rFonts w:asciiTheme="minorHAnsi" w:hAnsiTheme="minorHAnsi" w:cstheme="minorHAnsi"/>
                        <w:sz w:val="16"/>
                        <w:szCs w:val="16"/>
                      </w:rPr>
                    </w:pPr>
                    <w:r>
                      <w:rPr>
                        <w:rFonts w:asciiTheme="minorHAnsi" w:hAnsiTheme="minorHAnsi" w:cstheme="minorHAnsi"/>
                        <w:sz w:val="16"/>
                        <w:szCs w:val="16"/>
                      </w:rPr>
                      <w:t>Legal Compliance Policy</w:t>
                    </w:r>
                    <w:r w:rsidR="000D244D">
                      <w:rPr>
                        <w:rFonts w:asciiTheme="minorHAnsi" w:hAnsiTheme="minorHAnsi" w:cstheme="minorHAnsi"/>
                        <w:sz w:val="16"/>
                        <w:szCs w:val="16"/>
                      </w:rPr>
                      <w:t xml:space="preserve"> and Procedure</w:t>
                    </w:r>
                  </w:p>
                  <w:p w:rsidR="00A51D0F" w:rsidRPr="006A1BB7" w:rsidRDefault="00FF2EA0" w:rsidP="00597A4A">
                    <w:pPr>
                      <w:pStyle w:val="NoSpacing"/>
                      <w:rPr>
                        <w:rFonts w:asciiTheme="minorHAnsi" w:hAnsiTheme="minorHAnsi" w:cstheme="minorHAnsi"/>
                        <w:sz w:val="16"/>
                        <w:szCs w:val="16"/>
                      </w:rPr>
                    </w:pPr>
                    <w:r>
                      <w:rPr>
                        <w:rFonts w:asciiTheme="minorHAnsi" w:hAnsiTheme="minorHAnsi" w:cstheme="minorHAnsi"/>
                        <w:sz w:val="16"/>
                        <w:szCs w:val="16"/>
                      </w:rPr>
                      <w:t xml:space="preserve">August </w:t>
                    </w:r>
                    <w:r w:rsidR="00A51D0F">
                      <w:rPr>
                        <w:rFonts w:asciiTheme="minorHAnsi" w:hAnsiTheme="minorHAnsi" w:cstheme="minorHAnsi"/>
                        <w:sz w:val="16"/>
                        <w:szCs w:val="16"/>
                      </w:rPr>
                      <w:t>2017</w:t>
                    </w:r>
                  </w:p>
                </w:txbxContent>
              </v:textbox>
            </v:shape>
          </w:pict>
        </mc:Fallback>
      </mc:AlternateContent>
    </w:r>
    <w:r w:rsidR="00A51D0F">
      <w:rPr>
        <w:noProof/>
      </w:rPr>
      <w:tab/>
    </w:r>
  </w:p>
  <w:p w:rsidR="00A51D0F" w:rsidRDefault="00A51D0F" w:rsidP="00C52886">
    <w:pPr>
      <w:pStyle w:val="Footer"/>
      <w:tabs>
        <w:tab w:val="right" w:pos="8910"/>
      </w:tabs>
    </w:pPr>
  </w:p>
  <w:p w:rsidR="00A51D0F" w:rsidRDefault="00A51D0F">
    <w:pPr>
      <w:pStyle w:val="Footer"/>
    </w:pPr>
  </w:p>
  <w:p w:rsidR="00A51D0F" w:rsidRDefault="00A51D0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D0F" w:rsidRDefault="00A51D0F" w:rsidP="007E2639">
    <w:pPr>
      <w:pStyle w:val="Footer"/>
      <w:rPr>
        <w:rFonts w:asciiTheme="minorBidi" w:hAnsiTheme="minorBidi"/>
        <w:sz w:val="16"/>
        <w:szCs w:val="16"/>
      </w:rPr>
    </w:pPr>
  </w:p>
  <w:p w:rsidR="00A51D0F" w:rsidRDefault="00A51D0F" w:rsidP="00CD4FC1">
    <w:pPr>
      <w:pStyle w:val="Footer"/>
      <w:rPr>
        <w:rFonts w:asciiTheme="minorBidi" w:hAnsiTheme="minorBidi"/>
        <w:sz w:val="16"/>
        <w:szCs w:val="16"/>
      </w:rPr>
    </w:pPr>
    <w:r>
      <w:rPr>
        <w:rFonts w:asciiTheme="minorBidi" w:hAnsiTheme="minorBidi"/>
        <w:sz w:val="16"/>
        <w:szCs w:val="16"/>
      </w:rPr>
      <w:t>QHSE Manual</w:t>
    </w:r>
    <w:r>
      <w:rPr>
        <w:rFonts w:asciiTheme="minorBidi" w:hAnsiTheme="minorBidi"/>
        <w:sz w:val="16"/>
        <w:szCs w:val="16"/>
      </w:rPr>
      <w:tab/>
      <w:t xml:space="preserve">                                                                                                                                                                    NACOT01</w:t>
    </w:r>
  </w:p>
  <w:p w:rsidR="00A51D0F" w:rsidRDefault="00A51D0F" w:rsidP="007E2639">
    <w:pPr>
      <w:pStyle w:val="Footer"/>
      <w:rPr>
        <w:rFonts w:asciiTheme="minorBidi" w:hAnsiTheme="minorBidi"/>
        <w:sz w:val="16"/>
        <w:szCs w:val="16"/>
      </w:rPr>
    </w:pPr>
    <w:r>
      <w:rPr>
        <w:rFonts w:asciiTheme="minorBidi" w:hAnsiTheme="minorBidi"/>
        <w:sz w:val="16"/>
        <w:szCs w:val="16"/>
      </w:rPr>
      <w:t>July 2012</w:t>
    </w:r>
    <w:r>
      <w:rPr>
        <w:rFonts w:asciiTheme="minorBidi" w:hAnsiTheme="minorBidi"/>
        <w:sz w:val="16"/>
        <w:szCs w:val="16"/>
      </w:rPr>
      <w:tab/>
      <w:t xml:space="preserve">                                                                                                                                                                          Version 3.0                                                                                                                                                  </w:t>
    </w:r>
  </w:p>
  <w:p w:rsidR="00A51D0F" w:rsidRPr="00EC7179" w:rsidRDefault="00A51D0F" w:rsidP="006F558E">
    <w:pPr>
      <w:pStyle w:val="Footer"/>
      <w:rPr>
        <w:rFonts w:asciiTheme="minorBidi" w:hAnsiTheme="minorBid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CB5" w:rsidRDefault="00B40CB5" w:rsidP="00306207">
      <w:r>
        <w:separator/>
      </w:r>
    </w:p>
  </w:footnote>
  <w:footnote w:type="continuationSeparator" w:id="0">
    <w:p w:rsidR="00B40CB5" w:rsidRDefault="00B40CB5" w:rsidP="003062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D0F" w:rsidRDefault="00A51D0F" w:rsidP="00BD22EF">
    <w:r>
      <w:rPr>
        <w:noProof/>
      </w:rPr>
      <w:drawing>
        <wp:inline distT="0" distB="0" distL="0" distR="0" wp14:anchorId="12BE2FE5" wp14:editId="692064F8">
          <wp:extent cx="1733550" cy="385233"/>
          <wp:effectExtent l="0" t="0" r="0" b="0"/>
          <wp:docPr id="84" name="Picture 84" descr="N:\Quality Management System\3.0 Generic Templates\Logos\New Logo, NA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ality Management System\3.0 Generic Templates\Logos\New Logo, NA onl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385233"/>
                  </a:xfrm>
                  <a:prstGeom prst="rect">
                    <a:avLst/>
                  </a:prstGeom>
                  <a:noFill/>
                  <a:ln>
                    <a:noFill/>
                  </a:ln>
                </pic:spPr>
              </pic:pic>
            </a:graphicData>
          </a:graphic>
        </wp:inline>
      </w:drawing>
    </w:r>
  </w:p>
  <w:p w:rsidR="00A51D0F" w:rsidRDefault="00A51D0F" w:rsidP="00BD22EF"/>
  <w:p w:rsidR="00A51D0F" w:rsidRDefault="00A51D0F" w:rsidP="00BD22E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D0F" w:rsidRDefault="00A51D0F">
    <w:pPr>
      <w:pStyle w:val="Header"/>
    </w:pPr>
    <w:r>
      <w:tab/>
    </w:r>
    <w:r>
      <w:rPr>
        <w:noProof/>
      </w:rPr>
      <w:drawing>
        <wp:inline distT="0" distB="0" distL="0" distR="0" wp14:anchorId="060A45E6" wp14:editId="53283570">
          <wp:extent cx="3492799" cy="776177"/>
          <wp:effectExtent l="0" t="0" r="0" b="5080"/>
          <wp:docPr id="86" name="Picture 86" descr="N:\Quality Management System\3.0 Generic Templates\Logos\New Logo, NA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ality Management System\3.0 Generic Templates\Logos\New Logo, NA onl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5256" cy="781167"/>
                  </a:xfrm>
                  <a:prstGeom prst="rect">
                    <a:avLst/>
                  </a:prstGeom>
                  <a:noFill/>
                  <a:ln>
                    <a:noFill/>
                  </a:ln>
                </pic:spPr>
              </pic:pic>
            </a:graphicData>
          </a:graphic>
        </wp:inline>
      </w:drawing>
    </w:r>
  </w:p>
  <w:p w:rsidR="00A51D0F" w:rsidRDefault="00A51D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4F8048E"/>
    <w:lvl w:ilvl="0">
      <w:start w:val="1"/>
      <w:numFmt w:val="decimal"/>
      <w:lvlText w:val="%1"/>
      <w:legacy w:legacy="1" w:legacySpace="284" w:legacyIndent="0"/>
      <w:lvlJc w:val="left"/>
    </w:lvl>
    <w:lvl w:ilvl="1">
      <w:start w:val="1"/>
      <w:numFmt w:val="decimal"/>
      <w:lvlText w:val="%1.%2"/>
      <w:legacy w:legacy="1" w:legacySpace="284" w:legacyIndent="720"/>
      <w:lvlJc w:val="left"/>
      <w:pPr>
        <w:ind w:left="1080" w:hanging="720"/>
      </w:pPr>
      <w:rPr>
        <w:lang w:val="en-US"/>
      </w:rPr>
    </w:lvl>
    <w:lvl w:ilvl="2">
      <w:start w:val="1"/>
      <w:numFmt w:val="decimal"/>
      <w:lvlText w:val="%1.%2.%3"/>
      <w:legacy w:legacy="1" w:legacySpace="284" w:legacyIndent="720"/>
      <w:lvlJc w:val="left"/>
      <w:pPr>
        <w:ind w:left="1080" w:hanging="720"/>
      </w:pPr>
      <w:rPr>
        <w:sz w:val="24"/>
        <w:szCs w:val="24"/>
      </w:rPr>
    </w:lvl>
    <w:lvl w:ilvl="3">
      <w:start w:val="1"/>
      <w:numFmt w:val="decimal"/>
      <w:pStyle w:val="Heading4"/>
      <w:lvlText w:val="%1.%2.%3.%4"/>
      <w:legacy w:legacy="1" w:legacySpace="284" w:legacyIndent="720"/>
      <w:lvlJc w:val="left"/>
      <w:pPr>
        <w:ind w:left="1163" w:hanging="720"/>
      </w:pPr>
    </w:lvl>
    <w:lvl w:ilvl="4">
      <w:start w:val="1"/>
      <w:numFmt w:val="decimal"/>
      <w:pStyle w:val="Heading5"/>
      <w:lvlText w:val="%1.%2.%3.%4.%5"/>
      <w:legacy w:legacy="1" w:legacySpace="284" w:legacyIndent="720"/>
      <w:lvlJc w:val="left"/>
      <w:pPr>
        <w:ind w:left="1389" w:hanging="720"/>
      </w:pPr>
    </w:lvl>
    <w:lvl w:ilvl="5">
      <w:start w:val="1"/>
      <w:numFmt w:val="decimal"/>
      <w:pStyle w:val="Heading6"/>
      <w:lvlText w:val="%1.%2.%3.%4.%5.%6"/>
      <w:legacy w:legacy="1" w:legacySpace="284" w:legacyIndent="720"/>
      <w:lvlJc w:val="left"/>
      <w:pPr>
        <w:ind w:left="1560" w:hanging="720"/>
      </w:pPr>
    </w:lvl>
    <w:lvl w:ilvl="6">
      <w:start w:val="1"/>
      <w:numFmt w:val="decimal"/>
      <w:pStyle w:val="Heading7"/>
      <w:lvlText w:val="%1.%2.%3.%4.%5.%6.%7"/>
      <w:legacy w:legacy="1" w:legacySpace="284" w:legacyIndent="720"/>
      <w:lvlJc w:val="left"/>
      <w:pPr>
        <w:ind w:left="4462" w:hanging="720"/>
      </w:pPr>
    </w:lvl>
    <w:lvl w:ilvl="7">
      <w:start w:val="1"/>
      <w:numFmt w:val="decimal"/>
      <w:pStyle w:val="Heading8"/>
      <w:lvlText w:val="%1.%2.%3.%4.%5.%6.%7.%8"/>
      <w:legacy w:legacy="1" w:legacySpace="0" w:legacyIndent="720"/>
      <w:lvlJc w:val="left"/>
      <w:pPr>
        <w:ind w:left="5182" w:hanging="720"/>
      </w:pPr>
    </w:lvl>
    <w:lvl w:ilvl="8">
      <w:start w:val="1"/>
      <w:numFmt w:val="decimal"/>
      <w:pStyle w:val="Heading9"/>
      <w:lvlText w:val="%1.%2.%3.%4.%5.%6.%7.%8.%9"/>
      <w:legacy w:legacy="1" w:legacySpace="0" w:legacyIndent="720"/>
      <w:lvlJc w:val="left"/>
      <w:pPr>
        <w:ind w:left="5902" w:hanging="720"/>
      </w:pPr>
    </w:lvl>
  </w:abstractNum>
  <w:abstractNum w:abstractNumId="1" w15:restartNumberingAfterBreak="0">
    <w:nsid w:val="03364C89"/>
    <w:multiLevelType w:val="hybridMultilevel"/>
    <w:tmpl w:val="EC24C748"/>
    <w:lvl w:ilvl="0" w:tplc="58D8E96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240A6"/>
    <w:multiLevelType w:val="hybridMultilevel"/>
    <w:tmpl w:val="D2D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353BD"/>
    <w:multiLevelType w:val="hybridMultilevel"/>
    <w:tmpl w:val="2046A194"/>
    <w:lvl w:ilvl="0" w:tplc="1EACEE6A">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C636F"/>
    <w:multiLevelType w:val="hybridMultilevel"/>
    <w:tmpl w:val="A73088D4"/>
    <w:lvl w:ilvl="0" w:tplc="58D8E96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E28DB"/>
    <w:multiLevelType w:val="hybridMultilevel"/>
    <w:tmpl w:val="D2D27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F507FA"/>
    <w:multiLevelType w:val="hybridMultilevel"/>
    <w:tmpl w:val="7D4433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742B2"/>
    <w:multiLevelType w:val="hybridMultilevel"/>
    <w:tmpl w:val="7F647C6A"/>
    <w:lvl w:ilvl="0" w:tplc="7F70766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B768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A0A5456"/>
    <w:multiLevelType w:val="multilevel"/>
    <w:tmpl w:val="47B2D6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49A1C68"/>
    <w:multiLevelType w:val="multilevel"/>
    <w:tmpl w:val="749ADD9A"/>
    <w:lvl w:ilvl="0">
      <w:start w:val="1"/>
      <w:numFmt w:val="decimal"/>
      <w:lvlText w:val="%1."/>
      <w:lvlJc w:val="left"/>
      <w:pPr>
        <w:ind w:left="360" w:hanging="360"/>
      </w:pPr>
    </w:lvl>
    <w:lvl w:ilvl="1">
      <w:start w:val="1"/>
      <w:numFmt w:val="decimal"/>
      <w:lvlText w:val="%1.%2."/>
      <w:lvlJc w:val="left"/>
      <w:pPr>
        <w:ind w:left="835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B14AD"/>
    <w:multiLevelType w:val="hybridMultilevel"/>
    <w:tmpl w:val="DCD69E5C"/>
    <w:lvl w:ilvl="0" w:tplc="58D8E96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30BA"/>
    <w:multiLevelType w:val="hybridMultilevel"/>
    <w:tmpl w:val="178A8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A48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262D33"/>
    <w:multiLevelType w:val="hybridMultilevel"/>
    <w:tmpl w:val="5016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DEB3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0261C4"/>
    <w:multiLevelType w:val="hybridMultilevel"/>
    <w:tmpl w:val="E10419E4"/>
    <w:lvl w:ilvl="0" w:tplc="C58C28D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E7F27"/>
    <w:multiLevelType w:val="multilevel"/>
    <w:tmpl w:val="122EF5D0"/>
    <w:lvl w:ilvl="0">
      <w:start w:val="1"/>
      <w:numFmt w:val="decimal"/>
      <w:lvlText w:val="%1."/>
      <w:lvlJc w:val="left"/>
      <w:pPr>
        <w:ind w:left="360" w:hanging="360"/>
      </w:pPr>
    </w:lvl>
    <w:lvl w:ilvl="1">
      <w:start w:val="1"/>
      <w:numFmt w:val="decimal"/>
      <w:lvlText w:val="%1.%2."/>
      <w:lvlJc w:val="left"/>
      <w:pPr>
        <w:ind w:left="792" w:hanging="432"/>
      </w:pPr>
      <w:rPr>
        <w:b/>
        <w:color w:val="00206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E51B32"/>
    <w:multiLevelType w:val="hybridMultilevel"/>
    <w:tmpl w:val="EE62A402"/>
    <w:lvl w:ilvl="0" w:tplc="E8E06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E326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BBD7604"/>
    <w:multiLevelType w:val="hybridMultilevel"/>
    <w:tmpl w:val="9DD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A5B55"/>
    <w:multiLevelType w:val="hybridMultilevel"/>
    <w:tmpl w:val="1DD6F548"/>
    <w:lvl w:ilvl="0" w:tplc="E8E06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5A3211"/>
    <w:multiLevelType w:val="hybridMultilevel"/>
    <w:tmpl w:val="A484FE32"/>
    <w:lvl w:ilvl="0" w:tplc="7C86A012">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22"/>
  </w:num>
  <w:num w:numId="4">
    <w:abstractNumId w:val="7"/>
  </w:num>
  <w:num w:numId="5">
    <w:abstractNumId w:val="16"/>
  </w:num>
  <w:num w:numId="6">
    <w:abstractNumId w:val="10"/>
  </w:num>
  <w:num w:numId="7">
    <w:abstractNumId w:val="5"/>
  </w:num>
  <w:num w:numId="8">
    <w:abstractNumId w:val="12"/>
  </w:num>
  <w:num w:numId="9">
    <w:abstractNumId w:val="20"/>
  </w:num>
  <w:num w:numId="10">
    <w:abstractNumId w:val="9"/>
  </w:num>
  <w:num w:numId="11">
    <w:abstractNumId w:val="13"/>
  </w:num>
  <w:num w:numId="12">
    <w:abstractNumId w:val="19"/>
  </w:num>
  <w:num w:numId="13">
    <w:abstractNumId w:val="8"/>
  </w:num>
  <w:num w:numId="14">
    <w:abstractNumId w:val="17"/>
  </w:num>
  <w:num w:numId="15">
    <w:abstractNumId w:val="15"/>
  </w:num>
  <w:num w:numId="16">
    <w:abstractNumId w:val="14"/>
  </w:num>
  <w:num w:numId="17">
    <w:abstractNumId w:val="4"/>
  </w:num>
  <w:num w:numId="18">
    <w:abstractNumId w:val="21"/>
  </w:num>
  <w:num w:numId="19">
    <w:abstractNumId w:val="18"/>
  </w:num>
  <w:num w:numId="20">
    <w:abstractNumId w:val="6"/>
  </w:num>
  <w:num w:numId="21">
    <w:abstractNumId w:val="3"/>
  </w:num>
  <w:num w:numId="22">
    <w:abstractNumId w:val="11"/>
  </w:num>
  <w:num w:numId="2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readOnly" w:formatting="1" w:enforcement="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9E"/>
    <w:rsid w:val="00000140"/>
    <w:rsid w:val="00001C42"/>
    <w:rsid w:val="00001DFC"/>
    <w:rsid w:val="00002BE7"/>
    <w:rsid w:val="00002F6B"/>
    <w:rsid w:val="000031D1"/>
    <w:rsid w:val="00005750"/>
    <w:rsid w:val="00011757"/>
    <w:rsid w:val="00012116"/>
    <w:rsid w:val="00016A11"/>
    <w:rsid w:val="000173F7"/>
    <w:rsid w:val="0002103A"/>
    <w:rsid w:val="0002250C"/>
    <w:rsid w:val="00024076"/>
    <w:rsid w:val="00025811"/>
    <w:rsid w:val="00026E61"/>
    <w:rsid w:val="00030D44"/>
    <w:rsid w:val="000358F3"/>
    <w:rsid w:val="000413AA"/>
    <w:rsid w:val="00042FF1"/>
    <w:rsid w:val="00043D36"/>
    <w:rsid w:val="0004411F"/>
    <w:rsid w:val="00051965"/>
    <w:rsid w:val="00056934"/>
    <w:rsid w:val="000579E2"/>
    <w:rsid w:val="00057C84"/>
    <w:rsid w:val="00061966"/>
    <w:rsid w:val="0006325C"/>
    <w:rsid w:val="00072361"/>
    <w:rsid w:val="00072C57"/>
    <w:rsid w:val="00073EE0"/>
    <w:rsid w:val="0007549A"/>
    <w:rsid w:val="00076482"/>
    <w:rsid w:val="00081C9E"/>
    <w:rsid w:val="00081CFC"/>
    <w:rsid w:val="00082D5C"/>
    <w:rsid w:val="000856B5"/>
    <w:rsid w:val="00087FC9"/>
    <w:rsid w:val="00090A74"/>
    <w:rsid w:val="00091323"/>
    <w:rsid w:val="00092E6D"/>
    <w:rsid w:val="000951B1"/>
    <w:rsid w:val="00095D69"/>
    <w:rsid w:val="000A1679"/>
    <w:rsid w:val="000A4939"/>
    <w:rsid w:val="000A6271"/>
    <w:rsid w:val="000C01A7"/>
    <w:rsid w:val="000C147A"/>
    <w:rsid w:val="000C36AE"/>
    <w:rsid w:val="000C3AD6"/>
    <w:rsid w:val="000D0055"/>
    <w:rsid w:val="000D124B"/>
    <w:rsid w:val="000D1DB4"/>
    <w:rsid w:val="000D244D"/>
    <w:rsid w:val="000D4538"/>
    <w:rsid w:val="000E271F"/>
    <w:rsid w:val="000F4577"/>
    <w:rsid w:val="0010154A"/>
    <w:rsid w:val="0010322C"/>
    <w:rsid w:val="00103F84"/>
    <w:rsid w:val="00105260"/>
    <w:rsid w:val="001062C9"/>
    <w:rsid w:val="00110710"/>
    <w:rsid w:val="00113773"/>
    <w:rsid w:val="00120091"/>
    <w:rsid w:val="00120494"/>
    <w:rsid w:val="0012672B"/>
    <w:rsid w:val="00127C63"/>
    <w:rsid w:val="00130992"/>
    <w:rsid w:val="001314D9"/>
    <w:rsid w:val="00131C37"/>
    <w:rsid w:val="00133BE6"/>
    <w:rsid w:val="00134315"/>
    <w:rsid w:val="00134896"/>
    <w:rsid w:val="00136245"/>
    <w:rsid w:val="00137062"/>
    <w:rsid w:val="00137118"/>
    <w:rsid w:val="001372E2"/>
    <w:rsid w:val="00143681"/>
    <w:rsid w:val="00144734"/>
    <w:rsid w:val="00144A1B"/>
    <w:rsid w:val="001459E6"/>
    <w:rsid w:val="00147768"/>
    <w:rsid w:val="00163105"/>
    <w:rsid w:val="0016725E"/>
    <w:rsid w:val="00170039"/>
    <w:rsid w:val="00170486"/>
    <w:rsid w:val="001715FB"/>
    <w:rsid w:val="001723FE"/>
    <w:rsid w:val="00174B07"/>
    <w:rsid w:val="00175D90"/>
    <w:rsid w:val="00180485"/>
    <w:rsid w:val="001824EE"/>
    <w:rsid w:val="001847D9"/>
    <w:rsid w:val="0018636A"/>
    <w:rsid w:val="00190F9E"/>
    <w:rsid w:val="001923CC"/>
    <w:rsid w:val="001956F7"/>
    <w:rsid w:val="00197BB3"/>
    <w:rsid w:val="001A2C5D"/>
    <w:rsid w:val="001A5054"/>
    <w:rsid w:val="001A53EB"/>
    <w:rsid w:val="001A7B2D"/>
    <w:rsid w:val="001B0FBC"/>
    <w:rsid w:val="001B1DD7"/>
    <w:rsid w:val="001B7AB6"/>
    <w:rsid w:val="001C0786"/>
    <w:rsid w:val="001C2321"/>
    <w:rsid w:val="001C2B0E"/>
    <w:rsid w:val="001C3261"/>
    <w:rsid w:val="001C3FEE"/>
    <w:rsid w:val="001C4801"/>
    <w:rsid w:val="001D1AF9"/>
    <w:rsid w:val="001D7059"/>
    <w:rsid w:val="001D772D"/>
    <w:rsid w:val="001E3E7B"/>
    <w:rsid w:val="001E408F"/>
    <w:rsid w:val="001E6861"/>
    <w:rsid w:val="001E70E4"/>
    <w:rsid w:val="001F155A"/>
    <w:rsid w:val="001F1F28"/>
    <w:rsid w:val="001F28FC"/>
    <w:rsid w:val="001F3F47"/>
    <w:rsid w:val="001F59E9"/>
    <w:rsid w:val="001F6195"/>
    <w:rsid w:val="001F6F53"/>
    <w:rsid w:val="00200AA0"/>
    <w:rsid w:val="00202F3B"/>
    <w:rsid w:val="0020703D"/>
    <w:rsid w:val="002078C4"/>
    <w:rsid w:val="002127AF"/>
    <w:rsid w:val="002148D4"/>
    <w:rsid w:val="00214D86"/>
    <w:rsid w:val="00215705"/>
    <w:rsid w:val="002167AA"/>
    <w:rsid w:val="00216881"/>
    <w:rsid w:val="00224139"/>
    <w:rsid w:val="00227746"/>
    <w:rsid w:val="00232C2E"/>
    <w:rsid w:val="002339F5"/>
    <w:rsid w:val="00235B13"/>
    <w:rsid w:val="00240493"/>
    <w:rsid w:val="0024142E"/>
    <w:rsid w:val="002427DD"/>
    <w:rsid w:val="0024507D"/>
    <w:rsid w:val="00245BA0"/>
    <w:rsid w:val="00250287"/>
    <w:rsid w:val="00251FAA"/>
    <w:rsid w:val="0025298A"/>
    <w:rsid w:val="00254F2C"/>
    <w:rsid w:val="00255C07"/>
    <w:rsid w:val="00257B7E"/>
    <w:rsid w:val="00257C74"/>
    <w:rsid w:val="002602E5"/>
    <w:rsid w:val="00260749"/>
    <w:rsid w:val="00264163"/>
    <w:rsid w:val="002648EA"/>
    <w:rsid w:val="002667E3"/>
    <w:rsid w:val="0027203D"/>
    <w:rsid w:val="00275F42"/>
    <w:rsid w:val="0028326E"/>
    <w:rsid w:val="00285928"/>
    <w:rsid w:val="00286D0F"/>
    <w:rsid w:val="00292AE3"/>
    <w:rsid w:val="00296493"/>
    <w:rsid w:val="002A0CAF"/>
    <w:rsid w:val="002A1EF2"/>
    <w:rsid w:val="002A36BF"/>
    <w:rsid w:val="002A3BAC"/>
    <w:rsid w:val="002A7CEF"/>
    <w:rsid w:val="002A7F12"/>
    <w:rsid w:val="002B1E98"/>
    <w:rsid w:val="002B2B06"/>
    <w:rsid w:val="002C0E79"/>
    <w:rsid w:val="002C5F49"/>
    <w:rsid w:val="002C631D"/>
    <w:rsid w:val="002D0A09"/>
    <w:rsid w:val="002D19CD"/>
    <w:rsid w:val="002D230E"/>
    <w:rsid w:val="002D2824"/>
    <w:rsid w:val="002D2BA2"/>
    <w:rsid w:val="002D4518"/>
    <w:rsid w:val="002D7507"/>
    <w:rsid w:val="002E030F"/>
    <w:rsid w:val="002E2CB3"/>
    <w:rsid w:val="002F1BD9"/>
    <w:rsid w:val="002F450F"/>
    <w:rsid w:val="002F4A30"/>
    <w:rsid w:val="00301D32"/>
    <w:rsid w:val="003044D1"/>
    <w:rsid w:val="00306207"/>
    <w:rsid w:val="003062F9"/>
    <w:rsid w:val="00310206"/>
    <w:rsid w:val="0031262F"/>
    <w:rsid w:val="00315528"/>
    <w:rsid w:val="00315A1C"/>
    <w:rsid w:val="00315C56"/>
    <w:rsid w:val="00317159"/>
    <w:rsid w:val="00320433"/>
    <w:rsid w:val="00322211"/>
    <w:rsid w:val="003231FF"/>
    <w:rsid w:val="00323649"/>
    <w:rsid w:val="0032495B"/>
    <w:rsid w:val="00324DB9"/>
    <w:rsid w:val="0032507B"/>
    <w:rsid w:val="003337E1"/>
    <w:rsid w:val="00337212"/>
    <w:rsid w:val="003448C7"/>
    <w:rsid w:val="00344AD2"/>
    <w:rsid w:val="00344EDF"/>
    <w:rsid w:val="00347E3C"/>
    <w:rsid w:val="00352CD8"/>
    <w:rsid w:val="003560D1"/>
    <w:rsid w:val="003606CC"/>
    <w:rsid w:val="0036339F"/>
    <w:rsid w:val="003658A5"/>
    <w:rsid w:val="00366363"/>
    <w:rsid w:val="003677CB"/>
    <w:rsid w:val="00371A7A"/>
    <w:rsid w:val="003733DF"/>
    <w:rsid w:val="00381C0D"/>
    <w:rsid w:val="003820BD"/>
    <w:rsid w:val="00385292"/>
    <w:rsid w:val="00387E36"/>
    <w:rsid w:val="0039094D"/>
    <w:rsid w:val="0039109E"/>
    <w:rsid w:val="00392E8A"/>
    <w:rsid w:val="003943EB"/>
    <w:rsid w:val="003951FB"/>
    <w:rsid w:val="0039550C"/>
    <w:rsid w:val="003A3CEA"/>
    <w:rsid w:val="003A5756"/>
    <w:rsid w:val="003A75E4"/>
    <w:rsid w:val="003B1863"/>
    <w:rsid w:val="003C2A38"/>
    <w:rsid w:val="003D0BBD"/>
    <w:rsid w:val="003D207E"/>
    <w:rsid w:val="003D45B6"/>
    <w:rsid w:val="003D6F10"/>
    <w:rsid w:val="003D7D66"/>
    <w:rsid w:val="003E0FCD"/>
    <w:rsid w:val="003E54D7"/>
    <w:rsid w:val="003F2811"/>
    <w:rsid w:val="003F287A"/>
    <w:rsid w:val="003F45F9"/>
    <w:rsid w:val="003F4AEC"/>
    <w:rsid w:val="003F6019"/>
    <w:rsid w:val="004012DE"/>
    <w:rsid w:val="00403666"/>
    <w:rsid w:val="00403AD2"/>
    <w:rsid w:val="0040511E"/>
    <w:rsid w:val="00405356"/>
    <w:rsid w:val="0040723B"/>
    <w:rsid w:val="004109C6"/>
    <w:rsid w:val="00411AA0"/>
    <w:rsid w:val="0041641F"/>
    <w:rsid w:val="00421206"/>
    <w:rsid w:val="00423065"/>
    <w:rsid w:val="00424DF8"/>
    <w:rsid w:val="004259F9"/>
    <w:rsid w:val="00426F57"/>
    <w:rsid w:val="00427E90"/>
    <w:rsid w:val="00430ADE"/>
    <w:rsid w:val="00430FEA"/>
    <w:rsid w:val="0043277F"/>
    <w:rsid w:val="00432858"/>
    <w:rsid w:val="00433031"/>
    <w:rsid w:val="00435413"/>
    <w:rsid w:val="004375BA"/>
    <w:rsid w:val="00440CF5"/>
    <w:rsid w:val="00441D85"/>
    <w:rsid w:val="00443F58"/>
    <w:rsid w:val="00445096"/>
    <w:rsid w:val="00445BFD"/>
    <w:rsid w:val="004464A8"/>
    <w:rsid w:val="00453F2C"/>
    <w:rsid w:val="00454309"/>
    <w:rsid w:val="00455385"/>
    <w:rsid w:val="00457FED"/>
    <w:rsid w:val="00460876"/>
    <w:rsid w:val="004647F5"/>
    <w:rsid w:val="00464CB8"/>
    <w:rsid w:val="00466792"/>
    <w:rsid w:val="00467686"/>
    <w:rsid w:val="00474EE3"/>
    <w:rsid w:val="004805A6"/>
    <w:rsid w:val="004808C5"/>
    <w:rsid w:val="004811C8"/>
    <w:rsid w:val="00485244"/>
    <w:rsid w:val="00490C26"/>
    <w:rsid w:val="00494EF1"/>
    <w:rsid w:val="00497AF1"/>
    <w:rsid w:val="004A0096"/>
    <w:rsid w:val="004A2752"/>
    <w:rsid w:val="004A309D"/>
    <w:rsid w:val="004A4D62"/>
    <w:rsid w:val="004B07EA"/>
    <w:rsid w:val="004B29F0"/>
    <w:rsid w:val="004B2EBD"/>
    <w:rsid w:val="004B4773"/>
    <w:rsid w:val="004B5016"/>
    <w:rsid w:val="004B54E5"/>
    <w:rsid w:val="004C55D2"/>
    <w:rsid w:val="004C7171"/>
    <w:rsid w:val="004C7B15"/>
    <w:rsid w:val="004D05E0"/>
    <w:rsid w:val="004D4052"/>
    <w:rsid w:val="004D5E51"/>
    <w:rsid w:val="004E1AB8"/>
    <w:rsid w:val="004E4744"/>
    <w:rsid w:val="004E7911"/>
    <w:rsid w:val="004E7A3B"/>
    <w:rsid w:val="004F4F72"/>
    <w:rsid w:val="004F5080"/>
    <w:rsid w:val="004F65A6"/>
    <w:rsid w:val="004F6C80"/>
    <w:rsid w:val="004F7B15"/>
    <w:rsid w:val="005004D9"/>
    <w:rsid w:val="0050290A"/>
    <w:rsid w:val="00502B13"/>
    <w:rsid w:val="00507446"/>
    <w:rsid w:val="005079FB"/>
    <w:rsid w:val="00511FA7"/>
    <w:rsid w:val="00516EB4"/>
    <w:rsid w:val="00521362"/>
    <w:rsid w:val="0052496F"/>
    <w:rsid w:val="00527F48"/>
    <w:rsid w:val="00531EB7"/>
    <w:rsid w:val="00536584"/>
    <w:rsid w:val="00541ABD"/>
    <w:rsid w:val="00541B19"/>
    <w:rsid w:val="00542C7F"/>
    <w:rsid w:val="005433F4"/>
    <w:rsid w:val="005473A9"/>
    <w:rsid w:val="00547F9D"/>
    <w:rsid w:val="0055032F"/>
    <w:rsid w:val="00553D77"/>
    <w:rsid w:val="00556185"/>
    <w:rsid w:val="005562F0"/>
    <w:rsid w:val="005573DB"/>
    <w:rsid w:val="005643A9"/>
    <w:rsid w:val="00565B84"/>
    <w:rsid w:val="00567DA3"/>
    <w:rsid w:val="00570147"/>
    <w:rsid w:val="005722D2"/>
    <w:rsid w:val="00573AFB"/>
    <w:rsid w:val="00576148"/>
    <w:rsid w:val="005779D2"/>
    <w:rsid w:val="00581DAF"/>
    <w:rsid w:val="00587A78"/>
    <w:rsid w:val="0059493D"/>
    <w:rsid w:val="005964B8"/>
    <w:rsid w:val="00597604"/>
    <w:rsid w:val="00597A4A"/>
    <w:rsid w:val="005A5896"/>
    <w:rsid w:val="005A7BA9"/>
    <w:rsid w:val="005B0ACC"/>
    <w:rsid w:val="005B198D"/>
    <w:rsid w:val="005B2437"/>
    <w:rsid w:val="005B2B04"/>
    <w:rsid w:val="005B68D8"/>
    <w:rsid w:val="005C440C"/>
    <w:rsid w:val="005C4F6F"/>
    <w:rsid w:val="005C5F94"/>
    <w:rsid w:val="005C7179"/>
    <w:rsid w:val="005D1D90"/>
    <w:rsid w:val="005D3984"/>
    <w:rsid w:val="005D3A6E"/>
    <w:rsid w:val="005D3C6D"/>
    <w:rsid w:val="005E2C74"/>
    <w:rsid w:val="005E4BA2"/>
    <w:rsid w:val="005F566E"/>
    <w:rsid w:val="00603760"/>
    <w:rsid w:val="0060414E"/>
    <w:rsid w:val="00611417"/>
    <w:rsid w:val="00612538"/>
    <w:rsid w:val="00613F6E"/>
    <w:rsid w:val="006143FA"/>
    <w:rsid w:val="00617B59"/>
    <w:rsid w:val="00620BFE"/>
    <w:rsid w:val="00620E18"/>
    <w:rsid w:val="0062132F"/>
    <w:rsid w:val="006225D1"/>
    <w:rsid w:val="00622D44"/>
    <w:rsid w:val="0062350A"/>
    <w:rsid w:val="006236A0"/>
    <w:rsid w:val="00626E3A"/>
    <w:rsid w:val="006275CE"/>
    <w:rsid w:val="006378BD"/>
    <w:rsid w:val="00637D35"/>
    <w:rsid w:val="006463BB"/>
    <w:rsid w:val="0064744F"/>
    <w:rsid w:val="00650404"/>
    <w:rsid w:val="0065269A"/>
    <w:rsid w:val="0065336D"/>
    <w:rsid w:val="006556DC"/>
    <w:rsid w:val="00663E24"/>
    <w:rsid w:val="00665DD3"/>
    <w:rsid w:val="00667576"/>
    <w:rsid w:val="00671E2A"/>
    <w:rsid w:val="006725D4"/>
    <w:rsid w:val="00675D4C"/>
    <w:rsid w:val="0068003F"/>
    <w:rsid w:val="006826FD"/>
    <w:rsid w:val="00683177"/>
    <w:rsid w:val="00684370"/>
    <w:rsid w:val="006847AA"/>
    <w:rsid w:val="006854E4"/>
    <w:rsid w:val="00691BD1"/>
    <w:rsid w:val="0069245B"/>
    <w:rsid w:val="00692D44"/>
    <w:rsid w:val="006939AA"/>
    <w:rsid w:val="0069536C"/>
    <w:rsid w:val="006A1656"/>
    <w:rsid w:val="006A1BB7"/>
    <w:rsid w:val="006A36C9"/>
    <w:rsid w:val="006A3907"/>
    <w:rsid w:val="006A673F"/>
    <w:rsid w:val="006A69D3"/>
    <w:rsid w:val="006A782F"/>
    <w:rsid w:val="006A7B18"/>
    <w:rsid w:val="006B1A0D"/>
    <w:rsid w:val="006B1E5F"/>
    <w:rsid w:val="006B2A17"/>
    <w:rsid w:val="006B2B2D"/>
    <w:rsid w:val="006B4421"/>
    <w:rsid w:val="006B466E"/>
    <w:rsid w:val="006B47A1"/>
    <w:rsid w:val="006B65F9"/>
    <w:rsid w:val="006B666E"/>
    <w:rsid w:val="006D409A"/>
    <w:rsid w:val="006D70E0"/>
    <w:rsid w:val="006E32F4"/>
    <w:rsid w:val="006E3EC6"/>
    <w:rsid w:val="006E6638"/>
    <w:rsid w:val="006F2647"/>
    <w:rsid w:val="006F5264"/>
    <w:rsid w:val="006F558E"/>
    <w:rsid w:val="006F69C3"/>
    <w:rsid w:val="00700DD6"/>
    <w:rsid w:val="00707036"/>
    <w:rsid w:val="00707BBF"/>
    <w:rsid w:val="0071285C"/>
    <w:rsid w:val="0071628C"/>
    <w:rsid w:val="00717981"/>
    <w:rsid w:val="00721643"/>
    <w:rsid w:val="007318CC"/>
    <w:rsid w:val="007333DE"/>
    <w:rsid w:val="007353E8"/>
    <w:rsid w:val="00741060"/>
    <w:rsid w:val="00742328"/>
    <w:rsid w:val="00743016"/>
    <w:rsid w:val="007442DC"/>
    <w:rsid w:val="00746788"/>
    <w:rsid w:val="00746CC4"/>
    <w:rsid w:val="00750640"/>
    <w:rsid w:val="00750E72"/>
    <w:rsid w:val="00751BA3"/>
    <w:rsid w:val="00762C89"/>
    <w:rsid w:val="00767CD0"/>
    <w:rsid w:val="00774193"/>
    <w:rsid w:val="007763D9"/>
    <w:rsid w:val="007768D8"/>
    <w:rsid w:val="007816F5"/>
    <w:rsid w:val="00786E5B"/>
    <w:rsid w:val="007911B5"/>
    <w:rsid w:val="00793253"/>
    <w:rsid w:val="007A1C4B"/>
    <w:rsid w:val="007A284E"/>
    <w:rsid w:val="007A314F"/>
    <w:rsid w:val="007A4ECC"/>
    <w:rsid w:val="007A5042"/>
    <w:rsid w:val="007A7D35"/>
    <w:rsid w:val="007B0E02"/>
    <w:rsid w:val="007B39BC"/>
    <w:rsid w:val="007B3ADC"/>
    <w:rsid w:val="007C01F1"/>
    <w:rsid w:val="007C2E73"/>
    <w:rsid w:val="007D1ABD"/>
    <w:rsid w:val="007D21B6"/>
    <w:rsid w:val="007D79CA"/>
    <w:rsid w:val="007E0DC1"/>
    <w:rsid w:val="007E2639"/>
    <w:rsid w:val="007E6DF3"/>
    <w:rsid w:val="007E7970"/>
    <w:rsid w:val="007F062A"/>
    <w:rsid w:val="007F27EE"/>
    <w:rsid w:val="007F42AE"/>
    <w:rsid w:val="007F4D45"/>
    <w:rsid w:val="007F4ED9"/>
    <w:rsid w:val="00800B8B"/>
    <w:rsid w:val="00806144"/>
    <w:rsid w:val="008107FD"/>
    <w:rsid w:val="008111BD"/>
    <w:rsid w:val="00812D1E"/>
    <w:rsid w:val="008131AD"/>
    <w:rsid w:val="00813752"/>
    <w:rsid w:val="00816D5A"/>
    <w:rsid w:val="00820AEC"/>
    <w:rsid w:val="00824511"/>
    <w:rsid w:val="00831B47"/>
    <w:rsid w:val="00834D76"/>
    <w:rsid w:val="008411E9"/>
    <w:rsid w:val="00846FFF"/>
    <w:rsid w:val="008508B0"/>
    <w:rsid w:val="00852EFB"/>
    <w:rsid w:val="008532AD"/>
    <w:rsid w:val="00854B67"/>
    <w:rsid w:val="00855493"/>
    <w:rsid w:val="00855F8C"/>
    <w:rsid w:val="00860991"/>
    <w:rsid w:val="00862926"/>
    <w:rsid w:val="008653FB"/>
    <w:rsid w:val="008655B6"/>
    <w:rsid w:val="008668D4"/>
    <w:rsid w:val="008677BD"/>
    <w:rsid w:val="008718EB"/>
    <w:rsid w:val="00873722"/>
    <w:rsid w:val="008773E6"/>
    <w:rsid w:val="00877DAE"/>
    <w:rsid w:val="00880078"/>
    <w:rsid w:val="008804FA"/>
    <w:rsid w:val="00880504"/>
    <w:rsid w:val="00880F7D"/>
    <w:rsid w:val="00885849"/>
    <w:rsid w:val="00885C1D"/>
    <w:rsid w:val="0088790B"/>
    <w:rsid w:val="0089633C"/>
    <w:rsid w:val="008A0E63"/>
    <w:rsid w:val="008A2387"/>
    <w:rsid w:val="008A2BF7"/>
    <w:rsid w:val="008A6F69"/>
    <w:rsid w:val="008B05E2"/>
    <w:rsid w:val="008B43CC"/>
    <w:rsid w:val="008B48CC"/>
    <w:rsid w:val="008B4D2B"/>
    <w:rsid w:val="008B4D51"/>
    <w:rsid w:val="008B5BC1"/>
    <w:rsid w:val="008B66A6"/>
    <w:rsid w:val="008C0B8E"/>
    <w:rsid w:val="008C1226"/>
    <w:rsid w:val="008C1501"/>
    <w:rsid w:val="008C1B63"/>
    <w:rsid w:val="008C37FF"/>
    <w:rsid w:val="008C4E15"/>
    <w:rsid w:val="008D1661"/>
    <w:rsid w:val="008D5D30"/>
    <w:rsid w:val="008D6744"/>
    <w:rsid w:val="008D6AB1"/>
    <w:rsid w:val="008E05F9"/>
    <w:rsid w:val="008E0CF1"/>
    <w:rsid w:val="008E380C"/>
    <w:rsid w:val="008E6FBC"/>
    <w:rsid w:val="008F2711"/>
    <w:rsid w:val="008F5017"/>
    <w:rsid w:val="009017D1"/>
    <w:rsid w:val="00903EB2"/>
    <w:rsid w:val="009104ED"/>
    <w:rsid w:val="009131A0"/>
    <w:rsid w:val="00914E1A"/>
    <w:rsid w:val="00915626"/>
    <w:rsid w:val="00915A7F"/>
    <w:rsid w:val="0092399A"/>
    <w:rsid w:val="00925DFA"/>
    <w:rsid w:val="00925FFC"/>
    <w:rsid w:val="00926476"/>
    <w:rsid w:val="00931AA4"/>
    <w:rsid w:val="00936772"/>
    <w:rsid w:val="009414CE"/>
    <w:rsid w:val="009470A7"/>
    <w:rsid w:val="00952ACC"/>
    <w:rsid w:val="00955331"/>
    <w:rsid w:val="00956842"/>
    <w:rsid w:val="00956901"/>
    <w:rsid w:val="00962B37"/>
    <w:rsid w:val="00971412"/>
    <w:rsid w:val="00973020"/>
    <w:rsid w:val="009746C5"/>
    <w:rsid w:val="00974D8A"/>
    <w:rsid w:val="009776C2"/>
    <w:rsid w:val="00980941"/>
    <w:rsid w:val="00981DB7"/>
    <w:rsid w:val="009822A0"/>
    <w:rsid w:val="0098249B"/>
    <w:rsid w:val="00983447"/>
    <w:rsid w:val="00984F82"/>
    <w:rsid w:val="00986F42"/>
    <w:rsid w:val="0098778D"/>
    <w:rsid w:val="00987B4B"/>
    <w:rsid w:val="00990A58"/>
    <w:rsid w:val="00993071"/>
    <w:rsid w:val="00994485"/>
    <w:rsid w:val="00996E9C"/>
    <w:rsid w:val="00997142"/>
    <w:rsid w:val="009A2221"/>
    <w:rsid w:val="009A35A1"/>
    <w:rsid w:val="009A3F42"/>
    <w:rsid w:val="009A5AC9"/>
    <w:rsid w:val="009A618C"/>
    <w:rsid w:val="009B041D"/>
    <w:rsid w:val="009B554A"/>
    <w:rsid w:val="009B7B49"/>
    <w:rsid w:val="009C6E17"/>
    <w:rsid w:val="009D1E9B"/>
    <w:rsid w:val="009D7C87"/>
    <w:rsid w:val="009E302E"/>
    <w:rsid w:val="009E3D06"/>
    <w:rsid w:val="009E4580"/>
    <w:rsid w:val="009E5B59"/>
    <w:rsid w:val="009E5EFB"/>
    <w:rsid w:val="009E7422"/>
    <w:rsid w:val="009E75BA"/>
    <w:rsid w:val="009F0ACF"/>
    <w:rsid w:val="009F6037"/>
    <w:rsid w:val="009F61E2"/>
    <w:rsid w:val="00A000A2"/>
    <w:rsid w:val="00A03FDA"/>
    <w:rsid w:val="00A05654"/>
    <w:rsid w:val="00A069B4"/>
    <w:rsid w:val="00A07158"/>
    <w:rsid w:val="00A112B6"/>
    <w:rsid w:val="00A12693"/>
    <w:rsid w:val="00A160E4"/>
    <w:rsid w:val="00A16422"/>
    <w:rsid w:val="00A20CF4"/>
    <w:rsid w:val="00A21C4F"/>
    <w:rsid w:val="00A22AA2"/>
    <w:rsid w:val="00A23EC9"/>
    <w:rsid w:val="00A31DF9"/>
    <w:rsid w:val="00A3774E"/>
    <w:rsid w:val="00A401EF"/>
    <w:rsid w:val="00A42ABE"/>
    <w:rsid w:val="00A430A9"/>
    <w:rsid w:val="00A442B8"/>
    <w:rsid w:val="00A50171"/>
    <w:rsid w:val="00A5114D"/>
    <w:rsid w:val="00A51D0F"/>
    <w:rsid w:val="00A52D06"/>
    <w:rsid w:val="00A55187"/>
    <w:rsid w:val="00A55E7B"/>
    <w:rsid w:val="00A5664E"/>
    <w:rsid w:val="00A571EA"/>
    <w:rsid w:val="00A621DB"/>
    <w:rsid w:val="00A6389F"/>
    <w:rsid w:val="00A64ADB"/>
    <w:rsid w:val="00A7075D"/>
    <w:rsid w:val="00A70771"/>
    <w:rsid w:val="00A73363"/>
    <w:rsid w:val="00A764D3"/>
    <w:rsid w:val="00A77564"/>
    <w:rsid w:val="00A77CD5"/>
    <w:rsid w:val="00A8031A"/>
    <w:rsid w:val="00A80605"/>
    <w:rsid w:val="00A817DF"/>
    <w:rsid w:val="00A82923"/>
    <w:rsid w:val="00A8464C"/>
    <w:rsid w:val="00A85D9B"/>
    <w:rsid w:val="00A86030"/>
    <w:rsid w:val="00A865DE"/>
    <w:rsid w:val="00A87EB5"/>
    <w:rsid w:val="00A925B3"/>
    <w:rsid w:val="00A9658D"/>
    <w:rsid w:val="00AA0FB9"/>
    <w:rsid w:val="00AA1CD9"/>
    <w:rsid w:val="00AA205F"/>
    <w:rsid w:val="00AA20B8"/>
    <w:rsid w:val="00AA3DA8"/>
    <w:rsid w:val="00AB014D"/>
    <w:rsid w:val="00AB2F01"/>
    <w:rsid w:val="00AB48D3"/>
    <w:rsid w:val="00AB6B33"/>
    <w:rsid w:val="00AC06C5"/>
    <w:rsid w:val="00AC24B4"/>
    <w:rsid w:val="00AC638A"/>
    <w:rsid w:val="00AC674A"/>
    <w:rsid w:val="00AC689B"/>
    <w:rsid w:val="00AC6B9E"/>
    <w:rsid w:val="00AD0041"/>
    <w:rsid w:val="00AD103A"/>
    <w:rsid w:val="00AD35E8"/>
    <w:rsid w:val="00AE199C"/>
    <w:rsid w:val="00AE4042"/>
    <w:rsid w:val="00AE7D3F"/>
    <w:rsid w:val="00AF15FD"/>
    <w:rsid w:val="00AF1CB6"/>
    <w:rsid w:val="00AF23B0"/>
    <w:rsid w:val="00AF7200"/>
    <w:rsid w:val="00AF74CB"/>
    <w:rsid w:val="00B016E9"/>
    <w:rsid w:val="00B02629"/>
    <w:rsid w:val="00B04326"/>
    <w:rsid w:val="00B04E06"/>
    <w:rsid w:val="00B06A46"/>
    <w:rsid w:val="00B076F0"/>
    <w:rsid w:val="00B07D19"/>
    <w:rsid w:val="00B105DE"/>
    <w:rsid w:val="00B107EB"/>
    <w:rsid w:val="00B11F0C"/>
    <w:rsid w:val="00B12674"/>
    <w:rsid w:val="00B12981"/>
    <w:rsid w:val="00B12A90"/>
    <w:rsid w:val="00B171B2"/>
    <w:rsid w:val="00B21F45"/>
    <w:rsid w:val="00B242AB"/>
    <w:rsid w:val="00B2583F"/>
    <w:rsid w:val="00B30499"/>
    <w:rsid w:val="00B31088"/>
    <w:rsid w:val="00B31AB9"/>
    <w:rsid w:val="00B3575F"/>
    <w:rsid w:val="00B3688B"/>
    <w:rsid w:val="00B40CB5"/>
    <w:rsid w:val="00B45771"/>
    <w:rsid w:val="00B47AB6"/>
    <w:rsid w:val="00B5263D"/>
    <w:rsid w:val="00B54FBB"/>
    <w:rsid w:val="00B57A55"/>
    <w:rsid w:val="00B6290E"/>
    <w:rsid w:val="00B64284"/>
    <w:rsid w:val="00B64872"/>
    <w:rsid w:val="00B65DCD"/>
    <w:rsid w:val="00B6747D"/>
    <w:rsid w:val="00B7423F"/>
    <w:rsid w:val="00B77FBF"/>
    <w:rsid w:val="00B812D2"/>
    <w:rsid w:val="00B8293F"/>
    <w:rsid w:val="00B8455A"/>
    <w:rsid w:val="00B8475A"/>
    <w:rsid w:val="00B9039D"/>
    <w:rsid w:val="00BA0897"/>
    <w:rsid w:val="00BA578C"/>
    <w:rsid w:val="00BB0981"/>
    <w:rsid w:val="00BB0C2C"/>
    <w:rsid w:val="00BB3B83"/>
    <w:rsid w:val="00BB445C"/>
    <w:rsid w:val="00BB5B61"/>
    <w:rsid w:val="00BB6BFF"/>
    <w:rsid w:val="00BC31C8"/>
    <w:rsid w:val="00BC77FE"/>
    <w:rsid w:val="00BD22EF"/>
    <w:rsid w:val="00BD396E"/>
    <w:rsid w:val="00BD3FBB"/>
    <w:rsid w:val="00BD7C17"/>
    <w:rsid w:val="00BE2037"/>
    <w:rsid w:val="00BE26BE"/>
    <w:rsid w:val="00BE53DB"/>
    <w:rsid w:val="00BE602F"/>
    <w:rsid w:val="00BE63EA"/>
    <w:rsid w:val="00BE7B6E"/>
    <w:rsid w:val="00BF2963"/>
    <w:rsid w:val="00BF4D6D"/>
    <w:rsid w:val="00BF7CA8"/>
    <w:rsid w:val="00BF7CB3"/>
    <w:rsid w:val="00C0218E"/>
    <w:rsid w:val="00C03942"/>
    <w:rsid w:val="00C139AD"/>
    <w:rsid w:val="00C16D5B"/>
    <w:rsid w:val="00C172B6"/>
    <w:rsid w:val="00C34BC5"/>
    <w:rsid w:val="00C3715B"/>
    <w:rsid w:val="00C41AA7"/>
    <w:rsid w:val="00C423E1"/>
    <w:rsid w:val="00C43B44"/>
    <w:rsid w:val="00C4436C"/>
    <w:rsid w:val="00C456EF"/>
    <w:rsid w:val="00C46083"/>
    <w:rsid w:val="00C501EF"/>
    <w:rsid w:val="00C520B0"/>
    <w:rsid w:val="00C52886"/>
    <w:rsid w:val="00C5613A"/>
    <w:rsid w:val="00C64BE2"/>
    <w:rsid w:val="00C65F7F"/>
    <w:rsid w:val="00C670ED"/>
    <w:rsid w:val="00C722C1"/>
    <w:rsid w:val="00C726EC"/>
    <w:rsid w:val="00C73282"/>
    <w:rsid w:val="00C75986"/>
    <w:rsid w:val="00C75B27"/>
    <w:rsid w:val="00C77DAC"/>
    <w:rsid w:val="00C81CF3"/>
    <w:rsid w:val="00C826E6"/>
    <w:rsid w:val="00C831C2"/>
    <w:rsid w:val="00C835AF"/>
    <w:rsid w:val="00C8398E"/>
    <w:rsid w:val="00C84B73"/>
    <w:rsid w:val="00C8532D"/>
    <w:rsid w:val="00C8547E"/>
    <w:rsid w:val="00C8567C"/>
    <w:rsid w:val="00C864E6"/>
    <w:rsid w:val="00C869B7"/>
    <w:rsid w:val="00C92DBD"/>
    <w:rsid w:val="00C93E86"/>
    <w:rsid w:val="00C9411F"/>
    <w:rsid w:val="00CA151C"/>
    <w:rsid w:val="00CA33DC"/>
    <w:rsid w:val="00CA5E3F"/>
    <w:rsid w:val="00CA642E"/>
    <w:rsid w:val="00CA65A2"/>
    <w:rsid w:val="00CA6DB0"/>
    <w:rsid w:val="00CA7A28"/>
    <w:rsid w:val="00CB575C"/>
    <w:rsid w:val="00CB6064"/>
    <w:rsid w:val="00CB648C"/>
    <w:rsid w:val="00CB6B84"/>
    <w:rsid w:val="00CC2DE3"/>
    <w:rsid w:val="00CC3763"/>
    <w:rsid w:val="00CC42CC"/>
    <w:rsid w:val="00CC551E"/>
    <w:rsid w:val="00CC5F1E"/>
    <w:rsid w:val="00CC65DC"/>
    <w:rsid w:val="00CD1033"/>
    <w:rsid w:val="00CD1C62"/>
    <w:rsid w:val="00CD4FC1"/>
    <w:rsid w:val="00CD511C"/>
    <w:rsid w:val="00CD553C"/>
    <w:rsid w:val="00CD5D34"/>
    <w:rsid w:val="00CE0DE8"/>
    <w:rsid w:val="00CE2236"/>
    <w:rsid w:val="00CE47BD"/>
    <w:rsid w:val="00CE5109"/>
    <w:rsid w:val="00CE6263"/>
    <w:rsid w:val="00CE75A8"/>
    <w:rsid w:val="00CF1158"/>
    <w:rsid w:val="00CF3568"/>
    <w:rsid w:val="00D000FD"/>
    <w:rsid w:val="00D01C80"/>
    <w:rsid w:val="00D01EA6"/>
    <w:rsid w:val="00D0259F"/>
    <w:rsid w:val="00D03466"/>
    <w:rsid w:val="00D0488D"/>
    <w:rsid w:val="00D10DB4"/>
    <w:rsid w:val="00D117B2"/>
    <w:rsid w:val="00D15964"/>
    <w:rsid w:val="00D21265"/>
    <w:rsid w:val="00D21BD4"/>
    <w:rsid w:val="00D22A72"/>
    <w:rsid w:val="00D22DD0"/>
    <w:rsid w:val="00D23157"/>
    <w:rsid w:val="00D3069C"/>
    <w:rsid w:val="00D30DFF"/>
    <w:rsid w:val="00D3241D"/>
    <w:rsid w:val="00D33E23"/>
    <w:rsid w:val="00D3663B"/>
    <w:rsid w:val="00D40C92"/>
    <w:rsid w:val="00D47A89"/>
    <w:rsid w:val="00D47BE5"/>
    <w:rsid w:val="00D5132F"/>
    <w:rsid w:val="00D51827"/>
    <w:rsid w:val="00D54393"/>
    <w:rsid w:val="00D54732"/>
    <w:rsid w:val="00D565AE"/>
    <w:rsid w:val="00D65201"/>
    <w:rsid w:val="00D6619A"/>
    <w:rsid w:val="00D73395"/>
    <w:rsid w:val="00D741AB"/>
    <w:rsid w:val="00D77E84"/>
    <w:rsid w:val="00D847C8"/>
    <w:rsid w:val="00D8571A"/>
    <w:rsid w:val="00D85F2D"/>
    <w:rsid w:val="00D8632A"/>
    <w:rsid w:val="00D96BF2"/>
    <w:rsid w:val="00D9713B"/>
    <w:rsid w:val="00DA02D3"/>
    <w:rsid w:val="00DA1AA7"/>
    <w:rsid w:val="00DA1B84"/>
    <w:rsid w:val="00DA2EF9"/>
    <w:rsid w:val="00DA7072"/>
    <w:rsid w:val="00DB032D"/>
    <w:rsid w:val="00DB1D09"/>
    <w:rsid w:val="00DB2E97"/>
    <w:rsid w:val="00DC0714"/>
    <w:rsid w:val="00DC11E8"/>
    <w:rsid w:val="00DD56DB"/>
    <w:rsid w:val="00DD60A7"/>
    <w:rsid w:val="00DD6AF8"/>
    <w:rsid w:val="00DE29AD"/>
    <w:rsid w:val="00DE4EAE"/>
    <w:rsid w:val="00DE5B99"/>
    <w:rsid w:val="00DF0CF7"/>
    <w:rsid w:val="00DF1414"/>
    <w:rsid w:val="00DF4551"/>
    <w:rsid w:val="00DF59AD"/>
    <w:rsid w:val="00DF5A18"/>
    <w:rsid w:val="00DF66B3"/>
    <w:rsid w:val="00E00CE4"/>
    <w:rsid w:val="00E038BA"/>
    <w:rsid w:val="00E067AC"/>
    <w:rsid w:val="00E06EBB"/>
    <w:rsid w:val="00E10231"/>
    <w:rsid w:val="00E1217B"/>
    <w:rsid w:val="00E1489B"/>
    <w:rsid w:val="00E20DD6"/>
    <w:rsid w:val="00E22A50"/>
    <w:rsid w:val="00E22F2D"/>
    <w:rsid w:val="00E2405F"/>
    <w:rsid w:val="00E24C69"/>
    <w:rsid w:val="00E25106"/>
    <w:rsid w:val="00E26E8B"/>
    <w:rsid w:val="00E27483"/>
    <w:rsid w:val="00E32E37"/>
    <w:rsid w:val="00E32ECD"/>
    <w:rsid w:val="00E3378C"/>
    <w:rsid w:val="00E40883"/>
    <w:rsid w:val="00E44EBE"/>
    <w:rsid w:val="00E479B0"/>
    <w:rsid w:val="00E50915"/>
    <w:rsid w:val="00E50C3D"/>
    <w:rsid w:val="00E5385E"/>
    <w:rsid w:val="00E53F4C"/>
    <w:rsid w:val="00E55898"/>
    <w:rsid w:val="00E57DD5"/>
    <w:rsid w:val="00E617CC"/>
    <w:rsid w:val="00E61EA5"/>
    <w:rsid w:val="00E6271B"/>
    <w:rsid w:val="00E64AE7"/>
    <w:rsid w:val="00E657D9"/>
    <w:rsid w:val="00E66E82"/>
    <w:rsid w:val="00E67F51"/>
    <w:rsid w:val="00E7124A"/>
    <w:rsid w:val="00E72D8F"/>
    <w:rsid w:val="00E827EC"/>
    <w:rsid w:val="00E82F29"/>
    <w:rsid w:val="00E83322"/>
    <w:rsid w:val="00E96243"/>
    <w:rsid w:val="00EA28E3"/>
    <w:rsid w:val="00EA4BA5"/>
    <w:rsid w:val="00EA55A5"/>
    <w:rsid w:val="00EA653B"/>
    <w:rsid w:val="00EA6AAE"/>
    <w:rsid w:val="00EB3F18"/>
    <w:rsid w:val="00EB4313"/>
    <w:rsid w:val="00EB49F3"/>
    <w:rsid w:val="00EB74C0"/>
    <w:rsid w:val="00EB7FFC"/>
    <w:rsid w:val="00EC12D3"/>
    <w:rsid w:val="00EC3801"/>
    <w:rsid w:val="00EC3A99"/>
    <w:rsid w:val="00EC42C7"/>
    <w:rsid w:val="00EC75B6"/>
    <w:rsid w:val="00ED143A"/>
    <w:rsid w:val="00ED5FCE"/>
    <w:rsid w:val="00ED64ED"/>
    <w:rsid w:val="00EE0468"/>
    <w:rsid w:val="00EE1C6E"/>
    <w:rsid w:val="00EE342E"/>
    <w:rsid w:val="00EE5323"/>
    <w:rsid w:val="00EF004C"/>
    <w:rsid w:val="00EF184E"/>
    <w:rsid w:val="00EF1FDE"/>
    <w:rsid w:val="00EF4ED2"/>
    <w:rsid w:val="00EF6222"/>
    <w:rsid w:val="00EF763A"/>
    <w:rsid w:val="00F022A8"/>
    <w:rsid w:val="00F0352A"/>
    <w:rsid w:val="00F05101"/>
    <w:rsid w:val="00F10E19"/>
    <w:rsid w:val="00F234C3"/>
    <w:rsid w:val="00F24E87"/>
    <w:rsid w:val="00F26441"/>
    <w:rsid w:val="00F27B31"/>
    <w:rsid w:val="00F36C3A"/>
    <w:rsid w:val="00F414E9"/>
    <w:rsid w:val="00F42025"/>
    <w:rsid w:val="00F44508"/>
    <w:rsid w:val="00F4656B"/>
    <w:rsid w:val="00F50994"/>
    <w:rsid w:val="00F53119"/>
    <w:rsid w:val="00F53B1E"/>
    <w:rsid w:val="00F55E8D"/>
    <w:rsid w:val="00F57757"/>
    <w:rsid w:val="00F57CBB"/>
    <w:rsid w:val="00F60A28"/>
    <w:rsid w:val="00F60F8F"/>
    <w:rsid w:val="00F6505A"/>
    <w:rsid w:val="00F664F3"/>
    <w:rsid w:val="00F6779B"/>
    <w:rsid w:val="00F746D3"/>
    <w:rsid w:val="00F83AC5"/>
    <w:rsid w:val="00F8583F"/>
    <w:rsid w:val="00F8740A"/>
    <w:rsid w:val="00F9141D"/>
    <w:rsid w:val="00F949DA"/>
    <w:rsid w:val="00F9708D"/>
    <w:rsid w:val="00FA353B"/>
    <w:rsid w:val="00FB7932"/>
    <w:rsid w:val="00FC10B5"/>
    <w:rsid w:val="00FC34E0"/>
    <w:rsid w:val="00FC396E"/>
    <w:rsid w:val="00FD0DDD"/>
    <w:rsid w:val="00FD0EDF"/>
    <w:rsid w:val="00FD4057"/>
    <w:rsid w:val="00FD5047"/>
    <w:rsid w:val="00FD70FB"/>
    <w:rsid w:val="00FE070F"/>
    <w:rsid w:val="00FE4D3B"/>
    <w:rsid w:val="00FF0746"/>
    <w:rsid w:val="00FF1C55"/>
    <w:rsid w:val="00FF2348"/>
    <w:rsid w:val="00FF2EA0"/>
    <w:rsid w:val="00FF4BBC"/>
    <w:rsid w:val="00FF5453"/>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5:docId w15:val="{EBADFC19-86C4-4FEE-9A8E-12ED124B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B0E"/>
    <w:pPr>
      <w:spacing w:after="0" w:line="240" w:lineRule="auto"/>
    </w:pPr>
    <w:rPr>
      <w:rFonts w:ascii="Times New Roman" w:eastAsia="Times New Roman" w:hAnsi="Times New Roman" w:cs="Times New Roman"/>
      <w:sz w:val="24"/>
      <w:szCs w:val="24"/>
    </w:rPr>
  </w:style>
  <w:style w:type="paragraph" w:styleId="Heading1">
    <w:name w:val="heading 1"/>
    <w:aliases w:val="Headin AA"/>
    <w:basedOn w:val="Normal"/>
    <w:next w:val="para01"/>
    <w:link w:val="Heading1Char"/>
    <w:rsid w:val="00C93E86"/>
    <w:pPr>
      <w:keepNext/>
      <w:tabs>
        <w:tab w:val="left" w:pos="567"/>
      </w:tabs>
      <w:spacing w:before="240"/>
      <w:outlineLvl w:val="0"/>
    </w:pPr>
    <w:rPr>
      <w:rFonts w:asciiTheme="minorHAnsi" w:hAnsiTheme="minorHAnsi" w:cstheme="minorHAnsi"/>
      <w:b/>
      <w:i/>
      <w:color w:val="002060"/>
      <w:szCs w:val="20"/>
      <w:lang w:val="en-AU"/>
    </w:rPr>
  </w:style>
  <w:style w:type="paragraph" w:styleId="Heading2">
    <w:name w:val="heading 2"/>
    <w:basedOn w:val="Heading1"/>
    <w:next w:val="para01"/>
    <w:link w:val="Heading2Char"/>
    <w:qFormat/>
    <w:rsid w:val="001C2B0E"/>
    <w:pPr>
      <w:numPr>
        <w:ilvl w:val="1"/>
      </w:numPr>
      <w:tabs>
        <w:tab w:val="left" w:pos="851"/>
      </w:tabs>
      <w:spacing w:after="60"/>
      <w:outlineLvl w:val="1"/>
    </w:pPr>
    <w:rPr>
      <w:caps/>
    </w:rPr>
  </w:style>
  <w:style w:type="paragraph" w:styleId="Heading3">
    <w:name w:val="heading 3"/>
    <w:basedOn w:val="Heading1"/>
    <w:next w:val="para01"/>
    <w:link w:val="Heading3Char"/>
    <w:qFormat/>
    <w:rsid w:val="001C2B0E"/>
    <w:pPr>
      <w:numPr>
        <w:ilvl w:val="2"/>
      </w:numPr>
      <w:tabs>
        <w:tab w:val="left" w:pos="0"/>
      </w:tabs>
      <w:outlineLvl w:val="2"/>
    </w:pPr>
    <w:rPr>
      <w:caps/>
    </w:rPr>
  </w:style>
  <w:style w:type="paragraph" w:styleId="Heading4">
    <w:name w:val="heading 4"/>
    <w:basedOn w:val="Normal"/>
    <w:next w:val="para01"/>
    <w:link w:val="Heading4Char"/>
    <w:rsid w:val="001C2B0E"/>
    <w:pPr>
      <w:keepNext/>
      <w:numPr>
        <w:ilvl w:val="3"/>
        <w:numId w:val="1"/>
      </w:numPr>
      <w:tabs>
        <w:tab w:val="left" w:pos="1080"/>
        <w:tab w:val="left" w:pos="1361"/>
        <w:tab w:val="left" w:pos="1418"/>
      </w:tabs>
      <w:spacing w:before="240"/>
      <w:ind w:hanging="1021"/>
      <w:outlineLvl w:val="3"/>
    </w:pPr>
    <w:rPr>
      <w:rFonts w:ascii="Arial" w:hAnsi="Arial"/>
      <w:b/>
      <w:sz w:val="22"/>
      <w:szCs w:val="20"/>
      <w:lang w:val="en-AU"/>
    </w:rPr>
  </w:style>
  <w:style w:type="paragraph" w:styleId="Heading5">
    <w:name w:val="heading 5"/>
    <w:basedOn w:val="Normal"/>
    <w:next w:val="para01"/>
    <w:link w:val="Heading5Char"/>
    <w:rsid w:val="001C2B0E"/>
    <w:pPr>
      <w:keepNext/>
      <w:numPr>
        <w:ilvl w:val="4"/>
        <w:numId w:val="1"/>
      </w:numPr>
      <w:tabs>
        <w:tab w:val="left" w:pos="1080"/>
        <w:tab w:val="left" w:pos="1531"/>
      </w:tabs>
      <w:spacing w:before="240"/>
      <w:ind w:hanging="1247"/>
      <w:outlineLvl w:val="4"/>
    </w:pPr>
    <w:rPr>
      <w:rFonts w:ascii="Arial" w:hAnsi="Arial"/>
      <w:b/>
      <w:szCs w:val="20"/>
      <w:lang w:val="en-AU"/>
    </w:rPr>
  </w:style>
  <w:style w:type="paragraph" w:styleId="Heading6">
    <w:name w:val="heading 6"/>
    <w:basedOn w:val="Normal"/>
    <w:next w:val="para01"/>
    <w:link w:val="Heading6Char"/>
    <w:rsid w:val="001C2B0E"/>
    <w:pPr>
      <w:keepNext/>
      <w:numPr>
        <w:ilvl w:val="5"/>
        <w:numId w:val="1"/>
      </w:numPr>
      <w:tabs>
        <w:tab w:val="left" w:pos="1440"/>
        <w:tab w:val="left" w:pos="1701"/>
      </w:tabs>
      <w:spacing w:before="240"/>
      <w:ind w:hanging="1418"/>
      <w:outlineLvl w:val="5"/>
    </w:pPr>
    <w:rPr>
      <w:rFonts w:ascii="Arial" w:hAnsi="Arial"/>
      <w:b/>
      <w:sz w:val="22"/>
      <w:szCs w:val="20"/>
      <w:lang w:val="en-AU"/>
    </w:rPr>
  </w:style>
  <w:style w:type="paragraph" w:styleId="Heading7">
    <w:name w:val="heading 7"/>
    <w:basedOn w:val="Normal"/>
    <w:next w:val="para01"/>
    <w:link w:val="Heading7Char"/>
    <w:rsid w:val="001C2B0E"/>
    <w:pPr>
      <w:keepNext/>
      <w:numPr>
        <w:ilvl w:val="6"/>
        <w:numId w:val="1"/>
      </w:numPr>
      <w:tabs>
        <w:tab w:val="left" w:pos="1440"/>
        <w:tab w:val="left" w:pos="1871"/>
      </w:tabs>
      <w:spacing w:before="240"/>
      <w:outlineLvl w:val="6"/>
    </w:pPr>
    <w:rPr>
      <w:rFonts w:ascii="Arial" w:hAnsi="Arial"/>
      <w:b/>
      <w:sz w:val="22"/>
      <w:szCs w:val="20"/>
      <w:lang w:val="en-AU"/>
    </w:rPr>
  </w:style>
  <w:style w:type="paragraph" w:styleId="Heading8">
    <w:name w:val="heading 8"/>
    <w:basedOn w:val="Normal"/>
    <w:next w:val="para01"/>
    <w:link w:val="Heading8Char"/>
    <w:rsid w:val="001C2B0E"/>
    <w:pPr>
      <w:keepNext/>
      <w:numPr>
        <w:ilvl w:val="7"/>
        <w:numId w:val="1"/>
      </w:numPr>
      <w:tabs>
        <w:tab w:val="left" w:pos="1800"/>
        <w:tab w:val="left" w:pos="2098"/>
      </w:tabs>
      <w:spacing w:before="240"/>
      <w:outlineLvl w:val="7"/>
    </w:pPr>
    <w:rPr>
      <w:rFonts w:ascii="Arial" w:hAnsi="Arial"/>
      <w:b/>
      <w:sz w:val="22"/>
      <w:szCs w:val="20"/>
      <w:lang w:val="en-AU"/>
    </w:rPr>
  </w:style>
  <w:style w:type="paragraph" w:styleId="Heading9">
    <w:name w:val="heading 9"/>
    <w:basedOn w:val="Normal"/>
    <w:next w:val="para01"/>
    <w:link w:val="Heading9Char"/>
    <w:rsid w:val="001C2B0E"/>
    <w:pPr>
      <w:numPr>
        <w:ilvl w:val="8"/>
        <w:numId w:val="1"/>
      </w:numPr>
      <w:tabs>
        <w:tab w:val="left" w:pos="1400"/>
        <w:tab w:val="left" w:pos="1800"/>
      </w:tabs>
      <w:spacing w:before="240" w:after="60"/>
      <w:jc w:val="both"/>
      <w:outlineLvl w:val="8"/>
    </w:pPr>
    <w:rPr>
      <w:rFonts w:ascii="Helvetica" w:hAnsi="Helvetica"/>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01"/>
    <w:basedOn w:val="Normal"/>
    <w:rsid w:val="001C2B0E"/>
    <w:pPr>
      <w:tabs>
        <w:tab w:val="left" w:pos="567"/>
        <w:tab w:val="left" w:pos="1134"/>
        <w:tab w:val="left" w:pos="1701"/>
        <w:tab w:val="left" w:pos="2835"/>
        <w:tab w:val="left" w:pos="3969"/>
        <w:tab w:val="left" w:pos="5103"/>
        <w:tab w:val="left" w:pos="5670"/>
        <w:tab w:val="left" w:pos="6237"/>
        <w:tab w:val="left" w:pos="6804"/>
        <w:tab w:val="left" w:pos="7371"/>
        <w:tab w:val="left" w:pos="7938"/>
        <w:tab w:val="left" w:pos="8505"/>
        <w:tab w:val="left" w:pos="9072"/>
      </w:tabs>
      <w:spacing w:before="240"/>
      <w:jc w:val="both"/>
    </w:pPr>
    <w:rPr>
      <w:szCs w:val="20"/>
      <w:lang w:val="en-AU"/>
    </w:rPr>
  </w:style>
  <w:style w:type="character" w:customStyle="1" w:styleId="Heading1Char">
    <w:name w:val="Heading 1 Char"/>
    <w:aliases w:val="Headin AA Char"/>
    <w:basedOn w:val="DefaultParagraphFont"/>
    <w:link w:val="Heading1"/>
    <w:rsid w:val="00C93E86"/>
    <w:rPr>
      <w:rFonts w:eastAsia="Times New Roman" w:cstheme="minorHAnsi"/>
      <w:b/>
      <w:i/>
      <w:color w:val="002060"/>
      <w:sz w:val="24"/>
      <w:szCs w:val="20"/>
      <w:lang w:val="en-AU"/>
    </w:rPr>
  </w:style>
  <w:style w:type="character" w:customStyle="1" w:styleId="Heading2Char">
    <w:name w:val="Heading 2 Char"/>
    <w:basedOn w:val="DefaultParagraphFont"/>
    <w:link w:val="Heading2"/>
    <w:rsid w:val="001C2B0E"/>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1C2B0E"/>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1C2B0E"/>
    <w:rPr>
      <w:rFonts w:ascii="Arial" w:eastAsia="Times New Roman" w:hAnsi="Arial" w:cs="Times New Roman"/>
      <w:b/>
      <w:szCs w:val="20"/>
      <w:lang w:val="en-AU"/>
    </w:rPr>
  </w:style>
  <w:style w:type="character" w:customStyle="1" w:styleId="Heading5Char">
    <w:name w:val="Heading 5 Char"/>
    <w:basedOn w:val="DefaultParagraphFont"/>
    <w:link w:val="Heading5"/>
    <w:rsid w:val="001C2B0E"/>
    <w:rPr>
      <w:rFonts w:ascii="Arial" w:eastAsia="Times New Roman" w:hAnsi="Arial" w:cs="Times New Roman"/>
      <w:b/>
      <w:sz w:val="24"/>
      <w:szCs w:val="20"/>
      <w:lang w:val="en-AU"/>
    </w:rPr>
  </w:style>
  <w:style w:type="character" w:customStyle="1" w:styleId="Heading6Char">
    <w:name w:val="Heading 6 Char"/>
    <w:basedOn w:val="DefaultParagraphFont"/>
    <w:link w:val="Heading6"/>
    <w:rsid w:val="001C2B0E"/>
    <w:rPr>
      <w:rFonts w:ascii="Arial" w:eastAsia="Times New Roman" w:hAnsi="Arial" w:cs="Times New Roman"/>
      <w:b/>
      <w:szCs w:val="20"/>
      <w:lang w:val="en-AU"/>
    </w:rPr>
  </w:style>
  <w:style w:type="character" w:customStyle="1" w:styleId="Heading7Char">
    <w:name w:val="Heading 7 Char"/>
    <w:basedOn w:val="DefaultParagraphFont"/>
    <w:link w:val="Heading7"/>
    <w:rsid w:val="001C2B0E"/>
    <w:rPr>
      <w:rFonts w:ascii="Arial" w:eastAsia="Times New Roman" w:hAnsi="Arial" w:cs="Times New Roman"/>
      <w:b/>
      <w:szCs w:val="20"/>
      <w:lang w:val="en-AU"/>
    </w:rPr>
  </w:style>
  <w:style w:type="character" w:customStyle="1" w:styleId="Heading8Char">
    <w:name w:val="Heading 8 Char"/>
    <w:basedOn w:val="DefaultParagraphFont"/>
    <w:link w:val="Heading8"/>
    <w:rsid w:val="001C2B0E"/>
    <w:rPr>
      <w:rFonts w:ascii="Arial" w:eastAsia="Times New Roman" w:hAnsi="Arial" w:cs="Times New Roman"/>
      <w:b/>
      <w:szCs w:val="20"/>
      <w:lang w:val="en-AU"/>
    </w:rPr>
  </w:style>
  <w:style w:type="character" w:customStyle="1" w:styleId="Heading9Char">
    <w:name w:val="Heading 9 Char"/>
    <w:basedOn w:val="DefaultParagraphFont"/>
    <w:link w:val="Heading9"/>
    <w:rsid w:val="001C2B0E"/>
    <w:rPr>
      <w:rFonts w:ascii="Helvetica" w:eastAsia="Times New Roman" w:hAnsi="Helvetica" w:cs="Times New Roman"/>
      <w:i/>
      <w:sz w:val="18"/>
      <w:szCs w:val="20"/>
      <w:lang w:val="en-AU"/>
    </w:rPr>
  </w:style>
  <w:style w:type="paragraph" w:styleId="BalloonText">
    <w:name w:val="Balloon Text"/>
    <w:basedOn w:val="Normal"/>
    <w:link w:val="BalloonTextChar"/>
    <w:semiHidden/>
    <w:unhideWhenUsed/>
    <w:rsid w:val="00306207"/>
    <w:rPr>
      <w:rFonts w:ascii="Tahoma" w:hAnsi="Tahoma" w:cs="Tahoma"/>
      <w:sz w:val="16"/>
      <w:szCs w:val="16"/>
    </w:rPr>
  </w:style>
  <w:style w:type="character" w:customStyle="1" w:styleId="BalloonTextChar">
    <w:name w:val="Balloon Text Char"/>
    <w:basedOn w:val="DefaultParagraphFont"/>
    <w:link w:val="BalloonText"/>
    <w:uiPriority w:val="99"/>
    <w:semiHidden/>
    <w:rsid w:val="00306207"/>
    <w:rPr>
      <w:rFonts w:ascii="Tahoma" w:hAnsi="Tahoma" w:cs="Tahoma"/>
      <w:sz w:val="16"/>
      <w:szCs w:val="16"/>
    </w:rPr>
  </w:style>
  <w:style w:type="paragraph" w:styleId="Header">
    <w:name w:val="header"/>
    <w:basedOn w:val="Normal"/>
    <w:link w:val="HeaderChar"/>
    <w:unhideWhenUsed/>
    <w:rsid w:val="00306207"/>
    <w:pPr>
      <w:tabs>
        <w:tab w:val="center" w:pos="4680"/>
        <w:tab w:val="right" w:pos="9360"/>
      </w:tabs>
    </w:pPr>
  </w:style>
  <w:style w:type="character" w:customStyle="1" w:styleId="HeaderChar">
    <w:name w:val="Header Char"/>
    <w:basedOn w:val="DefaultParagraphFont"/>
    <w:link w:val="Header"/>
    <w:uiPriority w:val="99"/>
    <w:rsid w:val="00306207"/>
  </w:style>
  <w:style w:type="paragraph" w:styleId="Footer">
    <w:name w:val="footer"/>
    <w:basedOn w:val="Normal"/>
    <w:link w:val="FooterChar"/>
    <w:uiPriority w:val="99"/>
    <w:unhideWhenUsed/>
    <w:rsid w:val="00306207"/>
    <w:pPr>
      <w:tabs>
        <w:tab w:val="center" w:pos="4680"/>
        <w:tab w:val="right" w:pos="9360"/>
      </w:tabs>
    </w:pPr>
  </w:style>
  <w:style w:type="character" w:customStyle="1" w:styleId="FooterChar">
    <w:name w:val="Footer Char"/>
    <w:basedOn w:val="DefaultParagraphFont"/>
    <w:link w:val="Footer"/>
    <w:uiPriority w:val="99"/>
    <w:rsid w:val="00306207"/>
  </w:style>
  <w:style w:type="table" w:styleId="TableGrid">
    <w:name w:val="Table Grid"/>
    <w:basedOn w:val="TableNormal"/>
    <w:uiPriority w:val="59"/>
    <w:rsid w:val="002D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nhideWhenUsed/>
    <w:rsid w:val="00AA1CD9"/>
  </w:style>
  <w:style w:type="paragraph" w:styleId="ListParagraph">
    <w:name w:val="List Paragraph"/>
    <w:basedOn w:val="Normal"/>
    <w:uiPriority w:val="34"/>
    <w:rsid w:val="006B2A17"/>
    <w:pPr>
      <w:ind w:left="720"/>
      <w:contextualSpacing/>
    </w:pPr>
  </w:style>
  <w:style w:type="paragraph" w:styleId="Title">
    <w:name w:val="Title"/>
    <w:basedOn w:val="Normal"/>
    <w:link w:val="TitleChar"/>
    <w:rsid w:val="001C2B0E"/>
    <w:pPr>
      <w:tabs>
        <w:tab w:val="left" w:pos="990"/>
        <w:tab w:val="left" w:pos="1080"/>
        <w:tab w:val="left" w:pos="4500"/>
        <w:tab w:val="left" w:pos="5103"/>
        <w:tab w:val="left" w:pos="7230"/>
        <w:tab w:val="left" w:pos="7740"/>
      </w:tabs>
      <w:spacing w:before="60" w:line="240" w:lineRule="atLeast"/>
      <w:jc w:val="center"/>
    </w:pPr>
    <w:rPr>
      <w:b/>
      <w:sz w:val="36"/>
      <w:szCs w:val="20"/>
      <w:lang w:val="en-AU"/>
    </w:rPr>
  </w:style>
  <w:style w:type="character" w:customStyle="1" w:styleId="TitleChar">
    <w:name w:val="Title Char"/>
    <w:basedOn w:val="DefaultParagraphFont"/>
    <w:link w:val="Title"/>
    <w:rsid w:val="001C2B0E"/>
    <w:rPr>
      <w:rFonts w:ascii="Times New Roman" w:eastAsia="Times New Roman" w:hAnsi="Times New Roman" w:cs="Times New Roman"/>
      <w:b/>
      <w:sz w:val="36"/>
      <w:szCs w:val="20"/>
      <w:lang w:val="en-AU"/>
    </w:rPr>
  </w:style>
  <w:style w:type="paragraph" w:styleId="TOC1">
    <w:name w:val="toc 1"/>
    <w:basedOn w:val="Normal"/>
    <w:next w:val="Normal"/>
    <w:autoRedefine/>
    <w:uiPriority w:val="39"/>
    <w:rsid w:val="00DF1414"/>
    <w:pPr>
      <w:tabs>
        <w:tab w:val="left" w:pos="400"/>
        <w:tab w:val="left" w:pos="9360"/>
        <w:tab w:val="right" w:leader="dot" w:pos="10620"/>
      </w:tabs>
      <w:spacing w:before="360"/>
      <w:ind w:right="22"/>
      <w:jc w:val="both"/>
    </w:pPr>
    <w:rPr>
      <w:rFonts w:asciiTheme="minorHAnsi" w:hAnsiTheme="minorHAnsi"/>
      <w:b/>
      <w:caps/>
      <w:szCs w:val="20"/>
      <w:lang w:val="en-AU"/>
    </w:rPr>
  </w:style>
  <w:style w:type="paragraph" w:styleId="TOC2">
    <w:name w:val="toc 2"/>
    <w:basedOn w:val="Normal"/>
    <w:next w:val="Normal"/>
    <w:autoRedefine/>
    <w:uiPriority w:val="39"/>
    <w:rsid w:val="00DF1414"/>
    <w:pPr>
      <w:tabs>
        <w:tab w:val="left" w:pos="0"/>
        <w:tab w:val="left" w:pos="450"/>
        <w:tab w:val="left" w:pos="600"/>
        <w:tab w:val="left" w:pos="9360"/>
        <w:tab w:val="right" w:leader="dot" w:pos="10620"/>
      </w:tabs>
      <w:spacing w:before="240"/>
      <w:ind w:left="540" w:right="363" w:hanging="540"/>
      <w:jc w:val="both"/>
    </w:pPr>
    <w:rPr>
      <w:b/>
      <w:noProof/>
    </w:rPr>
  </w:style>
  <w:style w:type="paragraph" w:styleId="EndnoteText">
    <w:name w:val="endnote text"/>
    <w:basedOn w:val="Normal"/>
    <w:link w:val="EndnoteTextChar"/>
    <w:semiHidden/>
    <w:rsid w:val="001C2B0E"/>
    <w:pPr>
      <w:tabs>
        <w:tab w:val="left" w:pos="1400"/>
      </w:tabs>
      <w:spacing w:before="240"/>
      <w:jc w:val="both"/>
    </w:pPr>
    <w:rPr>
      <w:sz w:val="20"/>
      <w:szCs w:val="20"/>
      <w:lang w:val="en-AU"/>
    </w:rPr>
  </w:style>
  <w:style w:type="character" w:customStyle="1" w:styleId="EndnoteTextChar">
    <w:name w:val="Endnote Text Char"/>
    <w:basedOn w:val="DefaultParagraphFont"/>
    <w:link w:val="EndnoteText"/>
    <w:semiHidden/>
    <w:rsid w:val="001C2B0E"/>
    <w:rPr>
      <w:rFonts w:ascii="Times New Roman" w:eastAsia="Times New Roman" w:hAnsi="Times New Roman" w:cs="Times New Roman"/>
      <w:sz w:val="20"/>
      <w:szCs w:val="20"/>
      <w:lang w:val="en-AU"/>
    </w:rPr>
  </w:style>
  <w:style w:type="paragraph" w:styleId="PlainText">
    <w:name w:val="Plain Text"/>
    <w:basedOn w:val="Normal"/>
    <w:link w:val="PlainTextChar"/>
    <w:rsid w:val="001C2B0E"/>
    <w:rPr>
      <w:rFonts w:ascii="Courier New" w:hAnsi="Courier New"/>
      <w:sz w:val="20"/>
      <w:szCs w:val="20"/>
      <w:lang w:val="en-AU"/>
    </w:rPr>
  </w:style>
  <w:style w:type="character" w:customStyle="1" w:styleId="PlainTextChar">
    <w:name w:val="Plain Text Char"/>
    <w:basedOn w:val="DefaultParagraphFont"/>
    <w:link w:val="PlainText"/>
    <w:rsid w:val="001C2B0E"/>
    <w:rPr>
      <w:rFonts w:ascii="Courier New" w:eastAsia="Times New Roman" w:hAnsi="Courier New" w:cs="Times New Roman"/>
      <w:sz w:val="20"/>
      <w:szCs w:val="20"/>
      <w:lang w:val="en-AU"/>
    </w:rPr>
  </w:style>
  <w:style w:type="character" w:styleId="Hyperlink">
    <w:name w:val="Hyperlink"/>
    <w:uiPriority w:val="99"/>
    <w:rsid w:val="001C2B0E"/>
    <w:rPr>
      <w:color w:val="0000FF"/>
      <w:u w:val="single"/>
    </w:rPr>
  </w:style>
  <w:style w:type="character" w:styleId="FollowedHyperlink">
    <w:name w:val="FollowedHyperlink"/>
    <w:rsid w:val="001C2B0E"/>
    <w:rPr>
      <w:color w:val="800080"/>
      <w:u w:val="single"/>
    </w:rPr>
  </w:style>
  <w:style w:type="paragraph" w:customStyle="1" w:styleId="Body">
    <w:name w:val="Body"/>
    <w:basedOn w:val="Normal"/>
    <w:rsid w:val="001C2B0E"/>
    <w:pPr>
      <w:spacing w:before="120"/>
      <w:ind w:left="1080"/>
    </w:pPr>
    <w:rPr>
      <w:color w:val="000000"/>
      <w:szCs w:val="20"/>
    </w:rPr>
  </w:style>
  <w:style w:type="paragraph" w:styleId="NormalWeb">
    <w:name w:val="Normal (Web)"/>
    <w:basedOn w:val="Normal"/>
    <w:uiPriority w:val="99"/>
    <w:unhideWhenUsed/>
    <w:rsid w:val="001C2B0E"/>
    <w:pPr>
      <w:spacing w:before="100" w:beforeAutospacing="1" w:after="100" w:afterAutospacing="1"/>
    </w:pPr>
  </w:style>
  <w:style w:type="paragraph" w:customStyle="1" w:styleId="Police">
    <w:name w:val="Police"/>
    <w:basedOn w:val="Normal"/>
    <w:link w:val="PoliceChar"/>
    <w:rsid w:val="00F42025"/>
    <w:pPr>
      <w:spacing w:after="240" w:line="720" w:lineRule="exact"/>
      <w:ind w:left="1985"/>
    </w:pPr>
    <w:rPr>
      <w:rFonts w:ascii="Arial" w:eastAsia="Calibri" w:hAnsi="Arial"/>
      <w:sz w:val="60"/>
      <w:szCs w:val="20"/>
      <w:lang w:val="en-GB"/>
    </w:rPr>
  </w:style>
  <w:style w:type="character" w:customStyle="1" w:styleId="PoliceChar">
    <w:name w:val="Police Char"/>
    <w:basedOn w:val="DefaultParagraphFont"/>
    <w:link w:val="Police"/>
    <w:rsid w:val="00F42025"/>
    <w:rPr>
      <w:rFonts w:ascii="Arial" w:eastAsia="Calibri" w:hAnsi="Arial" w:cs="Times New Roman"/>
      <w:sz w:val="60"/>
      <w:szCs w:val="20"/>
      <w:lang w:val="en-GB"/>
    </w:rPr>
  </w:style>
  <w:style w:type="paragraph" w:styleId="NoSpacing">
    <w:name w:val="No Spacing"/>
    <w:link w:val="NoSpacingChar"/>
    <w:uiPriority w:val="1"/>
    <w:rsid w:val="00F42025"/>
    <w:pPr>
      <w:spacing w:after="0" w:line="240" w:lineRule="auto"/>
      <w:jc w:val="both"/>
    </w:pPr>
    <w:rPr>
      <w:rFonts w:ascii="Arial" w:eastAsia="Calibri" w:hAnsi="Arial" w:cs="Times New Roman"/>
      <w:spacing w:val="3"/>
      <w:sz w:val="20"/>
      <w:szCs w:val="18"/>
      <w:lang w:val="en-GB"/>
    </w:rPr>
  </w:style>
  <w:style w:type="character" w:customStyle="1" w:styleId="NoSpacingChar">
    <w:name w:val="No Spacing Char"/>
    <w:basedOn w:val="DefaultParagraphFont"/>
    <w:link w:val="NoSpacing"/>
    <w:uiPriority w:val="1"/>
    <w:rsid w:val="00F42025"/>
    <w:rPr>
      <w:rFonts w:ascii="Arial" w:eastAsia="Calibri" w:hAnsi="Arial" w:cs="Times New Roman"/>
      <w:spacing w:val="3"/>
      <w:sz w:val="20"/>
      <w:szCs w:val="18"/>
      <w:lang w:val="en-GB"/>
    </w:rPr>
  </w:style>
  <w:style w:type="paragraph" w:styleId="TOC3">
    <w:name w:val="toc 3"/>
    <w:basedOn w:val="Normal"/>
    <w:next w:val="Normal"/>
    <w:autoRedefine/>
    <w:uiPriority w:val="39"/>
    <w:unhideWhenUsed/>
    <w:rsid w:val="00DF1414"/>
    <w:pPr>
      <w:spacing w:after="100"/>
      <w:ind w:left="480"/>
    </w:pPr>
  </w:style>
  <w:style w:type="paragraph" w:customStyle="1" w:styleId="Calibi12blueheading">
    <w:name w:val="Calibi 12 blue heading"/>
    <w:basedOn w:val="Normal"/>
    <w:link w:val="Calibi12blueheadingChar"/>
    <w:rsid w:val="00CA5E3F"/>
    <w:pPr>
      <w:tabs>
        <w:tab w:val="left" w:pos="720"/>
      </w:tabs>
      <w:spacing w:before="100" w:beforeAutospacing="1" w:after="100" w:afterAutospacing="1"/>
      <w:ind w:right="3"/>
      <w:jc w:val="both"/>
    </w:pPr>
    <w:rPr>
      <w:rFonts w:asciiTheme="minorHAnsi" w:hAnsiTheme="minorHAnsi" w:cstheme="minorHAnsi"/>
      <w:b/>
      <w:color w:val="002060"/>
    </w:rPr>
  </w:style>
  <w:style w:type="paragraph" w:customStyle="1" w:styleId="Black1">
    <w:name w:val="Black 1"/>
    <w:basedOn w:val="Normal"/>
    <w:link w:val="Black1Char"/>
    <w:rsid w:val="00AA0FB9"/>
  </w:style>
  <w:style w:type="character" w:customStyle="1" w:styleId="Calibi12blueheadingChar">
    <w:name w:val="Calibi 12 blue heading Char"/>
    <w:basedOn w:val="DefaultParagraphFont"/>
    <w:link w:val="Calibi12blueheading"/>
    <w:rsid w:val="00CA5E3F"/>
    <w:rPr>
      <w:rFonts w:eastAsia="Times New Roman" w:cstheme="minorHAnsi"/>
      <w:b/>
      <w:color w:val="002060"/>
      <w:sz w:val="24"/>
      <w:szCs w:val="24"/>
    </w:rPr>
  </w:style>
  <w:style w:type="paragraph" w:customStyle="1" w:styleId="BlackTextBody">
    <w:name w:val="Black Text Body"/>
    <w:basedOn w:val="Normal"/>
    <w:link w:val="BlackTextBodyChar"/>
    <w:qFormat/>
    <w:rsid w:val="00AA0FB9"/>
    <w:pPr>
      <w:tabs>
        <w:tab w:val="left" w:pos="720"/>
      </w:tabs>
      <w:jc w:val="both"/>
    </w:pPr>
    <w:rPr>
      <w:rFonts w:asciiTheme="minorHAnsi" w:hAnsiTheme="minorHAnsi" w:cstheme="minorHAnsi"/>
      <w:sz w:val="22"/>
      <w:szCs w:val="22"/>
    </w:rPr>
  </w:style>
  <w:style w:type="character" w:customStyle="1" w:styleId="Black1Char">
    <w:name w:val="Black 1 Char"/>
    <w:basedOn w:val="DefaultParagraphFont"/>
    <w:link w:val="Black1"/>
    <w:rsid w:val="00AA0FB9"/>
    <w:rPr>
      <w:rFonts w:ascii="Times New Roman" w:eastAsia="Times New Roman" w:hAnsi="Times New Roman" w:cs="Times New Roman"/>
      <w:sz w:val="24"/>
      <w:szCs w:val="24"/>
    </w:rPr>
  </w:style>
  <w:style w:type="character" w:customStyle="1" w:styleId="BlackTextBodyChar">
    <w:name w:val="Black Text Body Char"/>
    <w:basedOn w:val="DefaultParagraphFont"/>
    <w:link w:val="BlackTextBody"/>
    <w:rsid w:val="00AA0FB9"/>
    <w:rPr>
      <w:rFonts w:eastAsia="Times New Roman" w:cstheme="minorHAnsi"/>
    </w:rPr>
  </w:style>
  <w:style w:type="paragraph" w:customStyle="1" w:styleId="HeadinBlue14Caps">
    <w:name w:val="Headin Blue 14 Caps"/>
    <w:basedOn w:val="Heading1"/>
    <w:link w:val="HeadinBlue14CapsChar"/>
    <w:qFormat/>
    <w:rsid w:val="00C93E86"/>
    <w:pPr>
      <w:tabs>
        <w:tab w:val="left" w:pos="180"/>
        <w:tab w:val="left" w:pos="450"/>
      </w:tabs>
      <w:spacing w:before="100" w:beforeAutospacing="1" w:after="100" w:afterAutospacing="1"/>
    </w:pPr>
    <w:rPr>
      <w:i w:val="0"/>
      <w:caps/>
      <w:sz w:val="28"/>
      <w:szCs w:val="28"/>
    </w:rPr>
  </w:style>
  <w:style w:type="paragraph" w:styleId="TOCHeading">
    <w:name w:val="TOC Heading"/>
    <w:basedOn w:val="Heading1"/>
    <w:next w:val="Normal"/>
    <w:uiPriority w:val="39"/>
    <w:semiHidden/>
    <w:unhideWhenUsed/>
    <w:qFormat/>
    <w:rsid w:val="00BC77FE"/>
    <w:pPr>
      <w:keepLines/>
      <w:tabs>
        <w:tab w:val="clear" w:pos="567"/>
      </w:tabs>
      <w:spacing w:before="480" w:line="276" w:lineRule="auto"/>
      <w:outlineLvl w:val="9"/>
    </w:pPr>
    <w:rPr>
      <w:rFonts w:asciiTheme="majorHAnsi" w:eastAsiaTheme="majorEastAsia" w:hAnsiTheme="majorHAnsi" w:cstheme="majorBidi"/>
      <w:bCs/>
      <w:caps/>
      <w:color w:val="365F91" w:themeColor="accent1" w:themeShade="BF"/>
      <w:sz w:val="28"/>
      <w:szCs w:val="28"/>
      <w:lang w:val="en-US" w:eastAsia="ja-JP"/>
    </w:rPr>
  </w:style>
  <w:style w:type="character" w:customStyle="1" w:styleId="HeadinBlue14CapsChar">
    <w:name w:val="Headin Blue 14 Caps Char"/>
    <w:basedOn w:val="Heading1Char"/>
    <w:link w:val="HeadinBlue14Caps"/>
    <w:rsid w:val="00C93E86"/>
    <w:rPr>
      <w:rFonts w:eastAsia="Times New Roman" w:cstheme="minorHAnsi"/>
      <w:b/>
      <w:i w:val="0"/>
      <w:caps/>
      <w:color w:val="002060"/>
      <w:sz w:val="28"/>
      <w:szCs w:val="28"/>
      <w:lang w:val="en-AU"/>
    </w:rPr>
  </w:style>
  <w:style w:type="paragraph" w:customStyle="1" w:styleId="Text2">
    <w:name w:val="Text 2"/>
    <w:basedOn w:val="Calibi12blueheading"/>
    <w:link w:val="Text2Char"/>
    <w:rsid w:val="006A69D3"/>
  </w:style>
  <w:style w:type="character" w:customStyle="1" w:styleId="Text2Char">
    <w:name w:val="Text 2 Char"/>
    <w:basedOn w:val="Calibi12blueheadingChar"/>
    <w:link w:val="Text2"/>
    <w:rsid w:val="006A69D3"/>
    <w:rPr>
      <w:rFonts w:eastAsia="Times New Roman" w:cstheme="minorHAnsi"/>
      <w:b/>
      <w:color w:val="002060"/>
      <w:sz w:val="24"/>
      <w:szCs w:val="24"/>
    </w:rPr>
  </w:style>
  <w:style w:type="character" w:styleId="Emphasis">
    <w:name w:val="Emphasis"/>
    <w:basedOn w:val="DefaultParagraphFont"/>
    <w:uiPriority w:val="20"/>
    <w:rsid w:val="00131C37"/>
    <w:rPr>
      <w:i/>
      <w:iCs/>
    </w:rPr>
  </w:style>
  <w:style w:type="character" w:styleId="CommentReference">
    <w:name w:val="annotation reference"/>
    <w:basedOn w:val="DefaultParagraphFont"/>
    <w:uiPriority w:val="99"/>
    <w:semiHidden/>
    <w:unhideWhenUsed/>
    <w:rsid w:val="00131C37"/>
    <w:rPr>
      <w:sz w:val="16"/>
      <w:szCs w:val="16"/>
    </w:rPr>
  </w:style>
  <w:style w:type="paragraph" w:styleId="CommentText">
    <w:name w:val="annotation text"/>
    <w:basedOn w:val="Normal"/>
    <w:link w:val="CommentTextChar"/>
    <w:uiPriority w:val="99"/>
    <w:unhideWhenUsed/>
    <w:rsid w:val="00131C37"/>
    <w:rPr>
      <w:sz w:val="20"/>
      <w:szCs w:val="20"/>
    </w:rPr>
  </w:style>
  <w:style w:type="character" w:customStyle="1" w:styleId="CommentTextChar">
    <w:name w:val="Comment Text Char"/>
    <w:basedOn w:val="DefaultParagraphFont"/>
    <w:link w:val="CommentText"/>
    <w:uiPriority w:val="99"/>
    <w:rsid w:val="00131C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1C37"/>
    <w:rPr>
      <w:b/>
      <w:bCs/>
    </w:rPr>
  </w:style>
  <w:style w:type="character" w:customStyle="1" w:styleId="CommentSubjectChar">
    <w:name w:val="Comment Subject Char"/>
    <w:basedOn w:val="CommentTextChar"/>
    <w:link w:val="CommentSubject"/>
    <w:uiPriority w:val="99"/>
    <w:semiHidden/>
    <w:rsid w:val="00131C37"/>
    <w:rPr>
      <w:rFonts w:ascii="Times New Roman" w:eastAsia="Times New Roman" w:hAnsi="Times New Roman" w:cs="Times New Roman"/>
      <w:b/>
      <w:bCs/>
      <w:sz w:val="20"/>
      <w:szCs w:val="20"/>
    </w:rPr>
  </w:style>
  <w:style w:type="paragraph" w:styleId="Revision">
    <w:name w:val="Revision"/>
    <w:hidden/>
    <w:uiPriority w:val="99"/>
    <w:semiHidden/>
    <w:rsid w:val="00131C37"/>
    <w:pPr>
      <w:spacing w:after="0" w:line="240" w:lineRule="auto"/>
    </w:pPr>
    <w:rPr>
      <w:rFonts w:ascii="Times New Roman" w:eastAsia="Times New Roman" w:hAnsi="Times New Roman" w:cs="Times New Roman"/>
      <w:sz w:val="24"/>
      <w:szCs w:val="24"/>
    </w:rPr>
  </w:style>
  <w:style w:type="table" w:styleId="LightList">
    <w:name w:val="Light List"/>
    <w:basedOn w:val="TableNormal"/>
    <w:uiPriority w:val="61"/>
    <w:rsid w:val="00741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POlicycontentsubheading">
    <w:name w:val="POlicy content sub heading"/>
    <w:basedOn w:val="Heading2"/>
    <w:link w:val="POlicycontentsubheadingChar"/>
    <w:qFormat/>
    <w:rsid w:val="003D6F10"/>
    <w:rPr>
      <w:i w:val="0"/>
      <w:caps w:val="0"/>
      <w:sz w:val="28"/>
    </w:rPr>
  </w:style>
  <w:style w:type="character" w:styleId="IntenseReference">
    <w:name w:val="Intense Reference"/>
    <w:basedOn w:val="DefaultParagraphFont"/>
    <w:uiPriority w:val="32"/>
    <w:rsid w:val="006B4421"/>
    <w:rPr>
      <w:b/>
      <w:bCs/>
      <w:smallCaps/>
      <w:color w:val="C0504D" w:themeColor="accent2"/>
      <w:spacing w:val="5"/>
      <w:u w:val="single"/>
    </w:rPr>
  </w:style>
  <w:style w:type="character" w:customStyle="1" w:styleId="POlicycontentsubheadingChar">
    <w:name w:val="POlicy content sub heading Char"/>
    <w:basedOn w:val="Heading2Char"/>
    <w:link w:val="POlicycontentsubheading"/>
    <w:rsid w:val="003D6F10"/>
    <w:rPr>
      <w:rFonts w:ascii="Arial" w:eastAsia="Times New Roman" w:hAnsi="Arial" w:cstheme="minorHAnsi"/>
      <w:b/>
      <w:color w:val="002060"/>
      <w:sz w:val="28"/>
      <w:szCs w:val="20"/>
      <w:lang w:val="en-AU"/>
    </w:rPr>
  </w:style>
  <w:style w:type="paragraph" w:customStyle="1" w:styleId="Default">
    <w:name w:val="Default"/>
    <w:rsid w:val="004D05E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5999">
      <w:bodyDiv w:val="1"/>
      <w:marLeft w:val="0"/>
      <w:marRight w:val="0"/>
      <w:marTop w:val="0"/>
      <w:marBottom w:val="0"/>
      <w:divBdr>
        <w:top w:val="none" w:sz="0" w:space="0" w:color="auto"/>
        <w:left w:val="none" w:sz="0" w:space="0" w:color="auto"/>
        <w:bottom w:val="none" w:sz="0" w:space="0" w:color="auto"/>
        <w:right w:val="none" w:sz="0" w:space="0" w:color="auto"/>
      </w:divBdr>
      <w:divsChild>
        <w:div w:id="120147533">
          <w:marLeft w:val="0"/>
          <w:marRight w:val="0"/>
          <w:marTop w:val="0"/>
          <w:marBottom w:val="0"/>
          <w:divBdr>
            <w:top w:val="none" w:sz="0" w:space="0" w:color="auto"/>
            <w:left w:val="none" w:sz="0" w:space="0" w:color="auto"/>
            <w:bottom w:val="none" w:sz="0" w:space="0" w:color="auto"/>
            <w:right w:val="none" w:sz="0" w:space="0" w:color="auto"/>
          </w:divBdr>
        </w:div>
        <w:div w:id="2146968085">
          <w:marLeft w:val="0"/>
          <w:marRight w:val="0"/>
          <w:marTop w:val="0"/>
          <w:marBottom w:val="0"/>
          <w:divBdr>
            <w:top w:val="none" w:sz="0" w:space="0" w:color="auto"/>
            <w:left w:val="none" w:sz="0" w:space="0" w:color="auto"/>
            <w:bottom w:val="none" w:sz="0" w:space="0" w:color="auto"/>
            <w:right w:val="none" w:sz="0" w:space="0" w:color="auto"/>
          </w:divBdr>
        </w:div>
        <w:div w:id="2125998573">
          <w:marLeft w:val="0"/>
          <w:marRight w:val="0"/>
          <w:marTop w:val="0"/>
          <w:marBottom w:val="0"/>
          <w:divBdr>
            <w:top w:val="none" w:sz="0" w:space="0" w:color="auto"/>
            <w:left w:val="none" w:sz="0" w:space="0" w:color="auto"/>
            <w:bottom w:val="none" w:sz="0" w:space="0" w:color="auto"/>
            <w:right w:val="none" w:sz="0" w:space="0" w:color="auto"/>
          </w:divBdr>
        </w:div>
        <w:div w:id="2124613770">
          <w:marLeft w:val="0"/>
          <w:marRight w:val="0"/>
          <w:marTop w:val="0"/>
          <w:marBottom w:val="0"/>
          <w:divBdr>
            <w:top w:val="none" w:sz="0" w:space="0" w:color="auto"/>
            <w:left w:val="none" w:sz="0" w:space="0" w:color="auto"/>
            <w:bottom w:val="none" w:sz="0" w:space="0" w:color="auto"/>
            <w:right w:val="none" w:sz="0" w:space="0" w:color="auto"/>
          </w:divBdr>
        </w:div>
        <w:div w:id="741829289">
          <w:marLeft w:val="0"/>
          <w:marRight w:val="0"/>
          <w:marTop w:val="0"/>
          <w:marBottom w:val="0"/>
          <w:divBdr>
            <w:top w:val="none" w:sz="0" w:space="0" w:color="auto"/>
            <w:left w:val="none" w:sz="0" w:space="0" w:color="auto"/>
            <w:bottom w:val="none" w:sz="0" w:space="0" w:color="auto"/>
            <w:right w:val="none" w:sz="0" w:space="0" w:color="auto"/>
          </w:divBdr>
        </w:div>
        <w:div w:id="1954552915">
          <w:marLeft w:val="0"/>
          <w:marRight w:val="0"/>
          <w:marTop w:val="0"/>
          <w:marBottom w:val="0"/>
          <w:divBdr>
            <w:top w:val="none" w:sz="0" w:space="0" w:color="auto"/>
            <w:left w:val="none" w:sz="0" w:space="0" w:color="auto"/>
            <w:bottom w:val="none" w:sz="0" w:space="0" w:color="auto"/>
            <w:right w:val="none" w:sz="0" w:space="0" w:color="auto"/>
          </w:divBdr>
        </w:div>
        <w:div w:id="717239609">
          <w:marLeft w:val="0"/>
          <w:marRight w:val="0"/>
          <w:marTop w:val="0"/>
          <w:marBottom w:val="0"/>
          <w:divBdr>
            <w:top w:val="none" w:sz="0" w:space="0" w:color="auto"/>
            <w:left w:val="none" w:sz="0" w:space="0" w:color="auto"/>
            <w:bottom w:val="none" w:sz="0" w:space="0" w:color="auto"/>
            <w:right w:val="none" w:sz="0" w:space="0" w:color="auto"/>
          </w:divBdr>
        </w:div>
        <w:div w:id="1567645959">
          <w:marLeft w:val="0"/>
          <w:marRight w:val="0"/>
          <w:marTop w:val="0"/>
          <w:marBottom w:val="0"/>
          <w:divBdr>
            <w:top w:val="none" w:sz="0" w:space="0" w:color="auto"/>
            <w:left w:val="none" w:sz="0" w:space="0" w:color="auto"/>
            <w:bottom w:val="none" w:sz="0" w:space="0" w:color="auto"/>
            <w:right w:val="none" w:sz="0" w:space="0" w:color="auto"/>
          </w:divBdr>
        </w:div>
      </w:divsChild>
    </w:div>
    <w:div w:id="31922861">
      <w:bodyDiv w:val="1"/>
      <w:marLeft w:val="0"/>
      <w:marRight w:val="0"/>
      <w:marTop w:val="0"/>
      <w:marBottom w:val="0"/>
      <w:divBdr>
        <w:top w:val="none" w:sz="0" w:space="0" w:color="auto"/>
        <w:left w:val="none" w:sz="0" w:space="0" w:color="auto"/>
        <w:bottom w:val="none" w:sz="0" w:space="0" w:color="auto"/>
        <w:right w:val="none" w:sz="0" w:space="0" w:color="auto"/>
      </w:divBdr>
    </w:div>
    <w:div w:id="365642555">
      <w:bodyDiv w:val="1"/>
      <w:marLeft w:val="0"/>
      <w:marRight w:val="0"/>
      <w:marTop w:val="0"/>
      <w:marBottom w:val="0"/>
      <w:divBdr>
        <w:top w:val="none" w:sz="0" w:space="0" w:color="auto"/>
        <w:left w:val="none" w:sz="0" w:space="0" w:color="auto"/>
        <w:bottom w:val="none" w:sz="0" w:space="0" w:color="auto"/>
        <w:right w:val="none" w:sz="0" w:space="0" w:color="auto"/>
      </w:divBdr>
      <w:divsChild>
        <w:div w:id="2110274228">
          <w:marLeft w:val="0"/>
          <w:marRight w:val="0"/>
          <w:marTop w:val="0"/>
          <w:marBottom w:val="0"/>
          <w:divBdr>
            <w:top w:val="none" w:sz="0" w:space="0" w:color="auto"/>
            <w:left w:val="none" w:sz="0" w:space="0" w:color="auto"/>
            <w:bottom w:val="none" w:sz="0" w:space="0" w:color="auto"/>
            <w:right w:val="none" w:sz="0" w:space="0" w:color="auto"/>
          </w:divBdr>
        </w:div>
      </w:divsChild>
    </w:div>
    <w:div w:id="371149608">
      <w:bodyDiv w:val="1"/>
      <w:marLeft w:val="0"/>
      <w:marRight w:val="0"/>
      <w:marTop w:val="0"/>
      <w:marBottom w:val="0"/>
      <w:divBdr>
        <w:top w:val="none" w:sz="0" w:space="0" w:color="auto"/>
        <w:left w:val="none" w:sz="0" w:space="0" w:color="auto"/>
        <w:bottom w:val="none" w:sz="0" w:space="0" w:color="auto"/>
        <w:right w:val="none" w:sz="0" w:space="0" w:color="auto"/>
      </w:divBdr>
    </w:div>
    <w:div w:id="438331236">
      <w:bodyDiv w:val="1"/>
      <w:marLeft w:val="0"/>
      <w:marRight w:val="0"/>
      <w:marTop w:val="0"/>
      <w:marBottom w:val="0"/>
      <w:divBdr>
        <w:top w:val="none" w:sz="0" w:space="0" w:color="auto"/>
        <w:left w:val="none" w:sz="0" w:space="0" w:color="auto"/>
        <w:bottom w:val="none" w:sz="0" w:space="0" w:color="auto"/>
        <w:right w:val="none" w:sz="0" w:space="0" w:color="auto"/>
      </w:divBdr>
    </w:div>
    <w:div w:id="484903742">
      <w:bodyDiv w:val="1"/>
      <w:marLeft w:val="0"/>
      <w:marRight w:val="0"/>
      <w:marTop w:val="0"/>
      <w:marBottom w:val="0"/>
      <w:divBdr>
        <w:top w:val="none" w:sz="0" w:space="0" w:color="auto"/>
        <w:left w:val="none" w:sz="0" w:space="0" w:color="auto"/>
        <w:bottom w:val="none" w:sz="0" w:space="0" w:color="auto"/>
        <w:right w:val="none" w:sz="0" w:space="0" w:color="auto"/>
      </w:divBdr>
    </w:div>
    <w:div w:id="489371007">
      <w:bodyDiv w:val="1"/>
      <w:marLeft w:val="0"/>
      <w:marRight w:val="0"/>
      <w:marTop w:val="0"/>
      <w:marBottom w:val="0"/>
      <w:divBdr>
        <w:top w:val="none" w:sz="0" w:space="0" w:color="auto"/>
        <w:left w:val="none" w:sz="0" w:space="0" w:color="auto"/>
        <w:bottom w:val="none" w:sz="0" w:space="0" w:color="auto"/>
        <w:right w:val="none" w:sz="0" w:space="0" w:color="auto"/>
      </w:divBdr>
    </w:div>
    <w:div w:id="922495215">
      <w:bodyDiv w:val="1"/>
      <w:marLeft w:val="0"/>
      <w:marRight w:val="0"/>
      <w:marTop w:val="0"/>
      <w:marBottom w:val="0"/>
      <w:divBdr>
        <w:top w:val="none" w:sz="0" w:space="0" w:color="auto"/>
        <w:left w:val="none" w:sz="0" w:space="0" w:color="auto"/>
        <w:bottom w:val="none" w:sz="0" w:space="0" w:color="auto"/>
        <w:right w:val="none" w:sz="0" w:space="0" w:color="auto"/>
      </w:divBdr>
    </w:div>
    <w:div w:id="1007751927">
      <w:bodyDiv w:val="1"/>
      <w:marLeft w:val="0"/>
      <w:marRight w:val="0"/>
      <w:marTop w:val="0"/>
      <w:marBottom w:val="0"/>
      <w:divBdr>
        <w:top w:val="none" w:sz="0" w:space="0" w:color="auto"/>
        <w:left w:val="none" w:sz="0" w:space="0" w:color="auto"/>
        <w:bottom w:val="none" w:sz="0" w:space="0" w:color="auto"/>
        <w:right w:val="none" w:sz="0" w:space="0" w:color="auto"/>
      </w:divBdr>
      <w:divsChild>
        <w:div w:id="875125144">
          <w:marLeft w:val="0"/>
          <w:marRight w:val="0"/>
          <w:marTop w:val="0"/>
          <w:marBottom w:val="0"/>
          <w:divBdr>
            <w:top w:val="none" w:sz="0" w:space="0" w:color="auto"/>
            <w:left w:val="none" w:sz="0" w:space="0" w:color="auto"/>
            <w:bottom w:val="none" w:sz="0" w:space="0" w:color="auto"/>
            <w:right w:val="none" w:sz="0" w:space="0" w:color="auto"/>
          </w:divBdr>
        </w:div>
      </w:divsChild>
    </w:div>
    <w:div w:id="1195313072">
      <w:bodyDiv w:val="1"/>
      <w:marLeft w:val="0"/>
      <w:marRight w:val="0"/>
      <w:marTop w:val="0"/>
      <w:marBottom w:val="0"/>
      <w:divBdr>
        <w:top w:val="none" w:sz="0" w:space="0" w:color="auto"/>
        <w:left w:val="none" w:sz="0" w:space="0" w:color="auto"/>
        <w:bottom w:val="none" w:sz="0" w:space="0" w:color="auto"/>
        <w:right w:val="none" w:sz="0" w:space="0" w:color="auto"/>
      </w:divBdr>
    </w:div>
    <w:div w:id="1277639849">
      <w:bodyDiv w:val="1"/>
      <w:marLeft w:val="0"/>
      <w:marRight w:val="0"/>
      <w:marTop w:val="0"/>
      <w:marBottom w:val="0"/>
      <w:divBdr>
        <w:top w:val="none" w:sz="0" w:space="0" w:color="auto"/>
        <w:left w:val="none" w:sz="0" w:space="0" w:color="auto"/>
        <w:bottom w:val="none" w:sz="0" w:space="0" w:color="auto"/>
        <w:right w:val="none" w:sz="0" w:space="0" w:color="auto"/>
      </w:divBdr>
      <w:divsChild>
        <w:div w:id="1159997111">
          <w:marLeft w:val="0"/>
          <w:marRight w:val="0"/>
          <w:marTop w:val="0"/>
          <w:marBottom w:val="0"/>
          <w:divBdr>
            <w:top w:val="none" w:sz="0" w:space="0" w:color="auto"/>
            <w:left w:val="none" w:sz="0" w:space="0" w:color="auto"/>
            <w:bottom w:val="none" w:sz="0" w:space="0" w:color="auto"/>
            <w:right w:val="none" w:sz="0" w:space="0" w:color="auto"/>
          </w:divBdr>
        </w:div>
      </w:divsChild>
    </w:div>
    <w:div w:id="1344429881">
      <w:bodyDiv w:val="1"/>
      <w:marLeft w:val="0"/>
      <w:marRight w:val="0"/>
      <w:marTop w:val="0"/>
      <w:marBottom w:val="0"/>
      <w:divBdr>
        <w:top w:val="none" w:sz="0" w:space="0" w:color="auto"/>
        <w:left w:val="none" w:sz="0" w:space="0" w:color="auto"/>
        <w:bottom w:val="none" w:sz="0" w:space="0" w:color="auto"/>
        <w:right w:val="none" w:sz="0" w:space="0" w:color="auto"/>
      </w:divBdr>
    </w:div>
    <w:div w:id="1434009476">
      <w:bodyDiv w:val="1"/>
      <w:marLeft w:val="0"/>
      <w:marRight w:val="0"/>
      <w:marTop w:val="0"/>
      <w:marBottom w:val="0"/>
      <w:divBdr>
        <w:top w:val="none" w:sz="0" w:space="0" w:color="auto"/>
        <w:left w:val="none" w:sz="0" w:space="0" w:color="auto"/>
        <w:bottom w:val="none" w:sz="0" w:space="0" w:color="auto"/>
        <w:right w:val="none" w:sz="0" w:space="0" w:color="auto"/>
      </w:divBdr>
      <w:divsChild>
        <w:div w:id="1013188497">
          <w:marLeft w:val="0"/>
          <w:marRight w:val="0"/>
          <w:marTop w:val="0"/>
          <w:marBottom w:val="0"/>
          <w:divBdr>
            <w:top w:val="none" w:sz="0" w:space="0" w:color="auto"/>
            <w:left w:val="none" w:sz="0" w:space="0" w:color="auto"/>
            <w:bottom w:val="none" w:sz="0" w:space="0" w:color="auto"/>
            <w:right w:val="none" w:sz="0" w:space="0" w:color="auto"/>
          </w:divBdr>
        </w:div>
      </w:divsChild>
    </w:div>
    <w:div w:id="1462648680">
      <w:bodyDiv w:val="1"/>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
      </w:divsChild>
    </w:div>
    <w:div w:id="1520972242">
      <w:bodyDiv w:val="1"/>
      <w:marLeft w:val="0"/>
      <w:marRight w:val="0"/>
      <w:marTop w:val="0"/>
      <w:marBottom w:val="0"/>
      <w:divBdr>
        <w:top w:val="none" w:sz="0" w:space="0" w:color="auto"/>
        <w:left w:val="none" w:sz="0" w:space="0" w:color="auto"/>
        <w:bottom w:val="none" w:sz="0" w:space="0" w:color="auto"/>
        <w:right w:val="none" w:sz="0" w:space="0" w:color="auto"/>
      </w:divBdr>
      <w:divsChild>
        <w:div w:id="936982220">
          <w:marLeft w:val="0"/>
          <w:marRight w:val="0"/>
          <w:marTop w:val="0"/>
          <w:marBottom w:val="0"/>
          <w:divBdr>
            <w:top w:val="none" w:sz="0" w:space="0" w:color="auto"/>
            <w:left w:val="none" w:sz="0" w:space="0" w:color="auto"/>
            <w:bottom w:val="none" w:sz="0" w:space="0" w:color="auto"/>
            <w:right w:val="none" w:sz="0" w:space="0" w:color="auto"/>
          </w:divBdr>
        </w:div>
      </w:divsChild>
    </w:div>
    <w:div w:id="1647396044">
      <w:bodyDiv w:val="1"/>
      <w:marLeft w:val="0"/>
      <w:marRight w:val="0"/>
      <w:marTop w:val="0"/>
      <w:marBottom w:val="0"/>
      <w:divBdr>
        <w:top w:val="none" w:sz="0" w:space="0" w:color="auto"/>
        <w:left w:val="none" w:sz="0" w:space="0" w:color="auto"/>
        <w:bottom w:val="none" w:sz="0" w:space="0" w:color="auto"/>
        <w:right w:val="none" w:sz="0" w:space="0" w:color="auto"/>
      </w:divBdr>
    </w:div>
    <w:div w:id="1728600219">
      <w:bodyDiv w:val="1"/>
      <w:marLeft w:val="0"/>
      <w:marRight w:val="0"/>
      <w:marTop w:val="0"/>
      <w:marBottom w:val="0"/>
      <w:divBdr>
        <w:top w:val="none" w:sz="0" w:space="0" w:color="auto"/>
        <w:left w:val="none" w:sz="0" w:space="0" w:color="auto"/>
        <w:bottom w:val="none" w:sz="0" w:space="0" w:color="auto"/>
        <w:right w:val="none" w:sz="0" w:space="0" w:color="auto"/>
      </w:divBdr>
      <w:divsChild>
        <w:div w:id="1946425188">
          <w:marLeft w:val="0"/>
          <w:marRight w:val="0"/>
          <w:marTop w:val="0"/>
          <w:marBottom w:val="0"/>
          <w:divBdr>
            <w:top w:val="none" w:sz="0" w:space="0" w:color="auto"/>
            <w:left w:val="none" w:sz="0" w:space="0" w:color="auto"/>
            <w:bottom w:val="none" w:sz="0" w:space="0" w:color="auto"/>
            <w:right w:val="none" w:sz="0" w:space="0" w:color="auto"/>
          </w:divBdr>
        </w:div>
      </w:divsChild>
    </w:div>
    <w:div w:id="1800680973">
      <w:bodyDiv w:val="1"/>
      <w:marLeft w:val="0"/>
      <w:marRight w:val="0"/>
      <w:marTop w:val="0"/>
      <w:marBottom w:val="0"/>
      <w:divBdr>
        <w:top w:val="none" w:sz="0" w:space="0" w:color="auto"/>
        <w:left w:val="none" w:sz="0" w:space="0" w:color="auto"/>
        <w:bottom w:val="none" w:sz="0" w:space="0" w:color="auto"/>
        <w:right w:val="none" w:sz="0" w:space="0" w:color="auto"/>
      </w:divBdr>
    </w:div>
    <w:div w:id="204454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sec.abudhabi.ae/Sites/GSEC/Navigation/EN/roo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gsec.abudhabi.ae/Sites/GSEC/Content/EN/PDF/innovation-report-pdf,property=pdf.pdf" TargetMode="External"/><Relationship Id="rId2" Type="http://schemas.openxmlformats.org/officeDocument/2006/relationships/numbering" Target="numbering.xml"/><Relationship Id="rId16" Type="http://schemas.openxmlformats.org/officeDocument/2006/relationships/hyperlink" Target="http://gsec.abudhabi.ae/Sites/GSEC/Navigation/EN/roo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adced.ae/en/home/index.asp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NZiegman\AppData\Local\Microsoft\Windows\Temporary%20Internet%20Files\QHSE%20Management%20System\Reference\AD%20Economic%20Vision%20203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olicy%20and%20Procedure%20Template%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C09F2-6B7F-49B4-A463-7ABE4DE5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and Procedure Template Final</Template>
  <TotalTime>1</TotalTime>
  <Pages>8</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Riang Carver</dc:creator>
  <cp:keywords>Riang Carver;business continuity;QHSE;legal;compliance</cp:keywords>
  <cp:lastModifiedBy>Suzan Abumousa</cp:lastModifiedBy>
  <cp:revision>3</cp:revision>
  <cp:lastPrinted>2017-08-31T12:04:00Z</cp:lastPrinted>
  <dcterms:created xsi:type="dcterms:W3CDTF">2017-08-31T12:04:00Z</dcterms:created>
  <dcterms:modified xsi:type="dcterms:W3CDTF">2017-08-31T12:05:00Z</dcterms:modified>
</cp:coreProperties>
</file>