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107.png" ContentType="image/png"/>
  <Override PartName="/word/media/rId120.png" ContentType="image/png"/>
  <Override PartName="/word/media/rId124.png" ContentType="image/png"/>
  <Override PartName="/word/media/rId98.png" ContentType="image/png"/>
  <Override PartName="/word/media/rId102.png" ContentType="image/png"/>
  <Override PartName="/word/media/rId49.png" ContentType="image/png"/>
  <Override PartName="/word/media/rId53.png" ContentType="image/png"/>
  <Override PartName="/word/media/rId40.png" ContentType="image/png"/>
  <Override PartName="/word/media/rId58.png" ContentType="image/png"/>
  <Override PartName="/word/media/rId62.png" ContentType="image/png"/>
  <Override PartName="/word/media/rId67.png" ContentType="image/png"/>
  <Override PartName="/word/media/rId71.png" ContentType="image/png"/>
  <Override PartName="/word/media/rId36.png" ContentType="image/png"/>
  <Override PartName="/word/media/rId146.png" ContentType="image/png"/>
  <Override PartName="/word/media/rId154.png" ContentType="image/png"/>
  <Override PartName="/word/media/rId150.png" ContentType="image/png"/>
  <Override PartName="/word/media/rId129.png" ContentType="image/png"/>
  <Override PartName="/word/media/rId133.png" ContentType="image/png"/>
  <Override PartName="/word/media/rId137.png" ContentType="image/png"/>
  <Override PartName="/word/media/rId141.png" ContentType="image/png"/>
  <Override PartName="/word/media/rId44.png" ContentType="image/png"/>
  <Override PartName="/word/media/rId21.png" ContentType="image/png"/>
  <Override PartName="/word/media/rId25.png" ContentType="image/png"/>
  <Override PartName="/word/media/rId29.png" ContentType="image/png"/>
  <Override PartName="/word/media/rId111.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Age, Period, and Cohort Effects in Philosophy Journal Citations</w:t>
      </w:r>
    </w:p>
    <w:p>
      <w:pPr>
        <w:pStyle w:val="Author"/>
      </w:pPr>
      <w:r>
        <w:t xml:space="preserve">Anon</w:t>
      </w:r>
    </w:p>
    <w:p>
      <w:pPr>
        <w:pStyle w:val="Date"/>
      </w:pPr>
      <w:r>
        <w:t xml:space="preserve">2025-02-12</w:t>
      </w:r>
    </w:p>
    <w:p>
      <w:pPr>
        <w:pStyle w:val="AbstractTitle"/>
      </w:pPr>
      <w:r>
        <w:t xml:space="preserve">Abstract</w:t>
      </w:r>
    </w:p>
    <w:p>
      <w:pPr>
        <w:pStyle w:val="Abstract"/>
      </w:pPr>
      <w:r>
        <w:t xml:space="preserve">There are extremely strong age and period effects in citations in philosophy journals. The age effect is that citations are concentrated on articles published two to five years prior. The period effect is that recent years have seen an explosion in the number of articles published, and the number of citations per articles, so many articles are getting more citations per year than they ever had previously. But cohort effects are trickier to detect. In this note I argue that they exist. There are more citations to articles from eras of more dramatic change in philosophy, such as around 1970 and around 2010. And there are fewer citations to articles from periods of consolidation, especially in the late 1970s through the 1980s.</w:t>
      </w:r>
    </w:p>
    <w:bookmarkStart w:id="34" w:name="sec-introduction"/>
    <w:p>
      <w:pPr>
        <w:pStyle w:val="Heading1"/>
      </w:pPr>
      <w:r>
        <w:t xml:space="preserve">1. Introduction</w:t>
      </w:r>
    </w:p>
    <w:p>
      <w:pPr>
        <w:pStyle w:val="FirstParagraph"/>
      </w:pPr>
      <w:r>
        <w:t xml:space="preserve">Before looking at the data, here are two things I believed about philosophy citations. First, philosophers tend to cite very old papers. We still regularly teach a number of papers over half a century old in introductory classes; e.g.,</w:t>
      </w:r>
      <w:r>
        <w:t xml:space="preserve"> </w:t>
      </w:r>
      <w:r>
        <w:t xml:space="preserve">Frankfurt (1969a)</w:t>
      </w:r>
      <w:r>
        <w:t xml:space="preserve">,</w:t>
      </w:r>
      <w:r>
        <w:t xml:space="preserve"> </w:t>
      </w:r>
      <w:r>
        <w:t xml:space="preserve">Thomson (1971)</w:t>
      </w:r>
      <w:r>
        <w:t xml:space="preserve">,</w:t>
      </w:r>
      <w:r>
        <w:t xml:space="preserve"> </w:t>
      </w:r>
      <w:r>
        <w:t xml:space="preserve">Singer (1972)</w:t>
      </w:r>
      <w:r>
        <w:t xml:space="preserve">,</w:t>
      </w:r>
      <w:r>
        <w:t xml:space="preserve"> </w:t>
      </w:r>
      <w:r>
        <w:t xml:space="preserve">Lewis (1973)</w:t>
      </w:r>
      <w:r>
        <w:t xml:space="preserve">. These aren’t taught as history papers, but as early entries into the contemporary philosophical debate. And, I thought, that’s how we cite. Second, the technological changes of the last quarter century meant that this practice was being slowly reversed. The spread of electronic communication in the late 20th century, and then the rise of archives (e.g., Arxiv, SSRN, PhilPapers) and eventually journals publishing in EarlyView, meant that papers could now be cited even before they were published, and certainly without the delays involved in printing and posting journals around the world.</w:t>
      </w:r>
    </w:p>
    <w:p>
      <w:pPr>
        <w:pStyle w:val="BodyText"/>
      </w:pPr>
      <w:r>
        <w:t xml:space="preserve">Both of these thoughts were wrong. Historically, philosophy papers have tended, when they are citing other philosophy papers, to cite very recent ones. But this tendency is diminishing, not increasing, over time. I’ll offer much more evidence for these claims as we go along, but to make them plausible, I’ll start with two simple graphs.</w:t>
      </w:r>
    </w:p>
    <w:p>
      <w:pPr>
        <w:pStyle w:val="BodyText"/>
      </w:pPr>
      <w:r>
        <w:t xml:space="preserve">The data for the graphs come from citation data I downloaded concerning 112,655 papers published from 1955-2021,</w:t>
      </w:r>
      <w:r>
        <w:rPr>
          <w:rStyle w:val="FootnoteReference"/>
        </w:rPr>
        <w:footnoteReference w:id="20"/>
      </w:r>
      <w:r>
        <w:t xml:space="preserve"> </w:t>
      </w:r>
      <w:r>
        <w:t xml:space="preserve">in one hundred leading philosophy journals. I focussed on the citations to and from journals in this dataset. So every citation is from one of these 100 journals between 1955 and 2021, and to one of these 100 journals between 1955 and 2021. (The details of the journals, including when they start getting indexed for this dataset, are in</w:t>
      </w:r>
      <w:r>
        <w:t xml:space="preserve"> </w:t>
      </w:r>
      <w:hyperlink w:anchor="sec-methodology">
        <w:r>
          <w:rPr>
            <w:rStyle w:val="Hyperlink"/>
          </w:rPr>
          <w:t xml:space="preserve">Section 8</w:t>
        </w:r>
      </w:hyperlink>
      <w:r>
        <w:t xml:space="preserve">.) In total, that gives us YYY citations.</w:t>
      </w:r>
    </w:p>
    <w:p>
      <w:pPr>
        <w:pStyle w:val="BodyText"/>
      </w:pPr>
      <w:r>
        <w:t xml:space="preserve">Say the</w:t>
      </w:r>
      <w:r>
        <w:t xml:space="preserve"> </w:t>
      </w:r>
      <w:r>
        <w:rPr>
          <w:i/>
          <w:iCs/>
        </w:rPr>
        <w:t xml:space="preserve">age</w:t>
      </w:r>
      <w:r>
        <w:t xml:space="preserve"> </w:t>
      </w:r>
      <w:r>
        <w:t xml:space="preserve">of a citation is the difference between the publication year of the citing article and the cited article. So if an article published in 1998 cites an article published in 1985, that’s a 13 year old citation.</w:t>
      </w:r>
    </w:p>
    <w:p>
      <w:pPr>
        <w:pStyle w:val="BodyText"/>
      </w:pPr>
      <w:r>
        <w:t xml:space="preserve">In</w:t>
      </w:r>
      <w:r>
        <w:t xml:space="preserve"> </w:t>
      </w:r>
      <w:hyperlink w:anchor="fig-overall-age">
        <w:r>
          <w:rPr>
            <w:rStyle w:val="Hyperlink"/>
          </w:rPr>
          <w:t xml:space="preserve">Figure 1</w:t>
        </w:r>
      </w:hyperlink>
      <w:r>
        <w:t xml:space="preserve"> </w:t>
      </w:r>
      <w:r>
        <w:t xml:space="preserve">I’ve plotted the number of citations in the dataset with each possible age. As you can see, it’s very heavily tilted towards the left-hand edge. It is true that people still cite</w:t>
      </w:r>
      <w:r>
        <w:t xml:space="preserve"> </w:t>
      </w:r>
      <w:r>
        <w:t xml:space="preserve">Frankfurt (1969b)</w:t>
      </w:r>
      <w:r>
        <w:t xml:space="preserve">. Indeed, it’s one of the most cited papers in the last ten years. But it’s just one paper; the bulk of citations are to recently published papers which, if history is any guide, will soon stop collecting citations.</w:t>
      </w:r>
    </w:p>
    <w:tbl>
      <w:tblPr>
        <w:tblStyle w:val="Table"/>
        <w:tblW w:type="pct" w:w="5000"/>
        <w:tblLayout w:type="fixed"/>
        <w:tblLook w:firstRow="0" w:lastRow="0" w:firstColumn="0" w:lastColumn="0" w:noHBand="0" w:noVBand="0" w:val="0000"/>
      </w:tblPr>
      <w:tblGrid>
        <w:gridCol w:w="7920"/>
      </w:tblGrid>
      <w:tr>
        <w:tc>
          <w:tcPr/>
          <w:bookmarkStart w:id="24" w:name="fig-overall-age"/>
          <w:p>
            <w:pPr>
              <w:pStyle w:val="Compact"/>
              <w:jc w:val="center"/>
            </w:pPr>
            <w:r>
              <w:drawing>
                <wp:inline>
                  <wp:extent cx="5207000" cy="4165600"/>
                  <wp:effectExtent b="0" l="0" r="0" t="0"/>
                  <wp:docPr descr="" title="" id="22" name="Picture"/>
                  <a:graphic>
                    <a:graphicData uri="http://schemas.openxmlformats.org/drawingml/2006/picture">
                      <pic:pic>
                        <pic:nvPicPr>
                          <pic:cNvPr descr="apc-2025_files/figure-docx/fig-overall-age-1.png" id="23" name="Picture"/>
                          <pic:cNvPicPr>
                            <a:picLocks noChangeArrowheads="1" noChangeAspect="1"/>
                          </pic:cNvPicPr>
                        </pic:nvPicPr>
                        <pic:blipFill>
                          <a:blip r:embed="rId2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citations with each age.</w:t>
            </w:r>
          </w:p>
          <w:bookmarkEnd w:id="24"/>
        </w:tc>
      </w:tr>
    </w:tbl>
    <w:p>
      <w:pPr>
        <w:pStyle w:val="BodyText"/>
      </w:pPr>
      <w:r>
        <w:t xml:space="preserve">In</w:t>
      </w:r>
      <w:r>
        <w:t xml:space="preserve"> </w:t>
      </w:r>
      <w:hyperlink w:anchor="fig-overall-median-mode">
        <w:r>
          <w:rPr>
            <w:rStyle w:val="Hyperlink"/>
          </w:rPr>
          <w:t xml:space="preserve">Figure 2</w:t>
        </w:r>
      </w:hyperlink>
      <w:r>
        <w:t xml:space="preserve"> </w:t>
      </w:r>
      <w:r>
        <w:t xml:space="preserve">I’ve plotted the median and mode age of citations in each year from 1980 onwards. Before that the numbers are even lower, but since I’m only looking at citations to articles published after 1955 (or later if Web of Science started indexing the journal later than that), this is arguably an artifact of how I’m collecting the data. From 1980 onwards, however, there are many older articles that could be, but are not, getting cited. The upwards trends in both graphs look like a real change in citation practices, and not in the direction I antecedently expected.</w:t>
      </w:r>
    </w:p>
    <w:bookmarkStart w:id="33" w:name="fig-overall-median-mod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overall-median-mode-1"/>
                <w:p>
                  <w:pPr>
                    <w:pStyle w:val="Compact"/>
                    <w:jc w:val="center"/>
                    <w:jc w:val="left"/>
                  </w:pPr>
                  <w:r>
                    <w:drawing>
                      <wp:inline>
                        <wp:extent cx="5207000" cy="4165600"/>
                        <wp:effectExtent b="0" l="0" r="0" t="0"/>
                        <wp:docPr descr="" title="" id="26" name="Picture"/>
                        <a:graphic>
                          <a:graphicData uri="http://schemas.openxmlformats.org/drawingml/2006/picture">
                            <pic:pic>
                              <pic:nvPicPr>
                                <pic:cNvPr descr="apc-2025_files/figure-docx/fig-overall-median-mode-1.png" id="27" name="Picture"/>
                                <pic:cNvPicPr>
                                  <a:picLocks noChangeArrowheads="1" noChangeAspect="1"/>
                                </pic:cNvPicPr>
                              </pic:nvPicPr>
                              <pic:blipFill>
                                <a:blip r:embed="rId25"/>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Median</w:t>
                  </w:r>
                </w:p>
                <w:bookmarkEnd w:id="2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 w:name="fig-overall-median-mode-2"/>
                <w:p>
                  <w:pPr>
                    <w:pStyle w:val="Compact"/>
                    <w:jc w:val="center"/>
                    <w:jc w:val="left"/>
                  </w:pPr>
                  <w:r>
                    <w:drawing>
                      <wp:inline>
                        <wp:extent cx="5207000" cy="4165600"/>
                        <wp:effectExtent b="0" l="0" r="0" t="0"/>
                        <wp:docPr descr="" title="" id="30" name="Picture"/>
                        <a:graphic>
                          <a:graphicData uri="http://schemas.openxmlformats.org/drawingml/2006/picture">
                            <pic:pic>
                              <pic:nvPicPr>
                                <pic:cNvPr descr="apc-2025_files/figure-docx/fig-overall-median-mode-2.png" id="31" name="Picture"/>
                                <pic:cNvPicPr>
                                  <a:picLocks noChangeArrowheads="1" noChangeAspect="1"/>
                                </pic:cNvPicPr>
                              </pic:nvPicPr>
                              <pic:blipFill>
                                <a:blip r:embed="rId29"/>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Mode</w:t>
                  </w:r>
                </w:p>
                <w:bookmarkEnd w:id="32"/>
              </w:tc>
            </w:tr>
          </w:tbl>
          <w:p/>
        </w:tc>
      </w:tr>
    </w:tbl>
    <w:p>
      <w:pPr>
        <w:pStyle w:val="BodyText"/>
      </w:pPr>
      <w:pPr>
        <w:spacing w:before="200"/>
        <w:pStyle w:val="ImageCaption"/>
      </w:pPr>
      <w:r>
        <w:t xml:space="preserve">Figure 2: Summary statistics for outbound citations each year 1970-2021.</w:t>
      </w:r>
    </w:p>
    <w:bookmarkEnd w:id="33"/>
    <w:p>
      <w:pPr>
        <w:pStyle w:val="BodyText"/>
      </w:pPr>
      <w:r>
        <w:t xml:space="preserve">There is a third surprise in the data, but it’s a little more equivocal, and I’m not sure what to make of it. The 2010s seemed like, and to be honest still seem like, something of a golden age for philosophy. In metaphysics we saw the biggest paradigm shift in many years, away from modality and towards grounding. We saw the growth of important fields of social philosophy, including social epistemology, social metaphysics, and social philosophy of language. Though there were some earlier papers that have become important to the latter two fields (e.g.,</w:t>
      </w:r>
      <w:r>
        <w:t xml:space="preserve"> </w:t>
      </w:r>
      <w:r>
        <w:t xml:space="preserve">Haslanger (2000a)</w:t>
      </w:r>
      <w:r>
        <w:t xml:space="preserve">, and</w:t>
      </w:r>
      <w:r>
        <w:t xml:space="preserve"> </w:t>
      </w:r>
      <w:r>
        <w:t xml:space="preserve">Langton (1993)</w:t>
      </w:r>
      <w:r>
        <w:t xml:space="preserve">), it would have been a stretch to even call them</w:t>
      </w:r>
      <w:r>
        <w:t xml:space="preserve"> </w:t>
      </w:r>
      <w:r>
        <w:t xml:space="preserve">‘fields’</w:t>
      </w:r>
      <w:r>
        <w:t xml:space="preserve"> </w:t>
      </w:r>
      <w:r>
        <w:t xml:space="preserve">before 2010. Social epistemology was always a bit bigger, and you could point to earlier field defining work by, e.g., Jennifer</w:t>
      </w:r>
      <w:r>
        <w:t xml:space="preserve"> </w:t>
      </w:r>
      <w:r>
        <w:t xml:space="preserve">Lackey (2008)</w:t>
      </w:r>
      <w:r>
        <w:t xml:space="preserve"> </w:t>
      </w:r>
      <w:r>
        <w:t xml:space="preserve">and Adam</w:t>
      </w:r>
      <w:r>
        <w:t xml:space="preserve"> </w:t>
      </w:r>
      <w:r>
        <w:t xml:space="preserve">Elga (2007a)</w:t>
      </w:r>
      <w:r>
        <w:t xml:space="preserve">. But it grew phenomenally in the 2010s. I’d predicted that would show up in higher citations to work in the 2010s, as these changes were consolidated. The data are a bit messy, and it would be good to have much more data, but this does not look to have happened. There isn’t as neat a graph for this, however, and we’ll return to this point at the end.</w:t>
      </w:r>
    </w:p>
    <w:bookmarkEnd w:id="34"/>
    <w:bookmarkStart w:id="35" w:name="sec-apc-described"/>
    <w:p>
      <w:pPr>
        <w:pStyle w:val="Heading1"/>
      </w:pPr>
      <w:r>
        <w:t xml:space="preserve">2. Age, Period, and Cohort</w:t>
      </w:r>
    </w:p>
    <w:p>
      <w:pPr>
        <w:pStyle w:val="FirstParagraph"/>
      </w:pPr>
      <w:r>
        <w:t xml:space="preserve">To help understand the citation patterns, I’ll borrow some terminology that’s common in both sociology and medicine. Imagine that we see, in the historical record, some interesting patterns among teenagers in the late 1960s, and we’re wondering what could explain the pattern. Two types of pattern spring immediately to mind, along with ways to test them.</w:t>
      </w:r>
    </w:p>
    <w:p>
      <w:pPr>
        <w:pStyle w:val="BodyText"/>
      </w:pPr>
      <w:r>
        <w:t xml:space="preserve">First, the behaviour could be explained by the fact the people involved are teenagers. If so, it is an</w:t>
      </w:r>
      <w:r>
        <w:t xml:space="preserve"> </w:t>
      </w:r>
      <w:r>
        <w:rPr>
          <w:b/>
          <w:bCs/>
        </w:rPr>
        <w:t xml:space="preserve">age effect</w:t>
      </w:r>
      <w:r>
        <w:t xml:space="preserve">. The natural way to test this is to see if similar patterns show up with teenagers at different times.</w:t>
      </w:r>
    </w:p>
    <w:p>
      <w:pPr>
        <w:pStyle w:val="BodyText"/>
      </w:pPr>
      <w:r>
        <w:t xml:space="preserve">Second, the behaviour could be explained by the fact that it was the 1960s, and lots of striking things happened in the 1960s. If so, it is a</w:t>
      </w:r>
      <w:r>
        <w:t xml:space="preserve"> </w:t>
      </w:r>
      <w:r>
        <w:rPr>
          <w:b/>
          <w:bCs/>
        </w:rPr>
        <w:t xml:space="preserve">period effect</w:t>
      </w:r>
      <w:r>
        <w:t xml:space="preserve">. The natural way to test this is to see if the same pattern shows up with non-teenagers in the 1960s.</w:t>
      </w:r>
    </w:p>
    <w:p>
      <w:pPr>
        <w:pStyle w:val="BodyText"/>
      </w:pPr>
      <w:r>
        <w:t xml:space="preserve">There is an important third kind of explanation. The people involved are born in the early 1950s, so they are part of the post-war baby boom. Colloquially, they are boomers. Maybe that could explain the pattern we see. If so, it is a</w:t>
      </w:r>
      <w:r>
        <w:t xml:space="preserve"> </w:t>
      </w:r>
      <w:r>
        <w:rPr>
          <w:b/>
          <w:bCs/>
        </w:rPr>
        <w:t xml:space="preserve">cohort effect</w:t>
      </w:r>
      <w:r>
        <w:t xml:space="preserve">. The natural way to test this is to see if the same pattern shows up if we look at the same people in other stages of their life.</w:t>
      </w:r>
    </w:p>
    <w:p>
      <w:pPr>
        <w:pStyle w:val="BodyText"/>
      </w:pPr>
      <w:r>
        <w:t xml:space="preserve">It’s easy to overlook the importance of cohort effects. Sometimes they simply look like age effects.</w:t>
      </w:r>
      <w:r>
        <w:t xml:space="preserve"> </w:t>
      </w:r>
      <w:r>
        <w:t xml:space="preserve">Ghitza, Gelman, and Auerbach (2023)</w:t>
      </w:r>
      <w:r>
        <w:t xml:space="preserve"> </w:t>
      </w:r>
      <w:r>
        <w:t xml:space="preserve">argue that many hypotheses about age effects on voting, e.g., that older people are more naturally conservative, are really just cohort effects.</w:t>
      </w:r>
      <w:r>
        <w:t xml:space="preserve"> </w:t>
      </w:r>
      <w:r>
        <w:t xml:space="preserve">Bump (2023)</w:t>
      </w:r>
      <w:r>
        <w:t xml:space="preserve"> </w:t>
      </w:r>
      <w:r>
        <w:t xml:space="preserve">argues that understanding the distinctive role the boomers in particular play is crucial for understanding many aspects of modern American life.</w:t>
      </w:r>
    </w:p>
    <w:p>
      <w:pPr>
        <w:pStyle w:val="BodyText"/>
      </w:pPr>
      <w:r>
        <w:t xml:space="preserve">There are mathematical reasons that it is hard to tease these effects apart too. Many statistical techniques for separating out influences start to fall apart when there are linear correlations between combinations of variables. In this case there is as tight a correlation as is possible. By definition, cohort plus age equals period. There are some things you can do to get around this problem - see</w:t>
      </w:r>
      <w:r>
        <w:t xml:space="preserve"> </w:t>
      </w:r>
      <w:r>
        <w:t xml:space="preserve">Keyes et al. (2010)</w:t>
      </w:r>
      <w:r>
        <w:t xml:space="preserve"> </w:t>
      </w:r>
      <w:r>
        <w:t xml:space="preserve">for a useful survey of some of the options - but it remains a challenge.</w:t>
      </w:r>
    </w:p>
    <w:p>
      <w:pPr>
        <w:pStyle w:val="BodyText"/>
      </w:pPr>
      <w:r>
        <w:t xml:space="preserve">Even conceptually, it is hard to separate out these three effects in cases where there is evidence that the strength of the effects changes over time. As I noted at the start, the natural way to test hypotheses about which effect is strongest involve looking at other times. That works well when the age effects are constant. When they are not (and they might not be here), it is harder.</w:t>
      </w:r>
    </w:p>
    <w:p>
      <w:pPr>
        <w:pStyle w:val="BodyText"/>
      </w:pPr>
      <w:r>
        <w:t xml:space="preserve">For most of our story, however, it helps just to have these three effects in mind. Using them, we can summarise the data reasonably quickly.</w:t>
      </w:r>
    </w:p>
    <w:p>
      <w:pPr>
        <w:pStyle w:val="Compact"/>
        <w:numPr>
          <w:ilvl w:val="0"/>
          <w:numId w:val="1001"/>
        </w:numPr>
      </w:pPr>
      <w:r>
        <w:t xml:space="preserve">The age effect is that articles get cited most when they are two to five years old, as shown in</w:t>
      </w:r>
      <w:r>
        <w:t xml:space="preserve"> </w:t>
      </w:r>
      <w:hyperlink w:anchor="fig-overall-age">
        <w:r>
          <w:rPr>
            <w:rStyle w:val="Hyperlink"/>
          </w:rPr>
          <w:t xml:space="preserve">Figure 1</w:t>
        </w:r>
      </w:hyperlink>
      <w:r>
        <w:t xml:space="preserve">.</w:t>
      </w:r>
    </w:p>
    <w:p>
      <w:pPr>
        <w:pStyle w:val="Compact"/>
        <w:numPr>
          <w:ilvl w:val="0"/>
          <w:numId w:val="1001"/>
        </w:numPr>
      </w:pPr>
      <w:r>
        <w:t xml:space="preserve">The period effect is that there are many more citations in recent years than in earlier years. This is in part because the number of articles published in these journals has been growing, and in part because the number of citations per article grew substantially over the 2000s and 2010s, and exploded in the 2020s.</w:t>
      </w:r>
    </w:p>
    <w:p>
      <w:pPr>
        <w:pStyle w:val="Compact"/>
        <w:numPr>
          <w:ilvl w:val="0"/>
          <w:numId w:val="1001"/>
        </w:numPr>
      </w:pPr>
      <w:r>
        <w:t xml:space="preserve">The cohort effect is that articles from the 1970s and 2000s get cited more than you’d expect given these age and period effects, articles from before the late-1960s get barely cited at all, and articles from 1980 through the mid-1990s also get cited considerably less than articles either side of that period. I’ll offer some speculations at the end of the paper about the philosophical causes of, and consequences of, these cohort effects.</w:t>
      </w:r>
    </w:p>
    <w:p>
      <w:pPr>
        <w:pStyle w:val="FirstParagraph"/>
      </w:pPr>
      <w:r>
        <w:t xml:space="preserve">As I mentioned above, I’ll go over the methodology in detail in</w:t>
      </w:r>
      <w:r>
        <w:t xml:space="preserve"> </w:t>
      </w:r>
      <w:hyperlink w:anchor="sec-methodology">
        <w:r>
          <w:rPr>
            <w:rStyle w:val="Hyperlink"/>
          </w:rPr>
          <w:t xml:space="preserve">Section 8</w:t>
        </w:r>
      </w:hyperlink>
      <w:r>
        <w:t xml:space="preserve">. But there is one point that is important to note before we start. I’m using data from Web of Science, and they typically don’t start indexing journals until well after the journal is established. So the first year of citation data I have for</w:t>
      </w:r>
      <w:r>
        <w:t xml:space="preserve"> </w:t>
      </w:r>
      <w:r>
        <w:rPr>
          <w:i/>
          <w:iCs/>
        </w:rPr>
        <w:t xml:space="preserve">Analysis</w:t>
      </w:r>
      <w:r>
        <w:t xml:space="preserve"> </w:t>
      </w:r>
      <w:r>
        <w:t xml:space="preserve">is 1975. Crucially, that means that</w:t>
      </w:r>
      <w:r>
        <w:t xml:space="preserve"> </w:t>
      </w:r>
      <w:r>
        <w:t xml:space="preserve">“Is Knowledge Justified True Belief?”</w:t>
      </w:r>
      <w:r>
        <w:t xml:space="preserve"> </w:t>
      </w:r>
      <w:r>
        <w:t xml:space="preserve">(Gettier 1963)</w:t>
      </w:r>
      <w:r>
        <w:t xml:space="preserve"> </w:t>
      </w:r>
      <w:r>
        <w:t xml:space="preserve">is not included in this study. If it were, and in general if I had the data from</w:t>
      </w:r>
      <w:r>
        <w:t xml:space="preserve"> </w:t>
      </w:r>
      <w:r>
        <w:rPr>
          <w:i/>
          <w:iCs/>
        </w:rPr>
        <w:t xml:space="preserve">Analysis</w:t>
      </w:r>
      <w:r>
        <w:t xml:space="preserve"> </w:t>
      </w:r>
      <w:r>
        <w:t xml:space="preserve">to work from, some of the results about the early 1960s would look less dramatic, though as far as I can tell, the direction of the results wouldn’t change.</w:t>
      </w:r>
    </w:p>
    <w:bookmarkEnd w:id="35"/>
    <w:bookmarkStart w:id="96" w:name="sec-period"/>
    <w:p>
      <w:pPr>
        <w:pStyle w:val="Heading1"/>
      </w:pPr>
      <w:r>
        <w:t xml:space="preserve">3. Period Effects</w:t>
      </w:r>
    </w:p>
    <w:p>
      <w:pPr>
        <w:pStyle w:val="FirstParagraph"/>
      </w:pPr>
      <w:r>
        <w:t xml:space="preserve">Those 418605 citations are not distributed evenly over time. Instead, they grow rapidly. At the start, in 1956, there are only 5 citations. That’s not too surprising; without the ability to cite preprints, there aren’t going to be many citations of articles that have come out that year. By 2021, there are 57529. In</w:t>
      </w:r>
      <w:r>
        <w:t xml:space="preserve"> </w:t>
      </w:r>
      <w:hyperlink w:anchor="fig-citationsperyear">
        <w:r>
          <w:rPr>
            <w:rStyle w:val="Hyperlink"/>
          </w:rPr>
          <w:t xml:space="preserve">Figure 3</w:t>
        </w:r>
      </w:hyperlink>
      <w:r>
        <w:t xml:space="preserve">, I show how these grew; the striking thing to me is the big jump between 2020 and 2021.</w:t>
      </w:r>
    </w:p>
    <w:tbl>
      <w:tblPr>
        <w:tblStyle w:val="Table"/>
        <w:tblW w:type="pct" w:w="5000"/>
        <w:tblLayout w:type="fixed"/>
        <w:tblLook w:firstRow="0" w:lastRow="0" w:firstColumn="0" w:lastColumn="0" w:noHBand="0" w:noVBand="0" w:val="0000"/>
      </w:tblPr>
      <w:tblGrid>
        <w:gridCol w:w="7920"/>
      </w:tblGrid>
      <w:tr>
        <w:tc>
          <w:tcPr/>
          <w:bookmarkStart w:id="39" w:name="fig-citationsperyear"/>
          <w:p>
            <w:pPr>
              <w:pStyle w:val="Compact"/>
              <w:jc w:val="center"/>
            </w:pPr>
            <w:r>
              <w:drawing>
                <wp:inline>
                  <wp:extent cx="5207000" cy="4165600"/>
                  <wp:effectExtent b="0" l="0" r="0" t="0"/>
                  <wp:docPr descr="" title="" id="37" name="Picture"/>
                  <a:graphic>
                    <a:graphicData uri="http://schemas.openxmlformats.org/drawingml/2006/picture">
                      <pic:pic>
                        <pic:nvPicPr>
                          <pic:cNvPr descr="apc-2025_files/figure-docx/fig-citationsperyear-1.png" id="38" name="Picture"/>
                          <pic:cNvPicPr>
                            <a:picLocks noChangeArrowheads="1" noChangeAspect="1"/>
                          </pic:cNvPicPr>
                        </pic:nvPicPr>
                        <pic:blipFill>
                          <a:blip r:embed="rId36"/>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number of citations in the dataset made each year.</w:t>
            </w:r>
          </w:p>
          <w:bookmarkEnd w:id="39"/>
        </w:tc>
      </w:tr>
    </w:tbl>
    <w:p>
      <w:pPr>
        <w:pStyle w:val="BodyText"/>
      </w:pPr>
      <w:r>
        <w:t xml:space="preserve">What explains this dramatic growth? Part of the explanation is that more articles are being published, and more articles are being indexed.</w:t>
      </w:r>
      <w:r>
        <w:t xml:space="preserve"> </w:t>
      </w:r>
      <w:hyperlink w:anchor="fig-articlesperyear">
        <w:r>
          <w:rPr>
            <w:rStyle w:val="Hyperlink"/>
          </w:rPr>
          <w:t xml:space="preserve">Figure 4</w:t>
        </w:r>
      </w:hyperlink>
      <w:r>
        <w:t xml:space="preserve"> </w:t>
      </w:r>
      <w:r>
        <w:t xml:space="preserve">shows how many articles are in the dataset each year.</w:t>
      </w:r>
    </w:p>
    <w:tbl>
      <w:tblPr>
        <w:tblStyle w:val="Table"/>
        <w:tblW w:type="pct" w:w="5000"/>
        <w:tblLayout w:type="fixed"/>
        <w:tblLook w:firstRow="0" w:lastRow="0" w:firstColumn="0" w:lastColumn="0" w:noHBand="0" w:noVBand="0" w:val="0000"/>
      </w:tblPr>
      <w:tblGrid>
        <w:gridCol w:w="7920"/>
      </w:tblGrid>
      <w:tr>
        <w:tc>
          <w:tcPr/>
          <w:bookmarkStart w:id="43" w:name="fig-articlesperyear"/>
          <w:p>
            <w:pPr>
              <w:pStyle w:val="Compact"/>
              <w:jc w:val="center"/>
            </w:pPr>
            <w:r>
              <w:drawing>
                <wp:inline>
                  <wp:extent cx="5207000" cy="4165600"/>
                  <wp:effectExtent b="0" l="0" r="0" t="0"/>
                  <wp:docPr descr="" title="" id="41" name="Picture"/>
                  <a:graphic>
                    <a:graphicData uri="http://schemas.openxmlformats.org/drawingml/2006/picture">
                      <pic:pic>
                        <pic:nvPicPr>
                          <pic:cNvPr descr="apc-2025_files/figure-docx/fig-articlesperyear-1.png" id="42" name="Picture"/>
                          <pic:cNvPicPr>
                            <a:picLocks noChangeArrowheads="1" noChangeAspect="1"/>
                          </pic:cNvPicPr>
                        </pic:nvPicPr>
                        <pic:blipFill>
                          <a:blip r:embed="rId4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articles in the dataset published each year.</w:t>
            </w:r>
          </w:p>
          <w:bookmarkEnd w:id="43"/>
        </w:tc>
      </w:tr>
    </w:tbl>
    <w:p>
      <w:pPr>
        <w:pStyle w:val="BodyText"/>
      </w:pPr>
      <w:r>
        <w:t xml:space="preserve">That explains some of the growth, but not all of it. The curve in</w:t>
      </w:r>
      <w:r>
        <w:t xml:space="preserve"> </w:t>
      </w:r>
      <w:hyperlink w:anchor="fig-articlesperyear">
        <w:r>
          <w:rPr>
            <w:rStyle w:val="Hyperlink"/>
          </w:rPr>
          <w:t xml:space="preserve">Figure 4</w:t>
        </w:r>
      </w:hyperlink>
      <w:r>
        <w:t xml:space="preserve"> </w:t>
      </w:r>
      <w:r>
        <w:t xml:space="preserve">is not nearly as steep as the curve in</w:t>
      </w:r>
      <w:r>
        <w:t xml:space="preserve"> </w:t>
      </w:r>
      <w:hyperlink w:anchor="fig-citationsperyear">
        <w:r>
          <w:rPr>
            <w:rStyle w:val="Hyperlink"/>
          </w:rPr>
          <w:t xml:space="preserve">Figure 3</w:t>
        </w:r>
      </w:hyperlink>
      <w:r>
        <w:t xml:space="preserve">. The number of (indexed) citations per article is also rising. In</w:t>
      </w:r>
      <w:r>
        <w:t xml:space="preserve"> </w:t>
      </w:r>
      <w:hyperlink w:anchor="fig-outboundcitations">
        <w:r>
          <w:rPr>
            <w:rStyle w:val="Hyperlink"/>
          </w:rPr>
          <w:t xml:space="preserve">Figure 5</w:t>
        </w:r>
      </w:hyperlink>
      <w:r>
        <w:t xml:space="preserve"> </w:t>
      </w:r>
      <w:r>
        <w:t xml:space="preserve">I’ve plotted the average number of citations to other articles in the dataset each year.</w:t>
      </w:r>
    </w:p>
    <w:tbl>
      <w:tblPr>
        <w:tblStyle w:val="Table"/>
        <w:tblW w:type="pct" w:w="5000"/>
        <w:tblLayout w:type="fixed"/>
        <w:tblLook w:firstRow="0" w:lastRow="0" w:firstColumn="0" w:lastColumn="0" w:noHBand="0" w:noVBand="0" w:val="0000"/>
      </w:tblPr>
      <w:tblGrid>
        <w:gridCol w:w="7920"/>
      </w:tblGrid>
      <w:tr>
        <w:tc>
          <w:tcPr/>
          <w:bookmarkStart w:id="47" w:name="fig-outboundcitations"/>
          <w:p>
            <w:pPr>
              <w:pStyle w:val="Compact"/>
              <w:jc w:val="center"/>
            </w:pPr>
            <w:r>
              <w:drawing>
                <wp:inline>
                  <wp:extent cx="5207000" cy="4165600"/>
                  <wp:effectExtent b="0" l="0" r="0" t="0"/>
                  <wp:docPr descr="" title="" id="45" name="Picture"/>
                  <a:graphic>
                    <a:graphicData uri="http://schemas.openxmlformats.org/drawingml/2006/picture">
                      <pic:pic>
                        <pic:nvPicPr>
                          <pic:cNvPr descr="apc-2025_files/figure-docx/fig-outboundcitations-1.png" id="46" name="Picture"/>
                          <pic:cNvPicPr>
                            <a:picLocks noChangeArrowheads="1" noChangeAspect="1"/>
                          </pic:cNvPicPr>
                        </pic:nvPicPr>
                        <pic:blipFill>
                          <a:blip r:embed="rId4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average number of citations to indexed articles each year.</w:t>
            </w:r>
          </w:p>
          <w:bookmarkEnd w:id="47"/>
        </w:tc>
      </w:tr>
    </w:tbl>
    <w:p>
      <w:pPr>
        <w:pStyle w:val="BodyText"/>
      </w:pPr>
      <w:r>
        <w:t xml:space="preserve">There are a few possible explanations for the shape of this graph.</w:t>
      </w:r>
    </w:p>
    <w:p>
      <w:pPr>
        <w:pStyle w:val="BodyText"/>
      </w:pPr>
      <w:r>
        <w:t xml:space="preserve">At the left-hand edge, there are obvious boundary effects. Since we’re only counting citations to articles published since 1956, it isn’t surprising that there aren’t very many of them per article in the 1950s. Since articles rarely get unpublished, there are more articles available to cite every year.</w:t>
      </w:r>
    </w:p>
    <w:p>
      <w:pPr>
        <w:pStyle w:val="BodyText"/>
      </w:pPr>
      <w:r>
        <w:t xml:space="preserve">That can’t explain the massive jumps we see at the right hand edge of</w:t>
      </w:r>
      <w:r>
        <w:t xml:space="preserve"> </w:t>
      </w:r>
      <w:hyperlink w:anchor="fig-outboundcitations">
        <w:r>
          <w:rPr>
            <w:rStyle w:val="Hyperlink"/>
          </w:rPr>
          <w:t xml:space="preserve">Figure 5</w:t>
        </w:r>
      </w:hyperlink>
      <w:r>
        <w:t xml:space="preserve">. The jump there looks like the convergence of two cultural trends. One is a trend simply to greater numbers of citations. The most casual perusal of journals will confirm that trend. The other is a trend to greater citations of journals themselves, as opposed to books or edited volumes.</w:t>
      </w:r>
    </w:p>
    <w:p>
      <w:pPr>
        <w:pStyle w:val="BodyText"/>
      </w:pPr>
      <w:r>
        <w:t xml:space="preserve">A sharp jump like this is a warning sign that there is something wrong with the data. It’s impractical to cross-check every entry, but those I have checked look correct. The change seems led by the most prestigious journals. For each journal I calculated the average number of outbound citations (to these hundred journal) for both the 2010s, and the first two years of the 2020s. The ten journals with the largest increase between the decades are shown in</w:t>
      </w:r>
      <w:r>
        <w:t xml:space="preserve"> </w:t>
      </w:r>
      <w:hyperlink w:anchor="tbl-large-growth">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tbl-large-growth"/>
          <w:p>
            <w:pPr>
              <w:jc w:val="center"/>
            </w:pPr>
            <w:pPr>
              <w:jc w:val="start"/>
              <w:spacing w:before="200"/>
              <w:pStyle w:val="ImageCaption"/>
            </w:pPr>
            <w:r>
              <w:t xml:space="preserve">Table 1: Mean outbound citations for some journals over the last two decades.</w:t>
            </w:r>
          </w:p>
          <w:tbl>
            <w:tblPr>
              <w:tblStyle w:val="Table"/>
              <w:tblW w:type="pct" w:w="5000"/>
              <w:tblLayout w:type="fixed"/>
              <w:tblLook w:firstRow="1" w:lastRow="0" w:firstColumn="0" w:lastColumn="0" w:noHBand="0" w:noVBand="0" w:val="0020"/>
            </w:tblPr>
            <w:tblGrid>
              <w:gridCol w:w="4510"/>
              <w:gridCol w:w="1100"/>
              <w:gridCol w:w="1100"/>
              <w:gridCol w:w="1210"/>
            </w:tblGrid>
            <w:tr>
              <w:trPr>
                <w:tblHeader w:val="on"/>
              </w:trPr>
              <w:tc>
                <w:tcPr/>
                <w:p>
                  <w:pPr>
                    <w:pStyle w:val="Compact"/>
                    <w:jc w:val="left"/>
                    <w:jc w:val="center"/>
                  </w:pPr>
                  <w:r>
                    <w:t xml:space="preserve">Journal</w:t>
                  </w:r>
                </w:p>
              </w:tc>
              <w:tc>
                <w:tcPr/>
                <w:p>
                  <w:pPr>
                    <w:pStyle w:val="Compact"/>
                    <w:jc w:val="right"/>
                    <w:jc w:val="center"/>
                  </w:pPr>
                  <w:r>
                    <w:t xml:space="preserve">2010-2019</w:t>
                  </w:r>
                </w:p>
              </w:tc>
              <w:tc>
                <w:tcPr/>
                <w:p>
                  <w:pPr>
                    <w:pStyle w:val="Compact"/>
                    <w:jc w:val="right"/>
                    <w:jc w:val="center"/>
                  </w:pPr>
                  <w:r>
                    <w:t xml:space="preserve">2020-2021</w:t>
                  </w:r>
                </w:p>
              </w:tc>
              <w:tc>
                <w:tcPr/>
                <w:p>
                  <w:pPr>
                    <w:pStyle w:val="Compact"/>
                    <w:jc w:val="right"/>
                    <w:jc w:val="center"/>
                  </w:pPr>
                  <w:r>
                    <w:t xml:space="preserve">Difference</w:t>
                  </w:r>
                </w:p>
              </w:tc>
            </w:tr>
            <w:tr>
              <w:tc>
                <w:tcPr/>
                <w:p>
                  <w:pPr>
                    <w:pStyle w:val="Compact"/>
                    <w:jc w:val="left"/>
                    <w:jc w:val="center"/>
                  </w:pPr>
                  <w:r>
                    <w:t xml:space="preserve">Philosophical Review</w:t>
                  </w:r>
                </w:p>
              </w:tc>
              <w:tc>
                <w:tcPr/>
                <w:p>
                  <w:pPr>
                    <w:pStyle w:val="Compact"/>
                    <w:jc w:val="right"/>
                    <w:jc w:val="center"/>
                  </w:pPr>
                  <w:r>
                    <w:t xml:space="preserve">15.6</w:t>
                  </w:r>
                </w:p>
              </w:tc>
              <w:tc>
                <w:tcPr/>
                <w:p>
                  <w:pPr>
                    <w:pStyle w:val="Compact"/>
                    <w:jc w:val="right"/>
                    <w:jc w:val="center"/>
                  </w:pPr>
                  <w:r>
                    <w:t xml:space="preserve">27.5</w:t>
                  </w:r>
                </w:p>
              </w:tc>
              <w:tc>
                <w:tcPr/>
                <w:p>
                  <w:pPr>
                    <w:pStyle w:val="Compact"/>
                    <w:jc w:val="right"/>
                    <w:jc w:val="center"/>
                  </w:pPr>
                  <w:r>
                    <w:t xml:space="preserve">11.9</w:t>
                  </w:r>
                </w:p>
              </w:tc>
            </w:tr>
            <w:tr>
              <w:tc>
                <w:tcPr/>
                <w:p>
                  <w:pPr>
                    <w:pStyle w:val="Compact"/>
                    <w:jc w:val="left"/>
                    <w:jc w:val="center"/>
                  </w:pPr>
                  <w:r>
                    <w:t xml:space="preserve">Philosophical Perspectives</w:t>
                  </w:r>
                </w:p>
              </w:tc>
              <w:tc>
                <w:tcPr/>
                <w:p>
                  <w:pPr>
                    <w:pStyle w:val="Compact"/>
                    <w:jc w:val="right"/>
                    <w:jc w:val="center"/>
                  </w:pPr>
                  <w:r>
                    <w:t xml:space="preserve">11.9</w:t>
                  </w:r>
                </w:p>
              </w:tc>
              <w:tc>
                <w:tcPr/>
                <w:p>
                  <w:pPr>
                    <w:pStyle w:val="Compact"/>
                    <w:jc w:val="right"/>
                    <w:jc w:val="center"/>
                  </w:pPr>
                  <w:r>
                    <w:t xml:space="preserve">20.2</w:t>
                  </w:r>
                </w:p>
              </w:tc>
              <w:tc>
                <w:tcPr/>
                <w:p>
                  <w:pPr>
                    <w:pStyle w:val="Compact"/>
                    <w:jc w:val="right"/>
                    <w:jc w:val="center"/>
                  </w:pPr>
                  <w:r>
                    <w:t xml:space="preserve">8.3</w:t>
                  </w:r>
                </w:p>
              </w:tc>
            </w:tr>
            <w:tr>
              <w:tc>
                <w:tcPr/>
                <w:p>
                  <w:pPr>
                    <w:pStyle w:val="Compact"/>
                    <w:jc w:val="left"/>
                    <w:jc w:val="center"/>
                  </w:pPr>
                  <w:r>
                    <w:t xml:space="preserve">Philosophy and Phenomenological Research</w:t>
                  </w:r>
                </w:p>
              </w:tc>
              <w:tc>
                <w:tcPr/>
                <w:p>
                  <w:pPr>
                    <w:pStyle w:val="Compact"/>
                    <w:jc w:val="right"/>
                    <w:jc w:val="center"/>
                  </w:pPr>
                  <w:r>
                    <w:t xml:space="preserve">10.1</w:t>
                  </w:r>
                </w:p>
              </w:tc>
              <w:tc>
                <w:tcPr/>
                <w:p>
                  <w:pPr>
                    <w:pStyle w:val="Compact"/>
                    <w:jc w:val="right"/>
                    <w:jc w:val="center"/>
                  </w:pPr>
                  <w:r>
                    <w:t xml:space="preserve">15.6</w:t>
                  </w:r>
                </w:p>
              </w:tc>
              <w:tc>
                <w:tcPr/>
                <w:p>
                  <w:pPr>
                    <w:pStyle w:val="Compact"/>
                    <w:jc w:val="right"/>
                    <w:jc w:val="center"/>
                  </w:pPr>
                  <w:r>
                    <w:t xml:space="preserve">5.5</w:t>
                  </w:r>
                </w:p>
              </w:tc>
            </w:tr>
            <w:tr>
              <w:tc>
                <w:tcPr/>
                <w:p>
                  <w:pPr>
                    <w:pStyle w:val="Compact"/>
                    <w:jc w:val="left"/>
                    <w:jc w:val="center"/>
                  </w:pPr>
                  <w:r>
                    <w:t xml:space="preserve">Philosophical Studies</w:t>
                  </w:r>
                </w:p>
              </w:tc>
              <w:tc>
                <w:tcPr/>
                <w:p>
                  <w:pPr>
                    <w:pStyle w:val="Compact"/>
                    <w:jc w:val="right"/>
                    <w:jc w:val="center"/>
                  </w:pPr>
                  <w:r>
                    <w:t xml:space="preserve">9.4</w:t>
                  </w:r>
                </w:p>
              </w:tc>
              <w:tc>
                <w:tcPr/>
                <w:p>
                  <w:pPr>
                    <w:pStyle w:val="Compact"/>
                    <w:jc w:val="right"/>
                    <w:jc w:val="center"/>
                  </w:pPr>
                  <w:r>
                    <w:t xml:space="preserve">14.1</w:t>
                  </w:r>
                </w:p>
              </w:tc>
              <w:tc>
                <w:tcPr/>
                <w:p>
                  <w:pPr>
                    <w:pStyle w:val="Compact"/>
                    <w:jc w:val="right"/>
                    <w:jc w:val="center"/>
                  </w:pPr>
                  <w:r>
                    <w:t xml:space="preserve">4.7</w:t>
                  </w:r>
                </w:p>
              </w:tc>
            </w:tr>
            <w:tr>
              <w:tc>
                <w:tcPr/>
                <w:p>
                  <w:pPr>
                    <w:pStyle w:val="Compact"/>
                    <w:jc w:val="left"/>
                    <w:jc w:val="center"/>
                  </w:pPr>
                  <w:r>
                    <w:t xml:space="preserve">Journal of Philosophy</w:t>
                  </w:r>
                </w:p>
              </w:tc>
              <w:tc>
                <w:tcPr/>
                <w:p>
                  <w:pPr>
                    <w:pStyle w:val="Compact"/>
                    <w:jc w:val="right"/>
                    <w:jc w:val="center"/>
                  </w:pPr>
                  <w:r>
                    <w:t xml:space="preserve">9.2</w:t>
                  </w:r>
                </w:p>
              </w:tc>
              <w:tc>
                <w:tcPr/>
                <w:p>
                  <w:pPr>
                    <w:pStyle w:val="Compact"/>
                    <w:jc w:val="right"/>
                    <w:jc w:val="center"/>
                  </w:pPr>
                  <w:r>
                    <w:t xml:space="preserve">13.8</w:t>
                  </w:r>
                </w:p>
              </w:tc>
              <w:tc>
                <w:tcPr/>
                <w:p>
                  <w:pPr>
                    <w:pStyle w:val="Compact"/>
                    <w:jc w:val="right"/>
                    <w:jc w:val="center"/>
                  </w:pPr>
                  <w:r>
                    <w:t xml:space="preserve">4.7</w:t>
                  </w:r>
                </w:p>
              </w:tc>
            </w:tr>
            <w:tr>
              <w:tc>
                <w:tcPr/>
                <w:p>
                  <w:pPr>
                    <w:pStyle w:val="Compact"/>
                    <w:jc w:val="left"/>
                    <w:jc w:val="center"/>
                  </w:pPr>
                  <w:r>
                    <w:t xml:space="preserve">Philosophical Quarterly</w:t>
                  </w:r>
                </w:p>
              </w:tc>
              <w:tc>
                <w:tcPr/>
                <w:p>
                  <w:pPr>
                    <w:pStyle w:val="Compact"/>
                    <w:jc w:val="right"/>
                    <w:jc w:val="center"/>
                  </w:pPr>
                  <w:r>
                    <w:t xml:space="preserve">9.1</w:t>
                  </w:r>
                </w:p>
              </w:tc>
              <w:tc>
                <w:tcPr/>
                <w:p>
                  <w:pPr>
                    <w:pStyle w:val="Compact"/>
                    <w:jc w:val="right"/>
                    <w:jc w:val="center"/>
                  </w:pPr>
                  <w:r>
                    <w:t xml:space="preserve">13.7</w:t>
                  </w:r>
                </w:p>
              </w:tc>
              <w:tc>
                <w:tcPr/>
                <w:p>
                  <w:pPr>
                    <w:pStyle w:val="Compact"/>
                    <w:jc w:val="right"/>
                    <w:jc w:val="center"/>
                  </w:pPr>
                  <w:r>
                    <w:t xml:space="preserve">4.6</w:t>
                  </w:r>
                </w:p>
              </w:tc>
            </w:tr>
            <w:tr>
              <w:tc>
                <w:tcPr/>
                <w:p>
                  <w:pPr>
                    <w:pStyle w:val="Compact"/>
                    <w:jc w:val="left"/>
                    <w:jc w:val="center"/>
                  </w:pPr>
                  <w:r>
                    <w:t xml:space="preserve">Philosophia Mathematica</w:t>
                  </w:r>
                </w:p>
              </w:tc>
              <w:tc>
                <w:tcPr/>
                <w:p>
                  <w:pPr>
                    <w:pStyle w:val="Compact"/>
                    <w:jc w:val="right"/>
                    <w:jc w:val="center"/>
                  </w:pPr>
                  <w:r>
                    <w:t xml:space="preserve">6.7</w:t>
                  </w:r>
                </w:p>
              </w:tc>
              <w:tc>
                <w:tcPr/>
                <w:p>
                  <w:pPr>
                    <w:pStyle w:val="Compact"/>
                    <w:jc w:val="right"/>
                    <w:jc w:val="center"/>
                  </w:pPr>
                  <w:r>
                    <w:t xml:space="preserve">11.2</w:t>
                  </w:r>
                </w:p>
              </w:tc>
              <w:tc>
                <w:tcPr/>
                <w:p>
                  <w:pPr>
                    <w:pStyle w:val="Compact"/>
                    <w:jc w:val="right"/>
                    <w:jc w:val="center"/>
                  </w:pPr>
                  <w:r>
                    <w:t xml:space="preserve">4.5</w:t>
                  </w:r>
                </w:p>
              </w:tc>
            </w:tr>
            <w:tr>
              <w:tc>
                <w:tcPr/>
                <w:p>
                  <w:pPr>
                    <w:pStyle w:val="Compact"/>
                    <w:jc w:val="left"/>
                    <w:jc w:val="center"/>
                  </w:pPr>
                  <w:r>
                    <w:t xml:space="preserve">Philosophy Compass</w:t>
                  </w:r>
                </w:p>
              </w:tc>
              <w:tc>
                <w:tcPr/>
                <w:p>
                  <w:pPr>
                    <w:pStyle w:val="Compact"/>
                    <w:jc w:val="right"/>
                    <w:jc w:val="center"/>
                  </w:pPr>
                  <w:r>
                    <w:t xml:space="preserve">11.4</w:t>
                  </w:r>
                </w:p>
              </w:tc>
              <w:tc>
                <w:tcPr/>
                <w:p>
                  <w:pPr>
                    <w:pStyle w:val="Compact"/>
                    <w:jc w:val="right"/>
                    <w:jc w:val="center"/>
                  </w:pPr>
                  <w:r>
                    <w:t xml:space="preserve">15.8</w:t>
                  </w:r>
                </w:p>
              </w:tc>
              <w:tc>
                <w:tcPr/>
                <w:p>
                  <w:pPr>
                    <w:pStyle w:val="Compact"/>
                    <w:jc w:val="right"/>
                    <w:jc w:val="center"/>
                  </w:pPr>
                  <w:r>
                    <w:t xml:space="preserve">4.4</w:t>
                  </w:r>
                </w:p>
              </w:tc>
            </w:tr>
            <w:tr>
              <w:tc>
                <w:tcPr/>
                <w:p>
                  <w:pPr>
                    <w:pStyle w:val="Compact"/>
                    <w:jc w:val="left"/>
                    <w:jc w:val="center"/>
                  </w:pPr>
                  <w:r>
                    <w:t xml:space="preserve">Philosophy</w:t>
                  </w:r>
                </w:p>
              </w:tc>
              <w:tc>
                <w:tcPr/>
                <w:p>
                  <w:pPr>
                    <w:pStyle w:val="Compact"/>
                    <w:jc w:val="right"/>
                    <w:jc w:val="center"/>
                  </w:pPr>
                  <w:r>
                    <w:t xml:space="preserve">4.3</w:t>
                  </w:r>
                </w:p>
              </w:tc>
              <w:tc>
                <w:tcPr/>
                <w:p>
                  <w:pPr>
                    <w:pStyle w:val="Compact"/>
                    <w:jc w:val="right"/>
                    <w:jc w:val="center"/>
                  </w:pPr>
                  <w:r>
                    <w:t xml:space="preserve">8.5</w:t>
                  </w:r>
                </w:p>
              </w:tc>
              <w:tc>
                <w:tcPr/>
                <w:p>
                  <w:pPr>
                    <w:pStyle w:val="Compact"/>
                    <w:jc w:val="right"/>
                    <w:jc w:val="center"/>
                  </w:pPr>
                  <w:r>
                    <w:t xml:space="preserve">4.3</w:t>
                  </w:r>
                </w:p>
              </w:tc>
            </w:tr>
            <w:tr>
              <w:tc>
                <w:tcPr/>
                <w:p>
                  <w:pPr>
                    <w:pStyle w:val="Compact"/>
                    <w:jc w:val="left"/>
                    <w:jc w:val="center"/>
                  </w:pPr>
                  <w:r>
                    <w:t xml:space="preserve">Noûs</w:t>
                  </w:r>
                </w:p>
              </w:tc>
              <w:tc>
                <w:tcPr/>
                <w:p>
                  <w:pPr>
                    <w:pStyle w:val="Compact"/>
                    <w:jc w:val="right"/>
                    <w:jc w:val="center"/>
                  </w:pPr>
                  <w:r>
                    <w:t xml:space="preserve">12.1</w:t>
                  </w:r>
                </w:p>
              </w:tc>
              <w:tc>
                <w:tcPr/>
                <w:p>
                  <w:pPr>
                    <w:pStyle w:val="Compact"/>
                    <w:jc w:val="right"/>
                    <w:jc w:val="center"/>
                  </w:pPr>
                  <w:r>
                    <w:t xml:space="preserve">16.3</w:t>
                  </w:r>
                </w:p>
              </w:tc>
              <w:tc>
                <w:tcPr/>
                <w:p>
                  <w:pPr>
                    <w:pStyle w:val="Compact"/>
                    <w:jc w:val="right"/>
                    <w:jc w:val="center"/>
                  </w:pPr>
                  <w:r>
                    <w:t xml:space="preserve">4.2</w:t>
                  </w:r>
                </w:p>
              </w:tc>
            </w:tr>
          </w:tbl>
          <w:bookmarkEnd w:id="48"/>
          <w:p/>
        </w:tc>
      </w:tr>
    </w:tbl>
    <w:p>
      <w:pPr>
        <w:pStyle w:val="BodyText"/>
      </w:pPr>
      <w:r>
        <w:t xml:space="preserve">Since</w:t>
      </w:r>
      <w:r>
        <w:t xml:space="preserve"> </w:t>
      </w:r>
      <w:r>
        <w:rPr>
          <w:i/>
          <w:iCs/>
        </w:rPr>
        <w:t xml:space="preserve">Philosophical Review</w:t>
      </w:r>
      <w:r>
        <w:t xml:space="preserve"> </w:t>
      </w:r>
      <w:r>
        <w:t xml:space="preserve">only publishes 10 to 12 articles per year, it is not surprising that it shows the most variation on this list. Still, the change in the 2010s isn’t only small sample size variation. Of the 22 articles it published in 2020 and 2021, only one of them</w:t>
      </w:r>
      <w:r>
        <w:t xml:space="preserve"> </w:t>
      </w:r>
      <w:r>
        <w:t xml:space="preserve">(Oberman 2020)</w:t>
      </w:r>
      <w:r>
        <w:t xml:space="preserve"> </w:t>
      </w:r>
      <w:r>
        <w:t xml:space="preserve">had fewer than 14.8 outbound citations. With a sample of just 22 anything could happen, but it would be surprising to have all but one end up on the same side of the historical average by chance.</w:t>
      </w:r>
    </w:p>
    <w:p>
      <w:pPr>
        <w:pStyle w:val="BodyText"/>
      </w:pPr>
      <w:r>
        <w:t xml:space="preserve">Although the number of citations is going up, the number of articles available to be cited is also going up. Say an article is</w:t>
      </w:r>
      <w:r>
        <w:t xml:space="preserve"> </w:t>
      </w:r>
      <w:r>
        <w:rPr>
          <w:i/>
          <w:iCs/>
        </w:rPr>
        <w:t xml:space="preserve">available</w:t>
      </w:r>
      <w:r>
        <w:t xml:space="preserve"> </w:t>
      </w:r>
      <w:r>
        <w:t xml:space="preserve">if it is published in a year iff it is published in or before that year. That’s not quite right in either direction; some articles are cited before publication, some articles that come out in December aren’t in any real sense available to be cited in January. But it’s close enough. Say an article is from a year that is</w:t>
      </w:r>
      <w:r>
        <w:t xml:space="preserve"> </w:t>
      </w:r>
      <w:r>
        <w:rPr>
          <w:i/>
          <w:iCs/>
        </w:rPr>
        <w:t xml:space="preserve">typically</w:t>
      </w:r>
      <w:r>
        <w:t xml:space="preserve"> </w:t>
      </w:r>
      <w:r>
        <w:t xml:space="preserve">cited iff it is between 3 and 10 years before the citing year. This notion will play a big role in</w:t>
      </w:r>
      <w:r>
        <w:t xml:space="preserve"> </w:t>
      </w:r>
      <w:hyperlink w:anchor="sec-age">
        <w:r>
          <w:rPr>
            <w:rStyle w:val="Hyperlink"/>
          </w:rPr>
          <w:t xml:space="preserve">Section 4</w:t>
        </w:r>
      </w:hyperlink>
      <w:r>
        <w:t xml:space="preserve">; I’m going to use these as a way of getting something like a base rate for citations in a given year. Using these definitions,</w:t>
      </w:r>
      <w:r>
        <w:t xml:space="preserve"> </w:t>
      </w:r>
      <w:hyperlink w:anchor="fig-articlecounts">
        <w:r>
          <w:rPr>
            <w:rStyle w:val="Hyperlink"/>
          </w:rPr>
          <w:t xml:space="preserve">Figure 6</w:t>
        </w:r>
      </w:hyperlink>
      <w:r>
        <w:t xml:space="preserve"> </w:t>
      </w:r>
      <w:r>
        <w:t xml:space="preserve">shows how many articles are available to be cited each year, and are from years that are typically cited.</w:t>
      </w:r>
    </w:p>
    <w:bookmarkStart w:id="57" w:name="fig-article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2" w:name="fig-articlecounts-1"/>
                <w:p>
                  <w:pPr>
                    <w:pStyle w:val="Compact"/>
                    <w:jc w:val="center"/>
                    <w:jc w:val="left"/>
                  </w:pPr>
                  <w:r>
                    <w:drawing>
                      <wp:inline>
                        <wp:extent cx="5207000" cy="4165600"/>
                        <wp:effectExtent b="0" l="0" r="0" t="0"/>
                        <wp:docPr descr="" title="" id="50" name="Picture"/>
                        <a:graphic>
                          <a:graphicData uri="http://schemas.openxmlformats.org/drawingml/2006/picture">
                            <pic:pic>
                              <pic:nvPicPr>
                                <pic:cNvPr descr="apc-2025_files/figure-docx/fig-articlecounts-1.png" id="51" name="Picture"/>
                                <pic:cNvPicPr>
                                  <a:picLocks noChangeArrowheads="1" noChangeAspect="1"/>
                                </pic:cNvPicPr>
                              </pic:nvPicPr>
                              <pic:blipFill>
                                <a:blip r:embed="rId49"/>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5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6" w:name="fig-articlecounts-2"/>
                <w:p>
                  <w:pPr>
                    <w:pStyle w:val="Compact"/>
                    <w:jc w:val="center"/>
                    <w:jc w:val="left"/>
                  </w:pPr>
                  <w:r>
                    <w:drawing>
                      <wp:inline>
                        <wp:extent cx="5207000" cy="4165600"/>
                        <wp:effectExtent b="0" l="0" r="0" t="0"/>
                        <wp:docPr descr="" title="" id="54" name="Picture"/>
                        <a:graphic>
                          <a:graphicData uri="http://schemas.openxmlformats.org/drawingml/2006/picture">
                            <pic:pic>
                              <pic:nvPicPr>
                                <pic:cNvPr descr="apc-2025_files/figure-docx/fig-articlecounts-2.png" id="55" name="Picture"/>
                                <pic:cNvPicPr>
                                  <a:picLocks noChangeArrowheads="1" noChangeAspect="1"/>
                                </pic:cNvPicPr>
                              </pic:nvPicPr>
                              <pic:blipFill>
                                <a:blip r:embed="rId53"/>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Typically cited articles</w:t>
                  </w:r>
                </w:p>
                <w:bookmarkEnd w:id="56"/>
              </w:tc>
            </w:tr>
          </w:tbl>
          <w:p/>
        </w:tc>
      </w:tr>
    </w:tbl>
    <w:p>
      <w:pPr>
        <w:pStyle w:val="BodyText"/>
      </w:pPr>
      <w:pPr>
        <w:spacing w:before="200"/>
        <w:pStyle w:val="ImageCaption"/>
      </w:pPr>
      <w:r>
        <w:t xml:space="preserve">Figure 6: Article counts.</w:t>
      </w:r>
    </w:p>
    <w:bookmarkEnd w:id="57"/>
    <w:p>
      <w:pPr>
        <w:pStyle w:val="BodyText"/>
      </w:pPr>
      <w:r>
        <w:t xml:space="preserve">In</w:t>
      </w:r>
      <w:r>
        <w:t xml:space="preserve"> </w:t>
      </w:r>
      <w:hyperlink w:anchor="fig-citationcounts">
        <w:r>
          <w:rPr>
            <w:rStyle w:val="Hyperlink"/>
          </w:rPr>
          <w:t xml:space="preserve">Figure 7</w:t>
        </w:r>
      </w:hyperlink>
      <w:r>
        <w:t xml:space="preserve">, I’ve shown how often, in each year, the available articles, and the</w:t>
      </w:r>
      <w:r>
        <w:t xml:space="preserve"> </w:t>
      </w:r>
      <w:r>
        <w:t xml:space="preserve">‘typical’</w:t>
      </w:r>
      <w:r>
        <w:t xml:space="preserve"> </w:t>
      </w:r>
      <w:r>
        <w:t xml:space="preserve">articles are cited. The</w:t>
      </w:r>
      <w:r>
        <w:t xml:space="preserve"> </w:t>
      </w:r>
      <w:r>
        <w:t xml:space="preserve">‘available’</w:t>
      </w:r>
      <w:r>
        <w:t xml:space="preserve"> </w:t>
      </w:r>
      <w:r>
        <w:t xml:space="preserve">graph is obviously similar to</w:t>
      </w:r>
      <w:r>
        <w:t xml:space="preserve"> </w:t>
      </w:r>
      <w:hyperlink w:anchor="fig-citationsperyear">
        <w:r>
          <w:rPr>
            <w:rStyle w:val="Hyperlink"/>
          </w:rPr>
          <w:t xml:space="preserve">Figure 3</w:t>
        </w:r>
      </w:hyperlink>
      <w:r>
        <w:t xml:space="preserve">; under 1% of citations are to articles published in future years. One thing that will be useful in</w:t>
      </w:r>
      <w:r>
        <w:t xml:space="preserve"> </w:t>
      </w:r>
      <w:hyperlink w:anchor="sec-age">
        <w:r>
          <w:rPr>
            <w:rStyle w:val="Hyperlink"/>
          </w:rPr>
          <w:t xml:space="preserve">Section 4</w:t>
        </w:r>
      </w:hyperlink>
      <w:r>
        <w:t xml:space="preserve"> </w:t>
      </w:r>
      <w:r>
        <w:t xml:space="preserve">is that the graphs in</w:t>
      </w:r>
      <w:r>
        <w:t xml:space="preserve"> </w:t>
      </w:r>
      <w:hyperlink w:anchor="fig-citationcounts">
        <w:r>
          <w:rPr>
            <w:rStyle w:val="Hyperlink"/>
          </w:rPr>
          <w:t xml:space="preserve">Figure 7</w:t>
        </w:r>
      </w:hyperlink>
      <w:r>
        <w:t xml:space="preserve"> </w:t>
      </w:r>
      <w:r>
        <w:t xml:space="preserve">have a similar shape.</w:t>
      </w:r>
    </w:p>
    <w:bookmarkStart w:id="66" w:name="fig-citation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1" w:name="fig-citationcounts-1"/>
                <w:p>
                  <w:pPr>
                    <w:pStyle w:val="Compact"/>
                    <w:jc w:val="center"/>
                    <w:jc w:val="left"/>
                  </w:pPr>
                  <w:r>
                    <w:drawing>
                      <wp:inline>
                        <wp:extent cx="5207000" cy="4165600"/>
                        <wp:effectExtent b="0" l="0" r="0" t="0"/>
                        <wp:docPr descr="" title="" id="59" name="Picture"/>
                        <a:graphic>
                          <a:graphicData uri="http://schemas.openxmlformats.org/drawingml/2006/picture">
                            <pic:pic>
                              <pic:nvPicPr>
                                <pic:cNvPr descr="apc-2025_files/figure-docx/fig-citationcounts-1.png" id="60" name="Picture"/>
                                <pic:cNvPicPr>
                                  <a:picLocks noChangeArrowheads="1" noChangeAspect="1"/>
                                </pic:cNvPicPr>
                              </pic:nvPicPr>
                              <pic:blipFill>
                                <a:blip r:embed="rId58"/>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Citations to available articles</w:t>
                  </w:r>
                </w:p>
                <w:bookmarkEnd w:id="6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5" w:name="fig-citationcounts-2"/>
                <w:p>
                  <w:pPr>
                    <w:pStyle w:val="Compact"/>
                    <w:jc w:val="center"/>
                    <w:jc w:val="left"/>
                  </w:pPr>
                  <w:r>
                    <w:drawing>
                      <wp:inline>
                        <wp:extent cx="5207000" cy="4165600"/>
                        <wp:effectExtent b="0" l="0" r="0" t="0"/>
                        <wp:docPr descr="" title="" id="63" name="Picture"/>
                        <a:graphic>
                          <a:graphicData uri="http://schemas.openxmlformats.org/drawingml/2006/picture">
                            <pic:pic>
                              <pic:nvPicPr>
                                <pic:cNvPr descr="apc-2025_files/figure-docx/fig-citationcounts-2.png" id="64" name="Picture"/>
                                <pic:cNvPicPr>
                                  <a:picLocks noChangeArrowheads="1" noChangeAspect="1"/>
                                </pic:cNvPicPr>
                              </pic:nvPicPr>
                              <pic:blipFill>
                                <a:blip r:embed="rId62"/>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Citations to typical articles</w:t>
                  </w:r>
                </w:p>
                <w:bookmarkEnd w:id="65"/>
              </w:tc>
            </w:tr>
          </w:tbl>
          <w:p/>
        </w:tc>
      </w:tr>
    </w:tbl>
    <w:p>
      <w:pPr>
        <w:pStyle w:val="BodyText"/>
      </w:pPr>
      <w:pPr>
        <w:spacing w:before="200"/>
        <w:pStyle w:val="ImageCaption"/>
      </w:pPr>
      <w:r>
        <w:t xml:space="preserve">Figure 7: Citation counts.</w:t>
      </w:r>
    </w:p>
    <w:bookmarkEnd w:id="66"/>
    <w:p>
      <w:pPr>
        <w:pStyle w:val="BodyText"/>
      </w:pPr>
      <w:r>
        <w:t xml:space="preserve">Putting all these together we can work out how often, on average, available articles, and typical articles, are cited in each year. The results are in</w:t>
      </w:r>
      <w:r>
        <w:t xml:space="preserve"> </w:t>
      </w:r>
      <w:hyperlink w:anchor="fig-citationrate">
        <w:r>
          <w:rPr>
            <w:rStyle w:val="Hyperlink"/>
          </w:rPr>
          <w:t xml:space="preserve">Figure 8</w:t>
        </w:r>
      </w:hyperlink>
      <w:r>
        <w:t xml:space="preserve">.</w:t>
      </w:r>
    </w:p>
    <w:bookmarkStart w:id="75" w:name="fig-citationrat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0" w:name="fig-citationrate-1"/>
                <w:p>
                  <w:pPr>
                    <w:pStyle w:val="Compact"/>
                    <w:jc w:val="center"/>
                    <w:jc w:val="left"/>
                  </w:pPr>
                  <w:r>
                    <w:drawing>
                      <wp:inline>
                        <wp:extent cx="5207000" cy="4165600"/>
                        <wp:effectExtent b="0" l="0" r="0" t="0"/>
                        <wp:docPr descr="" title="" id="68" name="Picture"/>
                        <a:graphic>
                          <a:graphicData uri="http://schemas.openxmlformats.org/drawingml/2006/picture">
                            <pic:pic>
                              <pic:nvPicPr>
                                <pic:cNvPr descr="apc-2025_files/figure-docx/fig-citationrate-1.png" id="69" name="Picture"/>
                                <pic:cNvPicPr>
                                  <a:picLocks noChangeArrowheads="1" noChangeAspect="1"/>
                                </pic:cNvPicPr>
                              </pic:nvPicPr>
                              <pic:blipFill>
                                <a:blip r:embed="rId67"/>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7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4" w:name="fig-citationrate-2"/>
                <w:p>
                  <w:pPr>
                    <w:pStyle w:val="Compact"/>
                    <w:jc w:val="center"/>
                    <w:jc w:val="left"/>
                  </w:pPr>
                  <w:r>
                    <w:drawing>
                      <wp:inline>
                        <wp:extent cx="5207000" cy="4165600"/>
                        <wp:effectExtent b="0" l="0" r="0" t="0"/>
                        <wp:docPr descr="" title="" id="72" name="Picture"/>
                        <a:graphic>
                          <a:graphicData uri="http://schemas.openxmlformats.org/drawingml/2006/picture">
                            <pic:pic>
                              <pic:nvPicPr>
                                <pic:cNvPr descr="apc-2025_files/figure-docx/fig-citationrate-2.png" id="73" name="Picture"/>
                                <pic:cNvPicPr>
                                  <a:picLocks noChangeArrowheads="1" noChangeAspect="1"/>
                                </pic:cNvPicPr>
                              </pic:nvPicPr>
                              <pic:blipFill>
                                <a:blip r:embed="rId71"/>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 articles</w:t>
                  </w:r>
                </w:p>
                <w:bookmarkEnd w:id="74"/>
              </w:tc>
            </w:tr>
          </w:tbl>
          <w:p/>
        </w:tc>
      </w:tr>
    </w:tbl>
    <w:p>
      <w:pPr>
        <w:pStyle w:val="BodyText"/>
      </w:pPr>
      <w:pPr>
        <w:spacing w:before="200"/>
        <w:pStyle w:val="ImageCaption"/>
      </w:pPr>
      <w:r>
        <w:t xml:space="preserve">Figure 8: Mean annual citations to different article kinds.</w:t>
      </w:r>
    </w:p>
    <w:bookmarkEnd w:id="75"/>
    <w:p>
      <w:pPr>
        <w:pStyle w:val="BodyText"/>
      </w:pPr>
      <w:r>
        <w:t xml:space="preserve">Three things stand out about</w:t>
      </w:r>
      <w:r>
        <w:t xml:space="preserve"> </w:t>
      </w:r>
      <w:hyperlink w:anchor="fig-citationrate">
        <w:r>
          <w:rPr>
            <w:rStyle w:val="Hyperlink"/>
          </w:rPr>
          <w:t xml:space="preserve">Figure 8</w:t>
        </w:r>
      </w:hyperlink>
      <w:r>
        <w:t xml:space="preserve">. One is that the two graphs have pretty similar shapes. Using citations from 3 to 10 years prior to the citing year is a pretty good proxy for all citations, and it turns out to be stable in other ways. A second is that both graphs are fairly flat for a long time. Between the mid 1970s and early 2000s they bounce around without moving much. Then they take off, and go through the roof in 2021. The other thing is that these are low numbers. For most of this study, an arbitrary article in one of these hundred journals was cited in one of those journals once a</w:t>
      </w:r>
      <w:r>
        <w:t xml:space="preserve"> </w:t>
      </w:r>
      <w:r>
        <w:rPr>
          <w:i/>
          <w:iCs/>
        </w:rPr>
        <w:t xml:space="preserve">decade</w:t>
      </w:r>
      <w:r>
        <w:t xml:space="preserve">. Actually, since citation rates are extremely long-tailed, and mean rates are well above medians, that somewhat overstates how often the</w:t>
      </w:r>
      <w:r>
        <w:t xml:space="preserve"> </w:t>
      </w:r>
      <w:r>
        <w:t xml:space="preserve">‘average article’</w:t>
      </w:r>
      <w:r>
        <w:t xml:space="preserve"> </w:t>
      </w:r>
      <w:r>
        <w:t xml:space="preserve">was being cited. Frequent citation is very much not the norm.</w:t>
      </w:r>
      <w:r>
        <w:rPr>
          <w:rStyle w:val="FootnoteReference"/>
        </w:rPr>
        <w:footnoteReference w:id="76"/>
      </w:r>
    </w:p>
    <w:p>
      <w:pPr>
        <w:pStyle w:val="BodyText"/>
      </w:pPr>
      <w:r>
        <w:t xml:space="preserve">The various period effects are substantial; to get an reliable picture of the trends in citation patterns, we’re going to have to allow for them. The project here is to use citation data as a proxy for philosophical influence. It is, of course, a deeply imperfect proxy. But it is better than most other proxies; it is certainly better than going off of vibes, or of what one’s friends are talking about.</w:t>
      </w:r>
      <w:r>
        <w:rPr>
          <w:rStyle w:val="FootnoteReference"/>
        </w:rPr>
        <w:footnoteReference w:id="77"/>
      </w:r>
      <w:r>
        <w:t xml:space="preserve"> </w:t>
      </w:r>
      <w:r>
        <w:t xml:space="preserve">If we’re going to use citations this way though, we need to think about how to take into account the changes shown in</w:t>
      </w:r>
      <w:r>
        <w:t xml:space="preserve"> </w:t>
      </w:r>
      <w:hyperlink w:anchor="fig-citationsperyear">
        <w:r>
          <w:rPr>
            <w:rStyle w:val="Hyperlink"/>
          </w:rPr>
          <w:t xml:space="preserve">Figure 3</w:t>
        </w:r>
      </w:hyperlink>
      <w:r>
        <w:t xml:space="preserve">. I’m going to offer a proposal in terms of typical articles; to a first approximation, I’ll measure an article’s influence in a period by the ratio of how often it is cited to how often a typical article is cited. This is a little arbitrary, but I think it gets things at least roughly right. At the very least, it avoids the problems with three other natural proposals that I’ll now present, and probably anything that avoids these problems will be fairly similar.</w:t>
      </w:r>
    </w:p>
    <w:p>
      <w:pPr>
        <w:pStyle w:val="BodyText"/>
      </w:pPr>
      <w:r>
        <w:t xml:space="preserve">Start with the non-proposal of just using citations per year as a measure of influence. Simply eyeballing</w:t>
      </w:r>
      <w:r>
        <w:t xml:space="preserve"> </w:t>
      </w:r>
      <w:hyperlink w:anchor="fig-citationsperyear">
        <w:r>
          <w:rPr>
            <w:rStyle w:val="Hyperlink"/>
          </w:rPr>
          <w:t xml:space="preserve">Figure 3</w:t>
        </w:r>
      </w:hyperlink>
      <w:r>
        <w:t xml:space="preserve"> </w:t>
      </w:r>
      <w:r>
        <w:t xml:space="preserve">makes that a little implausible; there would be so much more influence now. It also has some implausible particular consequences. Tyler Burge’s</w:t>
      </w:r>
      <w:r>
        <w:t xml:space="preserve"> </w:t>
      </w:r>
      <w:r>
        <w:t xml:space="preserve">“Individualism and Psychology”</w:t>
      </w:r>
      <w:r>
        <w:t xml:space="preserve"> </w:t>
      </w:r>
      <w:r>
        <w:t xml:space="preserve">(Burge 1986)</w:t>
      </w:r>
      <w:r>
        <w:t xml:space="preserve"> </w:t>
      </w:r>
      <w:r>
        <w:t xml:space="preserve">was the fourth most cited paper of the 1990s, and if anything that understates its influence. In the 1990s (in these 100 journals) it had 68 citations, so 6.8 per year. In 2021, it had 7 citations, so slightly more per year. Now Burge’s paper is still influential, and it connects in interesting ways to the social turn in philosophy that I’ll discuss below, but it’s implausible to say that it was more influential in 2021 than it was in the 1990s. When there are so many articles published, and a much lower bar to citation, seven citations a year doesn’t signify as much influence.</w:t>
      </w:r>
    </w:p>
    <w:p>
      <w:pPr>
        <w:pStyle w:val="BodyText"/>
      </w:pPr>
      <w:r>
        <w:t xml:space="preserve">A natural second proposal then is to measure what proportion of the year’s citations any particular article has. By this measure,</w:t>
      </w:r>
      <w:r>
        <w:t xml:space="preserve"> </w:t>
      </w:r>
      <w:r>
        <w:t xml:space="preserve">“Individualism and Psychology”</w:t>
      </w:r>
      <w:r>
        <w:t xml:space="preserve"> </w:t>
      </w:r>
      <w:r>
        <w:t xml:space="preserve">was about twenty times as influential in the 1990s as in 2021, which isn’t obviously false.</w:t>
      </w:r>
      <w:r>
        <w:rPr>
          <w:rStyle w:val="FootnoteReference"/>
        </w:rPr>
        <w:footnoteReference w:id="78"/>
      </w:r>
      <w:r>
        <w:t xml:space="preserve"> </w:t>
      </w:r>
      <w:r>
        <w:t xml:space="preserve">Other cases, however, suggest this is too much of a correction. It’s true that there are more citations now than there used to be. There are also more articles for these citations to be shared between. Holding fixed how influential an article is, you’d expect it to have a lower share of the citations when there are several times more articles available to be cited.</w:t>
      </w:r>
    </w:p>
    <w:p>
      <w:pPr>
        <w:pStyle w:val="BodyText"/>
      </w:pPr>
      <w:r>
        <w:t xml:space="preserve">Again, it’s easiest to see this with some examples. In</w:t>
      </w:r>
      <w:r>
        <w:t xml:space="preserve"> </w:t>
      </w:r>
      <w:hyperlink w:anchor="tbl-comp-cite-rate">
        <w:r>
          <w:rPr>
            <w:rStyle w:val="Hyperlink"/>
          </w:rPr>
          <w:t xml:space="preserve">Table 2</w:t>
        </w:r>
      </w:hyperlink>
      <w:r>
        <w:t xml:space="preserve">, I’ve shown the five most cited articles for the 1990s (on the top), and for 2021 (on the bottom). I’ve also shown how often each is cited per 1000 citations, i.e., the proportion of citations each article gets. And I’ve extended the first table to make it easier to compare the scales.</w:t>
      </w:r>
    </w:p>
    <w:bookmarkStart w:id="83" w:name="tbl-comp-cite-rate"/>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0" w:name="tbl-comp-cite-rate-1"/>
                <w:p>
                  <w:pPr>
                    <w:jc w:val="center"/>
                  </w:pPr>
                  <w:pPr>
                    <w:jc w:val="start"/>
                    <w:spacing w:before="200"/>
                    <w:pStyle w:val="ImageCaption"/>
                  </w:pPr>
                  <w:r>
                    <w:t xml:space="preserve">(a) 1990s</w:t>
                  </w:r>
                </w:p>
                <w:bookmarkStart w:id="79" w:name="tbl-comp-cite-rate-1"/>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Citations per 1000</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492</w:t>
                        </w:r>
                      </w:p>
                    </w:tc>
                    <w:tc>
                      <w:tcPr/>
                      <w:p>
                        <w:pPr>
                          <w:pStyle w:val="Compact"/>
                          <w:jc w:val="right"/>
                          <w:jc w:val="center"/>
                        </w:pPr>
                        <w:r>
                          <w:t xml:space="preserve">14.83</w:t>
                        </w:r>
                      </w:p>
                    </w:tc>
                  </w:tr>
                  <w:tr>
                    <w:tc>
                      <w:tcPr/>
                      <w:p>
                        <w:pPr>
                          <w:pStyle w:val="Compact"/>
                          <w:jc w:val="right"/>
                          <w:jc w:val="center"/>
                        </w:pPr>
                        <w:r>
                          <w:t xml:space="preserve">2</w:t>
                        </w:r>
                      </w:p>
                    </w:tc>
                    <w:tc>
                      <w:tcPr/>
                      <w:p>
                        <w:pPr>
                          <w:pStyle w:val="Compact"/>
                          <w:jc w:val="left"/>
                          <w:jc w:val="center"/>
                        </w:pPr>
                        <w:r>
                          <w:t xml:space="preserve">Lewis (1973)</w:t>
                        </w:r>
                      </w:p>
                    </w:tc>
                    <w:tc>
                      <w:tcPr/>
                      <w:p>
                        <w:pPr>
                          <w:pStyle w:val="Compact"/>
                          <w:jc w:val="right"/>
                          <w:jc w:val="center"/>
                        </w:pPr>
                        <w:r>
                          <w:t xml:space="preserve">312</w:t>
                        </w:r>
                      </w:p>
                    </w:tc>
                    <w:tc>
                      <w:tcPr/>
                      <w:p>
                        <w:pPr>
                          <w:pStyle w:val="Compact"/>
                          <w:jc w:val="right"/>
                          <w:jc w:val="center"/>
                        </w:pPr>
                        <w:r>
                          <w:t xml:space="preserve">9.40</w:t>
                        </w:r>
                      </w:p>
                    </w:tc>
                  </w:tr>
                  <w:tr>
                    <w:tc>
                      <w:tcPr/>
                      <w:p>
                        <w:pPr>
                          <w:pStyle w:val="Compact"/>
                          <w:jc w:val="right"/>
                          <w:jc w:val="center"/>
                        </w:pPr>
                        <w:r>
                          <w:t xml:space="preserve">3</w:t>
                        </w:r>
                      </w:p>
                    </w:tc>
                    <w:tc>
                      <w:tcPr/>
                      <w:p>
                        <w:pPr>
                          <w:pStyle w:val="Compact"/>
                          <w:jc w:val="left"/>
                          <w:jc w:val="center"/>
                        </w:pPr>
                        <w:r>
                          <w:t xml:space="preserve">Friedman (1974)</w:t>
                        </w:r>
                      </w:p>
                    </w:tc>
                    <w:tc>
                      <w:tcPr/>
                      <w:p>
                        <w:pPr>
                          <w:pStyle w:val="Compact"/>
                          <w:jc w:val="right"/>
                          <w:jc w:val="center"/>
                        </w:pPr>
                        <w:r>
                          <w:t xml:space="preserve">222</w:t>
                        </w:r>
                      </w:p>
                    </w:tc>
                    <w:tc>
                      <w:tcPr/>
                      <w:p>
                        <w:pPr>
                          <w:pStyle w:val="Compact"/>
                          <w:jc w:val="right"/>
                          <w:jc w:val="center"/>
                        </w:pPr>
                        <w:r>
                          <w:t xml:space="preserve">6.69</w:t>
                        </w:r>
                      </w:p>
                    </w:tc>
                  </w:tr>
                  <w:tr>
                    <w:tc>
                      <w:tcPr/>
                      <w:p>
                        <w:pPr>
                          <w:pStyle w:val="Compact"/>
                          <w:jc w:val="right"/>
                          <w:jc w:val="center"/>
                        </w:pPr>
                        <w:r>
                          <w:t xml:space="preserve">4</w:t>
                        </w:r>
                      </w:p>
                    </w:tc>
                    <w:tc>
                      <w:tcPr/>
                      <w:p>
                        <w:pPr>
                          <w:pStyle w:val="Compact"/>
                          <w:jc w:val="left"/>
                          <w:jc w:val="center"/>
                        </w:pPr>
                        <w:r>
                          <w:t xml:space="preserve">Benacerraf (1973)</w:t>
                        </w:r>
                      </w:p>
                    </w:tc>
                    <w:tc>
                      <w:tcPr/>
                      <w:p>
                        <w:pPr>
                          <w:pStyle w:val="Compact"/>
                          <w:jc w:val="right"/>
                          <w:jc w:val="center"/>
                        </w:pPr>
                        <w:r>
                          <w:t xml:space="preserve">204</w:t>
                        </w:r>
                      </w:p>
                    </w:tc>
                    <w:tc>
                      <w:tcPr/>
                      <w:p>
                        <w:pPr>
                          <w:pStyle w:val="Compact"/>
                          <w:jc w:val="right"/>
                          <w:jc w:val="center"/>
                        </w:pPr>
                        <w:r>
                          <w:t xml:space="preserve">6.15</w:t>
                        </w:r>
                      </w:p>
                    </w:tc>
                  </w:tr>
                  <w:tr>
                    <w:tc>
                      <w:tcPr/>
                      <w:p>
                        <w:pPr>
                          <w:pStyle w:val="Compact"/>
                        </w:pPr>
                      </w:p>
                    </w:tc>
                    <w:tc>
                      <w:tcPr/>
                      <w:p>
                        <w:pPr>
                          <w:pStyle w:val="Compact"/>
                          <w:jc w:val="left"/>
                          <w:jc w:val="center"/>
                        </w:pPr>
                        <w:r>
                          <w:t xml:space="preserve">…</w:t>
                        </w:r>
                      </w:p>
                    </w:tc>
                    <w:tc>
                      <w:tcPr/>
                      <w:p>
                        <w:pPr>
                          <w:pStyle w:val="Compact"/>
                        </w:pPr>
                      </w:p>
                    </w:tc>
                    <w:tc>
                      <w:tcPr/>
                      <w:p>
                        <w:pPr>
                          <w:pStyle w:val="Compact"/>
                        </w:pPr>
                      </w:p>
                    </w:tc>
                  </w:tr>
                  <w:tr>
                    <w:tc>
                      <w:tcPr/>
                      <w:p>
                        <w:pPr>
                          <w:pStyle w:val="Compact"/>
                          <w:jc w:val="right"/>
                          <w:jc w:val="center"/>
                        </w:pPr>
                        <w:r>
                          <w:t xml:space="preserve">10</w:t>
                        </w:r>
                      </w:p>
                    </w:tc>
                    <w:tc>
                      <w:tcPr/>
                      <w:p>
                        <w:pPr>
                          <w:pStyle w:val="Compact"/>
                          <w:jc w:val="left"/>
                          <w:jc w:val="center"/>
                        </w:pPr>
                        <w:r>
                          <w:t xml:space="preserve">Putnam (1973)</w:t>
                        </w:r>
                      </w:p>
                    </w:tc>
                    <w:tc>
                      <w:tcPr/>
                      <w:p>
                        <w:pPr>
                          <w:pStyle w:val="Compact"/>
                          <w:jc w:val="right"/>
                          <w:jc w:val="center"/>
                        </w:pPr>
                        <w:r>
                          <w:t xml:space="preserve">78</w:t>
                        </w:r>
                      </w:p>
                    </w:tc>
                    <w:tc>
                      <w:tcPr/>
                      <w:p>
                        <w:pPr>
                          <w:pStyle w:val="Compact"/>
                          <w:jc w:val="right"/>
                          <w:jc w:val="center"/>
                        </w:pPr>
                        <w:r>
                          <w:t xml:space="preserve">2.35</w:t>
                        </w:r>
                      </w:p>
                    </w:tc>
                  </w:tr>
                  <w:tr>
                    <w:tc>
                      <w:tcPr/>
                      <w:p>
                        <w:pPr>
                          <w:pStyle w:val="Compact"/>
                        </w:pPr>
                      </w:p>
                    </w:tc>
                    <w:tc>
                      <w:tcPr/>
                      <w:p>
                        <w:pPr>
                          <w:pStyle w:val="Compact"/>
                          <w:jc w:val="left"/>
                          <w:jc w:val="center"/>
                        </w:pPr>
                        <w:r>
                          <w:t xml:space="preserve">…</w:t>
                        </w:r>
                      </w:p>
                    </w:tc>
                    <w:tc>
                      <w:tcPr/>
                      <w:p>
                        <w:pPr>
                          <w:pStyle w:val="Compact"/>
                        </w:pPr>
                      </w:p>
                    </w:tc>
                    <w:tc>
                      <w:tcPr/>
                      <w:p>
                        <w:pPr>
                          <w:pStyle w:val="Compact"/>
                        </w:pPr>
                      </w:p>
                    </w:tc>
                  </w:tr>
                  <w:tr>
                    <w:tc>
                      <w:tcPr/>
                      <w:p>
                        <w:pPr>
                          <w:pStyle w:val="Compact"/>
                          <w:jc w:val="right"/>
                          <w:jc w:val="center"/>
                        </w:pPr>
                        <w:r>
                          <w:t xml:space="preserve">34</w:t>
                        </w:r>
                      </w:p>
                    </w:tc>
                    <w:tc>
                      <w:tcPr/>
                      <w:p>
                        <w:pPr>
                          <w:pStyle w:val="Compact"/>
                          <w:jc w:val="left"/>
                          <w:jc w:val="center"/>
                        </w:pPr>
                        <w:r>
                          <w:t xml:space="preserve">Rawls (1985)</w:t>
                        </w:r>
                      </w:p>
                    </w:tc>
                    <w:tc>
                      <w:tcPr/>
                      <w:p>
                        <w:pPr>
                          <w:pStyle w:val="Compact"/>
                          <w:jc w:val="right"/>
                          <w:jc w:val="center"/>
                        </w:pPr>
                        <w:r>
                          <w:t xml:space="preserve">41</w:t>
                        </w:r>
                      </w:p>
                    </w:tc>
                    <w:tc>
                      <w:tcPr/>
                      <w:p>
                        <w:pPr>
                          <w:pStyle w:val="Compact"/>
                          <w:jc w:val="right"/>
                          <w:jc w:val="center"/>
                        </w:pPr>
                        <w:r>
                          <w:t xml:space="preserve">1.24</w:t>
                        </w:r>
                      </w:p>
                    </w:tc>
                  </w:tr>
                  <w:tr>
                    <w:tc>
                      <w:tcPr/>
                      <w:p>
                        <w:pPr>
                          <w:pStyle w:val="Compact"/>
                          <w:jc w:val="right"/>
                          <w:jc w:val="center"/>
                        </w:pPr>
                        <w:r>
                          <w:t xml:space="preserve">35</w:t>
                        </w:r>
                      </w:p>
                    </w:tc>
                    <w:tc>
                      <w:tcPr/>
                      <w:p>
                        <w:pPr>
                          <w:pStyle w:val="Compact"/>
                          <w:jc w:val="left"/>
                          <w:jc w:val="center"/>
                        </w:pPr>
                        <w:r>
                          <w:t xml:space="preserve">Lewis (1979)</w:t>
                        </w:r>
                      </w:p>
                    </w:tc>
                    <w:tc>
                      <w:tcPr/>
                      <w:p>
                        <w:pPr>
                          <w:pStyle w:val="Compact"/>
                          <w:jc w:val="right"/>
                          <w:jc w:val="center"/>
                        </w:pPr>
                        <w:r>
                          <w:t xml:space="preserve">40</w:t>
                        </w:r>
                      </w:p>
                    </w:tc>
                    <w:tc>
                      <w:tcPr/>
                      <w:p>
                        <w:pPr>
                          <w:pStyle w:val="Compact"/>
                          <w:jc w:val="right"/>
                          <w:jc w:val="center"/>
                        </w:pPr>
                        <w:r>
                          <w:t xml:space="preserve">1.21</w:t>
                        </w:r>
                      </w:p>
                    </w:tc>
                  </w:tr>
                  <w:tr>
                    <w:tc>
                      <w:tcPr/>
                      <w:p>
                        <w:pPr>
                          <w:pStyle w:val="Compact"/>
                          <w:jc w:val="right"/>
                          <w:jc w:val="center"/>
                        </w:pPr>
                        <w:r>
                          <w:t xml:space="preserve">36</w:t>
                        </w:r>
                      </w:p>
                    </w:tc>
                    <w:tc>
                      <w:tcPr/>
                      <w:p>
                        <w:pPr>
                          <w:pStyle w:val="Compact"/>
                          <w:jc w:val="left"/>
                          <w:jc w:val="center"/>
                        </w:pPr>
                        <w:r>
                          <w:t xml:space="preserve">Perry (1977)</w:t>
                        </w:r>
                      </w:p>
                    </w:tc>
                    <w:tc>
                      <w:tcPr/>
                      <w:p>
                        <w:pPr>
                          <w:pStyle w:val="Compact"/>
                          <w:jc w:val="right"/>
                          <w:jc w:val="center"/>
                        </w:pPr>
                        <w:r>
                          <w:t xml:space="preserve">39</w:t>
                        </w:r>
                      </w:p>
                    </w:tc>
                    <w:tc>
                      <w:tcPr/>
                      <w:p>
                        <w:pPr>
                          <w:pStyle w:val="Compact"/>
                          <w:jc w:val="right"/>
                          <w:jc w:val="center"/>
                        </w:pPr>
                        <w:r>
                          <w:t xml:space="preserve">1.18</w:t>
                        </w:r>
                      </w:p>
                    </w:tc>
                  </w:tr>
                </w:tbl>
                <w:bookmarkEnd w:id="79"/>
                <w:bookmarkEnd w:id="8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2" w:name="tbl-comp-cite-rate-2"/>
                <w:p>
                  <w:pPr>
                    <w:jc w:val="center"/>
                  </w:pPr>
                  <w:pPr>
                    <w:jc w:val="start"/>
                    <w:spacing w:before="200"/>
                    <w:pStyle w:val="ImageCaption"/>
                  </w:pPr>
                  <w:r>
                    <w:t xml:space="preserve">(b) 2021</w:t>
                  </w:r>
                </w:p>
                <w:bookmarkStart w:id="81" w:name="tbl-comp-cite-rate-2"/>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Citations per 1000</w:t>
                        </w:r>
                      </w:p>
                    </w:tc>
                  </w:tr>
                  <w:tr>
                    <w:tc>
                      <w:tcPr/>
                      <w:p>
                        <w:pPr>
                          <w:pStyle w:val="Compact"/>
                          <w:jc w:val="right"/>
                          <w:jc w:val="center"/>
                        </w:pPr>
                        <w:r>
                          <w:t xml:space="preserve">1</w:t>
                        </w:r>
                      </w:p>
                    </w:tc>
                    <w:tc>
                      <w:tcPr/>
                      <w:p>
                        <w:pPr>
                          <w:pStyle w:val="Compact"/>
                          <w:jc w:val="left"/>
                          <w:jc w:val="center"/>
                        </w:pPr>
                        <w:r>
                          <w:t xml:space="preserve">Lewis (1973)</w:t>
                        </w:r>
                      </w:p>
                    </w:tc>
                    <w:tc>
                      <w:tcPr/>
                      <w:p>
                        <w:pPr>
                          <w:pStyle w:val="Compact"/>
                          <w:jc w:val="right"/>
                          <w:jc w:val="center"/>
                        </w:pPr>
                        <w:r>
                          <w:t xml:space="preserve">306</w:t>
                        </w:r>
                      </w:p>
                    </w:tc>
                    <w:tc>
                      <w:tcPr/>
                      <w:p>
                        <w:pPr>
                          <w:pStyle w:val="Compact"/>
                          <w:jc w:val="right"/>
                          <w:jc w:val="center"/>
                        </w:pPr>
                        <w:r>
                          <w:t xml:space="preserve">5.32</w:t>
                        </w:r>
                      </w:p>
                    </w:tc>
                  </w:tr>
                  <w:tr>
                    <w:tc>
                      <w:tcPr/>
                      <w:p>
                        <w:pPr>
                          <w:pStyle w:val="Compact"/>
                          <w:jc w:val="right"/>
                          <w:jc w:val="center"/>
                        </w:pPr>
                        <w:r>
                          <w:t xml:space="preserve">2</w:t>
                        </w:r>
                      </w:p>
                    </w:tc>
                    <w:tc>
                      <w:tcPr/>
                      <w:p>
                        <w:pPr>
                          <w:pStyle w:val="Compact"/>
                          <w:jc w:val="left"/>
                          <w:jc w:val="center"/>
                        </w:pPr>
                        <w:r>
                          <w:t xml:space="preserve">Frankfurt (1971)</w:t>
                        </w:r>
                      </w:p>
                    </w:tc>
                    <w:tc>
                      <w:tcPr/>
                      <w:p>
                        <w:pPr>
                          <w:pStyle w:val="Compact"/>
                          <w:jc w:val="right"/>
                          <w:jc w:val="center"/>
                        </w:pPr>
                        <w:r>
                          <w:t xml:space="preserve">162</w:t>
                        </w:r>
                      </w:p>
                    </w:tc>
                    <w:tc>
                      <w:tcPr/>
                      <w:p>
                        <w:pPr>
                          <w:pStyle w:val="Compact"/>
                          <w:jc w:val="right"/>
                          <w:jc w:val="center"/>
                        </w:pPr>
                        <w:r>
                          <w:t xml:space="preserve">2.82</w:t>
                        </w:r>
                      </w:p>
                    </w:tc>
                  </w:tr>
                  <w:tr>
                    <w:tc>
                      <w:tcPr/>
                      <w:p>
                        <w:pPr>
                          <w:pStyle w:val="Compact"/>
                          <w:jc w:val="right"/>
                          <w:jc w:val="center"/>
                        </w:pPr>
                        <w:r>
                          <w:t xml:space="preserve">3</w:t>
                        </w:r>
                      </w:p>
                    </w:tc>
                    <w:tc>
                      <w:tcPr/>
                      <w:p>
                        <w:pPr>
                          <w:pStyle w:val="Compact"/>
                          <w:jc w:val="left"/>
                          <w:jc w:val="center"/>
                        </w:pPr>
                        <w:r>
                          <w:t xml:space="preserve">Friedman (1974)</w:t>
                        </w:r>
                      </w:p>
                    </w:tc>
                    <w:tc>
                      <w:tcPr/>
                      <w:p>
                        <w:pPr>
                          <w:pStyle w:val="Compact"/>
                          <w:jc w:val="right"/>
                          <w:jc w:val="center"/>
                        </w:pPr>
                        <w:r>
                          <w:t xml:space="preserve">126</w:t>
                        </w:r>
                      </w:p>
                    </w:tc>
                    <w:tc>
                      <w:tcPr/>
                      <w:p>
                        <w:pPr>
                          <w:pStyle w:val="Compact"/>
                          <w:jc w:val="right"/>
                          <w:jc w:val="center"/>
                        </w:pPr>
                        <w:r>
                          <w:t xml:space="preserve">2.19</w:t>
                        </w:r>
                      </w:p>
                    </w:tc>
                  </w:tr>
                  <w:tr>
                    <w:tc>
                      <w:tcPr/>
                      <w:p>
                        <w:pPr>
                          <w:pStyle w:val="Compact"/>
                          <w:jc w:val="right"/>
                          <w:jc w:val="center"/>
                        </w:pPr>
                        <w:r>
                          <w:t xml:space="preserve">4</w:t>
                        </w:r>
                      </w:p>
                    </w:tc>
                    <w:tc>
                      <w:tcPr/>
                      <w:p>
                        <w:pPr>
                          <w:pStyle w:val="Compact"/>
                          <w:jc w:val="left"/>
                          <w:jc w:val="center"/>
                        </w:pPr>
                        <w:r>
                          <w:t xml:space="preserve">Benacerraf (1973)</w:t>
                        </w:r>
                      </w:p>
                    </w:tc>
                    <w:tc>
                      <w:tcPr/>
                      <w:p>
                        <w:pPr>
                          <w:pStyle w:val="Compact"/>
                          <w:jc w:val="right"/>
                          <w:jc w:val="center"/>
                        </w:pPr>
                        <w:r>
                          <w:t xml:space="preserve">120</w:t>
                        </w:r>
                      </w:p>
                    </w:tc>
                    <w:tc>
                      <w:tcPr/>
                      <w:p>
                        <w:pPr>
                          <w:pStyle w:val="Compact"/>
                          <w:jc w:val="right"/>
                          <w:jc w:val="center"/>
                        </w:pPr>
                        <w:r>
                          <w:t xml:space="preserve">2.09</w:t>
                        </w:r>
                      </w:p>
                    </w:tc>
                  </w:tr>
                  <w:tr>
                    <w:tc>
                      <w:tcPr/>
                      <w:p>
                        <w:pPr>
                          <w:pStyle w:val="Compact"/>
                          <w:jc w:val="right"/>
                          <w:jc w:val="center"/>
                        </w:pPr>
                        <w:r>
                          <w:t xml:space="preserve">5</w:t>
                        </w:r>
                      </w:p>
                    </w:tc>
                    <w:tc>
                      <w:tcPr/>
                      <w:p>
                        <w:pPr>
                          <w:pStyle w:val="Compact"/>
                          <w:jc w:val="left"/>
                          <w:jc w:val="center"/>
                        </w:pPr>
                        <w:r>
                          <w:t xml:space="preserve">Levi (1974)</w:t>
                        </w:r>
                      </w:p>
                    </w:tc>
                    <w:tc>
                      <w:tcPr/>
                      <w:p>
                        <w:pPr>
                          <w:pStyle w:val="Compact"/>
                          <w:jc w:val="right"/>
                          <w:jc w:val="center"/>
                        </w:pPr>
                        <w:r>
                          <w:t xml:space="preserve">96</w:t>
                        </w:r>
                      </w:p>
                    </w:tc>
                    <w:tc>
                      <w:tcPr/>
                      <w:p>
                        <w:pPr>
                          <w:pStyle w:val="Compact"/>
                          <w:jc w:val="right"/>
                          <w:jc w:val="center"/>
                        </w:pPr>
                        <w:r>
                          <w:t xml:space="preserve">1.67</w:t>
                        </w:r>
                      </w:p>
                    </w:tc>
                  </w:tr>
                  <w:tr>
                    <w:tc>
                      <w:tcPr/>
                      <w:p>
                        <w:pPr>
                          <w:pStyle w:val="Compact"/>
                          <w:jc w:val="right"/>
                          <w:jc w:val="center"/>
                        </w:pPr>
                        <w:r>
                          <w:t xml:space="preserve">6</w:t>
                        </w:r>
                      </w:p>
                    </w:tc>
                    <w:tc>
                      <w:tcPr/>
                      <w:p>
                        <w:pPr>
                          <w:pStyle w:val="Compact"/>
                          <w:jc w:val="left"/>
                          <w:jc w:val="center"/>
                        </w:pPr>
                        <w:r>
                          <w:t xml:space="preserve">Lewis (1983)</w:t>
                        </w:r>
                      </w:p>
                    </w:tc>
                    <w:tc>
                      <w:tcPr/>
                      <w:p>
                        <w:pPr>
                          <w:pStyle w:val="Compact"/>
                          <w:jc w:val="right"/>
                          <w:jc w:val="center"/>
                        </w:pPr>
                        <w:r>
                          <w:t xml:space="preserve">96</w:t>
                        </w:r>
                      </w:p>
                    </w:tc>
                    <w:tc>
                      <w:tcPr/>
                      <w:p>
                        <w:pPr>
                          <w:pStyle w:val="Compact"/>
                          <w:jc w:val="right"/>
                          <w:jc w:val="center"/>
                        </w:pPr>
                        <w:r>
                          <w:t xml:space="preserve">1.67</w:t>
                        </w:r>
                      </w:p>
                    </w:tc>
                  </w:tr>
                  <w:tr>
                    <w:tc>
                      <w:tcPr/>
                      <w:p>
                        <w:pPr>
                          <w:pStyle w:val="Compact"/>
                          <w:jc w:val="right"/>
                          <w:jc w:val="center"/>
                        </w:pPr>
                        <w:r>
                          <w:t xml:space="preserve">7</w:t>
                        </w:r>
                      </w:p>
                    </w:tc>
                    <w:tc>
                      <w:tcPr/>
                      <w:p>
                        <w:pPr>
                          <w:pStyle w:val="Compact"/>
                          <w:jc w:val="left"/>
                          <w:jc w:val="center"/>
                        </w:pPr>
                        <w:r>
                          <w:t xml:space="preserve">Putnam (1973)</w:t>
                        </w:r>
                      </w:p>
                    </w:tc>
                    <w:tc>
                      <w:tcPr/>
                      <w:p>
                        <w:pPr>
                          <w:pStyle w:val="Compact"/>
                          <w:jc w:val="right"/>
                          <w:jc w:val="center"/>
                        </w:pPr>
                        <w:r>
                          <w:t xml:space="preserve">84</w:t>
                        </w:r>
                      </w:p>
                    </w:tc>
                    <w:tc>
                      <w:tcPr/>
                      <w:p>
                        <w:pPr>
                          <w:pStyle w:val="Compact"/>
                          <w:jc w:val="right"/>
                          <w:jc w:val="center"/>
                        </w:pPr>
                        <w:r>
                          <w:t xml:space="preserve">1.46</w:t>
                        </w:r>
                      </w:p>
                    </w:tc>
                  </w:tr>
                  <w:tr>
                    <w:tc>
                      <w:tcPr/>
                      <w:p>
                        <w:pPr>
                          <w:pStyle w:val="Compact"/>
                          <w:jc w:val="right"/>
                          <w:jc w:val="center"/>
                        </w:pPr>
                        <w:r>
                          <w:t xml:space="preserve">8</w:t>
                        </w:r>
                      </w:p>
                    </w:tc>
                    <w:tc>
                      <w:tcPr/>
                      <w:p>
                        <w:pPr>
                          <w:pStyle w:val="Compact"/>
                          <w:jc w:val="left"/>
                          <w:jc w:val="center"/>
                        </w:pPr>
                        <w:r>
                          <w:t xml:space="preserve">Lewis (1971)</w:t>
                        </w:r>
                      </w:p>
                    </w:tc>
                    <w:tc>
                      <w:tcPr/>
                      <w:p>
                        <w:pPr>
                          <w:pStyle w:val="Compact"/>
                          <w:jc w:val="right"/>
                          <w:jc w:val="center"/>
                        </w:pPr>
                        <w:r>
                          <w:t xml:space="preserve">66</w:t>
                        </w:r>
                      </w:p>
                    </w:tc>
                    <w:tc>
                      <w:tcPr/>
                      <w:p>
                        <w:pPr>
                          <w:pStyle w:val="Compact"/>
                          <w:jc w:val="right"/>
                          <w:jc w:val="center"/>
                        </w:pPr>
                        <w:r>
                          <w:t xml:space="preserve">1.15</w:t>
                        </w:r>
                      </w:p>
                    </w:tc>
                  </w:tr>
                  <w:tr>
                    <w:tc>
                      <w:tcPr/>
                      <w:p>
                        <w:pPr>
                          <w:pStyle w:val="Compact"/>
                          <w:jc w:val="right"/>
                          <w:jc w:val="center"/>
                        </w:pPr>
                        <w:r>
                          <w:t xml:space="preserve">9</w:t>
                        </w:r>
                      </w:p>
                    </w:tc>
                    <w:tc>
                      <w:tcPr/>
                      <w:p>
                        <w:pPr>
                          <w:pStyle w:val="Compact"/>
                          <w:jc w:val="left"/>
                          <w:jc w:val="center"/>
                        </w:pPr>
                        <w:r>
                          <w:t xml:space="preserve">Boolos (1971)</w:t>
                        </w:r>
                      </w:p>
                    </w:tc>
                    <w:tc>
                      <w:tcPr/>
                      <w:p>
                        <w:pPr>
                          <w:pStyle w:val="Compact"/>
                          <w:jc w:val="right"/>
                          <w:jc w:val="center"/>
                        </w:pPr>
                        <w:r>
                          <w:t xml:space="preserve">60</w:t>
                        </w:r>
                      </w:p>
                    </w:tc>
                    <w:tc>
                      <w:tcPr/>
                      <w:p>
                        <w:pPr>
                          <w:pStyle w:val="Compact"/>
                          <w:jc w:val="right"/>
                          <w:jc w:val="center"/>
                        </w:pPr>
                        <w:r>
                          <w:t xml:space="preserve">1.04</w:t>
                        </w:r>
                      </w:p>
                    </w:tc>
                  </w:tr>
                  <w:tr>
                    <w:tc>
                      <w:tcPr/>
                      <w:p>
                        <w:pPr>
                          <w:pStyle w:val="Compact"/>
                          <w:jc w:val="right"/>
                          <w:jc w:val="center"/>
                        </w:pPr>
                        <w:r>
                          <w:t xml:space="preserve">10</w:t>
                        </w:r>
                      </w:p>
                    </w:tc>
                    <w:tc>
                      <w:tcPr/>
                      <w:p>
                        <w:pPr>
                          <w:pStyle w:val="Compact"/>
                          <w:jc w:val="left"/>
                          <w:jc w:val="center"/>
                        </w:pPr>
                        <w:r>
                          <w:t xml:space="preserve">Haslanger (2000b)</w:t>
                        </w:r>
                      </w:p>
                    </w:tc>
                    <w:tc>
                      <w:tcPr/>
                      <w:p>
                        <w:pPr>
                          <w:pStyle w:val="Compact"/>
                          <w:jc w:val="right"/>
                          <w:jc w:val="center"/>
                        </w:pPr>
                        <w:r>
                          <w:t xml:space="preserve">60</w:t>
                        </w:r>
                      </w:p>
                    </w:tc>
                    <w:tc>
                      <w:tcPr/>
                      <w:p>
                        <w:pPr>
                          <w:pStyle w:val="Compact"/>
                          <w:jc w:val="right"/>
                          <w:jc w:val="center"/>
                        </w:pPr>
                        <w:r>
                          <w:t xml:space="preserve">1.04</w:t>
                        </w:r>
                      </w:p>
                    </w:tc>
                  </w:tr>
                </w:tbl>
                <w:bookmarkEnd w:id="81"/>
                <w:bookmarkEnd w:id="82"/>
                <w:p/>
              </w:tc>
            </w:tr>
          </w:tbl>
          <w:p/>
        </w:tc>
      </w:tr>
    </w:tbl>
    <w:p>
      <w:pPr>
        <w:pStyle w:val="BodyText"/>
      </w:pPr>
      <w:pPr>
        <w:spacing w:before="200"/>
        <w:pStyle w:val="ImageCaption"/>
      </w:pPr>
      <w:r>
        <w:t xml:space="preserve">Table 2: Most cited articles in the 1990s, and in 2021.</w:t>
      </w:r>
    </w:p>
    <w:bookmarkEnd w:id="83"/>
    <w:p>
      <w:pPr>
        <w:pStyle w:val="BodyText"/>
      </w:pPr>
      <w:r>
        <w:t xml:space="preserve">As influential as</w:t>
      </w:r>
      <w:r>
        <w:t xml:space="preserve"> </w:t>
      </w:r>
      <w:r>
        <w:t xml:space="preserve">“A Matter of Individuality”</w:t>
      </w:r>
      <w:r>
        <w:t xml:space="preserve">,</w:t>
      </w:r>
      <w:r>
        <w:t xml:space="preserve"> </w:t>
      </w:r>
      <w:r>
        <w:t xml:space="preserve">“Counterfactual Dependence and Time’s Arrow”</w:t>
      </w:r>
      <w:r>
        <w:t xml:space="preserve">, and</w:t>
      </w:r>
      <w:r>
        <w:t xml:space="preserve"> </w:t>
      </w:r>
      <w:r>
        <w:t xml:space="preserve">“Belief and the Will”</w:t>
      </w:r>
      <w:r>
        <w:t xml:space="preserve"> </w:t>
      </w:r>
      <w:r>
        <w:t xml:space="preserve">were in the 1990s, I don’t think they were more influential than all but one article was in 2021. Haslanger’s article became a foundational text for one of the biggest fields in philosophy: social metaphysics. A measure of influence that puts it behind how influential 36 articles were in the 1990s seems wrong, and the intuitive reasoning about sharing citations around suggests why it is wrong.</w:t>
      </w:r>
    </w:p>
    <w:p>
      <w:pPr>
        <w:pStyle w:val="BodyText"/>
      </w:pPr>
      <w:r>
        <w:t xml:space="preserve">A natural next move is to scale the citations not to all citations, but to the average number of citations that available, i.e., already published, articles get. This would solve the problem I just presented in a simple way. Having 1 cite per 1000 citations means a lot more when there are 100,000 articles that could have received that citation than when there are 10,000 such articles.</w:t>
      </w:r>
    </w:p>
    <w:p>
      <w:pPr>
        <w:pStyle w:val="BodyText"/>
      </w:pPr>
      <w:r>
        <w:t xml:space="preserve">Again, this is an overcorrection. In theory, any article already published could be cited. In practice, long forgotten articles are long forgotten and hence not cited, and most articles are long forgotten. It’s true that in 2021 articles have to</w:t>
      </w:r>
      <w:r>
        <w:t xml:space="preserve"> </w:t>
      </w:r>
      <w:r>
        <w:t xml:space="preserve">‘share’</w:t>
      </w:r>
      <w:r>
        <w:t xml:space="preserve"> </w:t>
      </w:r>
      <w:r>
        <w:t xml:space="preserve">citation space with more other articles. But in practice that normally means they share the space with other</w:t>
      </w:r>
      <w:r>
        <w:t xml:space="preserve"> </w:t>
      </w:r>
      <w:r>
        <w:rPr>
          <w:i/>
          <w:iCs/>
        </w:rPr>
        <w:t xml:space="preserve">recently published</w:t>
      </w:r>
      <w:r>
        <w:t xml:space="preserve"> </w:t>
      </w:r>
      <w:r>
        <w:t xml:space="preserve">articles.</w:t>
      </w:r>
    </w:p>
    <w:p>
      <w:pPr>
        <w:pStyle w:val="BodyText"/>
      </w:pPr>
      <w:r>
        <w:t xml:space="preserve">We can sort of see this by redoing the calculation from</w:t>
      </w:r>
      <w:r>
        <w:t xml:space="preserve"> </w:t>
      </w:r>
      <w:hyperlink w:anchor="tbl-comp-cite-rate">
        <w:r>
          <w:rPr>
            <w:rStyle w:val="Hyperlink"/>
          </w:rPr>
          <w:t xml:space="preserve">Table 2</w:t>
        </w:r>
      </w:hyperlink>
      <w:r>
        <w:t xml:space="preserve">, instead using the ratio of citations this article receives to citations the average available article receives.</w:t>
      </w:r>
      <w:r>
        <w:rPr>
          <w:rStyle w:val="FootnoteReference"/>
        </w:rPr>
        <w:footnoteReference w:id="84"/>
      </w:r>
      <w:r>
        <w:t xml:space="preserve"> </w:t>
      </w:r>
      <w:r>
        <w:t xml:space="preserve">I’ve done this in</w:t>
      </w:r>
      <w:r>
        <w:t xml:space="preserve"> </w:t>
      </w:r>
      <w:hyperlink w:anchor="tbl-comp-cite-ratio">
        <w:r>
          <w:rPr>
            <w:rStyle w:val="Hyperlink"/>
          </w:rPr>
          <w:t xml:space="preserve">Table 3</w:t>
        </w:r>
      </w:hyperlink>
      <w:r>
        <w:t xml:space="preserve">. First, I’ve shown the articles that, across the 1990s, had the highest average ratio of citations they received to citations the average available article received, and second, I did the same calculation for 2021.</w:t>
      </w:r>
    </w:p>
    <w:bookmarkStart w:id="89" w:name="tbl-comp-cite-ratio"/>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6" w:name="tbl-comp-cite-ratio-1"/>
                <w:p>
                  <w:pPr>
                    <w:jc w:val="center"/>
                  </w:pPr>
                  <w:pPr>
                    <w:jc w:val="start"/>
                    <w:spacing w:before="200"/>
                    <w:pStyle w:val="ImageCaption"/>
                  </w:pPr>
                  <w:r>
                    <w:t xml:space="preserve">(a) 1990s</w:t>
                  </w:r>
                </w:p>
                <w:bookmarkStart w:id="85" w:name="tbl-comp-cite-ratio-1"/>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2</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3</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4</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5</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6</w:t>
                        </w:r>
                      </w:p>
                    </w:tc>
                    <w:tc>
                      <w:tcPr/>
                      <w:p>
                        <w:pPr>
                          <w:pStyle w:val="Compact"/>
                          <w:jc w:val="left"/>
                          <w:jc w:val="center"/>
                        </w:pPr>
                        <w:r>
                          <w:t xml:space="preserve">Frankfurt (1971)</w:t>
                        </w:r>
                      </w:p>
                    </w:tc>
                    <w:tc>
                      <w:tcPr/>
                      <w:p>
                        <w:pPr>
                          <w:pStyle w:val="Compact"/>
                          <w:jc w:val="right"/>
                          <w:jc w:val="center"/>
                        </w:pPr>
                        <w:r>
                          <w:t xml:space="preserve">572.40</w:t>
                        </w:r>
                      </w:p>
                    </w:tc>
                  </w:tr>
                  <w:tr>
                    <w:tc>
                      <w:tcPr/>
                      <w:p>
                        <w:pPr>
                          <w:pStyle w:val="Compact"/>
                          <w:jc w:val="right"/>
                          <w:jc w:val="center"/>
                        </w:pPr>
                        <w:r>
                          <w:t xml:space="preserve">7</w:t>
                        </w:r>
                      </w:p>
                    </w:tc>
                    <w:tc>
                      <w:tcPr/>
                      <w:p>
                        <w:pPr>
                          <w:pStyle w:val="Compact"/>
                          <w:jc w:val="left"/>
                          <w:jc w:val="center"/>
                        </w:pPr>
                        <w:r>
                          <w:t xml:space="preserve">Lewis (1973)</w:t>
                        </w:r>
                      </w:p>
                    </w:tc>
                    <w:tc>
                      <w:tcPr/>
                      <w:p>
                        <w:pPr>
                          <w:pStyle w:val="Compact"/>
                          <w:jc w:val="right"/>
                          <w:jc w:val="center"/>
                        </w:pPr>
                        <w:r>
                          <w:t xml:space="preserve">363.78</w:t>
                        </w:r>
                      </w:p>
                    </w:tc>
                  </w:tr>
                  <w:tr>
                    <w:tc>
                      <w:tcPr/>
                      <w:p>
                        <w:pPr>
                          <w:pStyle w:val="Compact"/>
                          <w:jc w:val="right"/>
                          <w:jc w:val="center"/>
                        </w:pPr>
                        <w:r>
                          <w:t xml:space="preserve">8</w:t>
                        </w:r>
                      </w:p>
                    </w:tc>
                    <w:tc>
                      <w:tcPr/>
                      <w:p>
                        <w:pPr>
                          <w:pStyle w:val="Compact"/>
                          <w:jc w:val="left"/>
                          <w:jc w:val="center"/>
                        </w:pPr>
                        <w:r>
                          <w:t xml:space="preserve">Lewis (1973)</w:t>
                        </w:r>
                      </w:p>
                    </w:tc>
                    <w:tc>
                      <w:tcPr/>
                      <w:p>
                        <w:pPr>
                          <w:pStyle w:val="Compact"/>
                          <w:jc w:val="right"/>
                          <w:jc w:val="center"/>
                        </w:pPr>
                        <w:r>
                          <w:t xml:space="preserve">363.78</w:t>
                        </w:r>
                      </w:p>
                    </w:tc>
                  </w:tr>
                  <w:tr>
                    <w:tc>
                      <w:tcPr/>
                      <w:p>
                        <w:pPr>
                          <w:pStyle w:val="Compact"/>
                          <w:jc w:val="right"/>
                          <w:jc w:val="center"/>
                        </w:pPr>
                        <w:r>
                          <w:t xml:space="preserve">9</w:t>
                        </w:r>
                      </w:p>
                    </w:tc>
                    <w:tc>
                      <w:tcPr/>
                      <w:p>
                        <w:pPr>
                          <w:pStyle w:val="Compact"/>
                          <w:jc w:val="left"/>
                          <w:jc w:val="center"/>
                        </w:pPr>
                        <w:r>
                          <w:t xml:space="preserve">Lewis (1973)</w:t>
                        </w:r>
                      </w:p>
                    </w:tc>
                    <w:tc>
                      <w:tcPr/>
                      <w:p>
                        <w:pPr>
                          <w:pStyle w:val="Compact"/>
                          <w:jc w:val="right"/>
                          <w:jc w:val="center"/>
                        </w:pPr>
                        <w:r>
                          <w:t xml:space="preserve">363.78</w:t>
                        </w:r>
                      </w:p>
                    </w:tc>
                  </w:tr>
                  <w:tr>
                    <w:tc>
                      <w:tcPr/>
                      <w:p>
                        <w:pPr>
                          <w:pStyle w:val="Compact"/>
                          <w:jc w:val="right"/>
                          <w:jc w:val="center"/>
                        </w:pPr>
                        <w:r>
                          <w:t xml:space="preserve">10</w:t>
                        </w:r>
                      </w:p>
                    </w:tc>
                    <w:tc>
                      <w:tcPr/>
                      <w:p>
                        <w:pPr>
                          <w:pStyle w:val="Compact"/>
                          <w:jc w:val="left"/>
                          <w:jc w:val="center"/>
                        </w:pPr>
                        <w:r>
                          <w:t xml:space="preserve">Lewis (1973)</w:t>
                        </w:r>
                      </w:p>
                    </w:tc>
                    <w:tc>
                      <w:tcPr/>
                      <w:p>
                        <w:pPr>
                          <w:pStyle w:val="Compact"/>
                          <w:jc w:val="right"/>
                          <w:jc w:val="center"/>
                        </w:pPr>
                        <w:r>
                          <w:t xml:space="preserve">363.78</w:t>
                        </w:r>
                      </w:p>
                    </w:tc>
                  </w:tr>
                </w:tbl>
                <w:bookmarkEnd w:id="85"/>
                <w:bookmarkEnd w:id="8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8" w:name="tbl-comp-cite-ratio-2"/>
                <w:p>
                  <w:pPr>
                    <w:jc w:val="center"/>
                  </w:pPr>
                  <w:pPr>
                    <w:jc w:val="start"/>
                    <w:spacing w:before="200"/>
                    <w:pStyle w:val="ImageCaption"/>
                  </w:pPr>
                  <w:r>
                    <w:t xml:space="preserve">(b) 2021</w:t>
                  </w:r>
                </w:p>
                <w:bookmarkStart w:id="87" w:name="tbl-comp-cite-ratio-2"/>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jc w:val="right"/>
                          <w:jc w:val="center"/>
                        </w:pPr>
                        <w:r>
                          <w:t xml:space="preserve">2</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jc w:val="right"/>
                          <w:jc w:val="center"/>
                        </w:pPr>
                        <w:r>
                          <w:t xml:space="preserve">3</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jc w:val="right"/>
                          <w:jc w:val="center"/>
                        </w:pPr>
                        <w:r>
                          <w:t xml:space="preserve">4</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jc w:val="right"/>
                          <w:jc w:val="center"/>
                        </w:pPr>
                        <w:r>
                          <w:t xml:space="preserve">5</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jc w:val="right"/>
                          <w:jc w:val="center"/>
                        </w:pPr>
                        <w:r>
                          <w:t xml:space="preserve">6</w:t>
                        </w:r>
                      </w:p>
                    </w:tc>
                    <w:tc>
                      <w:tcPr/>
                      <w:p>
                        <w:pPr>
                          <w:pStyle w:val="Compact"/>
                          <w:jc w:val="left"/>
                          <w:jc w:val="center"/>
                        </w:pPr>
                        <w:r>
                          <w:t xml:space="preserve">Lewis (1973)</w:t>
                        </w:r>
                      </w:p>
                    </w:tc>
                    <w:tc>
                      <w:tcPr/>
                      <w:p>
                        <w:pPr>
                          <w:pStyle w:val="Compact"/>
                          <w:jc w:val="right"/>
                          <w:jc w:val="center"/>
                        </w:pPr>
                        <w:r>
                          <w:t xml:space="preserve">599.22</w:t>
                        </w:r>
                      </w:p>
                    </w:tc>
                  </w:tr>
                  <w:tr>
                    <w:tc>
                      <w:tcPr/>
                      <w:p>
                        <w:pPr>
                          <w:pStyle w:val="Compact"/>
                        </w:pPr>
                      </w:p>
                    </w:tc>
                    <w:tc>
                      <w:tcPr/>
                      <w:p>
                        <w:pPr>
                          <w:pStyle w:val="Compact"/>
                          <w:jc w:val="left"/>
                          <w:jc w:val="center"/>
                        </w:pPr>
                        <w:r>
                          <w:t xml:space="preserve">…</w:t>
                        </w:r>
                      </w:p>
                    </w:tc>
                    <w:tc>
                      <w:tcPr/>
                      <w:p>
                        <w:pPr>
                          <w:pStyle w:val="Compact"/>
                        </w:pPr>
                      </w:p>
                    </w:tc>
                  </w:tr>
                  <w:tr>
                    <w:tc>
                      <w:tcPr/>
                      <w:p>
                        <w:pPr>
                          <w:pStyle w:val="Compact"/>
                          <w:jc w:val="right"/>
                          <w:jc w:val="center"/>
                        </w:pPr>
                        <w:r>
                          <w:t xml:space="preserve">12</w:t>
                        </w:r>
                      </w:p>
                    </w:tc>
                    <w:tc>
                      <w:tcPr/>
                      <w:p>
                        <w:pPr>
                          <w:pStyle w:val="Compact"/>
                          <w:jc w:val="left"/>
                          <w:jc w:val="center"/>
                        </w:pPr>
                        <w:r>
                          <w:t xml:space="preserve">Frankfurt (1971)</w:t>
                        </w:r>
                      </w:p>
                    </w:tc>
                    <w:tc>
                      <w:tcPr/>
                      <w:p>
                        <w:pPr>
                          <w:pStyle w:val="Compact"/>
                          <w:jc w:val="right"/>
                          <w:jc w:val="center"/>
                        </w:pPr>
                        <w:r>
                          <w:t xml:space="preserve">317.23</w:t>
                        </w:r>
                      </w:p>
                    </w:tc>
                  </w:tr>
                  <w:tr>
                    <w:tc>
                      <w:tcPr/>
                      <w:p>
                        <w:pPr>
                          <w:pStyle w:val="Compact"/>
                        </w:pPr>
                      </w:p>
                    </w:tc>
                    <w:tc>
                      <w:tcPr/>
                      <w:p>
                        <w:pPr>
                          <w:pStyle w:val="Compact"/>
                          <w:jc w:val="left"/>
                          <w:jc w:val="center"/>
                        </w:pPr>
                        <w:r>
                          <w:t xml:space="preserve">…</w:t>
                        </w:r>
                      </w:p>
                    </w:tc>
                    <w:tc>
                      <w:tcPr/>
                      <w:p>
                        <w:pPr>
                          <w:pStyle w:val="Compact"/>
                        </w:pPr>
                      </w:p>
                    </w:tc>
                  </w:tr>
                  <w:tr>
                    <w:tc>
                      <w:tcPr/>
                      <w:p>
                        <w:pPr>
                          <w:pStyle w:val="Compact"/>
                          <w:jc w:val="right"/>
                          <w:jc w:val="center"/>
                        </w:pPr>
                        <w:r>
                          <w:t xml:space="preserve">35</w:t>
                        </w:r>
                      </w:p>
                    </w:tc>
                    <w:tc>
                      <w:tcPr/>
                      <w:p>
                        <w:pPr>
                          <w:pStyle w:val="Compact"/>
                          <w:jc w:val="left"/>
                          <w:jc w:val="center"/>
                        </w:pPr>
                        <w:r>
                          <w:t xml:space="preserve">Putnam (1973)</w:t>
                        </w:r>
                      </w:p>
                    </w:tc>
                    <w:tc>
                      <w:tcPr/>
                      <w:p>
                        <w:pPr>
                          <w:pStyle w:val="Compact"/>
                          <w:jc w:val="right"/>
                          <w:jc w:val="center"/>
                        </w:pPr>
                        <w:r>
                          <w:t xml:space="preserve">164.49</w:t>
                        </w:r>
                      </w:p>
                    </w:tc>
                  </w:tr>
                </w:tbl>
                <w:bookmarkEnd w:id="87"/>
                <w:bookmarkEnd w:id="88"/>
                <w:p/>
              </w:tc>
            </w:tr>
          </w:tbl>
          <w:p/>
        </w:tc>
      </w:tr>
    </w:tbl>
    <w:p>
      <w:pPr>
        <w:pStyle w:val="BodyText"/>
      </w:pPr>
      <w:pPr>
        <w:spacing w:before="200"/>
        <w:pStyle w:val="ImageCaption"/>
      </w:pPr>
      <w:r>
        <w:t xml:space="preserve">Table 3: Most cited articles in the 1990s compared to average citations, and in 2021.</w:t>
      </w:r>
    </w:p>
    <w:bookmarkEnd w:id="89"/>
    <w:p>
      <w:pPr>
        <w:pStyle w:val="BodyText"/>
      </w:pPr>
      <w:r>
        <w:t xml:space="preserve">None of the pairwise comparisons here seem obviously absurd. Was</w:t>
      </w:r>
      <w:r>
        <w:t xml:space="preserve"> </w:t>
      </w:r>
      <w:r>
        <w:t xml:space="preserve">“To be F is to be G”</w:t>
      </w:r>
      <w:r>
        <w:t xml:space="preserve"> </w:t>
      </w:r>
      <w:r>
        <w:t xml:space="preserve">more influential in 2021 than</w:t>
      </w:r>
      <w:r>
        <w:t xml:space="preserve"> </w:t>
      </w:r>
      <w:r>
        <w:t xml:space="preserve">“Causation”</w:t>
      </w:r>
      <w:r>
        <w:t xml:space="preserve"> </w:t>
      </w:r>
      <w:r>
        <w:t xml:space="preserve">was in the 1990s? I wouldn’t have thought so, though it’s not as clear as in the previous set of comparisons. What is clear is that the numbers in the second table in</w:t>
      </w:r>
      <w:r>
        <w:t xml:space="preserve"> </w:t>
      </w:r>
      <w:hyperlink w:anchor="tbl-comp-cite-ratio">
        <w:r>
          <w:rPr>
            <w:rStyle w:val="Hyperlink"/>
          </w:rPr>
          <w:t xml:space="preserve">Table 3</w:t>
        </w:r>
      </w:hyperlink>
      <w:r>
        <w:t xml:space="preserve"> </w:t>
      </w:r>
      <w:r>
        <w:t xml:space="preserve">are considerably higher than the first table, especially at the very top end. That suggests that the intuition that including so many articles from long ago in the comparison class was a mistake, and it has systematically increased the measure we’re using for later years in implausible ways.</w:t>
      </w:r>
    </w:p>
    <w:p>
      <w:pPr>
        <w:pStyle w:val="BodyText"/>
      </w:pPr>
      <w:r>
        <w:t xml:space="preserve">So what I’ve settled on is using the ratio of how often this article is cited in a year, to how often a</w:t>
      </w:r>
      <w:r>
        <w:t xml:space="preserve"> </w:t>
      </w:r>
      <w:r>
        <w:rPr>
          <w:i/>
          <w:iCs/>
        </w:rPr>
        <w:t xml:space="preserve">typical</w:t>
      </w:r>
      <w:r>
        <w:t xml:space="preserve"> </w:t>
      </w:r>
      <w:r>
        <w:t xml:space="preserve">article is cited that year. By</w:t>
      </w:r>
      <w:r>
        <w:t xml:space="preserve"> </w:t>
      </w:r>
      <w:r>
        <w:t xml:space="preserve">‘typical’</w:t>
      </w:r>
      <w:r>
        <w:t xml:space="preserve"> </w:t>
      </w:r>
      <w:r>
        <w:t xml:space="preserve">I mean an article three to ten years old; as we’ll see in</w:t>
      </w:r>
      <w:r>
        <w:t xml:space="preserve"> </w:t>
      </w:r>
      <w:hyperlink w:anchor="sec-age">
        <w:r>
          <w:rPr>
            <w:rStyle w:val="Hyperlink"/>
          </w:rPr>
          <w:t xml:space="preserve">Section 4</w:t>
        </w:r>
      </w:hyperlink>
      <w:r>
        <w:t xml:space="preserve">, those are the typical ages of cited articles. That deals with the intuitive problems of the previous measures, and it gets the results roughly right. In</w:t>
      </w:r>
      <w:r>
        <w:t xml:space="preserve"> </w:t>
      </w:r>
      <w:hyperlink w:anchor="tbl-comp-cite-ratio-typical">
        <w:r>
          <w:rPr>
            <w:rStyle w:val="Hyperlink"/>
          </w:rPr>
          <w:t xml:space="preserve">Table 4</w:t>
        </w:r>
      </w:hyperlink>
      <w:r>
        <w:t xml:space="preserve">, I’ll do one last comparison between the 1990s and 2021 to make the point.</w:t>
      </w:r>
    </w:p>
    <w:bookmarkStart w:id="94" w:name="tbl-comp-cite-ratio-typical"/>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91" w:name="tbl-comp-cite-ratio-typical-1"/>
                <w:p>
                  <w:pPr>
                    <w:jc w:val="center"/>
                  </w:pPr>
                  <w:pPr>
                    <w:jc w:val="start"/>
                    <w:spacing w:before="200"/>
                    <w:pStyle w:val="ImageCaption"/>
                  </w:pPr>
                  <w:r>
                    <w:t xml:space="preserve">(a) 1990s</w:t>
                  </w:r>
                </w:p>
                <w:bookmarkStart w:id="90" w:name="tbl-comp-cite-ratio-typical-1"/>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2</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3</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4</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5</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6</w:t>
                        </w:r>
                      </w:p>
                    </w:tc>
                    <w:tc>
                      <w:tcPr/>
                      <w:p>
                        <w:pPr>
                          <w:pStyle w:val="Compact"/>
                          <w:jc w:val="left"/>
                          <w:jc w:val="center"/>
                        </w:pPr>
                        <w:r>
                          <w:t xml:space="preserve">Frankfurt (1971)</w:t>
                        </w:r>
                      </w:p>
                    </w:tc>
                    <w:tc>
                      <w:tcPr/>
                      <w:p>
                        <w:pPr>
                          <w:pStyle w:val="Compact"/>
                          <w:jc w:val="right"/>
                          <w:jc w:val="center"/>
                        </w:pPr>
                        <w:r>
                          <w:t xml:space="preserve">426.64</w:t>
                        </w:r>
                      </w:p>
                    </w:tc>
                  </w:tr>
                  <w:tr>
                    <w:tc>
                      <w:tcPr/>
                      <w:p>
                        <w:pPr>
                          <w:pStyle w:val="Compact"/>
                          <w:jc w:val="right"/>
                          <w:jc w:val="center"/>
                        </w:pPr>
                        <w:r>
                          <w:t xml:space="preserve">7</w:t>
                        </w:r>
                      </w:p>
                    </w:tc>
                    <w:tc>
                      <w:tcPr/>
                      <w:p>
                        <w:pPr>
                          <w:pStyle w:val="Compact"/>
                          <w:jc w:val="left"/>
                          <w:jc w:val="center"/>
                        </w:pPr>
                        <w:r>
                          <w:t xml:space="preserve">Lewis (1973)</w:t>
                        </w:r>
                      </w:p>
                    </w:tc>
                    <w:tc>
                      <w:tcPr/>
                      <w:p>
                        <w:pPr>
                          <w:pStyle w:val="Compact"/>
                          <w:jc w:val="right"/>
                          <w:jc w:val="center"/>
                        </w:pPr>
                        <w:r>
                          <w:t xml:space="preserve">268.32</w:t>
                        </w:r>
                      </w:p>
                    </w:tc>
                  </w:tr>
                  <w:tr>
                    <w:tc>
                      <w:tcPr/>
                      <w:p>
                        <w:pPr>
                          <w:pStyle w:val="Compact"/>
                          <w:jc w:val="right"/>
                          <w:jc w:val="center"/>
                        </w:pPr>
                        <w:r>
                          <w:t xml:space="preserve">8</w:t>
                        </w:r>
                      </w:p>
                    </w:tc>
                    <w:tc>
                      <w:tcPr/>
                      <w:p>
                        <w:pPr>
                          <w:pStyle w:val="Compact"/>
                          <w:jc w:val="left"/>
                          <w:jc w:val="center"/>
                        </w:pPr>
                        <w:r>
                          <w:t xml:space="preserve">Lewis (1973)</w:t>
                        </w:r>
                      </w:p>
                    </w:tc>
                    <w:tc>
                      <w:tcPr/>
                      <w:p>
                        <w:pPr>
                          <w:pStyle w:val="Compact"/>
                          <w:jc w:val="right"/>
                          <w:jc w:val="center"/>
                        </w:pPr>
                        <w:r>
                          <w:t xml:space="preserve">268.32</w:t>
                        </w:r>
                      </w:p>
                    </w:tc>
                  </w:tr>
                  <w:tr>
                    <w:tc>
                      <w:tcPr/>
                      <w:p>
                        <w:pPr>
                          <w:pStyle w:val="Compact"/>
                          <w:jc w:val="right"/>
                          <w:jc w:val="center"/>
                        </w:pPr>
                        <w:r>
                          <w:t xml:space="preserve">9</w:t>
                        </w:r>
                      </w:p>
                    </w:tc>
                    <w:tc>
                      <w:tcPr/>
                      <w:p>
                        <w:pPr>
                          <w:pStyle w:val="Compact"/>
                          <w:jc w:val="left"/>
                          <w:jc w:val="center"/>
                        </w:pPr>
                        <w:r>
                          <w:t xml:space="preserve">Lewis (1973)</w:t>
                        </w:r>
                      </w:p>
                    </w:tc>
                    <w:tc>
                      <w:tcPr/>
                      <w:p>
                        <w:pPr>
                          <w:pStyle w:val="Compact"/>
                          <w:jc w:val="right"/>
                          <w:jc w:val="center"/>
                        </w:pPr>
                        <w:r>
                          <w:t xml:space="preserve">268.32</w:t>
                        </w:r>
                      </w:p>
                    </w:tc>
                  </w:tr>
                  <w:tr>
                    <w:tc>
                      <w:tcPr/>
                      <w:p>
                        <w:pPr>
                          <w:pStyle w:val="Compact"/>
                          <w:jc w:val="right"/>
                          <w:jc w:val="center"/>
                        </w:pPr>
                        <w:r>
                          <w:t xml:space="preserve">10</w:t>
                        </w:r>
                      </w:p>
                    </w:tc>
                    <w:tc>
                      <w:tcPr/>
                      <w:p>
                        <w:pPr>
                          <w:pStyle w:val="Compact"/>
                          <w:jc w:val="left"/>
                          <w:jc w:val="center"/>
                        </w:pPr>
                        <w:r>
                          <w:t xml:space="preserve">Lewis (1973)</w:t>
                        </w:r>
                      </w:p>
                    </w:tc>
                    <w:tc>
                      <w:tcPr/>
                      <w:p>
                        <w:pPr>
                          <w:pStyle w:val="Compact"/>
                          <w:jc w:val="right"/>
                          <w:jc w:val="center"/>
                        </w:pPr>
                        <w:r>
                          <w:t xml:space="preserve">268.32</w:t>
                        </w:r>
                      </w:p>
                    </w:tc>
                  </w:tr>
                </w:tbl>
                <w:bookmarkEnd w:id="90"/>
                <w:bookmarkEnd w:id="91"/>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93" w:name="tbl-comp-cite-ratio-typical-2"/>
                <w:p>
                  <w:pPr>
                    <w:jc w:val="center"/>
                  </w:pPr>
                  <w:pPr>
                    <w:jc w:val="start"/>
                    <w:spacing w:before="200"/>
                    <w:pStyle w:val="ImageCaption"/>
                  </w:pPr>
                  <w:r>
                    <w:t xml:space="preserve">(b) 2021</w:t>
                  </w:r>
                </w:p>
                <w:bookmarkStart w:id="92" w:name="tbl-comp-cite-ratio-typical-2"/>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2</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3</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4</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5</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6</w:t>
                        </w:r>
                      </w:p>
                    </w:tc>
                    <w:tc>
                      <w:tcPr/>
                      <w:p>
                        <w:pPr>
                          <w:pStyle w:val="Compact"/>
                          <w:jc w:val="left"/>
                          <w:jc w:val="center"/>
                        </w:pPr>
                        <w:r>
                          <w:t xml:space="preserve">Lewis (1973)</w:t>
                        </w:r>
                      </w:p>
                    </w:tc>
                    <w:tc>
                      <w:tcPr/>
                      <w:p>
                        <w:pPr>
                          <w:pStyle w:val="Compact"/>
                          <w:jc w:val="right"/>
                          <w:jc w:val="center"/>
                        </w:pPr>
                        <w:r>
                          <w:t xml:space="preserve">376.00</w:t>
                        </w:r>
                      </w:p>
                    </w:tc>
                  </w:tr>
                  <w:tr>
                    <w:tc>
                      <w:tcPr/>
                      <w:p>
                        <w:pPr>
                          <w:pStyle w:val="Compact"/>
                          <w:jc w:val="right"/>
                          <w:jc w:val="center"/>
                        </w:pPr>
                        <w:r>
                          <w:t xml:space="preserve">7</w:t>
                        </w:r>
                      </w:p>
                    </w:tc>
                    <w:tc>
                      <w:tcPr/>
                      <w:p>
                        <w:pPr>
                          <w:pStyle w:val="Compact"/>
                          <w:jc w:val="left"/>
                          <w:jc w:val="center"/>
                        </w:pPr>
                        <w:r>
                          <w:t xml:space="preserve">Frankfurt (1971)</w:t>
                        </w:r>
                      </w:p>
                    </w:tc>
                    <w:tc>
                      <w:tcPr/>
                      <w:p>
                        <w:pPr>
                          <w:pStyle w:val="Compact"/>
                          <w:jc w:val="right"/>
                          <w:jc w:val="center"/>
                        </w:pPr>
                        <w:r>
                          <w:t xml:space="preserve">199.06</w:t>
                        </w:r>
                      </w:p>
                    </w:tc>
                  </w:tr>
                  <w:tr>
                    <w:tc>
                      <w:tcPr/>
                      <w:p>
                        <w:pPr>
                          <w:pStyle w:val="Compact"/>
                          <w:jc w:val="right"/>
                          <w:jc w:val="center"/>
                        </w:pPr>
                        <w:r>
                          <w:t xml:space="preserve">8</w:t>
                        </w:r>
                      </w:p>
                    </w:tc>
                    <w:tc>
                      <w:tcPr/>
                      <w:p>
                        <w:pPr>
                          <w:pStyle w:val="Compact"/>
                          <w:jc w:val="left"/>
                          <w:jc w:val="center"/>
                        </w:pPr>
                        <w:r>
                          <w:t xml:space="preserve">Frankfurt (1971)</w:t>
                        </w:r>
                      </w:p>
                    </w:tc>
                    <w:tc>
                      <w:tcPr/>
                      <w:p>
                        <w:pPr>
                          <w:pStyle w:val="Compact"/>
                          <w:jc w:val="right"/>
                          <w:jc w:val="center"/>
                        </w:pPr>
                        <w:r>
                          <w:t xml:space="preserve">199.06</w:t>
                        </w:r>
                      </w:p>
                    </w:tc>
                  </w:tr>
                  <w:tr>
                    <w:tc>
                      <w:tcPr/>
                      <w:p>
                        <w:pPr>
                          <w:pStyle w:val="Compact"/>
                          <w:jc w:val="right"/>
                          <w:jc w:val="center"/>
                        </w:pPr>
                        <w:r>
                          <w:t xml:space="preserve">9</w:t>
                        </w:r>
                      </w:p>
                    </w:tc>
                    <w:tc>
                      <w:tcPr/>
                      <w:p>
                        <w:pPr>
                          <w:pStyle w:val="Compact"/>
                          <w:jc w:val="left"/>
                          <w:jc w:val="center"/>
                        </w:pPr>
                        <w:r>
                          <w:t xml:space="preserve">Frankfurt (1971)</w:t>
                        </w:r>
                      </w:p>
                    </w:tc>
                    <w:tc>
                      <w:tcPr/>
                      <w:p>
                        <w:pPr>
                          <w:pStyle w:val="Compact"/>
                          <w:jc w:val="right"/>
                          <w:jc w:val="center"/>
                        </w:pPr>
                        <w:r>
                          <w:t xml:space="preserve">199.06</w:t>
                        </w:r>
                      </w:p>
                    </w:tc>
                  </w:tr>
                  <w:tr>
                    <w:tc>
                      <w:tcPr/>
                      <w:p>
                        <w:pPr>
                          <w:pStyle w:val="Compact"/>
                          <w:jc w:val="right"/>
                          <w:jc w:val="center"/>
                        </w:pPr>
                        <w:r>
                          <w:t xml:space="preserve">10</w:t>
                        </w:r>
                      </w:p>
                    </w:tc>
                    <w:tc>
                      <w:tcPr/>
                      <w:p>
                        <w:pPr>
                          <w:pStyle w:val="Compact"/>
                          <w:jc w:val="left"/>
                          <w:jc w:val="center"/>
                        </w:pPr>
                        <w:r>
                          <w:t xml:space="preserve">Frankfurt (1971)</w:t>
                        </w:r>
                      </w:p>
                    </w:tc>
                    <w:tc>
                      <w:tcPr/>
                      <w:p>
                        <w:pPr>
                          <w:pStyle w:val="Compact"/>
                          <w:jc w:val="right"/>
                          <w:jc w:val="center"/>
                        </w:pPr>
                        <w:r>
                          <w:t xml:space="preserve">199.06</w:t>
                        </w:r>
                      </w:p>
                    </w:tc>
                  </w:tr>
                </w:tbl>
                <w:bookmarkEnd w:id="92"/>
                <w:bookmarkEnd w:id="93"/>
                <w:p/>
              </w:tc>
            </w:tr>
          </w:tbl>
          <w:p/>
        </w:tc>
      </w:tr>
    </w:tbl>
    <w:p>
      <w:pPr>
        <w:pStyle w:val="BodyText"/>
      </w:pPr>
      <w:pPr>
        <w:spacing w:before="200"/>
        <w:pStyle w:val="ImageCaption"/>
      </w:pPr>
      <w:r>
        <w:t xml:space="preserve">Table 4: Most cited articles in the 1990s compared to typical citations, and in 2021.</w:t>
      </w:r>
    </w:p>
    <w:bookmarkEnd w:id="94"/>
    <w:p>
      <w:pPr>
        <w:pStyle w:val="BodyText"/>
      </w:pPr>
      <w:r>
        <w:t xml:space="preserve">The numbers in the second table are a little higher, but not overly so. In any case, one would expect the top end of a scale like this to be higher when just looking at a single year, where there is more variation, than at an average over a decade.</w:t>
      </w:r>
      <w:r>
        <w:rPr>
          <w:rStyle w:val="FootnoteReference"/>
        </w:rPr>
        <w:footnoteReference w:id="95"/>
      </w:r>
      <w:r>
        <w:t xml:space="preserve"> </w:t>
      </w:r>
      <w:r>
        <w:t xml:space="preserve">So I’ll take this as the measure of age-adjusted number of citations. That is, to factor out the age effect on citations, I’ll divide the number of citations an article receives in a year by the average number that a typical, i.e., 3-10 year old, article receives that year.</w:t>
      </w:r>
    </w:p>
    <w:bookmarkEnd w:id="96"/>
    <w:bookmarkStart w:id="128" w:name="sec-age"/>
    <w:p>
      <w:pPr>
        <w:pStyle w:val="Heading1"/>
      </w:pPr>
      <w:r>
        <w:t xml:space="preserve">4. Age Effects</w:t>
      </w:r>
    </w:p>
    <w:p>
      <w:pPr>
        <w:pStyle w:val="FirstParagraph"/>
      </w:pPr>
      <w:r>
        <w:t xml:space="preserve">The simplest way to work out age effects would be to use the values in</w:t>
      </w:r>
      <w:r>
        <w:t xml:space="preserve"> </w:t>
      </w:r>
      <w:hyperlink w:anchor="fig-overall-age">
        <w:r>
          <w:rPr>
            <w:rStyle w:val="Hyperlink"/>
          </w:rPr>
          <w:t xml:space="preserve">Figure 1</w:t>
        </w:r>
      </w:hyperlink>
      <w:r>
        <w:t xml:space="preserve">. For any two articles with age</w:t>
      </w:r>
      <w:r>
        <w:t xml:space="preserve"> </w:t>
      </w:r>
      <w:r>
        <w:rPr>
          <w:i/>
          <w:iCs/>
        </w:rPr>
        <w:t xml:space="preserve">x</w:t>
      </w:r>
      <w:r>
        <w:t xml:space="preserve"> </w:t>
      </w:r>
      <w:r>
        <w:t xml:space="preserve">and</w:t>
      </w:r>
      <w:r>
        <w:t xml:space="preserve"> </w:t>
      </w:r>
      <w:r>
        <w:rPr>
          <w:i/>
          <w:iCs/>
        </w:rPr>
        <w:t xml:space="preserve">y</w:t>
      </w:r>
      <w:r>
        <w:t xml:space="preserve">, we should adjust for age-effects by taking their citations at that age as something like the proportion of all citations of articles with that age as shown in</w:t>
      </w:r>
      <w:r>
        <w:t xml:space="preserve"> </w:t>
      </w:r>
      <w:hyperlink w:anchor="fig-overall-age">
        <w:r>
          <w:rPr>
            <w:rStyle w:val="Hyperlink"/>
          </w:rPr>
          <w:t xml:space="preserve">Figure 1</w:t>
        </w:r>
      </w:hyperlink>
      <w:r>
        <w:t xml:space="preserve">. Given how dramatic the period effects are, this makes no theoretical sense whatsoever. And it would get various details wrong. Somewhat surprisingly, it would nevertheless be roughly correct.</w:t>
      </w:r>
    </w:p>
    <w:p>
      <w:pPr>
        <w:pStyle w:val="BodyText"/>
      </w:pPr>
      <w:r>
        <w:t xml:space="preserve">The picture in</w:t>
      </w:r>
      <w:r>
        <w:t xml:space="preserve"> </w:t>
      </w:r>
      <w:hyperlink w:anchor="fig-overall-age">
        <w:r>
          <w:rPr>
            <w:rStyle w:val="Hyperlink"/>
          </w:rPr>
          <w:t xml:space="preserve">Figure 1</w:t>
        </w:r>
      </w:hyperlink>
      <w:r>
        <w:t xml:space="preserve"> </w:t>
      </w:r>
      <w:r>
        <w:t xml:space="preserve">is fairly intuitive. Articles rarely get cited before they are published.</w:t>
      </w:r>
      <w:r>
        <w:rPr>
          <w:rStyle w:val="FootnoteReference"/>
        </w:rPr>
        <w:footnoteReference w:id="97"/>
      </w:r>
      <w:r>
        <w:t xml:space="preserve"> </w:t>
      </w:r>
      <w:r>
        <w:t xml:space="preserve">Then they take a little bit of time to get noticed, before hitting their peak citations between 2 and 5 years after publication. After that it’s a rapid, and then a slow, decline. For the classic articles, citations never really stop;</w:t>
      </w:r>
      <w:r>
        <w:t xml:space="preserve"> </w:t>
      </w:r>
      <w:r>
        <w:t xml:space="preserve">Anscombe (1956)</w:t>
      </w:r>
      <w:r>
        <w:t xml:space="preserve"> </w:t>
      </w:r>
      <w:r>
        <w:t xml:space="preserve">is cited by</w:t>
      </w:r>
      <w:r>
        <w:t xml:space="preserve"> </w:t>
      </w:r>
      <w:r>
        <w:t xml:space="preserve">Izgin (2020)</w:t>
      </w:r>
      <w:r>
        <w:t xml:space="preserve">. But most articles reach the end of their citation life sooner or, occasionally, later.</w:t>
      </w:r>
    </w:p>
    <w:p>
      <w:pPr>
        <w:pStyle w:val="BodyText"/>
      </w:pPr>
      <w:r>
        <w:t xml:space="preserve">Still, we’d like to be sure that what we’re seeing in</w:t>
      </w:r>
      <w:r>
        <w:t xml:space="preserve"> </w:t>
      </w:r>
      <w:hyperlink w:anchor="fig-overall-age">
        <w:r>
          <w:rPr>
            <w:rStyle w:val="Hyperlink"/>
          </w:rPr>
          <w:t xml:space="preserve">Figure 1</w:t>
        </w:r>
      </w:hyperlink>
      <w:r>
        <w:t xml:space="preserve"> </w:t>
      </w:r>
      <w:r>
        <w:t xml:space="preserve">isn’t just a side-effect of the period effects, or something about how the articles are aggregated. That’s what I’ll try to do in this section.</w:t>
      </w:r>
    </w:p>
    <w:p>
      <w:pPr>
        <w:pStyle w:val="BodyText"/>
      </w:pPr>
      <w:r>
        <w:t xml:space="preserve">The key notion is what I’m going to call the</w:t>
      </w:r>
      <w:r>
        <w:t xml:space="preserve"> </w:t>
      </w:r>
      <w:r>
        <w:rPr>
          <w:i/>
          <w:iCs/>
        </w:rPr>
        <w:t xml:space="preserve">citation ratio</w:t>
      </w:r>
      <w:r>
        <w:t xml:space="preserve">. This is a function that takes two years, which I’ll call</w:t>
      </w:r>
      <w:r>
        <w:t xml:space="preserve"> </w:t>
      </w:r>
      <w:r>
        <w:rPr>
          <w:i/>
          <w:iCs/>
        </w:rPr>
        <w:t xml:space="preserve">old</w:t>
      </w:r>
      <w:r>
        <w:t xml:space="preserve"> </w:t>
      </w:r>
      <w:r>
        <w:t xml:space="preserve">and</w:t>
      </w:r>
      <w:r>
        <w:t xml:space="preserve"> </w:t>
      </w:r>
      <w:r>
        <w:rPr>
          <w:i/>
          <w:iCs/>
        </w:rPr>
        <w:t xml:space="preserve">new</w:t>
      </w:r>
      <w:r>
        <w:t xml:space="preserve">, as input. Intuitively, it measures how often articles from</w:t>
      </w:r>
      <w:r>
        <w:t xml:space="preserve"> </w:t>
      </w:r>
      <w:r>
        <w:rPr>
          <w:i/>
          <w:iCs/>
        </w:rPr>
        <w:t xml:space="preserve">old</w:t>
      </w:r>
      <w:r>
        <w:t xml:space="preserve"> </w:t>
      </w:r>
      <w:r>
        <w:t xml:space="preserve">are cited in</w:t>
      </w:r>
      <w:r>
        <w:t xml:space="preserve"> </w:t>
      </w:r>
      <w:r>
        <w:rPr>
          <w:i/>
          <w:iCs/>
        </w:rPr>
        <w:t xml:space="preserve">new</w:t>
      </w:r>
      <w:r>
        <w:t xml:space="preserve">, normalised for how many articles are published in</w:t>
      </w:r>
      <w:r>
        <w:t xml:space="preserve"> </w:t>
      </w:r>
      <w:r>
        <w:rPr>
          <w:i/>
          <w:iCs/>
        </w:rPr>
        <w:t xml:space="preserve">old</w:t>
      </w:r>
      <w:r>
        <w:t xml:space="preserve">, and what the citation practices are in</w:t>
      </w:r>
      <w:r>
        <w:t xml:space="preserve"> </w:t>
      </w:r>
      <w:r>
        <w:rPr>
          <w:i/>
          <w:iCs/>
        </w:rPr>
        <w:t xml:space="preserve">new</w:t>
      </w:r>
      <w:r>
        <w:t xml:space="preserve">. More formally, it is the following ratio:</w:t>
      </w:r>
    </w:p>
    <w:p>
      <w:pPr>
        <w:pStyle w:val="Compact"/>
        <w:numPr>
          <w:ilvl w:val="0"/>
          <w:numId w:val="1002"/>
        </w:numPr>
      </w:pPr>
      <w:r>
        <w:t xml:space="preserve">The numerator is how often the average article in</w:t>
      </w:r>
      <w:r>
        <w:t xml:space="preserve"> </w:t>
      </w:r>
      <w:r>
        <w:rPr>
          <w:i/>
          <w:iCs/>
        </w:rPr>
        <w:t xml:space="preserve">old</w:t>
      </w:r>
      <w:r>
        <w:t xml:space="preserve"> </w:t>
      </w:r>
      <w:r>
        <w:t xml:space="preserve">is cited in</w:t>
      </w:r>
      <w:r>
        <w:t xml:space="preserve"> </w:t>
      </w:r>
      <w:r>
        <w:rPr>
          <w:i/>
          <w:iCs/>
        </w:rPr>
        <w:t xml:space="preserve">new</w:t>
      </w:r>
      <w:r>
        <w:t xml:space="preserve">. So we search the articles published in</w:t>
      </w:r>
      <w:r>
        <w:t xml:space="preserve"> </w:t>
      </w:r>
      <w:r>
        <w:rPr>
          <w:i/>
          <w:iCs/>
        </w:rPr>
        <w:t xml:space="preserve">new</w:t>
      </w:r>
      <w:r>
        <w:t xml:space="preserve">, count up the number of citations of articles published in</w:t>
      </w:r>
      <w:r>
        <w:t xml:space="preserve"> </w:t>
      </w:r>
      <w:r>
        <w:rPr>
          <w:i/>
          <w:iCs/>
        </w:rPr>
        <w:t xml:space="preserve">old</w:t>
      </w:r>
      <w:r>
        <w:t xml:space="preserve">, and divide by the number of articles published in</w:t>
      </w:r>
      <w:r>
        <w:t xml:space="preserve"> </w:t>
      </w:r>
      <w:r>
        <w:rPr>
          <w:i/>
          <w:iCs/>
        </w:rPr>
        <w:t xml:space="preserve">old</w:t>
      </w:r>
      <w:r>
        <w:t xml:space="preserve">.</w:t>
      </w:r>
    </w:p>
    <w:p>
      <w:pPr>
        <w:pStyle w:val="Compact"/>
        <w:numPr>
          <w:ilvl w:val="0"/>
          <w:numId w:val="1002"/>
        </w:numPr>
      </w:pPr>
      <w:r>
        <w:t xml:space="preserve">The denominator is the rate a</w:t>
      </w:r>
      <w:r>
        <w:t xml:space="preserve"> </w:t>
      </w:r>
      <w:r>
        <w:t xml:space="preserve">‘typical’</w:t>
      </w:r>
      <w:r>
        <w:t xml:space="preserve"> </w:t>
      </w:r>
      <w:r>
        <w:t xml:space="preserve">article is cited in</w:t>
      </w:r>
      <w:r>
        <w:t xml:space="preserve"> </w:t>
      </w:r>
      <w:r>
        <w:rPr>
          <w:i/>
          <w:iCs/>
        </w:rPr>
        <w:t xml:space="preserve">new</w:t>
      </w:r>
      <w:r>
        <w:t xml:space="preserve">. Remember that I’m defining, somewhat stipulatively, a typical article to be published between 3 and 10 years before</w:t>
      </w:r>
      <w:r>
        <w:t xml:space="preserve"> </w:t>
      </w:r>
      <w:r>
        <w:rPr>
          <w:i/>
          <w:iCs/>
        </w:rPr>
        <w:t xml:space="preserve">new</w:t>
      </w:r>
      <w:r>
        <w:t xml:space="preserve">. So again we search the articles published in</w:t>
      </w:r>
      <w:r>
        <w:t xml:space="preserve"> </w:t>
      </w:r>
      <w:r>
        <w:rPr>
          <w:i/>
          <w:iCs/>
        </w:rPr>
        <w:t xml:space="preserve">new</w:t>
      </w:r>
      <w:r>
        <w:t xml:space="preserve">, count the citations to articles published 3 to 10 years earlier, and divide by the number of articles originally published 3 to 10 years earlier.</w:t>
      </w:r>
    </w:p>
    <w:p>
      <w:pPr>
        <w:pStyle w:val="FirstParagraph"/>
      </w:pPr>
      <w:r>
        <w:t xml:space="preserve">Let’s illustrate this with an example, using 1985 as</w:t>
      </w:r>
      <w:r>
        <w:t xml:space="preserve"> </w:t>
      </w:r>
      <w:r>
        <w:rPr>
          <w:i/>
          <w:iCs/>
        </w:rPr>
        <w:t xml:space="preserve">old</w:t>
      </w:r>
      <w:r>
        <w:t xml:space="preserve"> </w:t>
      </w:r>
      <w:r>
        <w:t xml:space="preserve">and 1997 as</w:t>
      </w:r>
      <w:r>
        <w:t xml:space="preserve"> </w:t>
      </w:r>
      <w:r>
        <w:rPr>
          <w:i/>
          <w:iCs/>
        </w:rPr>
        <w:t xml:space="preserve">new</w:t>
      </w:r>
      <w:r>
        <w:t xml:space="preserve">. In 1997, indexed articles from 1985 were cited 95 times. There are 1560 articles published in 1985 in the index, so the numerator for the citation ratio is 95 / 1560, i.e., about 0.061. In the 3 to 10 years before 1985, there were 12065 indexed articles published. Those articles were, collectively, cited 1477 times in 1997. So the denominator, the average number of citations the typical article got in 1997, is 1477 / 12065, i.e., about 0.122. Putting those together, the citation ratio for 1985 in 1997 is (about) 0.497.</w:t>
      </w:r>
    </w:p>
    <w:p>
      <w:pPr>
        <w:pStyle w:val="BodyText"/>
      </w:pPr>
      <w:r>
        <w:t xml:space="preserve">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I’ve graphed this citation ratio for many pairs of years. In the graph, the individual graphs (the</w:t>
      </w:r>
      <w:r>
        <w:t xml:space="preserve"> </w:t>
      </w:r>
      <w:r>
        <w:rPr>
          <w:i/>
          <w:iCs/>
        </w:rPr>
        <w:t xml:space="preserve">facets</w:t>
      </w:r>
      <w:r>
        <w:t xml:space="preserve">), are for each value of</w:t>
      </w:r>
      <w:r>
        <w:t xml:space="preserve"> </w:t>
      </w:r>
      <w:r>
        <w:rPr>
          <w:i/>
          <w:iCs/>
        </w:rPr>
        <w:t xml:space="preserve">old</w:t>
      </w:r>
      <w:r>
        <w:t xml:space="preserve">, the x-axis is the value for</w:t>
      </w:r>
      <w:r>
        <w:t xml:space="preserve"> </w:t>
      </w:r>
      <w:r>
        <w:rPr>
          <w:i/>
          <w:iCs/>
        </w:rPr>
        <w:t xml:space="preserve">new</w:t>
      </w:r>
      <w:r>
        <w:t xml:space="preserve">, and the y-axis is the citation ratio. Note that before 1965, we can’t calculate the citation ratio because there isn’t enough data to calculate the typical citation rate. So the y-axis starts at 1965. And for most years there are no dots on the left side of the graph, because I haven’t calculated the citation ratio in years where</w:t>
      </w:r>
      <w:r>
        <w:t xml:space="preserve"> </w:t>
      </w:r>
      <w:r>
        <w:rPr>
          <w:i/>
          <w:iCs/>
        </w:rPr>
        <w:t xml:space="preserve">old</w:t>
      </w:r>
      <w:r>
        <w:t xml:space="preserve"> </w:t>
      </w:r>
      <w:r>
        <w:t xml:space="preserve">is later than</w:t>
      </w:r>
      <w:r>
        <w:t xml:space="preserve"> </w:t>
      </w:r>
      <w:r>
        <w:rPr>
          <w:i/>
          <w:iCs/>
        </w:rPr>
        <w:t xml:space="preserve">new</w:t>
      </w:r>
      <w:r>
        <w:t xml:space="preserve">; there are few enough of these cases that they are best left out.</w:t>
      </w:r>
    </w:p>
    <w:tbl>
      <w:tblPr>
        <w:tblStyle w:val="Table"/>
        <w:tblW w:type="pct" w:w="5000"/>
        <w:tblLayout w:type="fixed"/>
        <w:tblLook w:firstRow="0" w:lastRow="0" w:firstColumn="0" w:lastColumn="0" w:noHBand="0" w:noVBand="0" w:val="0000"/>
      </w:tblPr>
      <w:tblGrid>
        <w:gridCol w:w="7920"/>
      </w:tblGrid>
      <w:tr>
        <w:tc>
          <w:tcPr/>
          <w:bookmarkStart w:id="101" w:name="fig-ageeffecttibble-early"/>
          <w:p>
            <w:pPr>
              <w:pStyle w:val="Compact"/>
              <w:jc w:val="center"/>
            </w:pPr>
            <w:r>
              <w:drawing>
                <wp:inline>
                  <wp:extent cx="5207000" cy="5207000"/>
                  <wp:effectExtent b="0" l="0" r="0" t="0"/>
                  <wp:docPr descr="" title="" id="99" name="Picture"/>
                  <a:graphic>
                    <a:graphicData uri="http://schemas.openxmlformats.org/drawingml/2006/picture">
                      <pic:pic>
                        <pic:nvPicPr>
                          <pic:cNvPr descr="apc-2025_files/figure-docx/fig-ageeffecttibble-early-1.png" id="100" name="Picture"/>
                          <pic:cNvPicPr>
                            <a:picLocks noChangeArrowheads="1" noChangeAspect="1"/>
                          </pic:cNvPicPr>
                        </pic:nvPicPr>
                        <pic:blipFill>
                          <a:blip r:embed="rId98"/>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Each facet shows the relative citation rate for articles published that year at different ages.</w:t>
            </w:r>
          </w:p>
          <w:bookmarkEnd w:id="101"/>
        </w:tc>
      </w:tr>
    </w:tbl>
    <w:tbl>
      <w:tblPr>
        <w:tblStyle w:val="Table"/>
        <w:tblW w:type="pct" w:w="5000"/>
        <w:tblLayout w:type="fixed"/>
        <w:tblLook w:firstRow="0" w:lastRow="0" w:firstColumn="0" w:lastColumn="0" w:noHBand="0" w:noVBand="0" w:val="0000"/>
      </w:tblPr>
      <w:tblGrid>
        <w:gridCol w:w="7920"/>
      </w:tblGrid>
      <w:tr>
        <w:tc>
          <w:tcPr/>
          <w:bookmarkStart w:id="105" w:name="fig-ageeffecttibble-late"/>
          <w:p>
            <w:pPr>
              <w:pStyle w:val="Compact"/>
              <w:jc w:val="center"/>
            </w:pPr>
            <w:r>
              <w:drawing>
                <wp:inline>
                  <wp:extent cx="5207000" cy="5207000"/>
                  <wp:effectExtent b="0" l="0" r="0" t="0"/>
                  <wp:docPr descr="" title="" id="103" name="Picture"/>
                  <a:graphic>
                    <a:graphicData uri="http://schemas.openxmlformats.org/drawingml/2006/picture">
                      <pic:pic>
                        <pic:nvPicPr>
                          <pic:cNvPr descr="apc-2025_files/figure-docx/fig-ageeffecttibble-late-1.png" id="104" name="Picture"/>
                          <pic:cNvPicPr>
                            <a:picLocks noChangeArrowheads="1" noChangeAspect="1"/>
                          </pic:cNvPicPr>
                        </pic:nvPicPr>
                        <pic:blipFill>
                          <a:blip r:embed="rId102"/>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Each facet shows the relative citation rate for articles published that year at different ages.</w:t>
            </w:r>
          </w:p>
          <w:bookmarkEnd w:id="105"/>
        </w:tc>
      </w:tr>
    </w:tbl>
    <w:p>
      <w:pPr>
        <w:pStyle w:val="BodyText"/>
      </w:pPr>
      <w:r>
        <w:t xml:space="preserve">There are several notable things about</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The most important is that after some weird results in the early years, probably due to the small sample sizes, the graphs for each year look remarkably similar. The citation ratio takes a year or two to take off from zero, gets to its peak within two to four years after publication, and then declines. In earlier years, the rise and the fall are more rapid than in later years. This is actually a surprising result, and I’ll come back in</w:t>
      </w:r>
      <w:r>
        <w:t xml:space="preserve"> </w:t>
      </w:r>
      <w:r>
        <w:rPr>
          <w:b/>
          <w:bCs/>
        </w:rPr>
        <w:t xml:space="preserve">?@sec-culture</w:t>
      </w:r>
      <w:r>
        <w:t xml:space="preserve"> </w:t>
      </w:r>
      <w:r>
        <w:t xml:space="preserve">to why it might be. Still, it doesn’t change that the shape of the curves is common enough to talk sensibly about an average curve. In</w:t>
      </w:r>
      <w:r>
        <w:t xml:space="preserve"> </w:t>
      </w:r>
      <w:hyperlink w:anchor="fig-ageeffecteverything">
        <w:r>
          <w:rPr>
            <w:rStyle w:val="Hyperlink"/>
          </w:rPr>
          <w:t xml:space="preserve">Figure 11</w:t>
        </w:r>
      </w:hyperlink>
      <w:r>
        <w:t xml:space="preserve">, I’ve put most of the data from those two figures, with the x-axis now being age not the citing year, and the line showing the mean citation ratio by age. I say</w:t>
      </w:r>
      <w:r>
        <w:t xml:space="preserve"> </w:t>
      </w:r>
      <w:r>
        <w:t xml:space="preserve">‘most’</w:t>
      </w:r>
      <w:r>
        <w:t xml:space="preserve"> </w:t>
      </w:r>
      <w:r>
        <w:t xml:space="preserve">of the data because I didn’t show the points for original publication years before 1975, where as you can see in the earlier graph, the data are much noisier with much smaller samples. But those years are used in the calculation of the average that’s displayed.</w:t>
      </w:r>
      <w:r>
        <w:rPr>
          <w:rStyle w:val="FootnoteReference"/>
        </w:rPr>
        <w:footnoteReference w:id="106"/>
      </w:r>
    </w:p>
    <w:tbl>
      <w:tblPr>
        <w:tblStyle w:val="Table"/>
        <w:tblW w:type="pct" w:w="5000"/>
        <w:tblLayout w:type="fixed"/>
        <w:tblLook w:firstRow="0" w:lastRow="0" w:firstColumn="0" w:lastColumn="0" w:noHBand="0" w:noVBand="0" w:val="0000"/>
      </w:tblPr>
      <w:tblGrid>
        <w:gridCol w:w="7920"/>
      </w:tblGrid>
      <w:tr>
        <w:tc>
          <w:tcPr/>
          <w:bookmarkStart w:id="110" w:name="fig-ageeffecteverything"/>
          <w:p>
            <w:pPr>
              <w:pStyle w:val="Compact"/>
              <w:jc w:val="center"/>
            </w:pPr>
            <w:r>
              <w:drawing>
                <wp:inline>
                  <wp:extent cx="5207000" cy="4165600"/>
                  <wp:effectExtent b="0" l="0" r="0" t="0"/>
                  <wp:docPr descr="" title="" id="108" name="Picture"/>
                  <a:graphic>
                    <a:graphicData uri="http://schemas.openxmlformats.org/drawingml/2006/picture">
                      <pic:pic>
                        <pic:nvPicPr>
                          <pic:cNvPr descr="apc-2025_files/figure-docx/fig-ageeffecteverything-1.png" id="109" name="Picture"/>
                          <pic:cNvPicPr>
                            <a:picLocks noChangeArrowheads="1" noChangeAspect="1"/>
                          </pic:cNvPicPr>
                        </pic:nvPicPr>
                        <pic:blipFill>
                          <a:blip r:embed="rId107"/>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Age effects from 1970 onwards on a single graph, with the overall averrage shown.</w:t>
            </w:r>
          </w:p>
          <w:bookmarkEnd w:id="110"/>
        </w:tc>
      </w:tr>
    </w:tbl>
    <w:p>
      <w:pPr>
        <w:pStyle w:val="BodyText"/>
      </w:pPr>
      <w:r>
        <w:t xml:space="preserve">The mean curve in</w:t>
      </w:r>
      <w:r>
        <w:t xml:space="preserve"> </w:t>
      </w:r>
      <w:hyperlink w:anchor="fig-ageeffecteverything">
        <w:r>
          <w:rPr>
            <w:rStyle w:val="Hyperlink"/>
          </w:rPr>
          <w:t xml:space="preserve">Figure 11</w:t>
        </w:r>
      </w:hyperlink>
      <w:r>
        <w:t xml:space="preserve"> </w:t>
      </w:r>
      <w:r>
        <w:t xml:space="preserve">is really similar to the unadjusted age curve in</w:t>
      </w:r>
      <w:r>
        <w:t xml:space="preserve"> </w:t>
      </w:r>
      <w:hyperlink w:anchor="fig-overall-age">
        <w:r>
          <w:rPr>
            <w:rStyle w:val="Hyperlink"/>
          </w:rPr>
          <w:t xml:space="preserve">Figure 1</w:t>
        </w:r>
      </w:hyperlink>
      <w:r>
        <w:t xml:space="preserve">. This is what I meant earlier by saying that after a lot of calculations, we’d get back to the same aging curve that we got from the simplest possibe measure.</w:t>
      </w:r>
    </w:p>
    <w:p>
      <w:pPr>
        <w:pStyle w:val="BodyText"/>
      </w:pPr>
      <w:r>
        <w:t xml:space="preserve">The calculations did have one really notable effect though. The unadjusted age numbers give us a sensible aging curve overall, but they give us an absurd aging curve for individual years. For most years in the dataset, the year they are most cited is not two to five years after initial publication; it is 2021. The point of the various adjustments in this section has been to make better sense of what’s happening in individual years.</w:t>
      </w:r>
    </w:p>
    <w:p>
      <w:pPr>
        <w:pStyle w:val="BodyText"/>
      </w:pPr>
      <w:r>
        <w:t xml:space="preserve">The result is the striking lack of outliers in</w:t>
      </w:r>
      <w:r>
        <w:t xml:space="preserve"> </w:t>
      </w:r>
      <w:hyperlink w:anchor="fig-ageeffecteverything">
        <w:r>
          <w:rPr>
            <w:rStyle w:val="Hyperlink"/>
          </w:rPr>
          <w:t xml:space="preserve">Figure 11</w:t>
        </w:r>
      </w:hyperlink>
      <w:r>
        <w:t xml:space="preserve">. All the individual data points are fairly close to the mean. There is some deviation, and there would be much more if I included the earlier years where the data is much noisier. The deviation there is will be the focus of much of the rest of this paper. Still, it’s notable how consistent the age curve is, once we use citation ratio to account for period effects.</w:t>
      </w:r>
    </w:p>
    <w:p>
      <w:pPr>
        <w:pStyle w:val="BodyText"/>
      </w:pPr>
      <w:r>
        <w:t xml:space="preserve">There are two particularly interesting features</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that are a little hard to see in the big graph. In</w:t>
      </w:r>
      <w:r>
        <w:t xml:space="preserve"> </w:t>
      </w:r>
      <w:hyperlink w:anchor="fig-peakratio">
        <w:r>
          <w:rPr>
            <w:rStyle w:val="Hyperlink"/>
          </w:rPr>
          <w:t xml:space="preserve">Figure 12</w:t>
        </w:r>
      </w:hyperlink>
      <w:r>
        <w:t xml:space="preserve">, I’ve graphed the maximum value the citation ratio reaches for each year of initial publication. This is a bit misleading before 1965, because I don’t have enough data to calculate citation ratios when the citing year is earlier than that, so it might have left off what would have been the high point. But from then on it’s useful.</w:t>
      </w:r>
    </w:p>
    <w:tbl>
      <w:tblPr>
        <w:tblStyle w:val="Table"/>
        <w:tblW w:type="pct" w:w="5000"/>
        <w:tblLayout w:type="fixed"/>
        <w:tblLook w:firstRow="0" w:lastRow="0" w:firstColumn="0" w:lastColumn="0" w:noHBand="0" w:noVBand="0" w:val="0000"/>
      </w:tblPr>
      <w:tblGrid>
        <w:gridCol w:w="7920"/>
      </w:tblGrid>
      <w:tr>
        <w:tc>
          <w:tcPr/>
          <w:bookmarkStart w:id="114" w:name="fig-peakratio"/>
          <w:p>
            <w:pPr>
              <w:pStyle w:val="Compact"/>
              <w:jc w:val="center"/>
            </w:pPr>
            <w:r>
              <w:drawing>
                <wp:inline>
                  <wp:extent cx="5207000" cy="4165600"/>
                  <wp:effectExtent b="0" l="0" r="0" t="0"/>
                  <wp:docPr descr="" title="" id="112" name="Picture"/>
                  <a:graphic>
                    <a:graphicData uri="http://schemas.openxmlformats.org/drawingml/2006/picture">
                      <pic:pic>
                        <pic:nvPicPr>
                          <pic:cNvPr descr="apc-2025_files/figure-docx/fig-peakratio-1.png" id="113" name="Picture"/>
                          <pic:cNvPicPr>
                            <a:picLocks noChangeArrowheads="1" noChangeAspect="1"/>
                          </pic:cNvPicPr>
                        </pic:nvPicPr>
                        <pic:blipFill>
                          <a:blip r:embed="rId11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maximum citation ratio in each facet 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w:t>
            </w:r>
          </w:p>
          <w:bookmarkEnd w:id="114"/>
        </w:tc>
      </w:tr>
    </w:tbl>
    <w:p>
      <w:pPr>
        <w:pStyle w:val="BodyText"/>
      </w:pPr>
      <w:r>
        <w:t xml:space="preserve">After the initial jump upwards, and the very high numbers in the mid-1960s, the trend is a decline. In</w:t>
      </w:r>
      <w:r>
        <w:t xml:space="preserve"> </w:t>
      </w:r>
      <w:hyperlink w:anchor="fig-peakratiotime">
        <w:r>
          <w:rPr>
            <w:rStyle w:val="Hyperlink"/>
          </w:rPr>
          <w:t xml:space="preserve">Figure 13</w:t>
        </w:r>
      </w:hyperlink>
      <w:r>
        <w:t xml:space="preserve"> </w:t>
      </w:r>
      <w:r>
        <w:t xml:space="preserve">I’ve graphed out which age those peaks are hit at, for different years of initial publication starting in 1963.</w:t>
      </w:r>
    </w:p>
    <w:tbl>
      <w:tblPr>
        <w:tblStyle w:val="Table"/>
        <w:tblW w:type="pct" w:w="5000"/>
        <w:tblLayout w:type="fixed"/>
        <w:tblLook w:firstRow="0" w:lastRow="0" w:firstColumn="0" w:lastColumn="0" w:noHBand="0" w:noVBand="0" w:val="0000"/>
      </w:tblPr>
      <w:tblGrid>
        <w:gridCol w:w="7920"/>
      </w:tblGrid>
      <w:tr>
        <w:tc>
          <w:tcPr/>
          <w:bookmarkStart w:id="118" w:name="fig-peakratiotime"/>
          <w:p>
            <w:pPr>
              <w:pStyle w:val="Compact"/>
              <w:jc w:val="center"/>
            </w:pPr>
            <w:r>
              <w:drawing>
                <wp:inline>
                  <wp:extent cx="5207000" cy="4165600"/>
                  <wp:effectExtent b="0" l="0" r="0" t="0"/>
                  <wp:docPr descr="" title="" id="116" name="Picture"/>
                  <a:graphic>
                    <a:graphicData uri="http://schemas.openxmlformats.org/drawingml/2006/picture">
                      <pic:pic>
                        <pic:nvPicPr>
                          <pic:cNvPr descr="apc-2025_files/figure-docx/fig-peakratiotime-1.png" id="117" name="Picture"/>
                          <pic:cNvPicPr>
                            <a:picLocks noChangeArrowheads="1" noChangeAspect="1"/>
                          </pic:cNvPicPr>
                        </pic:nvPicPr>
                        <pic:blipFill>
                          <a:blip r:embed="rId115"/>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For each original publication year, the age it hits maximum citation ratio.</w:t>
            </w:r>
          </w:p>
          <w:bookmarkEnd w:id="118"/>
        </w:tc>
      </w:tr>
    </w:tbl>
    <w:p>
      <w:pPr>
        <w:pStyle w:val="BodyText"/>
      </w:pPr>
      <w:r>
        <w:t xml:space="preserve">In</w:t>
      </w:r>
      <w:r>
        <w:t xml:space="preserve"> </w:t>
      </w:r>
      <w:hyperlink w:anchor="fig-peakratiotime">
        <w:r>
          <w:rPr>
            <w:rStyle w:val="Hyperlink"/>
          </w:rPr>
          <w:t xml:space="preserve">Figure 13</w:t>
        </w:r>
      </w:hyperlink>
      <w:r>
        <w:t xml:space="preserve">, the graph is going slightly upwards. Putting these last two figures together, we get the claim I was gesturing at earlier: citation curves are getting flatter. The peaks are coming later, and they are lower.</w:t>
      </w:r>
    </w:p>
    <w:p>
      <w:pPr>
        <w:pStyle w:val="BodyText"/>
      </w:pPr>
      <w:r>
        <w:t xml:space="preserve">Finally, I want to note how much variation there is hidden within all the graphs I’ve shown so far. I’m mostly here classifying articles simply by their publication year. If we used more fine-grained classifications, some of the results would look rather different. In</w:t>
      </w:r>
      <w:r>
        <w:t xml:space="preserve"> </w:t>
      </w:r>
      <w:hyperlink w:anchor="fig-ageeffecteverything-high">
        <w:r>
          <w:rPr>
            <w:rStyle w:val="Hyperlink"/>
          </w:rPr>
          <w:t xml:space="preserve">Figure 14</w:t>
        </w:r>
      </w:hyperlink>
      <w:r>
        <w:t xml:space="preserve"> </w:t>
      </w:r>
      <w:r>
        <w:t xml:space="preserve">and</w:t>
      </w:r>
      <w:r>
        <w:t xml:space="preserve"> </w:t>
      </w:r>
      <w:hyperlink w:anchor="fig-ageeffecteverything-low">
        <w:r>
          <w:rPr>
            <w:rStyle w:val="Hyperlink"/>
          </w:rPr>
          <w:t xml:space="preserve">Figure 15</w:t>
        </w:r>
      </w:hyperlink>
      <w:r>
        <w:t xml:space="preserve"> </w:t>
      </w:r>
      <w:r>
        <w:t xml:space="preserve">I’ve shown what happens to</w:t>
      </w:r>
      <w:r>
        <w:t xml:space="preserve"> </w:t>
      </w:r>
      <w:hyperlink w:anchor="fig-ageeffecteverything">
        <w:r>
          <w:rPr>
            <w:rStyle w:val="Hyperlink"/>
          </w:rPr>
          <w:t xml:space="preserve">Figure 11</w:t>
        </w:r>
      </w:hyperlink>
      <w:r>
        <w:t xml:space="preserve"> </w:t>
      </w:r>
      <w:r>
        <w:t xml:space="preserve">if we first restrict attention to articles with 15 or more citations, and then to articles with fewer than 15 citations.</w:t>
      </w:r>
      <w:r>
        <w:rPr>
          <w:rStyle w:val="FootnoteReference"/>
        </w:rPr>
        <w:footnoteReference w:id="119"/>
      </w:r>
      <w:r>
        <w:t xml:space="preserve"> </w:t>
      </w:r>
      <w:r>
        <w:t xml:space="preserve">Obviously in the first graph the values will be higher; highly cited articles are, indeed, cited more often. But what I want to highlight here is the different shape of the curves.</w:t>
      </w:r>
    </w:p>
    <w:tbl>
      <w:tblPr>
        <w:tblStyle w:val="Table"/>
        <w:tblW w:type="pct" w:w="5000"/>
        <w:tblLayout w:type="fixed"/>
        <w:tblLook w:firstRow="0" w:lastRow="0" w:firstColumn="0" w:lastColumn="0" w:noHBand="0" w:noVBand="0" w:val="0000"/>
      </w:tblPr>
      <w:tblGrid>
        <w:gridCol w:w="7920"/>
      </w:tblGrid>
      <w:tr>
        <w:tc>
          <w:tcPr/>
          <w:bookmarkStart w:id="123" w:name="fig-ageeffecteverything-high"/>
          <w:p>
            <w:pPr>
              <w:pStyle w:val="Compact"/>
              <w:jc w:val="center"/>
            </w:pPr>
            <w:r>
              <w:drawing>
                <wp:inline>
                  <wp:extent cx="5207000" cy="4165600"/>
                  <wp:effectExtent b="0" l="0" r="0" t="0"/>
                  <wp:docPr descr="" title="" id="121" name="Picture"/>
                  <a:graphic>
                    <a:graphicData uri="http://schemas.openxmlformats.org/drawingml/2006/picture">
                      <pic:pic>
                        <pic:nvPicPr>
                          <pic:cNvPr descr="apc-2025_files/figure-docx/fig-ageeffecteverything-high-1.png" id="122" name="Picture"/>
                          <pic:cNvPicPr>
                            <a:picLocks noChangeArrowheads="1" noChangeAspect="1"/>
                          </pic:cNvPicPr>
                        </pic:nvPicPr>
                        <pic:blipFill>
                          <a:blip r:embed="rId12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 version of</w:t>
            </w:r>
            <w:r>
              <w:t xml:space="preserve"> </w:t>
            </w:r>
            <w:hyperlink w:anchor="fig-ageeffecteverything">
              <w:r>
                <w:rPr>
                  <w:rStyle w:val="Hyperlink"/>
                </w:rPr>
                <w:t xml:space="preserve">Figure 11</w:t>
              </w:r>
            </w:hyperlink>
            <w:r>
              <w:t xml:space="preserve"> </w:t>
            </w:r>
            <w:r>
              <w:t xml:space="preserve">just looking at highly cited articles</w:t>
            </w:r>
          </w:p>
          <w:bookmarkEnd w:id="123"/>
        </w:tc>
      </w:tr>
    </w:tbl>
    <w:tbl>
      <w:tblPr>
        <w:tblStyle w:val="Table"/>
        <w:tblW w:type="pct" w:w="5000"/>
        <w:tblLayout w:type="fixed"/>
        <w:tblLook w:firstRow="0" w:lastRow="0" w:firstColumn="0" w:lastColumn="0" w:noHBand="0" w:noVBand="0" w:val="0000"/>
      </w:tblPr>
      <w:tblGrid>
        <w:gridCol w:w="7920"/>
      </w:tblGrid>
      <w:tr>
        <w:tc>
          <w:tcPr/>
          <w:bookmarkStart w:id="127" w:name="fig-ageeffecteverything-low"/>
          <w:p>
            <w:pPr>
              <w:pStyle w:val="Compact"/>
              <w:jc w:val="center"/>
            </w:pPr>
            <w:r>
              <w:drawing>
                <wp:inline>
                  <wp:extent cx="5207000" cy="4165600"/>
                  <wp:effectExtent b="0" l="0" r="0" t="0"/>
                  <wp:docPr descr="" title="" id="125" name="Picture"/>
                  <a:graphic>
                    <a:graphicData uri="http://schemas.openxmlformats.org/drawingml/2006/picture">
                      <pic:pic>
                        <pic:nvPicPr>
                          <pic:cNvPr descr="apc-2025_files/figure-docx/fig-ageeffecteverything-low-1.png" id="126" name="Picture"/>
                          <pic:cNvPicPr>
                            <a:picLocks noChangeArrowheads="1" noChangeAspect="1"/>
                          </pic:cNvPicPr>
                        </pic:nvPicPr>
                        <pic:blipFill>
                          <a:blip r:embed="rId12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A version of</w:t>
            </w:r>
            <w:r>
              <w:t xml:space="preserve"> </w:t>
            </w:r>
            <w:hyperlink w:anchor="fig-ageeffecteverything">
              <w:r>
                <w:rPr>
                  <w:rStyle w:val="Hyperlink"/>
                </w:rPr>
                <w:t xml:space="preserve">Figure 11</w:t>
              </w:r>
            </w:hyperlink>
            <w:r>
              <w:t xml:space="preserve"> </w:t>
            </w:r>
            <w:r>
              <w:t xml:space="preserve">just looking at not so highly cited articles</w:t>
            </w:r>
          </w:p>
          <w:bookmarkEnd w:id="127"/>
        </w:tc>
      </w:tr>
    </w:tbl>
    <w:p>
      <w:pPr>
        <w:pStyle w:val="BodyText"/>
      </w:pPr>
      <w:r>
        <w:t xml:space="preserve">Both graphs rise rapidly to a peak two to five years after publication, and then descend. But from that similarity, the differences are striking. For the highly cited articles, there is barely any dropoff by years 8 to 10. For the others, the dropoff starts in earnest in year 4, and by year 10, the average value is half of the peak. That graph doesn’t quite go to 0, but mostly these articles are not making much impact after a couple of decades. On the other hand, for the highly cited articles, the age effects are very gradual. Several decades after their publication, they are (on average) being cited 2/3 as often as at their peak (adjusting for period effects).</w:t>
      </w:r>
    </w:p>
    <w:p>
      <w:pPr>
        <w:pStyle w:val="BodyText"/>
      </w:pPr>
      <w:r>
        <w:t xml:space="preserve">I think there is an important lesson in this. If the way you think about citations in philosophy comes from looking the history of famous articles, you’ll get a misleading impression. The citation pattern for a highly cited article isn’t like the citation pattern for a regular article, just scaled up. It has a very different temporal structure.</w:t>
      </w:r>
    </w:p>
    <w:p>
      <w:pPr>
        <w:pStyle w:val="BodyText"/>
      </w:pPr>
      <w:r>
        <w:t xml:space="preserve">None of this a priori. There could be relatively rarely cited articles that get frequently cited long after their publication. Indeed, there are such papers in the database. Norman Malcolm’s</w:t>
      </w:r>
      <w:r>
        <w:t xml:space="preserve"> </w:t>
      </w:r>
      <w:r>
        <w:t xml:space="preserve">“Dreaming and Scepticism”</w:t>
      </w:r>
      <w:r>
        <w:t xml:space="preserve"> </w:t>
      </w:r>
      <w:r>
        <w:t xml:space="preserve">(Curley 1975)</w:t>
      </w:r>
      <w:r>
        <w:t xml:space="preserve"> </w:t>
      </w:r>
      <w:r>
        <w:t xml:space="preserve">didn’t get much attention in the journals when it was firs published, but has been picked up a bit recently because of an increase in work on dreams. And there could be articles that are the center of attention for a while then get fewer citations. Some papers on supervenience fit that description (e.g.,</w:t>
      </w:r>
      <w:r>
        <w:t xml:space="preserve"> </w:t>
      </w:r>
      <w:r>
        <w:t xml:space="preserve">Difrisco (2018)</w:t>
      </w:r>
      <w:r>
        <w:t xml:space="preserve">), as well as some papers in philosophy of science. But in general, highly cited articles are highly cited not because they have a flurry of activity, but because they remain part of the conversation for years after publication.</w:t>
      </w:r>
    </w:p>
    <w:bookmarkEnd w:id="128"/>
    <w:bookmarkStart w:id="158" w:name="sec-cohort"/>
    <w:p>
      <w:pPr>
        <w:pStyle w:val="Heading1"/>
      </w:pPr>
      <w:r>
        <w:t xml:space="preserve">5. Cohort Effects</w:t>
      </w:r>
    </w:p>
    <w:p>
      <w:pPr>
        <w:pStyle w:val="FirstParagraph"/>
      </w:pPr>
      <w:r>
        <w:t xml:space="preserve">So far we’ve seen how period effects and age effects between them can explain a lot of the trends we see in citation patterns. But there are systematic deviations from those patterns which remain. In</w:t>
      </w:r>
      <w:r>
        <w:t xml:space="preserve"> </w:t>
      </w:r>
      <w:hyperlink w:anchor="fig-fourdeviations">
        <w:r>
          <w:rPr>
            <w:rStyle w:val="Hyperlink"/>
          </w:rPr>
          <w:t xml:space="preserve">Figure 16</w:t>
        </w:r>
      </w:hyperlink>
      <w:r>
        <w:t xml:space="preserve">, I’ve shown some of these. Each graph shows the citation ratio for articles published in a particular year, as compared to the average citation ratio at different ages.</w:t>
      </w:r>
    </w:p>
    <w:bookmarkStart w:id="145" w:name="fig-fourdeviation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2" w:name="fig-fourdeviations-1"/>
                <w:p>
                  <w:pPr>
                    <w:pStyle w:val="Compact"/>
                    <w:jc w:val="center"/>
                    <w:jc w:val="left"/>
                  </w:pPr>
                  <w:r>
                    <w:drawing>
                      <wp:inline>
                        <wp:extent cx="2971800" cy="2377440"/>
                        <wp:effectExtent b="0" l="0" r="0" t="0"/>
                        <wp:docPr descr="" title="" id="130" name="Picture"/>
                        <a:graphic>
                          <a:graphicData uri="http://schemas.openxmlformats.org/drawingml/2006/picture">
                            <pic:pic>
                              <pic:nvPicPr>
                                <pic:cNvPr descr="apc-2025_files/figure-docx/fig-fourdeviations-1.png" id="131" name="Picture"/>
                                <pic:cNvPicPr>
                                  <a:picLocks noChangeArrowheads="1" noChangeAspect="1"/>
                                </pic:cNvPicPr>
                              </pic:nvPicPr>
                              <pic:blipFill>
                                <a:blip r:embed="rId12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1961</w:t>
                  </w:r>
                </w:p>
                <w:bookmarkEnd w:id="132"/>
              </w:tc>
            </w:tr>
          </w:tbl>
          <w:p/>
        </w:tc>
        <w:tc>
          <w:tcPr/>
          <w:tbl>
            <w:tblPr>
              <w:tblStyle w:val="Table"/>
              <w:tblW w:type="pct" w:w="4900"/>
              <w:tblLayout w:type="fixed"/>
              <w:tblLook w:firstRow="0" w:lastRow="0" w:firstColumn="0" w:lastColumn="0" w:noHBand="0" w:noVBand="0" w:val="0000"/>
            </w:tblPr>
            <w:tblGrid>
              <w:gridCol w:w="7761"/>
            </w:tblGrid>
            <w:tr>
              <w:tc>
                <w:tcPr/>
                <w:bookmarkStart w:id="136" w:name="fig-fourdeviations-2"/>
                <w:p>
                  <w:pPr>
                    <w:pStyle w:val="Compact"/>
                    <w:jc w:val="center"/>
                    <w:jc w:val="left"/>
                  </w:pPr>
                  <w:r>
                    <w:drawing>
                      <wp:inline>
                        <wp:extent cx="2971800" cy="2377440"/>
                        <wp:effectExtent b="0" l="0" r="0" t="0"/>
                        <wp:docPr descr="" title="" id="134" name="Picture"/>
                        <a:graphic>
                          <a:graphicData uri="http://schemas.openxmlformats.org/drawingml/2006/picture">
                            <pic:pic>
                              <pic:nvPicPr>
                                <pic:cNvPr descr="apc-2025_files/figure-docx/fig-fourdeviations-2.png" id="135" name="Picture"/>
                                <pic:cNvPicPr>
                                  <a:picLocks noChangeArrowheads="1" noChangeAspect="1"/>
                                </pic:cNvPicPr>
                              </pic:nvPicPr>
                              <pic:blipFill>
                                <a:blip r:embed="rId13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1979</w:t>
                  </w:r>
                </w:p>
                <w:bookmarkEnd w:id="13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0" w:name="fig-fourdeviations-3"/>
                <w:p>
                  <w:pPr>
                    <w:pStyle w:val="Compact"/>
                    <w:jc w:val="center"/>
                    <w:jc w:val="left"/>
                  </w:pPr>
                  <w:r>
                    <w:drawing>
                      <wp:inline>
                        <wp:extent cx="2971800" cy="2377440"/>
                        <wp:effectExtent b="0" l="0" r="0" t="0"/>
                        <wp:docPr descr="" title="" id="138" name="Picture"/>
                        <a:graphic>
                          <a:graphicData uri="http://schemas.openxmlformats.org/drawingml/2006/picture">
                            <pic:pic>
                              <pic:nvPicPr>
                                <pic:cNvPr descr="apc-2025_files/figure-docx/fig-fourdeviations-3.png" id="139" name="Picture"/>
                                <pic:cNvPicPr>
                                  <a:picLocks noChangeArrowheads="1" noChangeAspect="1"/>
                                </pic:cNvPicPr>
                              </pic:nvPicPr>
                              <pic:blipFill>
                                <a:blip r:embed="rId13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1985</w:t>
                  </w:r>
                </w:p>
                <w:bookmarkEnd w:id="140"/>
              </w:tc>
            </w:tr>
          </w:tbl>
          <w:p/>
        </w:tc>
        <w:tc>
          <w:tcPr/>
          <w:tbl>
            <w:tblPr>
              <w:tblStyle w:val="Table"/>
              <w:tblW w:type="pct" w:w="4900"/>
              <w:tblLayout w:type="fixed"/>
              <w:tblLook w:firstRow="0" w:lastRow="0" w:firstColumn="0" w:lastColumn="0" w:noHBand="0" w:noVBand="0" w:val="0000"/>
            </w:tblPr>
            <w:tblGrid>
              <w:gridCol w:w="7761"/>
            </w:tblGrid>
            <w:tr>
              <w:tc>
                <w:tcPr/>
                <w:bookmarkStart w:id="144" w:name="fig-fourdeviations-4"/>
                <w:p>
                  <w:pPr>
                    <w:pStyle w:val="Compact"/>
                    <w:jc w:val="center"/>
                    <w:jc w:val="left"/>
                  </w:pPr>
                  <w:r>
                    <w:drawing>
                      <wp:inline>
                        <wp:extent cx="2971800" cy="2377440"/>
                        <wp:effectExtent b="0" l="0" r="0" t="0"/>
                        <wp:docPr descr="" title="" id="142" name="Picture"/>
                        <a:graphic>
                          <a:graphicData uri="http://schemas.openxmlformats.org/drawingml/2006/picture">
                            <pic:pic>
                              <pic:nvPicPr>
                                <pic:cNvPr descr="apc-2025_files/figure-docx/fig-fourdeviations-4.png" id="143" name="Picture"/>
                                <pic:cNvPicPr>
                                  <a:picLocks noChangeArrowheads="1" noChangeAspect="1"/>
                                </pic:cNvPicPr>
                              </pic:nvPicPr>
                              <pic:blipFill>
                                <a:blip r:embed="rId14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2007</w:t>
                  </w:r>
                </w:p>
                <w:bookmarkEnd w:id="144"/>
              </w:tc>
            </w:tr>
          </w:tbl>
          <w:p/>
        </w:tc>
      </w:tr>
    </w:tbl>
    <w:p>
      <w:pPr>
        <w:pStyle w:val="BodyText"/>
      </w:pPr>
      <w:pPr>
        <w:spacing w:before="200"/>
        <w:pStyle w:val="ImageCaption"/>
      </w:pPr>
      <w:r>
        <w:t xml:space="preserve">Figure 16: Mean annual citations to different article kinds.</w:t>
      </w:r>
    </w:p>
    <w:bookmarkEnd w:id="145"/>
    <w:p>
      <w:pPr>
        <w:pStyle w:val="BodyText"/>
      </w:pPr>
      <w:r>
        <w:t xml:space="preserve">In 1961 and 1985, the yearly values are predominantly below the mean line. In 1979 and 2007, they are predominantly above it, though this isn’t true for the first few years of the 2007 data. Note that the graphs have different lengths. Everything stops in 2021. And the 1961 data is cut off a little on the left because we only start calculating citation ratios in 1965. That’s why the line showing the mean is differently shaped that year.</w:t>
      </w:r>
    </w:p>
    <w:p>
      <w:pPr>
        <w:pStyle w:val="BodyText"/>
      </w:pPr>
      <w:r>
        <w:t xml:space="preserve">For each of year of original publication, we can calculate the mean difference between the citation ratio for that year, and the mean citation ratio for articles that age. That tells us how often articles published that year are cited, compared to how often you’d expect them to be cited knowing just the age and period effects. The results are in</w:t>
      </w:r>
      <w:r>
        <w:t xml:space="preserve"> </w:t>
      </w:r>
      <w:hyperlink w:anchor="fig-cohort">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9" w:name="fig-cohort"/>
          <w:p>
            <w:pPr>
              <w:pStyle w:val="Compact"/>
              <w:jc w:val="center"/>
            </w:pPr>
            <w:r>
              <w:drawing>
                <wp:inline>
                  <wp:extent cx="5207000" cy="4165600"/>
                  <wp:effectExtent b="0" l="0" r="0" t="0"/>
                  <wp:docPr descr="" title="" id="147" name="Picture"/>
                  <a:graphic>
                    <a:graphicData uri="http://schemas.openxmlformats.org/drawingml/2006/picture">
                      <pic:pic>
                        <pic:nvPicPr>
                          <pic:cNvPr descr="apc-2025_files/figure-docx/fig-cohort-1.png" id="148" name="Picture"/>
                          <pic:cNvPicPr>
                            <a:picLocks noChangeArrowheads="1" noChangeAspect="1"/>
                          </pic:cNvPicPr>
                        </pic:nvPicPr>
                        <pic:blipFill>
                          <a:blip r:embed="rId146"/>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Cohort effects for different publication years.</w:t>
            </w:r>
          </w:p>
          <w:bookmarkEnd w:id="149"/>
        </w:tc>
      </w:tr>
    </w:tbl>
    <w:p>
      <w:pPr>
        <w:pStyle w:val="BodyText"/>
      </w:pPr>
      <w:r>
        <w:t xml:space="preserve">A couple of quick technical notes on</w:t>
      </w:r>
      <w:r>
        <w:t xml:space="preserve"> </w:t>
      </w:r>
      <w:hyperlink w:anchor="fig-cohort">
        <w:r>
          <w:rPr>
            <w:rStyle w:val="Hyperlink"/>
          </w:rPr>
          <w:t xml:space="preserve">Figure 17</w:t>
        </w:r>
      </w:hyperlink>
      <w:r>
        <w:t xml:space="preserve">. I’ve added a smoothed curve over the graph to help make some of the features of it stand out. And in calculating the mean, I only included years where we had at least five years worth of data to calculate the mean age effect. So that means I haven’t included what happens to 1955 papers when they are cited after 2016. There isn’t nearly enough data to say what one would</w:t>
      </w:r>
      <w:r>
        <w:t xml:space="preserve"> </w:t>
      </w:r>
      <w:r>
        <w:t xml:space="preserve">‘expect’</w:t>
      </w:r>
      <w:r>
        <w:t xml:space="preserve"> </w:t>
      </w:r>
      <w:r>
        <w:t xml:space="preserve">the usual aging curve to be at those points.</w:t>
      </w:r>
    </w:p>
    <w:p>
      <w:pPr>
        <w:pStyle w:val="BodyText"/>
      </w:pPr>
      <w:r>
        <w:t xml:space="preserve">On the face of it, there are five periods in the graph.</w:t>
      </w:r>
    </w:p>
    <w:p>
      <w:pPr>
        <w:pStyle w:val="Compact"/>
        <w:numPr>
          <w:ilvl w:val="0"/>
          <w:numId w:val="1003"/>
        </w:numPr>
      </w:pPr>
      <w:r>
        <w:t xml:space="preserve">Journal articles published before the mid-1960s are very rarely cited.</w:t>
      </w:r>
    </w:p>
    <w:p>
      <w:pPr>
        <w:pStyle w:val="Compact"/>
        <w:numPr>
          <w:ilvl w:val="0"/>
          <w:numId w:val="1003"/>
        </w:numPr>
      </w:pPr>
      <w:r>
        <w:t xml:space="preserve">After that, and especially in the early 1970s, a flurry of very highly cited articles are published.</w:t>
      </w:r>
    </w:p>
    <w:p>
      <w:pPr>
        <w:pStyle w:val="Compact"/>
        <w:numPr>
          <w:ilvl w:val="0"/>
          <w:numId w:val="1003"/>
        </w:numPr>
      </w:pPr>
      <w:r>
        <w:t xml:space="preserve">Then there is a period of stagnation, where things mostly don’t return to the lows of per-1965, but are consistently below 0.</w:t>
      </w:r>
    </w:p>
    <w:p>
      <w:pPr>
        <w:pStyle w:val="Compact"/>
        <w:numPr>
          <w:ilvl w:val="0"/>
          <w:numId w:val="1003"/>
        </w:numPr>
      </w:pPr>
      <w:r>
        <w:t xml:space="preserve">There is an uptick starting in the mid-1990s, and peaking dramatically in 2007.</w:t>
      </w:r>
    </w:p>
    <w:p>
      <w:pPr>
        <w:pStyle w:val="Compact"/>
        <w:numPr>
          <w:ilvl w:val="0"/>
          <w:numId w:val="1003"/>
        </w:numPr>
      </w:pPr>
      <w:r>
        <w:t xml:space="preserve">Then there is a rather dramatic drop off, almost immediately after the high of 2007.</w:t>
      </w:r>
    </w:p>
    <w:p>
      <w:pPr>
        <w:pStyle w:val="FirstParagraph"/>
      </w:pPr>
      <w:r>
        <w:t xml:space="preserve">The first couple of trends make sense; the latter three less so. The rest of this paper (before the methodology section) will be about explaining what’s going on here, and seeing what it can tell us both about the history of philosophy, and the history of the philosophy profession.</w:t>
      </w:r>
    </w:p>
    <w:p>
      <w:pPr>
        <w:pStyle w:val="BodyText"/>
      </w:pPr>
      <w:r>
        <w:t xml:space="preserve">Before 1965, the philosophical work with the most lasting significance was not done in journals. And those works of lasting significance that were in things one might call journals often are not indexed by Web of Science. So we don’t have</w:t>
      </w:r>
      <w:r>
        <w:t xml:space="preserve"> </w:t>
      </w:r>
      <w:r>
        <w:t xml:space="preserve">“Is Knowledge Justified True Belief?”</w:t>
      </w:r>
      <w:r>
        <w:t xml:space="preserve"> </w:t>
      </w:r>
      <w:r>
        <w:t xml:space="preserve">(Gettier 1963)</w:t>
      </w:r>
      <w:r>
        <w:t xml:space="preserve"> </w:t>
      </w:r>
      <w:r>
        <w:t xml:space="preserve">because they don’t index</w:t>
      </w:r>
      <w:r>
        <w:t xml:space="preserve"> </w:t>
      </w:r>
      <w:r>
        <w:rPr>
          <w:i/>
          <w:iCs/>
        </w:rPr>
        <w:t xml:space="preserve">Analysis</w:t>
      </w:r>
      <w:r>
        <w:t xml:space="preserve"> </w:t>
      </w:r>
      <w:r>
        <w:t xml:space="preserve">until 1975, and we don’t have Austin’s two most important papers -</w:t>
      </w:r>
      <w:r>
        <w:t xml:space="preserve"> </w:t>
      </w:r>
      <w:r>
        <w:t xml:space="preserve">“Ifs and Cans”</w:t>
      </w:r>
      <w:r>
        <w:t xml:space="preserve"> </w:t>
      </w:r>
      <w:r>
        <w:t xml:space="preserve">and</w:t>
      </w:r>
      <w:r>
        <w:t xml:space="preserve"> </w:t>
      </w:r>
      <w:r>
        <w:t xml:space="preserve">“A Plea for Excuses”</w:t>
      </w:r>
      <w:r>
        <w:t xml:space="preserve"> </w:t>
      </w:r>
      <w:r>
        <w:t xml:space="preserve">(Austin 1956a, 1956b)</w:t>
      </w:r>
      <w:r>
        <w:t xml:space="preserve"> </w:t>
      </w:r>
      <w:r>
        <w:t xml:space="preserve">because their venues aren’t indexed as journals at all. We do have important papers by</w:t>
      </w:r>
      <w:r>
        <w:t xml:space="preserve"> </w:t>
      </w:r>
      <w:r>
        <w:t xml:space="preserve">Grice (1957)</w:t>
      </w:r>
      <w:r>
        <w:t xml:space="preserve">,</w:t>
      </w:r>
      <w:r>
        <w:t xml:space="preserve"> </w:t>
      </w:r>
      <w:r>
        <w:t xml:space="preserve">Anscombe (1958)</w:t>
      </w:r>
      <w:r>
        <w:t xml:space="preserve">, and</w:t>
      </w:r>
      <w:r>
        <w:t xml:space="preserve"> </w:t>
      </w:r>
      <w:r>
        <w:t xml:space="preserve">Smart (1959)</w:t>
      </w:r>
      <w:r>
        <w:t xml:space="preserve">. But these made much less impact than books from the same time, especially</w:t>
      </w:r>
      <w:r>
        <w:t xml:space="preserve"> </w:t>
      </w:r>
      <w:r>
        <w:rPr>
          <w:i/>
          <w:iCs/>
        </w:rPr>
        <w:t xml:space="preserve">Intention</w:t>
      </w:r>
      <w:r>
        <w:t xml:space="preserve"> </w:t>
      </w:r>
      <w:r>
        <w:t xml:space="preserve">(Anscombe 1957)</w:t>
      </w:r>
      <w:r>
        <w:t xml:space="preserve">,</w:t>
      </w:r>
      <w:r>
        <w:t xml:space="preserve"> </w:t>
      </w:r>
      <w:r>
        <w:rPr>
          <w:i/>
          <w:iCs/>
        </w:rPr>
        <w:t xml:space="preserve">Word and Object</w:t>
      </w:r>
      <w:r>
        <w:t xml:space="preserve"> </w:t>
      </w:r>
      <w:r>
        <w:t xml:space="preserve">(Quine 1960)</w:t>
      </w:r>
      <w:r>
        <w:t xml:space="preserve"> </w:t>
      </w:r>
      <w:r>
        <w:t xml:space="preserve">and</w:t>
      </w:r>
      <w:r>
        <w:t xml:space="preserve"> </w:t>
      </w:r>
      <w:r>
        <w:rPr>
          <w:i/>
          <w:iCs/>
        </w:rPr>
        <w:t xml:space="preserve">The Structure of Scientific Revolutions</w:t>
      </w:r>
      <w:r>
        <w:t xml:space="preserve"> </w:t>
      </w:r>
      <w:r>
        <w:t xml:space="preserve">(Kuhn 1962)</w:t>
      </w:r>
      <w:r>
        <w:t xml:space="preserve">.</w:t>
      </w:r>
    </w:p>
    <w:p>
      <w:pPr>
        <w:pStyle w:val="BodyText"/>
      </w:pPr>
      <w:r>
        <w:t xml:space="preserve">Then starting in the late 1960s, almost every area of philosophy got turned upside down, with much of the action happening in journals. The two most important works of the period,</w:t>
      </w:r>
      <w:r>
        <w:t xml:space="preserve"> </w:t>
      </w:r>
      <w:r>
        <w:rPr>
          <w:i/>
          <w:iCs/>
        </w:rPr>
        <w:t xml:space="preserve">A Theory of Justice</w:t>
      </w:r>
      <w:r>
        <w:t xml:space="preserve"> </w:t>
      </w:r>
      <w:r>
        <w:t xml:space="preserve">(Rawls 1971)</w:t>
      </w:r>
      <w:r>
        <w:t xml:space="preserve"> </w:t>
      </w:r>
      <w:r>
        <w:t xml:space="preserve">and</w:t>
      </w:r>
      <w:r>
        <w:t xml:space="preserve"> </w:t>
      </w:r>
      <w:r>
        <w:rPr>
          <w:i/>
          <w:iCs/>
        </w:rPr>
        <w:t xml:space="preserve">Naming and Necessity</w:t>
      </w:r>
      <w:r>
        <w:t xml:space="preserve"> </w:t>
      </w:r>
      <w:r>
        <w:t xml:space="preserve">(Kripke [1972] 1980)</w:t>
      </w:r>
      <w:r>
        <w:t xml:space="preserve">, were not in journals. But articles in journals did make revolutionary changes in many fields, including:</w:t>
      </w:r>
    </w:p>
    <w:p>
      <w:pPr>
        <w:pStyle w:val="Compact"/>
        <w:numPr>
          <w:ilvl w:val="0"/>
          <w:numId w:val="1004"/>
        </w:numPr>
      </w:pPr>
      <w:r>
        <w:t xml:space="preserve">Free will</w:t>
      </w:r>
      <w:r>
        <w:t xml:space="preserve"> </w:t>
      </w:r>
      <w:r>
        <w:t xml:space="preserve">(Frankfurt 1969a, 1971)</w:t>
      </w:r>
      <w:r>
        <w:t xml:space="preserve">;</w:t>
      </w:r>
    </w:p>
    <w:p>
      <w:pPr>
        <w:pStyle w:val="Compact"/>
        <w:numPr>
          <w:ilvl w:val="0"/>
          <w:numId w:val="1004"/>
        </w:numPr>
      </w:pPr>
      <w:r>
        <w:t xml:space="preserve">Practical ethics</w:t>
      </w:r>
      <w:r>
        <w:t xml:space="preserve"> </w:t>
      </w:r>
      <w:r>
        <w:t xml:space="preserve">(Thomson 1971; Singer 1972)</w:t>
      </w:r>
      <w:r>
        <w:t xml:space="preserve">;</w:t>
      </w:r>
    </w:p>
    <w:p>
      <w:pPr>
        <w:pStyle w:val="Compact"/>
        <w:numPr>
          <w:ilvl w:val="0"/>
          <w:numId w:val="1004"/>
        </w:numPr>
      </w:pPr>
      <w:r>
        <w:t xml:space="preserve">Meaning and reference</w:t>
      </w:r>
      <w:r>
        <w:t xml:space="preserve"> </w:t>
      </w:r>
      <w:r>
        <w:t xml:space="preserve">(Putnam 1973)</w:t>
      </w:r>
      <w:r>
        <w:t xml:space="preserve">;</w:t>
      </w:r>
    </w:p>
    <w:p>
      <w:pPr>
        <w:pStyle w:val="Compact"/>
        <w:numPr>
          <w:ilvl w:val="0"/>
          <w:numId w:val="1004"/>
        </w:numPr>
      </w:pPr>
      <w:r>
        <w:t xml:space="preserve">Philosophy of mathematics</w:t>
      </w:r>
      <w:r>
        <w:t xml:space="preserve"> </w:t>
      </w:r>
      <w:r>
        <w:t xml:space="preserve">(Benacerraf 1973)</w:t>
      </w:r>
      <w:r>
        <w:t xml:space="preserve">;</w:t>
      </w:r>
    </w:p>
    <w:p>
      <w:pPr>
        <w:pStyle w:val="Compact"/>
        <w:numPr>
          <w:ilvl w:val="0"/>
          <w:numId w:val="1004"/>
        </w:numPr>
      </w:pPr>
      <w:r>
        <w:t xml:space="preserve">Causation</w:t>
      </w:r>
      <w:r>
        <w:t xml:space="preserve"> </w:t>
      </w:r>
      <w:r>
        <w:t xml:space="preserve">(Lewis 1973; Kim 1973)</w:t>
      </w:r>
      <w:r>
        <w:t xml:space="preserve">; and</w:t>
      </w:r>
    </w:p>
    <w:p>
      <w:pPr>
        <w:pStyle w:val="Compact"/>
        <w:numPr>
          <w:ilvl w:val="0"/>
          <w:numId w:val="1004"/>
        </w:numPr>
      </w:pPr>
      <w:r>
        <w:t xml:space="preserve">Personal identity</w:t>
      </w:r>
      <w:r>
        <w:t xml:space="preserve"> </w:t>
      </w:r>
      <w:r>
        <w:t xml:space="preserve">(Parfit 1971)</w:t>
      </w:r>
    </w:p>
    <w:p>
      <w:pPr>
        <w:pStyle w:val="FirstParagraph"/>
      </w:pPr>
      <w:r>
        <w:t xml:space="preserve">As well there were a surprising number of papers that weren’t as influential straight away, but came to play a big role the later literature. This group includes papers by Fred</w:t>
      </w:r>
      <w:r>
        <w:t xml:space="preserve"> </w:t>
      </w:r>
      <w:r>
        <w:t xml:space="preserve">Dretske (1970)</w:t>
      </w:r>
      <w:r>
        <w:t xml:space="preserve">, David</w:t>
      </w:r>
      <w:r>
        <w:t xml:space="preserve"> </w:t>
      </w:r>
      <w:r>
        <w:t xml:space="preserve">Lewis (1970)</w:t>
      </w:r>
      <w:r>
        <w:t xml:space="preserve">, Kendall</w:t>
      </w:r>
      <w:r>
        <w:t xml:space="preserve"> </w:t>
      </w:r>
      <w:r>
        <w:t xml:space="preserve">Walton (1970)</w:t>
      </w:r>
      <w:r>
        <w:t xml:space="preserve"> </w:t>
      </w:r>
      <w:r>
        <w:t xml:space="preserve">and Larry</w:t>
      </w:r>
      <w:r>
        <w:t xml:space="preserve"> </w:t>
      </w:r>
      <w:r>
        <w:t xml:space="preserve">Wright (1973)</w:t>
      </w:r>
      <w:r>
        <w:t xml:space="preserve">. That’s all to say that the story that</w:t>
      </w:r>
      <w:r>
        <w:t xml:space="preserve"> </w:t>
      </w:r>
      <w:hyperlink w:anchor="fig-cohort">
        <w:r>
          <w:rPr>
            <w:rStyle w:val="Hyperlink"/>
          </w:rPr>
          <w:t xml:space="preserve">Figure 17</w:t>
        </w:r>
      </w:hyperlink>
      <w:r>
        <w:t xml:space="preserve"> </w:t>
      </w:r>
      <w:r>
        <w:t xml:space="preserve">tells about the early 1970s is plausible. There had never before been a period when there was such a quantity of high quality work being done in philosophy journals.</w:t>
      </w:r>
    </w:p>
    <w:p>
      <w:pPr>
        <w:pStyle w:val="BodyText"/>
      </w:pPr>
      <w:r>
        <w:t xml:space="preserve">To see what is happening after that time, though, we need to look a little more closely at the data.</w:t>
      </w:r>
      <w:r>
        <w:t xml:space="preserve"> </w:t>
      </w:r>
      <w:hyperlink w:anchor="fig-cohort-short">
        <w:r>
          <w:rPr>
            <w:rStyle w:val="Hyperlink"/>
          </w:rPr>
          <w:t xml:space="preserve">Figure 18</w:t>
        </w:r>
      </w:hyperlink>
      <w:r>
        <w:t xml:space="preserve"> </w:t>
      </w:r>
      <w:r>
        <w:t xml:space="preserve">is a version of</w:t>
      </w:r>
      <w:r>
        <w:t xml:space="preserve"> </w:t>
      </w:r>
      <w:hyperlink w:anchor="fig-cohort">
        <w:r>
          <w:rPr>
            <w:rStyle w:val="Hyperlink"/>
          </w:rPr>
          <w:t xml:space="preserve">Figure 17</w:t>
        </w:r>
      </w:hyperlink>
      <w:r>
        <w:t xml:space="preserve"> </w:t>
      </w:r>
      <w:r>
        <w:t xml:space="preserve">just focussing on the first seven years after publication. That is, for each publication year, it measures citations of articles published that year in the seven years after they were published, adjusted in the same way for age and period effects.</w:t>
      </w:r>
    </w:p>
    <w:tbl>
      <w:tblPr>
        <w:tblStyle w:val="Table"/>
        <w:tblW w:type="pct" w:w="5000"/>
        <w:tblLayout w:type="fixed"/>
        <w:tblLook w:firstRow="0" w:lastRow="0" w:firstColumn="0" w:lastColumn="0" w:noHBand="0" w:noVBand="0" w:val="0000"/>
      </w:tblPr>
      <w:tblGrid>
        <w:gridCol w:w="7920"/>
      </w:tblGrid>
      <w:tr>
        <w:tc>
          <w:tcPr/>
          <w:bookmarkStart w:id="153" w:name="fig-cohort-short"/>
          <w:p>
            <w:pPr>
              <w:pStyle w:val="Compact"/>
              <w:jc w:val="center"/>
            </w:pPr>
            <w:r>
              <w:drawing>
                <wp:inline>
                  <wp:extent cx="5207000" cy="4165600"/>
                  <wp:effectExtent b="0" l="0" r="0" t="0"/>
                  <wp:docPr descr="" title="" id="151" name="Picture"/>
                  <a:graphic>
                    <a:graphicData uri="http://schemas.openxmlformats.org/drawingml/2006/picture">
                      <pic:pic>
                        <pic:nvPicPr>
                          <pic:cNvPr descr="apc-2025_files/figure-docx/fig-cohort-short-1.png" id="152" name="Picture"/>
                          <pic:cNvPicPr>
                            <a:picLocks noChangeArrowheads="1" noChangeAspect="1"/>
                          </pic:cNvPicPr>
                        </pic:nvPicPr>
                        <pic:blipFill>
                          <a:blip r:embed="rId15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A version of</w:t>
            </w:r>
            <w:r>
              <w:t xml:space="preserve"> </w:t>
            </w:r>
            <w:hyperlink w:anchor="fig-cohort">
              <w:r>
                <w:rPr>
                  <w:rStyle w:val="Hyperlink"/>
                </w:rPr>
                <w:t xml:space="preserve">Figure 17</w:t>
              </w:r>
            </w:hyperlink>
            <w:r>
              <w:t xml:space="preserve"> </w:t>
            </w:r>
            <w:r>
              <w:t xml:space="preserve">restricted to citations from the first seven years after publication.</w:t>
            </w:r>
          </w:p>
          <w:bookmarkEnd w:id="153"/>
        </w:tc>
      </w:tr>
    </w:tbl>
    <w:p>
      <w:pPr>
        <w:pStyle w:val="BodyText"/>
      </w:pPr>
      <w:hyperlink w:anchor="fig-cohort-short">
        <w:r>
          <w:rPr>
            <w:rStyle w:val="Hyperlink"/>
          </w:rPr>
          <w:t xml:space="preserve">Figure 18</w:t>
        </w:r>
      </w:hyperlink>
      <w:r>
        <w:t xml:space="preserve"> </w:t>
      </w:r>
      <w:r>
        <w:t xml:space="preserve">is measuring how often articles from a year are cited, soon after publication, compared to articles cited before them and, to a lesser extent, immediately after them. So the high numbers in the early 1960s are not showing that articles from that time were highly cited in an absolute sense, just that they were cited much more than articles from the 1950s were.</w:t>
      </w:r>
    </w:p>
    <w:p>
      <w:pPr>
        <w:pStyle w:val="BodyText"/>
      </w:pPr>
      <w:r>
        <w:t xml:space="preserve">After that boom, and the one-off year of 1973, things are reasonably steady through the mid-2000s. Then, especially after 2007, there is a massive drop. Why is that happening? Part of the answer is shown in</w:t>
      </w:r>
      <w:r>
        <w:t xml:space="preserve"> </w:t>
      </w:r>
      <w:hyperlink w:anchor="fig-cohort-long">
        <w:r>
          <w:rPr>
            <w:rStyle w:val="Hyperlink"/>
          </w:rPr>
          <w:t xml:space="preserve">Figure 19</w:t>
        </w:r>
      </w:hyperlink>
      <w:r>
        <w:t xml:space="preserve">, which is the same measure but only for citations after the first seven years.</w:t>
      </w:r>
    </w:p>
    <w:tbl>
      <w:tblPr>
        <w:tblStyle w:val="Table"/>
        <w:tblW w:type="pct" w:w="5000"/>
        <w:tblLayout w:type="fixed"/>
        <w:tblLook w:firstRow="0" w:lastRow="0" w:firstColumn="0" w:lastColumn="0" w:noHBand="0" w:noVBand="0" w:val="0000"/>
      </w:tblPr>
      <w:tblGrid>
        <w:gridCol w:w="7920"/>
      </w:tblGrid>
      <w:tr>
        <w:tc>
          <w:tcPr/>
          <w:bookmarkStart w:id="157" w:name="fig-cohort-long"/>
          <w:p>
            <w:pPr>
              <w:pStyle w:val="Compact"/>
              <w:jc w:val="center"/>
            </w:pPr>
            <w:r>
              <w:drawing>
                <wp:inline>
                  <wp:extent cx="5207000" cy="4165600"/>
                  <wp:effectExtent b="0" l="0" r="0" t="0"/>
                  <wp:docPr descr="" title="" id="155" name="Picture"/>
                  <a:graphic>
                    <a:graphicData uri="http://schemas.openxmlformats.org/drawingml/2006/picture">
                      <pic:pic>
                        <pic:nvPicPr>
                          <pic:cNvPr descr="apc-2025_files/figure-docx/fig-cohort-long-1.png" id="156" name="Picture"/>
                          <pic:cNvPicPr>
                            <a:picLocks noChangeArrowheads="1" noChangeAspect="1"/>
                          </pic:cNvPicPr>
                        </pic:nvPicPr>
                        <pic:blipFill>
                          <a:blip r:embed="rId15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A version of</w:t>
            </w:r>
            <w:r>
              <w:t xml:space="preserve"> </w:t>
            </w:r>
            <w:hyperlink w:anchor="fig-cohort">
              <w:r>
                <w:rPr>
                  <w:rStyle w:val="Hyperlink"/>
                </w:rPr>
                <w:t xml:space="preserve">Figure 17</w:t>
              </w:r>
            </w:hyperlink>
            <w:r>
              <w:t xml:space="preserve"> </w:t>
            </w:r>
            <w:r>
              <w:t xml:space="preserve">restricted to citations from after the first seven years after publication.</w:t>
            </w:r>
          </w:p>
          <w:bookmarkEnd w:id="157"/>
        </w:tc>
      </w:tr>
    </w:tbl>
    <w:p>
      <w:pPr>
        <w:pStyle w:val="BodyText"/>
      </w:pPr>
      <w:r>
        <w:t xml:space="preserve">The differences between</w:t>
      </w:r>
      <w:r>
        <w:t xml:space="preserve"> </w:t>
      </w:r>
      <w:hyperlink w:anchor="fig-cohort-short">
        <w:r>
          <w:rPr>
            <w:rStyle w:val="Hyperlink"/>
          </w:rPr>
          <w:t xml:space="preserve">Figure 18</w:t>
        </w:r>
      </w:hyperlink>
      <w:r>
        <w:t xml:space="preserve"> </w:t>
      </w:r>
      <w:r>
        <w:t xml:space="preserve">and</w:t>
      </w:r>
      <w:r>
        <w:t xml:space="preserve"> </w:t>
      </w:r>
      <w:hyperlink w:anchor="fig-cohort-long">
        <w:r>
          <w:rPr>
            <w:rStyle w:val="Hyperlink"/>
          </w:rPr>
          <w:t xml:space="preserve">Figure 19</w:t>
        </w:r>
      </w:hyperlink>
      <w:r>
        <w:t xml:space="preserve"> </w:t>
      </w:r>
      <w:r>
        <w:t xml:space="preserve">are striking. After both graphs go up in the early 1970s, and down in the early 1980s, they are strongly anti-correlated. Between the mid-1980s and mid-1990s, short term citations are up, and long term citations are down. After around 1995, short term citations start cratering, and long term citations are as high as ever?</w:t>
      </w:r>
    </w:p>
    <w:p>
      <w:pPr>
        <w:pStyle w:val="BodyText"/>
      </w:pPr>
      <w:r>
        <w:t xml:space="preserve">What could explain this pattern? In the next three sections, going to suggest three overlapping accounts: one involving technology, one involving content, and one involving culture.</w:t>
      </w:r>
    </w:p>
    <w:bookmarkEnd w:id="158"/>
    <w:bookmarkStart w:id="159" w:name="sec-technology"/>
    <w:p>
      <w:pPr>
        <w:pStyle w:val="Heading1"/>
      </w:pPr>
      <w:r>
        <w:t xml:space="preserve">6. Technology and Citations</w:t>
      </w:r>
    </w:p>
    <w:p>
      <w:pPr>
        <w:pStyle w:val="FirstParagraph"/>
      </w:pPr>
      <w:r>
        <w:t xml:space="preserve">As I noted at the top, I feel a common view is that the primary role of electronic publication has been to speed up</w:t>
      </w:r>
      <w:r>
        <w:t xml:space="preserve"> </w:t>
      </w:r>
      <w:r>
        <w:rPr>
          <w:i/>
          <w:iCs/>
        </w:rPr>
        <w:t xml:space="preserve">distribution</w:t>
      </w:r>
      <w:r>
        <w:t xml:space="preserve">. This view is not borne out by the data. If that were the case, you’d expect to see short term, especially very short term, citations rising over time.</w:t>
      </w:r>
    </w:p>
    <w:p>
      <w:pPr>
        <w:pStyle w:val="BodyText"/>
      </w:pPr>
      <w:r>
        <w:t xml:space="preserve">Printing and postage was a pretty mature technology by the late twentieth century. We weren’t waiting for steam ships to bring the latest issues of journals to distant shores. The technology used for distributing philosophy journals was the same technology used for distributing journals in medicine and other fields where time was of the essence. From that perspective, the internet would only speed things up by weeks, maybe months, and this wouldn’t really show on a graph in years.</w:t>
      </w:r>
    </w:p>
    <w:p>
      <w:pPr>
        <w:pStyle w:val="BodyText"/>
      </w:pPr>
      <w:r>
        <w:t xml:space="preserve">What is perhaps more surprising is that the prevalence of Online First, Early View, and other forms of quasi-publication haven’t made more of a difference. They do show up in the data. Until recently, there were zero articles cited in an earlier year than their official publication year. If they were cited in manuscript form, as, e.g.,</w:t>
      </w:r>
      <w:r>
        <w:t xml:space="preserve"> </w:t>
      </w:r>
      <w:r>
        <w:t xml:space="preserve">“Demonstratives”</w:t>
      </w:r>
      <w:r>
        <w:t xml:space="preserve"> </w:t>
      </w:r>
      <w:r>
        <w:t xml:space="preserve">(Kaplan 1989)</w:t>
      </w:r>
      <w:r>
        <w:t xml:space="preserve"> </w:t>
      </w:r>
      <w:r>
        <w:t xml:space="preserve">often was, these citations didn’t show up in indicies like the one I’m using. Articles cited in Early View do show up, so we start to see negative citation ages in the data. But we don’t see enough of them to make much of a difference.</w:t>
      </w:r>
    </w:p>
    <w:p>
      <w:pPr>
        <w:pStyle w:val="BodyText"/>
      </w:pPr>
      <w:r>
        <w:t xml:space="preserve">The biggest effect of technology was not on distribution but on</w:t>
      </w:r>
      <w:r>
        <w:t xml:space="preserve"> </w:t>
      </w:r>
      <w:r>
        <w:rPr>
          <w:i/>
          <w:iCs/>
        </w:rPr>
        <w:t xml:space="preserve">search</w:t>
      </w:r>
      <w:r>
        <w:t xml:space="preserve">. Before the widespread use of computers, there was a much better system for searching books than for searching journal articles. Classification systems meant books typically lived on shelves near other books on the same topic. Card catalogues would list subject matters for books. Even the title of the book could help track down what it was about. Finding a journal article on a relevant topic was much harder. And, it seems, it mostly wasn’t done.</w:t>
      </w:r>
    </w:p>
    <w:p>
      <w:pPr>
        <w:pStyle w:val="BodyText"/>
      </w:pPr>
      <w:r>
        <w:t xml:space="preserve">My impression is that there was also a notable physical difference between the ways books and journals were stored and accessed. Almost every academic has a bookshelf; not as many have large collections of journals. Occasionally a department would have physical journals on hand, but often the best way to access journals was to walk across campus to a library. On the other hand, accessing a book might involve walking four steps to a shelf. This physical difference probably contributed to the relative prominence of books and articles in bibliographies.</w:t>
      </w:r>
    </w:p>
    <w:p>
      <w:pPr>
        <w:pStyle w:val="BodyText"/>
      </w:pPr>
      <w:r>
        <w:t xml:space="preserve">There often was an exception to this general claim about access. (At least, this was true in any pre-twentieth century department I was familiar with, but I think it was moderately widespread.) Departments would sometimes keep the latest issues of journals in a department library or common room. Those would be much more prominent, and easy to access. I’m not sure whether this explains why so many of the journal citations pre-1995 are to very recent journals, but it probably helped.</w:t>
      </w:r>
    </w:p>
    <w:p>
      <w:pPr>
        <w:pStyle w:val="BodyText"/>
      </w:pPr>
      <w:r>
        <w:t xml:space="preserve">So that I think is part of the story. Before the widespread adoption of computers, old journal articles were very hard to find. This changed a little with the advent of electronic, and hence easily searchable, versions of</w:t>
      </w:r>
      <w:r>
        <w:t xml:space="preserve"> </w:t>
      </w:r>
      <w:r>
        <w:rPr>
          <w:i/>
          <w:iCs/>
        </w:rPr>
        <w:t xml:space="preserve">Philosophers’ Index</w:t>
      </w:r>
      <w:r>
        <w:t xml:space="preserve">, and changed a lot when journals went online. And that’s part of why older articles, and especially older articles that are not classics, are now more widely cited.</w:t>
      </w:r>
    </w:p>
    <w:bookmarkEnd w:id="159"/>
    <w:bookmarkStart w:id="170" w:name="sec-content"/>
    <w:p>
      <w:pPr>
        <w:pStyle w:val="Heading1"/>
      </w:pPr>
      <w:r>
        <w:t xml:space="preserve">7. Content Changes</w:t>
      </w:r>
    </w:p>
    <w:p>
      <w:pPr>
        <w:pStyle w:val="FirstParagraph"/>
      </w:pPr>
      <w:r>
        <w:t xml:space="preserve">Another part of the story is that the centre of gravity of philosophy publishing changes over the time period we’re looking at. And it does so in a way that turns out to matter for which kinds of articles are cited.</w:t>
      </w:r>
    </w:p>
    <w:p>
      <w:pPr>
        <w:pStyle w:val="BodyText"/>
      </w:pPr>
      <w:r>
        <w:t xml:space="preserve">Through at least the early 2000s, analytic philosophy is in what</w:t>
      </w:r>
      <w:r>
        <w:t xml:space="preserve"> </w:t>
      </w:r>
      <w:r>
        <w:t xml:space="preserve">Sider (2020, 2)</w:t>
      </w:r>
      <w:r>
        <w:t xml:space="preserve"> </w:t>
      </w:r>
      <w:r>
        <w:t xml:space="preserve">calls the</w:t>
      </w:r>
      <w:r>
        <w:t xml:space="preserve"> </w:t>
      </w:r>
      <w:r>
        <w:t xml:space="preserve">“modal era”</w:t>
      </w:r>
      <w:r>
        <w:t xml:space="preserve">. One aspect of this era, one that Sider particularly highlights, is that questions about essence were equated with questions about necessity in a way that they weren’t either before or after the era.</w:t>
      </w:r>
      <w:r>
        <w:rPr>
          <w:rStyle w:val="FootnoteReference"/>
        </w:rPr>
        <w:footnoteReference w:id="160"/>
      </w:r>
      <w:r>
        <w:t xml:space="preserve"> </w:t>
      </w:r>
      <w:r>
        <w:t xml:space="preserve">This should be taken as a symptom of the era, not the definition of it. What’s really defining of the era was the way modality became central to disputes across the discipline.</w:t>
      </w:r>
    </w:p>
    <w:p>
      <w:pPr>
        <w:pStyle w:val="BodyText"/>
      </w:pPr>
      <w:r>
        <w:t xml:space="preserve">Consider, for example, what Frank</w:t>
      </w:r>
      <w:r>
        <w:t xml:space="preserve"> </w:t>
      </w:r>
      <w:r>
        <w:t xml:space="preserve">Jackson (1998)</w:t>
      </w:r>
      <w:r>
        <w:t xml:space="preserve"> </w:t>
      </w:r>
      <w:r>
        <w:t xml:space="preserve">called the</w:t>
      </w:r>
      <w:r>
        <w:t xml:space="preserve"> </w:t>
      </w:r>
      <w:r>
        <w:t xml:space="preserve">‘location problem’</w:t>
      </w:r>
      <w:r>
        <w:t xml:space="preserve">, i.e., the problem of how to locate in the world something that the philosopher thinks exists, and is not fundamental. Jackson argues that saying how to locate the non-fundamental in the fundamental is a compulsory question for anyone doing</w:t>
      </w:r>
      <w:r>
        <w:t xml:space="preserve"> </w:t>
      </w:r>
      <w:r>
        <w:t xml:space="preserve">‘serious metaphysics’</w:t>
      </w:r>
      <w:r>
        <w:t xml:space="preserve">, and the one and only answer to it will involve modality. As he says,</w:t>
      </w:r>
    </w:p>
    <w:p>
      <w:pPr>
        <w:pStyle w:val="BlockText"/>
      </w:pPr>
      <w:r>
        <w:t xml:space="preserve">When does a putative feature of our world have a place in the account some serious metaphysics tells of what our world is like? I have already mentioned one answer: if the feature is entailed by the account told in the terms favoured by the metaphysics in question, it has a place in the account told in the favoured terms. This is hardly controversial considered as a sufficient condition, but, I will now argue, it is also a necessary condition: the one and only way of having a place in an account told in some set of preferred terms is by being entailed by that account—a view I will refer to as the entry by entailment thesis.</w:t>
      </w:r>
      <w:r>
        <w:t xml:space="preserve"> </w:t>
      </w:r>
      <w:r>
        <w:t xml:space="preserve">(Jackson 1998, 5)</w:t>
      </w:r>
    </w:p>
    <w:p>
      <w:pPr>
        <w:pStyle w:val="FirstParagraph"/>
      </w:pPr>
      <w:r>
        <w:t xml:space="preserve">Now Jackson went on to say other things about entailment that were not widely endorsed. But at this early stage in the book, I think he was largely expressing conventional wisdom.</w:t>
      </w:r>
      <w:r>
        <w:rPr>
          <w:rStyle w:val="FootnoteReference"/>
        </w:rPr>
        <w:footnoteReference w:id="161"/>
      </w:r>
      <w:r>
        <w:t xml:space="preserve"> </w:t>
      </w:r>
      <w:r>
        <w:t xml:space="preserve">In a review that disagrees with many parts of the book, Stephen</w:t>
      </w:r>
      <w:r>
        <w:t xml:space="preserve"> </w:t>
      </w:r>
      <w:r>
        <w:t xml:space="preserve">Yablo (2000, 20)</w:t>
      </w:r>
      <w:r>
        <w:t xml:space="preserve"> </w:t>
      </w:r>
      <w:r>
        <w:t xml:space="preserve">says</w:t>
      </w:r>
      <w:r>
        <w:t xml:space="preserve"> </w:t>
      </w:r>
      <w:r>
        <w:t xml:space="preserve">“Not many eyebrows will be raised by Jackson’s view that metaphysics is committed to</w:t>
      </w:r>
      <w:r>
        <w:t xml:space="preserve"> </w:t>
      </w:r>
      <w:r>
        <w:t xml:space="preserve">‘entry by entailment’</w:t>
      </w:r>
      <w:r>
        <w:t xml:space="preserve"> </w:t>
      </w:r>
      <w:r>
        <w:t xml:space="preserve">theses.”</w:t>
      </w:r>
      <w:r>
        <w:t xml:space="preserve"> </w:t>
      </w:r>
      <w:r>
        <w:t xml:space="preserve">That is, the quoted parts are not controversial, especially the one that Jackson flags as being ever so slightly more controversial.</w:t>
      </w:r>
    </w:p>
    <w:p>
      <w:pPr>
        <w:pStyle w:val="BodyText"/>
      </w:pPr>
      <w:r>
        <w:t xml:space="preserve">The idea that entailment, i.e., necessitation, had been central to understanding how the non-fundamental relates to the fundamental had been central to philosophy for many years by this point. (To be clear, Jackson isn’t claiming great novelty at this point of his book; the big claim he’s building towards is that the necessitation is a priori knowable.) We can see just how central it is by using a slightly different statistic to what I’ve used so far: grand-citations.</w:t>
      </w:r>
    </w:p>
    <w:p>
      <w:pPr>
        <w:pStyle w:val="BodyText"/>
      </w:pPr>
      <w:r>
        <w:t xml:space="preserve">Say that the number of grand-citations an article</w:t>
      </w:r>
      <w:r>
        <w:t xml:space="preserve"> </w:t>
      </w:r>
      <w:r>
        <w:rPr>
          <w:i/>
          <w:iCs/>
        </w:rPr>
        <w:t xml:space="preserve">a</w:t>
      </w:r>
      <w:r>
        <w:t xml:space="preserve"> </w:t>
      </w:r>
      <w:r>
        <w:t xml:space="preserve">has is the number of triples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such that</w:t>
      </w:r>
      <w:r>
        <w:t xml:space="preserve"> </w:t>
      </w:r>
      <w:r>
        <w:rPr>
          <w:i/>
          <w:iCs/>
        </w:rPr>
        <w:t xml:space="preserve">c</w:t>
      </w:r>
      <w:r>
        <w:t xml:space="preserve"> </w:t>
      </w:r>
      <w:r>
        <w:t xml:space="preserve">cites</w:t>
      </w:r>
      <w:r>
        <w:t xml:space="preserve"> </w:t>
      </w:r>
      <w:r>
        <w:rPr>
          <w:i/>
          <w:iCs/>
        </w:rPr>
        <w:t xml:space="preserve">b</w:t>
      </w:r>
      <w:r>
        <w:t xml:space="preserve"> </w:t>
      </w:r>
      <w:r>
        <w:t xml:space="preserve">and</w:t>
      </w:r>
      <w:r>
        <w:t xml:space="preserve"> </w:t>
      </w:r>
      <w:r>
        <w:rPr>
          <w:i/>
          <w:iCs/>
        </w:rPr>
        <w:t xml:space="preserve">b</w:t>
      </w:r>
      <w:r>
        <w:t xml:space="preserve"> </w:t>
      </w:r>
      <w:r>
        <w:t xml:space="preserve">cites</w:t>
      </w:r>
      <w:r>
        <w:t xml:space="preserve"> </w:t>
      </w:r>
      <w:r>
        <w:rPr>
          <w:i/>
          <w:iCs/>
        </w:rPr>
        <w:t xml:space="preserve">a</w:t>
      </w:r>
      <w:r>
        <w:t xml:space="preserve">. It’s the sum of the number of citations of articles that cite</w:t>
      </w:r>
      <w:r>
        <w:t xml:space="preserve"> </w:t>
      </w:r>
      <w:r>
        <w:rPr>
          <w:i/>
          <w:iCs/>
        </w:rPr>
        <w:t xml:space="preserve">a</w:t>
      </w:r>
      <w:r>
        <w:t xml:space="preserve">. If we look at grand-citations over time, they show David Lewis’s centrality to the philosophy journals. Through 2021, six of the eight articles with the most grand-citations are by Lewis. If instead we look at particular times, we see the changing face of the journals. Grand-citations take some time to accrue, so I’ll look at twenty year periods. In particular, for various years, I’ll look at which articles published in the preceeding twenty years had the most grand-citations through that year.</w:t>
      </w:r>
    </w:p>
    <w:p>
      <w:pPr>
        <w:pStyle w:val="BodyText"/>
      </w:pPr>
      <w:hyperlink w:anchor="tbl-grand-cite-2000">
        <w:r>
          <w:rPr>
            <w:rStyle w:val="Hyperlink"/>
          </w:rPr>
          <w:t xml:space="preserve">Table 5</w:t>
        </w:r>
      </w:hyperlink>
      <w:r>
        <w:t xml:space="preserve"> </w:t>
      </w:r>
      <w:r>
        <w:t xml:space="preserve">lists which articles, published from 1980 onwards, had the most grand-citations through 2000.</w:t>
      </w:r>
    </w:p>
    <w:tbl>
      <w:tblPr>
        <w:tblStyle w:val="Table"/>
        <w:tblW w:type="pct" w:w="5000"/>
        <w:tblLayout w:type="fixed"/>
        <w:tblLook w:firstRow="0" w:lastRow="0" w:firstColumn="0" w:lastColumn="0" w:noHBand="0" w:noVBand="0" w:val="0000"/>
      </w:tblPr>
      <w:tblGrid>
        <w:gridCol w:w="7920"/>
      </w:tblGrid>
      <w:tr>
        <w:tc>
          <w:tcPr/>
          <w:bookmarkStart w:id="162" w:name="tbl-grand-cite-2000"/>
          <w:p>
            <w:pPr>
              <w:jc w:val="center"/>
            </w:pPr>
            <w:pPr>
              <w:jc w:val="start"/>
              <w:spacing w:before="200"/>
              <w:pStyle w:val="ImageCaption"/>
            </w:pPr>
            <w:r>
              <w:t xml:space="preserve">Table 5: The 10 articles from the 1980s and 1990s with the most grand-citations through 2000.</w:t>
            </w:r>
          </w:p>
          <w:tbl>
            <w:tblPr>
              <w:tblStyle w:val="Table"/>
              <w:tblW w:type="pct" w:w="5000"/>
              <w:tblLayout w:type="fixed"/>
              <w:tblLook w:firstRow="1" w:lastRow="0" w:firstColumn="0" w:lastColumn="0" w:noHBand="0" w:noVBand="0" w:val="0020"/>
            </w:tblPr>
            <w:tblGrid>
              <w:gridCol w:w="306"/>
              <w:gridCol w:w="6016"/>
              <w:gridCol w:w="613"/>
              <w:gridCol w:w="982"/>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Terrence Horgan</w:t>
                  </w:r>
                  <w:r>
                    <w:t xml:space="preserve"> </w:t>
                  </w:r>
                  <w:r>
                    <w:t xml:space="preserve">(1982)</w:t>
                  </w:r>
                  <w:r>
                    <w:t xml:space="preserve"> </w:t>
                  </w:r>
                  <w:r>
                    <w:t xml:space="preserve">“Supervenience and Microphysics”</w:t>
                  </w:r>
                </w:p>
              </w:tc>
              <w:tc>
                <w:tcPr/>
                <w:p>
                  <w:pPr>
                    <w:pStyle w:val="Compact"/>
                    <w:jc w:val="right"/>
                    <w:jc w:val="center"/>
                  </w:pPr>
                  <w:r>
                    <w:t xml:space="preserve">36</w:t>
                  </w:r>
                </w:p>
              </w:tc>
              <w:tc>
                <w:tcPr/>
                <w:p>
                  <w:pPr>
                    <w:pStyle w:val="Compact"/>
                    <w:jc w:val="right"/>
                    <w:jc w:val="center"/>
                  </w:pPr>
                  <w:r>
                    <w:t xml:space="preserve">318</w:t>
                  </w:r>
                </w:p>
              </w:tc>
            </w:tr>
            <w:tr>
              <w:tc>
                <w:tcPr/>
                <w:p>
                  <w:pPr>
                    <w:pStyle w:val="Compact"/>
                    <w:jc w:val="right"/>
                    <w:jc w:val="center"/>
                  </w:pPr>
                  <w:r>
                    <w:t xml:space="preserve">2</w:t>
                  </w:r>
                </w:p>
              </w:tc>
              <w:tc>
                <w:tcPr/>
                <w:p>
                  <w:pPr>
                    <w:pStyle w:val="Compact"/>
                    <w:jc w:val="left"/>
                    <w:jc w:val="center"/>
                  </w:pPr>
                  <w:r>
                    <w:t xml:space="preserve">Tyler Burge</w:t>
                  </w:r>
                  <w:r>
                    <w:t xml:space="preserve"> </w:t>
                  </w:r>
                  <w:r>
                    <w:t xml:space="preserve">(1986)</w:t>
                  </w:r>
                  <w:r>
                    <w:t xml:space="preserve"> </w:t>
                  </w:r>
                  <w:r>
                    <w:t xml:space="preserve">“Individualism and Psychology”</w:t>
                  </w:r>
                </w:p>
              </w:tc>
              <w:tc>
                <w:tcPr/>
                <w:p>
                  <w:pPr>
                    <w:pStyle w:val="Compact"/>
                    <w:jc w:val="right"/>
                    <w:jc w:val="center"/>
                  </w:pPr>
                  <w:r>
                    <w:t xml:space="preserve">82</w:t>
                  </w:r>
                </w:p>
              </w:tc>
              <w:tc>
                <w:tcPr/>
                <w:p>
                  <w:pPr>
                    <w:pStyle w:val="Compact"/>
                    <w:jc w:val="right"/>
                    <w:jc w:val="center"/>
                  </w:pPr>
                  <w:r>
                    <w:t xml:space="preserve">317</w:t>
                  </w:r>
                </w:p>
              </w:tc>
            </w:tr>
            <w:tr>
              <w:tc>
                <w:tcPr/>
                <w:p>
                  <w:pPr>
                    <w:pStyle w:val="Compact"/>
                    <w:jc w:val="right"/>
                    <w:jc w:val="center"/>
                  </w:pPr>
                  <w:r>
                    <w:t xml:space="preserve">3</w:t>
                  </w:r>
                </w:p>
              </w:tc>
              <w:tc>
                <w:tcPr/>
                <w:p>
                  <w:pPr>
                    <w:pStyle w:val="Compact"/>
                    <w:jc w:val="left"/>
                    <w:jc w:val="center"/>
                  </w:pPr>
                  <w:r>
                    <w:t xml:space="preserve">Paul M. Churchland</w:t>
                  </w:r>
                  <w:r>
                    <w:t xml:space="preserve"> </w:t>
                  </w:r>
                  <w:r>
                    <w:t xml:space="preserve">(1981)</w:t>
                  </w:r>
                  <w:r>
                    <w:t xml:space="preserve"> </w:t>
                  </w:r>
                  <w:r>
                    <w:t xml:space="preserve">“Eliminative Materialism and the Propositional Attitudes”</w:t>
                  </w:r>
                </w:p>
              </w:tc>
              <w:tc>
                <w:tcPr/>
                <w:p>
                  <w:pPr>
                    <w:pStyle w:val="Compact"/>
                    <w:jc w:val="right"/>
                    <w:jc w:val="center"/>
                  </w:pPr>
                  <w:r>
                    <w:t xml:space="preserve">96</w:t>
                  </w:r>
                </w:p>
              </w:tc>
              <w:tc>
                <w:tcPr/>
                <w:p>
                  <w:pPr>
                    <w:pStyle w:val="Compact"/>
                    <w:jc w:val="right"/>
                    <w:jc w:val="center"/>
                  </w:pPr>
                  <w:r>
                    <w:t xml:space="preserve">315</w:t>
                  </w:r>
                </w:p>
              </w:tc>
            </w:tr>
            <w:tr>
              <w:tc>
                <w:tcPr/>
                <w:p>
                  <w:pPr>
                    <w:pStyle w:val="Compact"/>
                    <w:jc w:val="right"/>
                    <w:jc w:val="center"/>
                  </w:pPr>
                  <w:r>
                    <w:t xml:space="preserve">4</w:t>
                  </w:r>
                </w:p>
              </w:tc>
              <w:tc>
                <w:tcPr/>
                <w:p>
                  <w:pPr>
                    <w:pStyle w:val="Compact"/>
                    <w:jc w:val="left"/>
                    <w:jc w:val="center"/>
                  </w:pPr>
                  <w:r>
                    <w:t xml:space="preserve">David Lewis</w:t>
                  </w:r>
                  <w:r>
                    <w:t xml:space="preserve"> </w:t>
                  </w:r>
                  <w:r>
                    <w:t xml:space="preserve">(1983)</w:t>
                  </w:r>
                  <w:r>
                    <w:t xml:space="preserve"> </w:t>
                  </w:r>
                  <w:r>
                    <w:t xml:space="preserve">“New Work for a Theory of Universals”</w:t>
                  </w:r>
                </w:p>
              </w:tc>
              <w:tc>
                <w:tcPr/>
                <w:p>
                  <w:pPr>
                    <w:pStyle w:val="Compact"/>
                    <w:jc w:val="right"/>
                    <w:jc w:val="center"/>
                  </w:pPr>
                  <w:r>
                    <w:t xml:space="preserve">86</w:t>
                  </w:r>
                </w:p>
              </w:tc>
              <w:tc>
                <w:tcPr/>
                <w:p>
                  <w:pPr>
                    <w:pStyle w:val="Compact"/>
                    <w:jc w:val="right"/>
                    <w:jc w:val="center"/>
                  </w:pPr>
                  <w:r>
                    <w:t xml:space="preserve">309</w:t>
                  </w:r>
                </w:p>
              </w:tc>
            </w:tr>
            <w:tr>
              <w:tc>
                <w:tcPr/>
                <w:p>
                  <w:pPr>
                    <w:pStyle w:val="Compact"/>
                    <w:jc w:val="right"/>
                    <w:jc w:val="center"/>
                  </w:pPr>
                  <w:r>
                    <w:t xml:space="preserve">5</w:t>
                  </w:r>
                </w:p>
              </w:tc>
              <w:tc>
                <w:tcPr/>
                <w:p>
                  <w:pPr>
                    <w:pStyle w:val="Compact"/>
                    <w:jc w:val="left"/>
                    <w:jc w:val="center"/>
                  </w:pPr>
                  <w:r>
                    <w:t xml:space="preserve">John Haugeland</w:t>
                  </w:r>
                  <w:r>
                    <w:t xml:space="preserve"> </w:t>
                  </w:r>
                  <w:r>
                    <w:t xml:space="preserve">(1982)</w:t>
                  </w:r>
                  <w:r>
                    <w:t xml:space="preserve"> </w:t>
                  </w:r>
                  <w:r>
                    <w:t xml:space="preserve">“Weak Supervenience”</w:t>
                  </w:r>
                </w:p>
              </w:tc>
              <w:tc>
                <w:tcPr/>
                <w:p>
                  <w:pPr>
                    <w:pStyle w:val="Compact"/>
                    <w:jc w:val="right"/>
                    <w:jc w:val="center"/>
                  </w:pPr>
                  <w:r>
                    <w:t xml:space="preserve">40</w:t>
                  </w:r>
                </w:p>
              </w:tc>
              <w:tc>
                <w:tcPr/>
                <w:p>
                  <w:pPr>
                    <w:pStyle w:val="Compact"/>
                    <w:jc w:val="right"/>
                    <w:jc w:val="center"/>
                  </w:pPr>
                  <w:r>
                    <w:t xml:space="preserve">258</w:t>
                  </w:r>
                </w:p>
              </w:tc>
            </w:tr>
            <w:tr>
              <w:tc>
                <w:tcPr/>
                <w:p>
                  <w:pPr>
                    <w:pStyle w:val="Compact"/>
                    <w:jc w:val="right"/>
                    <w:jc w:val="center"/>
                  </w:pPr>
                  <w:r>
                    <w:t xml:space="preserve">6</w:t>
                  </w:r>
                </w:p>
              </w:tc>
              <w:tc>
                <w:tcPr/>
                <w:p>
                  <w:pPr>
                    <w:pStyle w:val="Compact"/>
                    <w:jc w:val="left"/>
                    <w:jc w:val="center"/>
                  </w:pPr>
                  <w:r>
                    <w:t xml:space="preserve">Jaegwon Kim</w:t>
                  </w:r>
                  <w:r>
                    <w:t xml:space="preserve"> </w:t>
                  </w:r>
                  <w:r>
                    <w:t xml:space="preserve">(1982)</w:t>
                  </w:r>
                  <w:r>
                    <w:t xml:space="preserve"> </w:t>
                  </w:r>
                  <w:r>
                    <w:t xml:space="preserve">“Psychophysical Supervenience”</w:t>
                  </w:r>
                </w:p>
              </w:tc>
              <w:tc>
                <w:tcPr/>
                <w:p>
                  <w:pPr>
                    <w:pStyle w:val="Compact"/>
                    <w:jc w:val="right"/>
                    <w:jc w:val="center"/>
                  </w:pPr>
                  <w:r>
                    <w:t xml:space="preserve">40</w:t>
                  </w:r>
                </w:p>
              </w:tc>
              <w:tc>
                <w:tcPr/>
                <w:p>
                  <w:pPr>
                    <w:pStyle w:val="Compact"/>
                    <w:jc w:val="right"/>
                    <w:jc w:val="center"/>
                  </w:pPr>
                  <w:r>
                    <w:t xml:space="preserve">245</w:t>
                  </w:r>
                </w:p>
              </w:tc>
            </w:tr>
            <w:tr>
              <w:tc>
                <w:tcPr/>
                <w:p>
                  <w:pPr>
                    <w:pStyle w:val="Compact"/>
                    <w:jc w:val="right"/>
                    <w:jc w:val="center"/>
                  </w:pPr>
                  <w:r>
                    <w:t xml:space="preserve">7</w:t>
                  </w:r>
                </w:p>
              </w:tc>
              <w:tc>
                <w:tcPr/>
                <w:p>
                  <w:pPr>
                    <w:pStyle w:val="Compact"/>
                    <w:jc w:val="left"/>
                    <w:jc w:val="center"/>
                  </w:pPr>
                  <w:r>
                    <w:t xml:space="preserve">Ruth Garrett Millikan</w:t>
                  </w:r>
                  <w:r>
                    <w:t xml:space="preserve"> </w:t>
                  </w:r>
                  <w:r>
                    <w:t xml:space="preserve">(1989)</w:t>
                  </w:r>
                  <w:r>
                    <w:t xml:space="preserve"> </w:t>
                  </w:r>
                  <w:r>
                    <w:t xml:space="preserve">“In Defense of Proper Functions”</w:t>
                  </w:r>
                </w:p>
              </w:tc>
              <w:tc>
                <w:tcPr/>
                <w:p>
                  <w:pPr>
                    <w:pStyle w:val="Compact"/>
                    <w:jc w:val="right"/>
                    <w:jc w:val="center"/>
                  </w:pPr>
                  <w:r>
                    <w:t xml:space="preserve">43</w:t>
                  </w:r>
                </w:p>
              </w:tc>
              <w:tc>
                <w:tcPr/>
                <w:p>
                  <w:pPr>
                    <w:pStyle w:val="Compact"/>
                    <w:jc w:val="right"/>
                    <w:jc w:val="center"/>
                  </w:pPr>
                  <w:r>
                    <w:t xml:space="preserve">232</w:t>
                  </w:r>
                </w:p>
              </w:tc>
            </w:tr>
            <w:tr>
              <w:tc>
                <w:tcPr/>
                <w:p>
                  <w:pPr>
                    <w:pStyle w:val="Compact"/>
                    <w:jc w:val="right"/>
                    <w:jc w:val="center"/>
                  </w:pPr>
                  <w:r>
                    <w:t xml:space="preserve">8</w:t>
                  </w:r>
                </w:p>
              </w:tc>
              <w:tc>
                <w:tcPr/>
                <w:p>
                  <w:pPr>
                    <w:pStyle w:val="Compact"/>
                    <w:jc w:val="left"/>
                    <w:jc w:val="center"/>
                  </w:pPr>
                  <w:r>
                    <w:t xml:space="preserve">Jon Barwise and Robin Cooper</w:t>
                  </w:r>
                  <w:r>
                    <w:t xml:space="preserve"> </w:t>
                  </w:r>
                  <w:r>
                    <w:t xml:space="preserve">(1981)</w:t>
                  </w:r>
                  <w:r>
                    <w:t xml:space="preserve"> </w:t>
                  </w:r>
                  <w:r>
                    <w:t xml:space="preserve">“Generalized Quantifiers and Natural-Language”</w:t>
                  </w:r>
                </w:p>
              </w:tc>
              <w:tc>
                <w:tcPr/>
                <w:p>
                  <w:pPr>
                    <w:pStyle w:val="Compact"/>
                    <w:jc w:val="right"/>
                    <w:jc w:val="center"/>
                  </w:pPr>
                  <w:r>
                    <w:t xml:space="preserve">83</w:t>
                  </w:r>
                </w:p>
              </w:tc>
              <w:tc>
                <w:tcPr/>
                <w:p>
                  <w:pPr>
                    <w:pStyle w:val="Compact"/>
                    <w:jc w:val="right"/>
                    <w:jc w:val="center"/>
                  </w:pPr>
                  <w:r>
                    <w:t xml:space="preserve">221</w:t>
                  </w:r>
                </w:p>
              </w:tc>
            </w:tr>
            <w:tr>
              <w:tc>
                <w:tcPr/>
                <w:p>
                  <w:pPr>
                    <w:pStyle w:val="Compact"/>
                    <w:jc w:val="right"/>
                    <w:jc w:val="center"/>
                  </w:pPr>
                  <w:r>
                    <w:t xml:space="preserve">9</w:t>
                  </w:r>
                </w:p>
              </w:tc>
              <w:tc>
                <w:tcPr/>
                <w:p>
                  <w:pPr>
                    <w:pStyle w:val="Compact"/>
                    <w:jc w:val="left"/>
                    <w:jc w:val="center"/>
                  </w:pPr>
                  <w:r>
                    <w:t xml:space="preserve">John Bigelow and Robert Pargetter</w:t>
                  </w:r>
                  <w:r>
                    <w:t xml:space="preserve"> </w:t>
                  </w:r>
                  <w:r>
                    <w:t xml:space="preserve">(1987)</w:t>
                  </w:r>
                  <w:r>
                    <w:t xml:space="preserve"> </w:t>
                  </w:r>
                  <w:r>
                    <w:t xml:space="preserve">“Functions”</w:t>
                  </w:r>
                </w:p>
              </w:tc>
              <w:tc>
                <w:tcPr/>
                <w:p>
                  <w:pPr>
                    <w:pStyle w:val="Compact"/>
                    <w:jc w:val="right"/>
                    <w:jc w:val="center"/>
                  </w:pPr>
                  <w:r>
                    <w:t xml:space="preserve">30</w:t>
                  </w:r>
                </w:p>
              </w:tc>
              <w:tc>
                <w:tcPr/>
                <w:p>
                  <w:pPr>
                    <w:pStyle w:val="Compact"/>
                    <w:jc w:val="right"/>
                    <w:jc w:val="center"/>
                  </w:pPr>
                  <w:r>
                    <w:t xml:space="preserve">220</w:t>
                  </w:r>
                </w:p>
              </w:tc>
            </w:tr>
            <w:tr>
              <w:tc>
                <w:tcPr/>
                <w:p>
                  <w:pPr>
                    <w:pStyle w:val="Compact"/>
                    <w:jc w:val="right"/>
                    <w:jc w:val="center"/>
                  </w:pPr>
                  <w:r>
                    <w:t xml:space="preserve">10</w:t>
                  </w:r>
                </w:p>
              </w:tc>
              <w:tc>
                <w:tcPr/>
                <w:p>
                  <w:pPr>
                    <w:pStyle w:val="Compact"/>
                    <w:jc w:val="left"/>
                    <w:jc w:val="center"/>
                  </w:pPr>
                  <w:r>
                    <w:t xml:space="preserve">Jaegwon Kim</w:t>
                  </w:r>
                  <w:r>
                    <w:t xml:space="preserve"> </w:t>
                  </w:r>
                  <w:r>
                    <w:t xml:space="preserve">(1984)</w:t>
                  </w:r>
                  <w:r>
                    <w:t xml:space="preserve"> </w:t>
                  </w:r>
                  <w:r>
                    <w:t xml:space="preserve">“Concepts of Supervenience”</w:t>
                  </w:r>
                </w:p>
              </w:tc>
              <w:tc>
                <w:tcPr/>
                <w:p>
                  <w:pPr>
                    <w:pStyle w:val="Compact"/>
                    <w:jc w:val="right"/>
                    <w:jc w:val="center"/>
                  </w:pPr>
                  <w:r>
                    <w:t xml:space="preserve">87</w:t>
                  </w:r>
                </w:p>
              </w:tc>
              <w:tc>
                <w:tcPr/>
                <w:p>
                  <w:pPr>
                    <w:pStyle w:val="Compact"/>
                    <w:jc w:val="right"/>
                    <w:jc w:val="center"/>
                  </w:pPr>
                  <w:r>
                    <w:t xml:space="preserve">219</w:t>
                  </w:r>
                </w:p>
              </w:tc>
            </w:tr>
          </w:tbl>
          <w:bookmarkEnd w:id="162"/>
          <w:p/>
        </w:tc>
      </w:tr>
    </w:tbl>
    <w:p>
      <w:pPr>
        <w:pStyle w:val="BodyText"/>
      </w:pPr>
      <w:r>
        <w:t xml:space="preserve">I’ve included the names of the articles on this table to make vivid how central supervenience was to the literature at this time.</w:t>
      </w:r>
      <w:r>
        <w:rPr>
          <w:rStyle w:val="FootnoteReference"/>
        </w:rPr>
        <w:footnoteReference w:id="163"/>
      </w:r>
      <w:r>
        <w:t xml:space="preserve"> </w:t>
      </w:r>
      <w:r>
        <w:t xml:space="preserve">Four of the articles here have the word</w:t>
      </w:r>
      <w:r>
        <w:t xml:space="preserve"> </w:t>
      </w:r>
      <w:r>
        <w:t xml:space="preserve">‘supervenience’</w:t>
      </w:r>
      <w:r>
        <w:t xml:space="preserve"> </w:t>
      </w:r>
      <w:r>
        <w:t xml:space="preserve">in the title! At the center of this literature stood Jaegwon Kim. The citation data I have somewhat</w:t>
      </w:r>
      <w:r>
        <w:t xml:space="preserve"> </w:t>
      </w:r>
      <w:r>
        <w:rPr>
          <w:i/>
          <w:iCs/>
        </w:rPr>
        <w:t xml:space="preserve">underestimates</w:t>
      </w:r>
      <w:r>
        <w:t xml:space="preserve"> </w:t>
      </w:r>
      <w:r>
        <w:t xml:space="preserve">his influence, because people often cited his edited collection</w:t>
      </w:r>
      <w:r>
        <w:t xml:space="preserve"> </w:t>
      </w:r>
      <w:r>
        <w:rPr>
          <w:i/>
          <w:iCs/>
        </w:rPr>
        <w:t xml:space="preserve">Supervenience and Mind</w:t>
      </w:r>
      <w:r>
        <w:t xml:space="preserve"> </w:t>
      </w:r>
      <w:r>
        <w:t xml:space="preserve">(</w:t>
      </w:r>
      <w:r>
        <w:rPr>
          <w:i/>
          <w:iCs/>
        </w:rPr>
        <w:t xml:space="preserve">Supervenience and Mind</w:t>
      </w:r>
      <w:r>
        <w:t xml:space="preserve"> </w:t>
      </w:r>
      <w:r>
        <w:t xml:space="preserve">1993)</w:t>
      </w:r>
      <w:r>
        <w:t xml:space="preserve">, and those citations are usually not tracked by Web of Science.</w:t>
      </w:r>
      <w:r>
        <w:rPr>
          <w:rStyle w:val="FootnoteReference"/>
        </w:rPr>
        <w:footnoteReference w:id="164"/>
      </w:r>
    </w:p>
    <w:p>
      <w:pPr>
        <w:pStyle w:val="BodyText"/>
      </w:pPr>
      <w:r>
        <w:t xml:space="preserve">When we move into the 2000s, the focus shifts dramatically, as we see in</w:t>
      </w:r>
      <w:r>
        <w:t xml:space="preserve"> </w:t>
      </w:r>
      <w:hyperlink w:anchor="tbl-grand-cite-2010">
        <w:r>
          <w:rPr>
            <w:rStyle w:val="Hyperlink"/>
          </w:rPr>
          <w:t xml:space="preserve">Table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5" w:name="tbl-grand-cite-2010"/>
          <w:p>
            <w:pPr>
              <w:jc w:val="center"/>
            </w:pPr>
            <w:pPr>
              <w:jc w:val="start"/>
              <w:spacing w:before="200"/>
              <w:pStyle w:val="ImageCaption"/>
            </w:pPr>
            <w:r>
              <w:t xml:space="preserve">Table 6: The 10 articles from the 1990s and 2000s with the most grand-citations through 2010.</w:t>
            </w:r>
          </w:p>
          <w:tbl>
            <w:tblPr>
              <w:tblStyle w:val="Table"/>
              <w:tblW w:type="pct" w:w="5000"/>
              <w:tblLayout w:type="fixed"/>
              <w:tblLook w:firstRow="1" w:lastRow="0" w:firstColumn="0" w:lastColumn="0" w:noHBand="0" w:noVBand="0" w:val="0020"/>
            </w:tblPr>
            <w:tblGrid>
              <w:gridCol w:w="275"/>
              <w:gridCol w:w="6215"/>
              <w:gridCol w:w="550"/>
              <w:gridCol w:w="88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David Lewis</w:t>
                  </w:r>
                  <w:r>
                    <w:t xml:space="preserve"> </w:t>
                  </w:r>
                  <w:r>
                    <w:t xml:space="preserve">(1996)</w:t>
                  </w:r>
                  <w:r>
                    <w:t xml:space="preserve"> </w:t>
                  </w:r>
                  <w:r>
                    <w:t xml:space="preserve">“Elusive Knowledge”</w:t>
                  </w:r>
                </w:p>
              </w:tc>
              <w:tc>
                <w:tcPr/>
                <w:p>
                  <w:pPr>
                    <w:pStyle w:val="Compact"/>
                    <w:jc w:val="right"/>
                    <w:jc w:val="center"/>
                  </w:pPr>
                  <w:r>
                    <w:t xml:space="preserve">182</w:t>
                  </w:r>
                </w:p>
              </w:tc>
              <w:tc>
                <w:tcPr/>
                <w:p>
                  <w:pPr>
                    <w:pStyle w:val="Compact"/>
                    <w:jc w:val="right"/>
                    <w:jc w:val="center"/>
                  </w:pPr>
                  <w:r>
                    <w:t xml:space="preserve">665</w:t>
                  </w:r>
                </w:p>
              </w:tc>
            </w:tr>
            <w:tr>
              <w:tc>
                <w:tcPr/>
                <w:p>
                  <w:pPr>
                    <w:pStyle w:val="Compact"/>
                    <w:jc w:val="right"/>
                    <w:jc w:val="center"/>
                  </w:pPr>
                  <w:r>
                    <w:t xml:space="preserve">2</w:t>
                  </w:r>
                </w:p>
              </w:tc>
              <w:tc>
                <w:tcPr/>
                <w:p>
                  <w:pPr>
                    <w:pStyle w:val="Compact"/>
                    <w:jc w:val="left"/>
                    <w:jc w:val="center"/>
                  </w:pPr>
                  <w:r>
                    <w:t xml:space="preserve">Keith DeRose</w:t>
                  </w:r>
                  <w:r>
                    <w:t xml:space="preserve"> </w:t>
                  </w:r>
                  <w:r>
                    <w:t xml:space="preserve">(1995)</w:t>
                  </w:r>
                  <w:r>
                    <w:t xml:space="preserve"> </w:t>
                  </w:r>
                  <w:r>
                    <w:t xml:space="preserve">“Solving the Skeptical Problem”</w:t>
                  </w:r>
                </w:p>
              </w:tc>
              <w:tc>
                <w:tcPr/>
                <w:p>
                  <w:pPr>
                    <w:pStyle w:val="Compact"/>
                    <w:jc w:val="right"/>
                    <w:jc w:val="center"/>
                  </w:pPr>
                  <w:r>
                    <w:t xml:space="preserve">145</w:t>
                  </w:r>
                </w:p>
              </w:tc>
              <w:tc>
                <w:tcPr/>
                <w:p>
                  <w:pPr>
                    <w:pStyle w:val="Compact"/>
                    <w:jc w:val="right"/>
                    <w:jc w:val="center"/>
                  </w:pPr>
                  <w:r>
                    <w:t xml:space="preserve">604</w:t>
                  </w:r>
                </w:p>
              </w:tc>
            </w:tr>
            <w:tr>
              <w:tc>
                <w:tcPr/>
                <w:p>
                  <w:pPr>
                    <w:pStyle w:val="Compact"/>
                    <w:jc w:val="right"/>
                    <w:jc w:val="center"/>
                  </w:pPr>
                  <w:r>
                    <w:t xml:space="preserve">3</w:t>
                  </w:r>
                </w:p>
              </w:tc>
              <w:tc>
                <w:tcPr/>
                <w:p>
                  <w:pPr>
                    <w:pStyle w:val="Compact"/>
                    <w:jc w:val="left"/>
                    <w:jc w:val="center"/>
                  </w:pPr>
                  <w:r>
                    <w:t xml:space="preserve">Stephen Yablo</w:t>
                  </w:r>
                  <w:r>
                    <w:t xml:space="preserve"> </w:t>
                  </w:r>
                  <w:r>
                    <w:t xml:space="preserve">(1992)</w:t>
                  </w:r>
                  <w:r>
                    <w:t xml:space="preserve"> </w:t>
                  </w:r>
                  <w:r>
                    <w:t xml:space="preserve">“Mental Causation”</w:t>
                  </w:r>
                </w:p>
              </w:tc>
              <w:tc>
                <w:tcPr/>
                <w:p>
                  <w:pPr>
                    <w:pStyle w:val="Compact"/>
                    <w:jc w:val="right"/>
                    <w:jc w:val="center"/>
                  </w:pPr>
                  <w:r>
                    <w:t xml:space="preserve">126</w:t>
                  </w:r>
                </w:p>
              </w:tc>
              <w:tc>
                <w:tcPr/>
                <w:p>
                  <w:pPr>
                    <w:pStyle w:val="Compact"/>
                    <w:jc w:val="right"/>
                    <w:jc w:val="center"/>
                  </w:pPr>
                  <w:r>
                    <w:t xml:space="preserve">576</w:t>
                  </w:r>
                </w:p>
              </w:tc>
            </w:tr>
            <w:tr>
              <w:tc>
                <w:tcPr/>
                <w:p>
                  <w:pPr>
                    <w:pStyle w:val="Compact"/>
                    <w:jc w:val="right"/>
                    <w:jc w:val="center"/>
                  </w:pPr>
                  <w:r>
                    <w:t xml:space="preserve">4</w:t>
                  </w:r>
                </w:p>
              </w:tc>
              <w:tc>
                <w:tcPr/>
                <w:p>
                  <w:pPr>
                    <w:pStyle w:val="Compact"/>
                    <w:jc w:val="left"/>
                    <w:jc w:val="center"/>
                  </w:pPr>
                  <w:r>
                    <w:t xml:space="preserve">Keith DeRose</w:t>
                  </w:r>
                  <w:r>
                    <w:t xml:space="preserve"> </w:t>
                  </w:r>
                  <w:r>
                    <w:t xml:space="preserve">(1991)</w:t>
                  </w:r>
                  <w:r>
                    <w:t xml:space="preserve"> </w:t>
                  </w:r>
                  <w:r>
                    <w:t xml:space="preserve">“Epistemic Possibilities”</w:t>
                  </w:r>
                </w:p>
              </w:tc>
              <w:tc>
                <w:tcPr/>
                <w:p>
                  <w:pPr>
                    <w:pStyle w:val="Compact"/>
                    <w:jc w:val="right"/>
                    <w:jc w:val="center"/>
                  </w:pPr>
                  <w:r>
                    <w:t xml:space="preserve">40</w:t>
                  </w:r>
                </w:p>
              </w:tc>
              <w:tc>
                <w:tcPr/>
                <w:p>
                  <w:pPr>
                    <w:pStyle w:val="Compact"/>
                    <w:jc w:val="right"/>
                    <w:jc w:val="center"/>
                  </w:pPr>
                  <w:r>
                    <w:t xml:space="preserve">519</w:t>
                  </w:r>
                </w:p>
              </w:tc>
            </w:tr>
            <w:tr>
              <w:tc>
                <w:tcPr/>
                <w:p>
                  <w:pPr>
                    <w:pStyle w:val="Compact"/>
                    <w:jc w:val="right"/>
                    <w:jc w:val="center"/>
                  </w:pPr>
                  <w:r>
                    <w:t xml:space="preserve">5</w:t>
                  </w:r>
                </w:p>
              </w:tc>
              <w:tc>
                <w:tcPr/>
                <w:p>
                  <w:pPr>
                    <w:pStyle w:val="Compact"/>
                    <w:jc w:val="left"/>
                    <w:jc w:val="center"/>
                  </w:pPr>
                  <w:r>
                    <w:t xml:space="preserve">Tyler Burge</w:t>
                  </w:r>
                  <w:r>
                    <w:t xml:space="preserve"> </w:t>
                  </w:r>
                  <w:r>
                    <w:t xml:space="preserve">(1993)</w:t>
                  </w:r>
                  <w:r>
                    <w:t xml:space="preserve"> </w:t>
                  </w:r>
                  <w:r>
                    <w:t xml:space="preserve">“Content Preservation”</w:t>
                  </w:r>
                </w:p>
              </w:tc>
              <w:tc>
                <w:tcPr/>
                <w:p>
                  <w:pPr>
                    <w:pStyle w:val="Compact"/>
                    <w:jc w:val="right"/>
                    <w:jc w:val="center"/>
                  </w:pPr>
                  <w:r>
                    <w:t xml:space="preserve">136</w:t>
                  </w:r>
                </w:p>
              </w:tc>
              <w:tc>
                <w:tcPr/>
                <w:p>
                  <w:pPr>
                    <w:pStyle w:val="Compact"/>
                    <w:jc w:val="right"/>
                    <w:jc w:val="center"/>
                  </w:pPr>
                  <w:r>
                    <w:t xml:space="preserve">502</w:t>
                  </w:r>
                </w:p>
              </w:tc>
            </w:tr>
            <w:tr>
              <w:tc>
                <w:tcPr/>
                <w:p>
                  <w:pPr>
                    <w:pStyle w:val="Compact"/>
                    <w:jc w:val="right"/>
                    <w:jc w:val="center"/>
                  </w:pPr>
                  <w:r>
                    <w:t xml:space="preserve">6</w:t>
                  </w:r>
                </w:p>
              </w:tc>
              <w:tc>
                <w:tcPr/>
                <w:p>
                  <w:pPr>
                    <w:pStyle w:val="Compact"/>
                    <w:jc w:val="left"/>
                    <w:jc w:val="center"/>
                  </w:pPr>
                  <w:r>
                    <w:t xml:space="preserve">Karen Neander</w:t>
                  </w:r>
                  <w:r>
                    <w:t xml:space="preserve"> </w:t>
                  </w:r>
                  <w:r>
                    <w:t xml:space="preserve">(1991)</w:t>
                  </w:r>
                  <w:r>
                    <w:t xml:space="preserve"> </w:t>
                  </w:r>
                  <w:r>
                    <w:t xml:space="preserve">“Functions as Selected Effects: The Conceptual Analyst’s Defense”</w:t>
                  </w:r>
                </w:p>
              </w:tc>
              <w:tc>
                <w:tcPr/>
                <w:p>
                  <w:pPr>
                    <w:pStyle w:val="Compact"/>
                    <w:jc w:val="right"/>
                    <w:jc w:val="center"/>
                  </w:pPr>
                  <w:r>
                    <w:t xml:space="preserve">89</w:t>
                  </w:r>
                </w:p>
              </w:tc>
              <w:tc>
                <w:tcPr/>
                <w:p>
                  <w:pPr>
                    <w:pStyle w:val="Compact"/>
                    <w:jc w:val="right"/>
                    <w:jc w:val="center"/>
                  </w:pPr>
                  <w:r>
                    <w:t xml:space="preserve">480</w:t>
                  </w:r>
                </w:p>
              </w:tc>
            </w:tr>
            <w:tr>
              <w:tc>
                <w:tcPr/>
                <w:p>
                  <w:pPr>
                    <w:pStyle w:val="Compact"/>
                    <w:jc w:val="right"/>
                    <w:jc w:val="center"/>
                  </w:pPr>
                  <w:r>
                    <w:t xml:space="preserve">7</w:t>
                  </w:r>
                </w:p>
              </w:tc>
              <w:tc>
                <w:tcPr/>
                <w:p>
                  <w:pPr>
                    <w:pStyle w:val="Compact"/>
                    <w:jc w:val="left"/>
                    <w:jc w:val="center"/>
                  </w:pPr>
                  <w:r>
                    <w:t xml:space="preserve">Keith DeRose</w:t>
                  </w:r>
                  <w:r>
                    <w:t xml:space="preserve"> </w:t>
                  </w:r>
                  <w:r>
                    <w:t xml:space="preserve">(1992)</w:t>
                  </w:r>
                  <w:r>
                    <w:t xml:space="preserve"> </w:t>
                  </w:r>
                  <w:r>
                    <w:t xml:space="preserve">“Contextualism and Knowledge Attributions”</w:t>
                  </w:r>
                </w:p>
              </w:tc>
              <w:tc>
                <w:tcPr/>
                <w:p>
                  <w:pPr>
                    <w:pStyle w:val="Compact"/>
                    <w:jc w:val="right"/>
                    <w:jc w:val="center"/>
                  </w:pPr>
                  <w:r>
                    <w:t xml:space="preserve">79</w:t>
                  </w:r>
                </w:p>
              </w:tc>
              <w:tc>
                <w:tcPr/>
                <w:p>
                  <w:pPr>
                    <w:pStyle w:val="Compact"/>
                    <w:jc w:val="right"/>
                    <w:jc w:val="center"/>
                  </w:pPr>
                  <w:r>
                    <w:t xml:space="preserve">430</w:t>
                  </w:r>
                </w:p>
              </w:tc>
            </w:tr>
            <w:tr>
              <w:tc>
                <w:tcPr/>
                <w:p>
                  <w:pPr>
                    <w:pStyle w:val="Compact"/>
                    <w:jc w:val="right"/>
                    <w:jc w:val="center"/>
                  </w:pPr>
                  <w:r>
                    <w:t xml:space="preserve">8</w:t>
                  </w:r>
                </w:p>
              </w:tc>
              <w:tc>
                <w:tcPr/>
                <w:p>
                  <w:pPr>
                    <w:pStyle w:val="Compact"/>
                    <w:jc w:val="left"/>
                    <w:jc w:val="center"/>
                  </w:pPr>
                  <w:r>
                    <w:t xml:space="preserve">Mark Johnston</w:t>
                  </w:r>
                  <w:r>
                    <w:t xml:space="preserve"> </w:t>
                  </w:r>
                  <w:r>
                    <w:t xml:space="preserve">(1992)</w:t>
                  </w:r>
                  <w:r>
                    <w:t xml:space="preserve"> </w:t>
                  </w:r>
                  <w:r>
                    <w:t xml:space="preserve">“How To Speak of the Colors”</w:t>
                  </w:r>
                </w:p>
              </w:tc>
              <w:tc>
                <w:tcPr/>
                <w:p>
                  <w:pPr>
                    <w:pStyle w:val="Compact"/>
                    <w:jc w:val="right"/>
                    <w:jc w:val="center"/>
                  </w:pPr>
                  <w:r>
                    <w:t xml:space="preserve">94</w:t>
                  </w:r>
                </w:p>
              </w:tc>
              <w:tc>
                <w:tcPr/>
                <w:p>
                  <w:pPr>
                    <w:pStyle w:val="Compact"/>
                    <w:jc w:val="right"/>
                    <w:jc w:val="center"/>
                  </w:pPr>
                  <w:r>
                    <w:t xml:space="preserve">423</w:t>
                  </w:r>
                </w:p>
              </w:tc>
            </w:tr>
            <w:tr>
              <w:tc>
                <w:tcPr/>
                <w:p>
                  <w:pPr>
                    <w:pStyle w:val="Compact"/>
                    <w:jc w:val="right"/>
                    <w:jc w:val="center"/>
                  </w:pPr>
                  <w:r>
                    <w:t xml:space="preserve">9</w:t>
                  </w:r>
                </w:p>
              </w:tc>
              <w:tc>
                <w:tcPr/>
                <w:p>
                  <w:pPr>
                    <w:pStyle w:val="Compact"/>
                    <w:jc w:val="left"/>
                    <w:jc w:val="center"/>
                  </w:pPr>
                  <w:r>
                    <w:t xml:space="preserve">C. B. Martin</w:t>
                  </w:r>
                  <w:r>
                    <w:t xml:space="preserve"> </w:t>
                  </w:r>
                  <w:r>
                    <w:t xml:space="preserve">(1994)</w:t>
                  </w:r>
                  <w:r>
                    <w:t xml:space="preserve"> </w:t>
                  </w:r>
                  <w:r>
                    <w:t xml:space="preserve">“Dispositions and Conditionals”</w:t>
                  </w:r>
                </w:p>
              </w:tc>
              <w:tc>
                <w:tcPr/>
                <w:p>
                  <w:pPr>
                    <w:pStyle w:val="Compact"/>
                    <w:jc w:val="right"/>
                    <w:jc w:val="center"/>
                  </w:pPr>
                  <w:r>
                    <w:t xml:space="preserve">82</w:t>
                  </w:r>
                </w:p>
              </w:tc>
              <w:tc>
                <w:tcPr/>
                <w:p>
                  <w:pPr>
                    <w:pStyle w:val="Compact"/>
                    <w:jc w:val="right"/>
                    <w:jc w:val="center"/>
                  </w:pPr>
                  <w:r>
                    <w:t xml:space="preserve">402</w:t>
                  </w:r>
                </w:p>
              </w:tc>
            </w:tr>
            <w:tr>
              <w:tc>
                <w:tcPr/>
                <w:p>
                  <w:pPr>
                    <w:pStyle w:val="Compact"/>
                    <w:jc w:val="right"/>
                    <w:jc w:val="center"/>
                  </w:pPr>
                  <w:r>
                    <w:t xml:space="preserve">10</w:t>
                  </w:r>
                </w:p>
              </w:tc>
              <w:tc>
                <w:tcPr/>
                <w:p>
                  <w:pPr>
                    <w:pStyle w:val="Compact"/>
                    <w:jc w:val="left"/>
                    <w:jc w:val="center"/>
                  </w:pPr>
                  <w:r>
                    <w:t xml:space="preserve">Michael B. Burke</w:t>
                  </w:r>
                  <w:r>
                    <w:t xml:space="preserve"> </w:t>
                  </w:r>
                  <w:r>
                    <w:t xml:space="preserve">(1992)</w:t>
                  </w:r>
                  <w:r>
                    <w:t xml:space="preserve"> </w:t>
                  </w:r>
                  <w:r>
                    <w:t xml:space="preserve">“Copper Statues and Pieces of Copper: A Challenge To the Standard Account”</w:t>
                  </w:r>
                </w:p>
              </w:tc>
              <w:tc>
                <w:tcPr/>
                <w:p>
                  <w:pPr>
                    <w:pStyle w:val="Compact"/>
                    <w:jc w:val="right"/>
                    <w:jc w:val="center"/>
                  </w:pPr>
                  <w:r>
                    <w:t xml:space="preserve">45</w:t>
                  </w:r>
                </w:p>
              </w:tc>
              <w:tc>
                <w:tcPr/>
                <w:p>
                  <w:pPr>
                    <w:pStyle w:val="Compact"/>
                    <w:jc w:val="right"/>
                    <w:jc w:val="center"/>
                  </w:pPr>
                  <w:r>
                    <w:t xml:space="preserve">395</w:t>
                  </w:r>
                </w:p>
              </w:tc>
            </w:tr>
          </w:tbl>
          <w:bookmarkEnd w:id="165"/>
          <w:p/>
        </w:tc>
      </w:tr>
    </w:tbl>
    <w:p>
      <w:pPr>
        <w:pStyle w:val="BodyText"/>
      </w:pPr>
      <w:r>
        <w:t xml:space="preserve">Even more than with the</w:t>
      </w:r>
      <w:r>
        <w:t xml:space="preserve"> </w:t>
      </w:r>
      <w:hyperlink w:anchor="tbl-grand-cite-2000">
        <w:r>
          <w:rPr>
            <w:rStyle w:val="Hyperlink"/>
          </w:rPr>
          <w:t xml:space="preserve">Table 5</w:t>
        </w:r>
      </w:hyperlink>
      <w:r>
        <w:t xml:space="preserve">, one complication with</w:t>
      </w:r>
      <w:r>
        <w:t xml:space="preserve"> </w:t>
      </w:r>
      <w:hyperlink w:anchor="tbl-grand-cite-2010">
        <w:r>
          <w:rPr>
            <w:rStyle w:val="Hyperlink"/>
          </w:rPr>
          <w:t xml:space="preserve">Table 6</w:t>
        </w:r>
      </w:hyperlink>
      <w:r>
        <w:t xml:space="preserve"> </w:t>
      </w:r>
      <w:r>
        <w:t xml:space="preserve">is that I’m using a counting statistic, so it is biased in favor of older papers with more time to accrue citations. That said, the top takeaway is fairly clear. The biggest single topic over this time was contextualism in epistemology, with the big papers by</w:t>
      </w:r>
      <w:r>
        <w:t xml:space="preserve"> </w:t>
      </w:r>
      <w:r>
        <w:t xml:space="preserve">Lewis (1996)</w:t>
      </w:r>
      <w:r>
        <w:t xml:space="preserve"> </w:t>
      </w:r>
      <w:r>
        <w:t xml:space="preserve">and</w:t>
      </w:r>
      <w:r>
        <w:t xml:space="preserve"> </w:t>
      </w:r>
      <w:r>
        <w:t xml:space="preserve">DeRose (1995)</w:t>
      </w:r>
      <w:r>
        <w:t xml:space="preserve"> </w:t>
      </w:r>
      <w:r>
        <w:t xml:space="preserve">at the center of things. What I want to focus particularly on, though, is another DeRose paper on that list:</w:t>
      </w:r>
      <w:r>
        <w:t xml:space="preserve"> </w:t>
      </w:r>
      <w:r>
        <w:t xml:space="preserve">“Epistemic Possibilities”</w:t>
      </w:r>
      <w:r>
        <w:t xml:space="preserve">. It has fewer cites than any other paper there, but the fourth most grand-cites. The way this came about is revealing of changes in the discipline, and particularly in citation practices.</w:t>
      </w:r>
    </w:p>
    <w:p>
      <w:pPr>
        <w:pStyle w:val="BodyText"/>
      </w:pPr>
      <w:r>
        <w:t xml:space="preserve">DeRose’s paper is an important early contribution to debates about epistemic modals that became very active in the 2000s. This activity was partially due to the intrinsic interest of the subject. But it was also due to the way that epistemic modals sit at the intersection of three enormous debates that were going on at the time. One was epistemic contextualism, which you can see the impact of in</w:t>
      </w:r>
      <w:r>
        <w:t xml:space="preserve"> </w:t>
      </w:r>
      <w:hyperlink w:anchor="tbl-grand-cite-2010">
        <w:r>
          <w:rPr>
            <w:rStyle w:val="Hyperlink"/>
          </w:rPr>
          <w:t xml:space="preserve">Table 6</w:t>
        </w:r>
      </w:hyperlink>
      <w:r>
        <w:t xml:space="preserve">. The second was about the nature of context-sensitivity in language, with work by</w:t>
      </w:r>
      <w:r>
        <w:t xml:space="preserve"> </w:t>
      </w:r>
      <w:r>
        <w:t xml:space="preserve">Stanley and Szabó (2000)</w:t>
      </w:r>
      <w:r>
        <w:t xml:space="preserve"> </w:t>
      </w:r>
      <w:r>
        <w:t xml:space="preserve">at the center of it.</w:t>
      </w:r>
      <w:r>
        <w:rPr>
          <w:rStyle w:val="FootnoteReference"/>
        </w:rPr>
        <w:footnoteReference w:id="166"/>
      </w:r>
      <w:r>
        <w:t xml:space="preserve"> </w:t>
      </w:r>
      <w:r>
        <w:t xml:space="preserve">And the third was about the possibility of a modern form of relativism, with the central figure here being John</w:t>
      </w:r>
      <w:r>
        <w:t xml:space="preserve"> </w:t>
      </w:r>
      <w:r>
        <w:t xml:space="preserve">MacFarlane (2014)</w:t>
      </w:r>
      <w:r>
        <w:t xml:space="preserve">. Papers on epistemic modals were influenced by, and in turn influenced, all three of these debates.</w:t>
      </w:r>
      <w:r>
        <w:rPr>
          <w:rStyle w:val="FootnoteReference"/>
        </w:rPr>
        <w:footnoteReference w:id="167"/>
      </w:r>
    </w:p>
    <w:p>
      <w:pPr>
        <w:pStyle w:val="BodyText"/>
      </w:pPr>
      <w:r>
        <w:t xml:space="preserve">These debates had an impact on how citations worked in philosophy in a few ways. One was in virtue of the fact that they were largely new topics, there wasn’t an established canon that writers could assume familiarity with. So they needed to cite more papers to establish the debate. It wasn’t necessary to cite</w:t>
      </w:r>
      <w:r>
        <w:t xml:space="preserve"> </w:t>
      </w:r>
      <w:r>
        <w:t xml:space="preserve">Putnam (1973)</w:t>
      </w:r>
      <w:r>
        <w:t xml:space="preserve"> </w:t>
      </w:r>
      <w:r>
        <w:t xml:space="preserve">or</w:t>
      </w:r>
      <w:r>
        <w:t xml:space="preserve"> </w:t>
      </w:r>
      <w:r>
        <w:t xml:space="preserve">Kripke ([1972] 1980)</w:t>
      </w:r>
      <w:r>
        <w:t xml:space="preserve"> </w:t>
      </w:r>
      <w:r>
        <w:t xml:space="preserve">every time you wanted to distinguish necessity from a priority; the reader in the 1990s could be assumed to know where the distinction came from. But the reader in the 2000s could not be assumed to know about work by Fred</w:t>
      </w:r>
      <w:r>
        <w:t xml:space="preserve"> </w:t>
      </w:r>
      <w:r>
        <w:t xml:space="preserve">Dretske (1970)</w:t>
      </w:r>
      <w:r>
        <w:t xml:space="preserve">, G. C.</w:t>
      </w:r>
      <w:r>
        <w:t xml:space="preserve"> </w:t>
      </w:r>
      <w:r>
        <w:t xml:space="preserve">Stine (1976)</w:t>
      </w:r>
      <w:r>
        <w:t xml:space="preserve">, or Stewart</w:t>
      </w:r>
      <w:r>
        <w:t xml:space="preserve"> </w:t>
      </w:r>
      <w:r>
        <w:t xml:space="preserve">Cohen (1987)</w:t>
      </w:r>
      <w:r>
        <w:t xml:space="preserve">.</w:t>
      </w:r>
    </w:p>
    <w:p>
      <w:pPr>
        <w:pStyle w:val="BodyText"/>
      </w:pPr>
      <w:r>
        <w:t xml:space="preserve">Perhaps more significant was that these debates, especially the second and third, were much more interdisciplinary than debates about modality had been. Many of the writers were primarily in linguistics, not philosophy, and the philosophers were reading more linguistics than ever before. The citation norms in linguistics, like in most other social sciences, required more citations than the norms in philosophy did. They didn’t require more citation than the philosophy norms in the 2020s, but much more than philosophy in the 1990s. So these debates, which became important across a range of journals from the mid 2000s onwards, tended to have many more citations than before.</w:t>
      </w:r>
    </w:p>
    <w:p>
      <w:pPr>
        <w:pStyle w:val="BodyText"/>
      </w:pPr>
      <w:r>
        <w:t xml:space="preserve">To back up the claims in the last two paragraphs I need one more statistic. (The last one I’ll introduce in this essay!) This is a way of adjusting for age, period, and cohort effects all at once.</w:t>
      </w:r>
      <w:r>
        <w:rPr>
          <w:rStyle w:val="FootnoteReference"/>
        </w:rPr>
        <w:footnoteReference w:id="168"/>
      </w:r>
      <w:r>
        <w:t xml:space="preserve"> </w:t>
      </w:r>
      <w:r>
        <w:t xml:space="preserve">For an article</w:t>
      </w:r>
      <w:r>
        <w:t xml:space="preserve"> </w:t>
      </w:r>
      <w:r>
        <w:rPr>
          <w:i/>
          <w:iCs/>
        </w:rPr>
        <w:t xml:space="preserve">a</w:t>
      </w:r>
      <w:r>
        <w:t xml:space="preserve"> </w:t>
      </w:r>
      <w:r>
        <w:t xml:space="preserve">published in year</w:t>
      </w:r>
      <w:r>
        <w:t xml:space="preserve"> </w:t>
      </w:r>
      <w:r>
        <w:rPr>
          <w:i/>
          <w:iCs/>
        </w:rPr>
        <w:t xml:space="preserve">y</w:t>
      </w:r>
      <w:r>
        <w:t xml:space="preserve">, say that the</w:t>
      </w:r>
      <w:r>
        <w:t xml:space="preserve"> </w:t>
      </w:r>
      <w:r>
        <w:rPr>
          <w:b/>
          <w:bCs/>
        </w:rPr>
        <w:t xml:space="preserve">weight</w:t>
      </w:r>
      <w:r>
        <w:t xml:space="preserve"> </w:t>
      </w:r>
      <w:r>
        <w:t xml:space="preserve">of its citations in year</w:t>
      </w:r>
      <w:r>
        <w:t xml:space="preserve"> </w:t>
      </w:r>
      <w:r>
        <w:rPr>
          <w:i/>
          <w:iCs/>
        </w:rPr>
        <w:t xml:space="preserve">z</w:t>
      </w:r>
      <w:r>
        <w:t xml:space="preserve"> </w:t>
      </w:r>
      <w:r>
        <w:t xml:space="preserve">is the number of times it is cited in</w:t>
      </w:r>
      <w:r>
        <w:t xml:space="preserve"> </w:t>
      </w:r>
      <w:r>
        <w:rPr>
          <w:i/>
          <w:iCs/>
        </w:rPr>
        <w:t xml:space="preserve">z</w:t>
      </w:r>
      <w:r>
        <w:t xml:space="preserve">, divided by the average number of citations that articles in year</w:t>
      </w:r>
      <w:r>
        <w:t xml:space="preserve"> </w:t>
      </w:r>
      <w:r>
        <w:rPr>
          <w:i/>
          <w:iCs/>
        </w:rPr>
        <w:t xml:space="preserve">y</w:t>
      </w:r>
      <w:r>
        <w:t xml:space="preserve"> </w:t>
      </w:r>
      <w:r>
        <w:t xml:space="preserve">get in</w:t>
      </w:r>
      <w:r>
        <w:t xml:space="preserve"> </w:t>
      </w:r>
      <w:r>
        <w:rPr>
          <w:i/>
          <w:iCs/>
        </w:rPr>
        <w:t xml:space="preserve">z</w:t>
      </w:r>
      <w:r>
        <w:t xml:space="preserve">. So it’s just the measure of how often the article is cited, compared to how often you’d expect it to be cited knowing just the publication year and citation year. We’ll be interested in three statistics. The</w:t>
      </w:r>
      <w:r>
        <w:t xml:space="preserve"> </w:t>
      </w:r>
      <w:r>
        <w:rPr>
          <w:b/>
          <w:bCs/>
        </w:rPr>
        <w:t xml:space="preserve">overall weight</w:t>
      </w:r>
      <w:r>
        <w:t xml:space="preserve"> </w:t>
      </w:r>
      <w:r>
        <w:t xml:space="preserve">of an article is the average of its weight over each year between the year after its publication and 2021. The</w:t>
      </w:r>
      <w:r>
        <w:t xml:space="preserve"> </w:t>
      </w:r>
      <w:r>
        <w:rPr>
          <w:b/>
          <w:bCs/>
        </w:rPr>
        <w:t xml:space="preserve">short-term weight</w:t>
      </w:r>
      <w:r>
        <w:t xml:space="preserve"> </w:t>
      </w:r>
      <w:r>
        <w:t xml:space="preserve">is the average of its weight over the seven years after it was published. And the</w:t>
      </w:r>
      <w:r>
        <w:t xml:space="preserve"> </w:t>
      </w:r>
      <w:r>
        <w:rPr>
          <w:b/>
          <w:bCs/>
        </w:rPr>
        <w:t xml:space="preserve">long-term weight</w:t>
      </w:r>
      <w:r>
        <w:t xml:space="preserve"> </w:t>
      </w:r>
      <w:r>
        <w:t xml:space="preserve">is the average of its weight from eight years after publication to 2021. For individual articles, this measure is too noisy to be particularly meaningful. If we take the averages of all articles published in a year, the average weight at any time is, by definition, 1. So that’s not much help either. But for medium sized classes of articles, the average weights can be interesting. In particular, looking at the average weights of articles which cite some particular prominent article are interesting.</w:t>
      </w:r>
    </w:p>
    <w:p>
      <w:pPr>
        <w:pStyle w:val="BodyText"/>
      </w:pPr>
      <w:r>
        <w:t xml:space="preserve">This is a variant on grand-citations, and like grand-citations, it takes some time to</w:t>
      </w:r>
    </w:p>
    <w:tbl>
      <w:tblPr>
        <w:tblStyle w:val="Table"/>
        <w:tblW w:type="pct" w:w="5000"/>
        <w:tblLayout w:type="fixed"/>
        <w:tblLook w:firstRow="0" w:lastRow="0" w:firstColumn="0" w:lastColumn="0" w:noHBand="0" w:noVBand="0" w:val="0000"/>
      </w:tblPr>
      <w:tblGrid>
        <w:gridCol w:w="7920"/>
      </w:tblGrid>
      <w:tr>
        <w:tc>
          <w:tcPr/>
          <w:bookmarkStart w:id="169" w:name="tbl-grand-cite-2020"/>
          <w:p>
            <w:pPr>
              <w:jc w:val="center"/>
            </w:pPr>
            <w:pPr>
              <w:jc w:val="start"/>
              <w:spacing w:before="200"/>
              <w:pStyle w:val="ImageCaption"/>
            </w:pPr>
            <w:r>
              <w:t xml:space="preserve">Table 7: The 10 articles from the 1990s and 2000s with the most grand-citations through 2020.</w:t>
            </w:r>
          </w:p>
          <w:tbl>
            <w:tblPr>
              <w:tblStyle w:val="Table"/>
              <w:tblW w:type="pct" w:w="5000"/>
              <w:tblLayout w:type="fixed"/>
              <w:tblLook w:firstRow="1" w:lastRow="0" w:firstColumn="0" w:lastColumn="0" w:noHBand="0" w:noVBand="0" w:val="0020"/>
            </w:tblPr>
            <w:tblGrid>
              <w:gridCol w:w="302"/>
              <w:gridCol w:w="6045"/>
              <w:gridCol w:w="604"/>
              <w:gridCol w:w="96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Grand-Citations</w:t>
                  </w:r>
                </w:p>
              </w:tc>
            </w:tr>
            <w:tr>
              <w:tc>
                <w:tcPr/>
                <w:p>
                  <w:pPr>
                    <w:pStyle w:val="Compact"/>
                    <w:jc w:val="right"/>
                    <w:jc w:val="center"/>
                  </w:pPr>
                  <w:r>
                    <w:t xml:space="preserve">1</w:t>
                  </w:r>
                </w:p>
              </w:tc>
              <w:tc>
                <w:tcPr/>
                <w:p>
                  <w:pPr>
                    <w:pStyle w:val="Compact"/>
                    <w:jc w:val="left"/>
                    <w:jc w:val="center"/>
                  </w:pPr>
                  <w:r>
                    <w:t xml:space="preserve">Peter Machamer, Lindley Darden, and Carl F. Craver</w:t>
                  </w:r>
                  <w:r>
                    <w:t xml:space="preserve"> </w:t>
                  </w:r>
                  <w:r>
                    <w:t xml:space="preserve">(2000)</w:t>
                  </w:r>
                  <w:r>
                    <w:t xml:space="preserve"> </w:t>
                  </w:r>
                  <w:r>
                    <w:t xml:space="preserve">“Thinking About Mechanisms”</w:t>
                  </w:r>
                </w:p>
              </w:tc>
              <w:tc>
                <w:tcPr/>
                <w:p>
                  <w:pPr>
                    <w:pStyle w:val="Compact"/>
                    <w:jc w:val="right"/>
                    <w:jc w:val="center"/>
                  </w:pPr>
                  <w:r>
                    <w:t xml:space="preserve">402</w:t>
                  </w:r>
                </w:p>
              </w:tc>
              <w:tc>
                <w:tcPr/>
                <w:p>
                  <w:pPr>
                    <w:pStyle w:val="Compact"/>
                    <w:jc w:val="right"/>
                    <w:jc w:val="center"/>
                  </w:pPr>
                  <w:r>
                    <w:t xml:space="preserve">2840</w:t>
                  </w:r>
                </w:p>
              </w:tc>
            </w:tr>
            <w:tr>
              <w:tc>
                <w:tcPr/>
                <w:p>
                  <w:pPr>
                    <w:pStyle w:val="Compact"/>
                    <w:jc w:val="right"/>
                    <w:jc w:val="center"/>
                  </w:pPr>
                  <w:r>
                    <w:t xml:space="preserve">2</w:t>
                  </w:r>
                </w:p>
              </w:tc>
              <w:tc>
                <w:tcPr/>
                <w:p>
                  <w:pPr>
                    <w:pStyle w:val="Compact"/>
                    <w:jc w:val="left"/>
                    <w:jc w:val="center"/>
                  </w:pPr>
                  <w:r>
                    <w:t xml:space="preserve">James Pryor</w:t>
                  </w:r>
                  <w:r>
                    <w:t xml:space="preserve"> </w:t>
                  </w:r>
                  <w:r>
                    <w:t xml:space="preserve">(2000)</w:t>
                  </w:r>
                  <w:r>
                    <w:t xml:space="preserve"> </w:t>
                  </w:r>
                  <w:r>
                    <w:t xml:space="preserve">“The Skeptic and the Dogmatist”</w:t>
                  </w:r>
                </w:p>
              </w:tc>
              <w:tc>
                <w:tcPr/>
                <w:p>
                  <w:pPr>
                    <w:pStyle w:val="Compact"/>
                    <w:jc w:val="right"/>
                    <w:jc w:val="center"/>
                  </w:pPr>
                  <w:r>
                    <w:t xml:space="preserve">288</w:t>
                  </w:r>
                </w:p>
              </w:tc>
              <w:tc>
                <w:tcPr/>
                <w:p>
                  <w:pPr>
                    <w:pStyle w:val="Compact"/>
                    <w:jc w:val="right"/>
                    <w:jc w:val="center"/>
                  </w:pPr>
                  <w:r>
                    <w:t xml:space="preserve">1693</w:t>
                  </w:r>
                </w:p>
              </w:tc>
            </w:tr>
            <w:tr>
              <w:tc>
                <w:tcPr/>
                <w:p>
                  <w:pPr>
                    <w:pStyle w:val="Compact"/>
                    <w:jc w:val="right"/>
                    <w:jc w:val="center"/>
                  </w:pPr>
                  <w:r>
                    <w:t xml:space="preserve">3</w:t>
                  </w:r>
                </w:p>
              </w:tc>
              <w:tc>
                <w:tcPr/>
                <w:p>
                  <w:pPr>
                    <w:pStyle w:val="Compact"/>
                    <w:jc w:val="left"/>
                    <w:jc w:val="center"/>
                  </w:pPr>
                  <w:r>
                    <w:t xml:space="preserve">David Lewis</w:t>
                  </w:r>
                  <w:r>
                    <w:t xml:space="preserve"> </w:t>
                  </w:r>
                  <w:r>
                    <w:t xml:space="preserve">(2000)</w:t>
                  </w:r>
                  <w:r>
                    <w:t xml:space="preserve"> </w:t>
                  </w:r>
                  <w:r>
                    <w:t xml:space="preserve">“Causation as Influence”</w:t>
                  </w:r>
                </w:p>
              </w:tc>
              <w:tc>
                <w:tcPr/>
                <w:p>
                  <w:pPr>
                    <w:pStyle w:val="Compact"/>
                    <w:jc w:val="right"/>
                    <w:jc w:val="center"/>
                  </w:pPr>
                  <w:r>
                    <w:t xml:space="preserve">173</w:t>
                  </w:r>
                </w:p>
              </w:tc>
              <w:tc>
                <w:tcPr/>
                <w:p>
                  <w:pPr>
                    <w:pStyle w:val="Compact"/>
                    <w:jc w:val="right"/>
                    <w:jc w:val="center"/>
                  </w:pPr>
                  <w:r>
                    <w:t xml:space="preserve">1655</w:t>
                  </w:r>
                </w:p>
              </w:tc>
            </w:tr>
            <w:tr>
              <w:tc>
                <w:tcPr/>
                <w:p>
                  <w:pPr>
                    <w:pStyle w:val="Compact"/>
                    <w:jc w:val="right"/>
                    <w:jc w:val="center"/>
                  </w:pPr>
                  <w:r>
                    <w:t xml:space="preserve">4</w:t>
                  </w:r>
                </w:p>
              </w:tc>
              <w:tc>
                <w:tcPr/>
                <w:p>
                  <w:pPr>
                    <w:pStyle w:val="Compact"/>
                    <w:jc w:val="left"/>
                    <w:jc w:val="center"/>
                  </w:pPr>
                  <w:r>
                    <w:t xml:space="preserve">Jeremy Fantl and Matthew McGrath</w:t>
                  </w:r>
                  <w:r>
                    <w:t xml:space="preserve"> </w:t>
                  </w:r>
                  <w:r>
                    <w:t xml:space="preserve">(2002)</w:t>
                  </w:r>
                  <w:r>
                    <w:t xml:space="preserve"> </w:t>
                  </w:r>
                  <w:r>
                    <w:t xml:space="preserve">“Evidence, Pragmatics, and Justification”</w:t>
                  </w:r>
                </w:p>
              </w:tc>
              <w:tc>
                <w:tcPr/>
                <w:p>
                  <w:pPr>
                    <w:pStyle w:val="Compact"/>
                    <w:jc w:val="right"/>
                    <w:jc w:val="center"/>
                  </w:pPr>
                  <w:r>
                    <w:t xml:space="preserve">151</w:t>
                  </w:r>
                </w:p>
              </w:tc>
              <w:tc>
                <w:tcPr/>
                <w:p>
                  <w:pPr>
                    <w:pStyle w:val="Compact"/>
                    <w:jc w:val="right"/>
                    <w:jc w:val="center"/>
                  </w:pPr>
                  <w:r>
                    <w:t xml:space="preserve">1608</w:t>
                  </w:r>
                </w:p>
              </w:tc>
            </w:tr>
            <w:tr>
              <w:tc>
                <w:tcPr/>
                <w:p>
                  <w:pPr>
                    <w:pStyle w:val="Compact"/>
                    <w:jc w:val="right"/>
                    <w:jc w:val="center"/>
                  </w:pPr>
                  <w:r>
                    <w:t xml:space="preserve">5</w:t>
                  </w:r>
                </w:p>
              </w:tc>
              <w:tc>
                <w:tcPr/>
                <w:p>
                  <w:pPr>
                    <w:pStyle w:val="Compact"/>
                    <w:jc w:val="left"/>
                    <w:jc w:val="center"/>
                  </w:pPr>
                  <w:r>
                    <w:t xml:space="preserve">Jonathan Schaffer</w:t>
                  </w:r>
                  <w:r>
                    <w:t xml:space="preserve"> </w:t>
                  </w:r>
                  <w:r>
                    <w:t xml:space="preserve">(2010)</w:t>
                  </w:r>
                  <w:r>
                    <w:t xml:space="preserve"> </w:t>
                  </w:r>
                  <w:r>
                    <w:t xml:space="preserve">“Monism: The Priority of the Whole”</w:t>
                  </w:r>
                </w:p>
              </w:tc>
              <w:tc>
                <w:tcPr/>
                <w:p>
                  <w:pPr>
                    <w:pStyle w:val="Compact"/>
                    <w:jc w:val="right"/>
                    <w:jc w:val="center"/>
                  </w:pPr>
                  <w:r>
                    <w:t xml:space="preserve">215</w:t>
                  </w:r>
                </w:p>
              </w:tc>
              <w:tc>
                <w:tcPr/>
                <w:p>
                  <w:pPr>
                    <w:pStyle w:val="Compact"/>
                    <w:jc w:val="right"/>
                    <w:jc w:val="center"/>
                  </w:pPr>
                  <w:r>
                    <w:t xml:space="preserve">1441</w:t>
                  </w:r>
                </w:p>
              </w:tc>
            </w:tr>
            <w:tr>
              <w:tc>
                <w:tcPr/>
                <w:p>
                  <w:pPr>
                    <w:pStyle w:val="Compact"/>
                    <w:jc w:val="right"/>
                    <w:jc w:val="center"/>
                  </w:pPr>
                  <w:r>
                    <w:t xml:space="preserve">6</w:t>
                  </w:r>
                </w:p>
              </w:tc>
              <w:tc>
                <w:tcPr/>
                <w:p>
                  <w:pPr>
                    <w:pStyle w:val="Compact"/>
                    <w:jc w:val="left"/>
                    <w:jc w:val="center"/>
                  </w:pPr>
                  <w:r>
                    <w:t xml:space="preserve">Keith DeRose</w:t>
                  </w:r>
                  <w:r>
                    <w:t xml:space="preserve"> </w:t>
                  </w:r>
                  <w:r>
                    <w:t xml:space="preserve">(2003)</w:t>
                  </w:r>
                  <w:r>
                    <w:t xml:space="preserve"> </w:t>
                  </w:r>
                  <w:r>
                    <w:t xml:space="preserve">“Assertion, Knowledge, and Context”</w:t>
                  </w:r>
                </w:p>
              </w:tc>
              <w:tc>
                <w:tcPr/>
                <w:p>
                  <w:pPr>
                    <w:pStyle w:val="Compact"/>
                    <w:jc w:val="right"/>
                    <w:jc w:val="center"/>
                  </w:pPr>
                  <w:r>
                    <w:t xml:space="preserve">171</w:t>
                  </w:r>
                </w:p>
              </w:tc>
              <w:tc>
                <w:tcPr/>
                <w:p>
                  <w:pPr>
                    <w:pStyle w:val="Compact"/>
                    <w:jc w:val="right"/>
                    <w:jc w:val="center"/>
                  </w:pPr>
                  <w:r>
                    <w:t xml:space="preserve">1439</w:t>
                  </w:r>
                </w:p>
              </w:tc>
            </w:tr>
            <w:tr>
              <w:tc>
                <w:tcPr/>
                <w:p>
                  <w:pPr>
                    <w:pStyle w:val="Compact"/>
                    <w:jc w:val="right"/>
                    <w:jc w:val="center"/>
                  </w:pPr>
                  <w:r>
                    <w:t xml:space="preserve">7</w:t>
                  </w:r>
                </w:p>
              </w:tc>
              <w:tc>
                <w:tcPr/>
                <w:p>
                  <w:pPr>
                    <w:pStyle w:val="Compact"/>
                    <w:jc w:val="left"/>
                    <w:jc w:val="center"/>
                  </w:pPr>
                  <w:r>
                    <w:t xml:space="preserve">Jason Stanley and Timothy Williamson</w:t>
                  </w:r>
                  <w:r>
                    <w:t xml:space="preserve"> </w:t>
                  </w:r>
                  <w:r>
                    <w:t xml:space="preserve">(2001)</w:t>
                  </w:r>
                  <w:r>
                    <w:t xml:space="preserve"> </w:t>
                  </w:r>
                  <w:r>
                    <w:t xml:space="preserve">“Knowing How”</w:t>
                  </w:r>
                </w:p>
              </w:tc>
              <w:tc>
                <w:tcPr/>
                <w:p>
                  <w:pPr>
                    <w:pStyle w:val="Compact"/>
                    <w:jc w:val="right"/>
                    <w:jc w:val="center"/>
                  </w:pPr>
                  <w:r>
                    <w:t xml:space="preserve">208</w:t>
                  </w:r>
                </w:p>
              </w:tc>
              <w:tc>
                <w:tcPr/>
                <w:p>
                  <w:pPr>
                    <w:pStyle w:val="Compact"/>
                    <w:jc w:val="right"/>
                    <w:jc w:val="center"/>
                  </w:pPr>
                  <w:r>
                    <w:t xml:space="preserve">1422</w:t>
                  </w:r>
                </w:p>
              </w:tc>
            </w:tr>
            <w:tr>
              <w:tc>
                <w:tcPr/>
                <w:p>
                  <w:pPr>
                    <w:pStyle w:val="Compact"/>
                    <w:jc w:val="right"/>
                    <w:jc w:val="center"/>
                  </w:pPr>
                  <w:r>
                    <w:t xml:space="preserve">8</w:t>
                  </w:r>
                </w:p>
              </w:tc>
              <w:tc>
                <w:tcPr/>
                <w:p>
                  <w:pPr>
                    <w:pStyle w:val="Compact"/>
                    <w:jc w:val="left"/>
                    <w:jc w:val="center"/>
                  </w:pPr>
                  <w:r>
                    <w:t xml:space="preserve">David Christensen</w:t>
                  </w:r>
                  <w:r>
                    <w:t xml:space="preserve"> </w:t>
                  </w:r>
                  <w:r>
                    <w:t xml:space="preserve">(2007)</w:t>
                  </w:r>
                  <w:r>
                    <w:t xml:space="preserve"> </w:t>
                  </w:r>
                  <w:r>
                    <w:t xml:space="preserve">“Epistemology of Disagreement: The Good News”</w:t>
                  </w:r>
                </w:p>
              </w:tc>
              <w:tc>
                <w:tcPr/>
                <w:p>
                  <w:pPr>
                    <w:pStyle w:val="Compact"/>
                    <w:jc w:val="right"/>
                    <w:jc w:val="center"/>
                  </w:pPr>
                  <w:r>
                    <w:t xml:space="preserve">208</w:t>
                  </w:r>
                </w:p>
              </w:tc>
              <w:tc>
                <w:tcPr/>
                <w:p>
                  <w:pPr>
                    <w:pStyle w:val="Compact"/>
                    <w:jc w:val="right"/>
                    <w:jc w:val="center"/>
                  </w:pPr>
                  <w:r>
                    <w:t xml:space="preserve">1417</w:t>
                  </w:r>
                </w:p>
              </w:tc>
            </w:tr>
            <w:tr>
              <w:tc>
                <w:tcPr/>
                <w:p>
                  <w:pPr>
                    <w:pStyle w:val="Compact"/>
                    <w:jc w:val="right"/>
                    <w:jc w:val="center"/>
                  </w:pPr>
                  <w:r>
                    <w:t xml:space="preserve">9</w:t>
                  </w:r>
                </w:p>
              </w:tc>
              <w:tc>
                <w:tcPr/>
                <w:p>
                  <w:pPr>
                    <w:pStyle w:val="Compact"/>
                    <w:jc w:val="left"/>
                    <w:jc w:val="center"/>
                  </w:pPr>
                  <w:r>
                    <w:t xml:space="preserve">Adam Elga</w:t>
                  </w:r>
                  <w:r>
                    <w:t xml:space="preserve"> </w:t>
                  </w:r>
                  <w:r>
                    <w:t xml:space="preserve">(2007b)</w:t>
                  </w:r>
                  <w:r>
                    <w:t xml:space="preserve"> </w:t>
                  </w:r>
                  <w:r>
                    <w:t xml:space="preserve">“Reflection and Disagreement”</w:t>
                  </w:r>
                </w:p>
              </w:tc>
              <w:tc>
                <w:tcPr/>
                <w:p>
                  <w:pPr>
                    <w:pStyle w:val="Compact"/>
                    <w:jc w:val="right"/>
                    <w:jc w:val="center"/>
                  </w:pPr>
                  <w:r>
                    <w:t xml:space="preserve">218</w:t>
                  </w:r>
                </w:p>
              </w:tc>
              <w:tc>
                <w:tcPr/>
                <w:p>
                  <w:pPr>
                    <w:pStyle w:val="Compact"/>
                    <w:jc w:val="right"/>
                    <w:jc w:val="center"/>
                  </w:pPr>
                  <w:r>
                    <w:t xml:space="preserve">1330</w:t>
                  </w:r>
                </w:p>
              </w:tc>
            </w:tr>
            <w:tr>
              <w:tc>
                <w:tcPr/>
                <w:p>
                  <w:pPr>
                    <w:pStyle w:val="Compact"/>
                    <w:jc w:val="right"/>
                    <w:jc w:val="center"/>
                  </w:pPr>
                  <w:r>
                    <w:t xml:space="preserve">10</w:t>
                  </w:r>
                </w:p>
              </w:tc>
              <w:tc>
                <w:tcPr/>
                <w:p>
                  <w:pPr>
                    <w:pStyle w:val="Compact"/>
                    <w:jc w:val="left"/>
                    <w:jc w:val="center"/>
                  </w:pPr>
                  <w:r>
                    <w:t xml:space="preserve">Nishi Shah</w:t>
                  </w:r>
                  <w:r>
                    <w:t xml:space="preserve"> </w:t>
                  </w:r>
                  <w:r>
                    <w:t xml:space="preserve">(2003)</w:t>
                  </w:r>
                  <w:r>
                    <w:t xml:space="preserve"> </w:t>
                  </w:r>
                  <w:r>
                    <w:t xml:space="preserve">“How Truth Governs Belief”</w:t>
                  </w:r>
                </w:p>
              </w:tc>
              <w:tc>
                <w:tcPr/>
                <w:p>
                  <w:pPr>
                    <w:pStyle w:val="Compact"/>
                    <w:jc w:val="right"/>
                    <w:jc w:val="center"/>
                  </w:pPr>
                  <w:r>
                    <w:t xml:space="preserve">135</w:t>
                  </w:r>
                </w:p>
              </w:tc>
              <w:tc>
                <w:tcPr/>
                <w:p>
                  <w:pPr>
                    <w:pStyle w:val="Compact"/>
                    <w:jc w:val="right"/>
                    <w:jc w:val="center"/>
                  </w:pPr>
                  <w:r>
                    <w:t xml:space="preserve">1319</w:t>
                  </w:r>
                </w:p>
              </w:tc>
            </w:tr>
          </w:tbl>
          <w:bookmarkEnd w:id="169"/>
          <w:p/>
        </w:tc>
      </w:tr>
    </w:tbl>
    <w:bookmarkEnd w:id="170"/>
    <w:bookmarkStart w:id="316" w:name="sec-methodology"/>
    <w:p>
      <w:pPr>
        <w:pStyle w:val="Heading1"/>
      </w:pPr>
      <w:r>
        <w:t xml:space="preserve">8. Methodology</w:t>
      </w:r>
    </w:p>
    <w:bookmarkStart w:id="315" w:name="refs"/>
    <w:bookmarkStart w:id="172" w:name="ref-WOSA1956CHJ4200001"/>
    <w:p>
      <w:pPr>
        <w:pStyle w:val="Bibliography"/>
      </w:pPr>
      <w:r>
        <w:t xml:space="preserve">Anscombe, G. E. M. 1956.</w:t>
      </w:r>
      <w:r>
        <w:t xml:space="preserve"> </w:t>
      </w:r>
      <w:r>
        <w:t xml:space="preserve">“Aristotle and the Sea Battle.”</w:t>
      </w:r>
      <w:r>
        <w:t xml:space="preserve"> </w:t>
      </w:r>
      <w:r>
        <w:rPr>
          <w:i/>
          <w:iCs/>
        </w:rPr>
        <w:t xml:space="preserve">Mind</w:t>
      </w:r>
      <w:r>
        <w:t xml:space="preserve"> </w:t>
      </w:r>
      <w:r>
        <w:t xml:space="preserve">65 (257): 1–15.</w:t>
      </w:r>
      <w:r>
        <w:t xml:space="preserve"> </w:t>
      </w:r>
      <w:hyperlink r:id="rId171">
        <w:r>
          <w:rPr>
            <w:rStyle w:val="Hyperlink"/>
          </w:rPr>
          <w:t xml:space="preserve">https://doi.org/10.1093/mind/65.1.1</w:t>
        </w:r>
      </w:hyperlink>
      <w:r>
        <w:t xml:space="preserve">.</w:t>
      </w:r>
    </w:p>
    <w:bookmarkEnd w:id="172"/>
    <w:bookmarkStart w:id="173" w:name="ref-Anscombe1957"/>
    <w:p>
      <w:pPr>
        <w:pStyle w:val="Bibliography"/>
      </w:pPr>
      <w:r>
        <w:t xml:space="preserve">———. 1957.</w:t>
      </w:r>
      <w:r>
        <w:t xml:space="preserve"> </w:t>
      </w:r>
      <w:r>
        <w:rPr>
          <w:i/>
          <w:iCs/>
        </w:rPr>
        <w:t xml:space="preserve">Intention</w:t>
      </w:r>
      <w:r>
        <w:t xml:space="preserve">. Oxford: Basil Blackwell.</w:t>
      </w:r>
    </w:p>
    <w:bookmarkEnd w:id="173"/>
    <w:bookmarkStart w:id="175" w:name="ref-WOSA1958CDL1000001"/>
    <w:p>
      <w:pPr>
        <w:pStyle w:val="Bibliography"/>
      </w:pPr>
      <w:r>
        <w:t xml:space="preserve">———. 1958.</w:t>
      </w:r>
      <w:r>
        <w:t xml:space="preserve"> </w:t>
      </w:r>
      <w:r>
        <w:t xml:space="preserve">“Modern Moral Philosophy.”</w:t>
      </w:r>
      <w:r>
        <w:t xml:space="preserve"> </w:t>
      </w:r>
      <w:r>
        <w:rPr>
          <w:i/>
          <w:iCs/>
        </w:rPr>
        <w:t xml:space="preserve">Philosophy</w:t>
      </w:r>
      <w:r>
        <w:t xml:space="preserve"> </w:t>
      </w:r>
      <w:r>
        <w:t xml:space="preserve">33 (124): 1–19.</w:t>
      </w:r>
      <w:r>
        <w:t xml:space="preserve"> </w:t>
      </w:r>
      <w:hyperlink r:id="rId174">
        <w:r>
          <w:rPr>
            <w:rStyle w:val="Hyperlink"/>
          </w:rPr>
          <w:t xml:space="preserve">https://doi.org/10.1017/S0031819100037943</w:t>
        </w:r>
      </w:hyperlink>
      <w:r>
        <w:t xml:space="preserve">.</w:t>
      </w:r>
    </w:p>
    <w:bookmarkEnd w:id="175"/>
    <w:bookmarkStart w:id="177" w:name="ref-Austin1956"/>
    <w:p>
      <w:pPr>
        <w:pStyle w:val="Bibliography"/>
      </w:pPr>
      <w:r>
        <w:t xml:space="preserve">Austin, J. L. 1956a.</w:t>
      </w:r>
      <w:r>
        <w:t xml:space="preserve"> </w:t>
      </w:r>
      <w:r>
        <w:t xml:space="preserve">“A Plea for Excuses.”</w:t>
      </w:r>
      <w:r>
        <w:t xml:space="preserve"> </w:t>
      </w:r>
      <w:r>
        <w:rPr>
          <w:i/>
          <w:iCs/>
        </w:rPr>
        <w:t xml:space="preserve">Proceedings of the Aristotelian Society</w:t>
      </w:r>
      <w:r>
        <w:t xml:space="preserve"> </w:t>
      </w:r>
      <w:r>
        <w:t xml:space="preserve">57 (1): 1–30.</w:t>
      </w:r>
      <w:r>
        <w:t xml:space="preserve"> </w:t>
      </w:r>
      <w:hyperlink r:id="rId176">
        <w:r>
          <w:rPr>
            <w:rStyle w:val="Hyperlink"/>
          </w:rPr>
          <w:t xml:space="preserve">https://doi.org/10.1093/aristotelian/57.1.1</w:t>
        </w:r>
      </w:hyperlink>
      <w:r>
        <w:t xml:space="preserve">.</w:t>
      </w:r>
    </w:p>
    <w:bookmarkEnd w:id="177"/>
    <w:bookmarkStart w:id="178" w:name="ref-Austin1956b"/>
    <w:p>
      <w:pPr>
        <w:pStyle w:val="Bibliography"/>
      </w:pPr>
      <w:r>
        <w:t xml:space="preserve">———. 1956b.</w:t>
      </w:r>
      <w:r>
        <w:t xml:space="preserve"> </w:t>
      </w:r>
      <w:r>
        <w:t xml:space="preserve">“Ifs and Cans.”</w:t>
      </w:r>
      <w:r>
        <w:t xml:space="preserve"> </w:t>
      </w:r>
      <w:r>
        <w:rPr>
          <w:i/>
          <w:iCs/>
        </w:rPr>
        <w:t xml:space="preserve">Proceedings of the British Academy</w:t>
      </w:r>
      <w:r>
        <w:t xml:space="preserve"> </w:t>
      </w:r>
      <w:r>
        <w:t xml:space="preserve">42: 109–32.</w:t>
      </w:r>
    </w:p>
    <w:bookmarkEnd w:id="178"/>
    <w:bookmarkStart w:id="180" w:name="ref-WOSA1981LH67300001"/>
    <w:p>
      <w:pPr>
        <w:pStyle w:val="Bibliography"/>
      </w:pPr>
      <w:r>
        <w:t xml:space="preserve">Barwise, Jon, and Robin Cooper. 1981.</w:t>
      </w:r>
      <w:r>
        <w:t xml:space="preserve"> </w:t>
      </w:r>
      <w:r>
        <w:t xml:space="preserve">“Generalized Quantifiers and Natural-Language.”</w:t>
      </w:r>
      <w:r>
        <w:t xml:space="preserve"> </w:t>
      </w:r>
      <w:r>
        <w:rPr>
          <w:i/>
          <w:iCs/>
        </w:rPr>
        <w:t xml:space="preserve">Linguistics and Philosophy</w:t>
      </w:r>
      <w:r>
        <w:t xml:space="preserve"> </w:t>
      </w:r>
      <w:r>
        <w:t xml:space="preserve">4 (2): 159–219.</w:t>
      </w:r>
      <w:r>
        <w:t xml:space="preserve"> </w:t>
      </w:r>
      <w:hyperlink r:id="rId179">
        <w:r>
          <w:rPr>
            <w:rStyle w:val="Hyperlink"/>
          </w:rPr>
          <w:t xml:space="preserve">https://doi.org/10.1007/BF00350139</w:t>
        </w:r>
      </w:hyperlink>
      <w:r>
        <w:t xml:space="preserve">.</w:t>
      </w:r>
    </w:p>
    <w:bookmarkEnd w:id="180"/>
    <w:bookmarkStart w:id="181" w:name="ref-10.2307_2025075"/>
    <w:p>
      <w:pPr>
        <w:pStyle w:val="Bibliography"/>
      </w:pPr>
      <w:r>
        <w:t xml:space="preserve">Benacerraf, Paul. 1973.</w:t>
      </w:r>
      <w:r>
        <w:t xml:space="preserve"> </w:t>
      </w:r>
      <w:r>
        <w:t xml:space="preserve">“Mathematical Truth.”</w:t>
      </w:r>
      <w:r>
        <w:t xml:space="preserve"> </w:t>
      </w:r>
      <w:r>
        <w:rPr>
          <w:i/>
          <w:iCs/>
        </w:rPr>
        <w:t xml:space="preserve">Journal of Philosophy</w:t>
      </w:r>
      <w:r>
        <w:t xml:space="preserve"> </w:t>
      </w:r>
      <w:r>
        <w:t xml:space="preserve">70 (19): 661–79.</w:t>
      </w:r>
    </w:p>
    <w:bookmarkEnd w:id="181"/>
    <w:bookmarkStart w:id="183" w:name="ref-WOSA1987G947600001"/>
    <w:p>
      <w:pPr>
        <w:pStyle w:val="Bibliography"/>
      </w:pPr>
      <w:r>
        <w:t xml:space="preserve">Bigelow, John, and Robert Pargetter. 1987.</w:t>
      </w:r>
      <w:r>
        <w:t xml:space="preserve"> </w:t>
      </w:r>
      <w:r>
        <w:t xml:space="preserve">“Functions.”</w:t>
      </w:r>
      <w:r>
        <w:t xml:space="preserve"> </w:t>
      </w:r>
      <w:r>
        <w:rPr>
          <w:i/>
          <w:iCs/>
        </w:rPr>
        <w:t xml:space="preserve">Journal of Philosophy</w:t>
      </w:r>
      <w:r>
        <w:t xml:space="preserve"> </w:t>
      </w:r>
      <w:r>
        <w:t xml:space="preserve">84 (4): 181–96.</w:t>
      </w:r>
      <w:r>
        <w:t xml:space="preserve"> </w:t>
      </w:r>
      <w:hyperlink r:id="rId182">
        <w:r>
          <w:rPr>
            <w:rStyle w:val="Hyperlink"/>
          </w:rPr>
          <w:t xml:space="preserve">https://doi.org/10.2307/2027157</w:t>
        </w:r>
      </w:hyperlink>
      <w:r>
        <w:t xml:space="preserve">.</w:t>
      </w:r>
    </w:p>
    <w:bookmarkEnd w:id="183"/>
    <w:bookmarkStart w:id="184" w:name="ref-10.2307_2025204"/>
    <w:p>
      <w:pPr>
        <w:pStyle w:val="Bibliography"/>
      </w:pPr>
      <w:r>
        <w:t xml:space="preserve">Boolos, George. 1971.</w:t>
      </w:r>
      <w:r>
        <w:t xml:space="preserve"> </w:t>
      </w:r>
      <w:r>
        <w:t xml:space="preserve">“The Iterative Conception of Set.”</w:t>
      </w:r>
      <w:r>
        <w:t xml:space="preserve"> </w:t>
      </w:r>
      <w:r>
        <w:rPr>
          <w:i/>
          <w:iCs/>
        </w:rPr>
        <w:t xml:space="preserve">Journal of Philosophy</w:t>
      </w:r>
      <w:r>
        <w:t xml:space="preserve"> </w:t>
      </w:r>
      <w:r>
        <w:t xml:space="preserve">68 (8): 215–31.</w:t>
      </w:r>
    </w:p>
    <w:bookmarkEnd w:id="184"/>
    <w:bookmarkStart w:id="185" w:name="ref-Bump2023"/>
    <w:p>
      <w:pPr>
        <w:pStyle w:val="Bibliography"/>
      </w:pPr>
      <w:r>
        <w:t xml:space="preserve">Bump, Philip. 2023.</w:t>
      </w:r>
      <w:r>
        <w:t xml:space="preserve"> </w:t>
      </w:r>
      <w:r>
        <w:rPr>
          <w:i/>
          <w:iCs/>
        </w:rPr>
        <w:t xml:space="preserve">The Aftermath: The Last Days of the Baby Boom and the Future of Power in America</w:t>
      </w:r>
      <w:r>
        <w:t xml:space="preserve">. New York: Penguin Random House.</w:t>
      </w:r>
    </w:p>
    <w:bookmarkEnd w:id="185"/>
    <w:bookmarkStart w:id="187" w:name="ref-WOSA1986AYX3200001"/>
    <w:p>
      <w:pPr>
        <w:pStyle w:val="Bibliography"/>
      </w:pPr>
      <w:r>
        <w:t xml:space="preserve">Burge, Tyler. 1986.</w:t>
      </w:r>
      <w:r>
        <w:t xml:space="preserve"> </w:t>
      </w:r>
      <w:r>
        <w:t xml:space="preserve">“Individualism and Psychology.”</w:t>
      </w:r>
      <w:r>
        <w:t xml:space="preserve"> </w:t>
      </w:r>
      <w:r>
        <w:rPr>
          <w:i/>
          <w:iCs/>
        </w:rPr>
        <w:t xml:space="preserve">Philosophical Review</w:t>
      </w:r>
      <w:r>
        <w:t xml:space="preserve"> </w:t>
      </w:r>
      <w:r>
        <w:t xml:space="preserve">95 (1): 3–45.</w:t>
      </w:r>
      <w:r>
        <w:t xml:space="preserve"> </w:t>
      </w:r>
      <w:hyperlink r:id="rId186">
        <w:r>
          <w:rPr>
            <w:rStyle w:val="Hyperlink"/>
          </w:rPr>
          <w:t xml:space="preserve">https://doi.org/10.2307/2185131</w:t>
        </w:r>
      </w:hyperlink>
      <w:r>
        <w:t xml:space="preserve">.</w:t>
      </w:r>
    </w:p>
    <w:bookmarkEnd w:id="187"/>
    <w:bookmarkStart w:id="189" w:name="ref-WOSA1993ML38000001"/>
    <w:p>
      <w:pPr>
        <w:pStyle w:val="Bibliography"/>
      </w:pPr>
      <w:r>
        <w:t xml:space="preserve">———. 1993.</w:t>
      </w:r>
      <w:r>
        <w:t xml:space="preserve"> </w:t>
      </w:r>
      <w:r>
        <w:t xml:space="preserve">“Content Preservation.”</w:t>
      </w:r>
      <w:r>
        <w:t xml:space="preserve"> </w:t>
      </w:r>
      <w:r>
        <w:rPr>
          <w:i/>
          <w:iCs/>
        </w:rPr>
        <w:t xml:space="preserve">Philosophical Review</w:t>
      </w:r>
      <w:r>
        <w:t xml:space="preserve"> </w:t>
      </w:r>
      <w:r>
        <w:t xml:space="preserve">102 (4): 457–88.</w:t>
      </w:r>
      <w:r>
        <w:t xml:space="preserve"> </w:t>
      </w:r>
      <w:hyperlink r:id="rId188">
        <w:r>
          <w:rPr>
            <w:rStyle w:val="Hyperlink"/>
          </w:rPr>
          <w:t xml:space="preserve">https://doi.org/10.2307/2185680</w:t>
        </w:r>
      </w:hyperlink>
      <w:r>
        <w:t xml:space="preserve">.</w:t>
      </w:r>
    </w:p>
    <w:bookmarkEnd w:id="189"/>
    <w:bookmarkStart w:id="191" w:name="ref-WOSA1992HC13100003"/>
    <w:p>
      <w:pPr>
        <w:pStyle w:val="Bibliography"/>
      </w:pPr>
      <w:r>
        <w:t xml:space="preserve">Burke, Michael B. 1992.</w:t>
      </w:r>
      <w:r>
        <w:t xml:space="preserve"> </w:t>
      </w:r>
      <w:r>
        <w:t xml:space="preserve">“Copper Statues and Pieces of Copper: A Challenge to the Standard Account.”</w:t>
      </w:r>
      <w:r>
        <w:t xml:space="preserve"> </w:t>
      </w:r>
      <w:r>
        <w:rPr>
          <w:i/>
          <w:iCs/>
        </w:rPr>
        <w:t xml:space="preserve">Analysis</w:t>
      </w:r>
      <w:r>
        <w:t xml:space="preserve"> </w:t>
      </w:r>
      <w:r>
        <w:t xml:space="preserve">52 (1): 12–17.</w:t>
      </w:r>
      <w:r>
        <w:t xml:space="preserve"> </w:t>
      </w:r>
      <w:hyperlink r:id="rId190">
        <w:r>
          <w:rPr>
            <w:rStyle w:val="Hyperlink"/>
          </w:rPr>
          <w:t xml:space="preserve">https://doi.org/10.2307/3328875</w:t>
        </w:r>
      </w:hyperlink>
      <w:r>
        <w:t xml:space="preserve">.</w:t>
      </w:r>
    </w:p>
    <w:bookmarkEnd w:id="191"/>
    <w:bookmarkStart w:id="193" w:name="ref-WOS000207419300002"/>
    <w:p>
      <w:pPr>
        <w:pStyle w:val="Bibliography"/>
      </w:pPr>
      <w:r>
        <w:t xml:space="preserve">Christensen, David. 2007.</w:t>
      </w:r>
      <w:r>
        <w:t xml:space="preserve"> </w:t>
      </w:r>
      <w:r>
        <w:t xml:space="preserve">“Epistemology of Disagreement: The Good News.”</w:t>
      </w:r>
      <w:r>
        <w:t xml:space="preserve"> </w:t>
      </w:r>
      <w:r>
        <w:rPr>
          <w:i/>
          <w:iCs/>
        </w:rPr>
        <w:t xml:space="preserve">Philosophical Review</w:t>
      </w:r>
      <w:r>
        <w:t xml:space="preserve"> </w:t>
      </w:r>
      <w:r>
        <w:t xml:space="preserve">116 (2): 187–217.</w:t>
      </w:r>
      <w:r>
        <w:t xml:space="preserve"> </w:t>
      </w:r>
      <w:hyperlink r:id="rId192">
        <w:r>
          <w:rPr>
            <w:rStyle w:val="Hyperlink"/>
          </w:rPr>
          <w:t xml:space="preserve">https://doi.org/10.1215/00318108-2006-035</w:t>
        </w:r>
      </w:hyperlink>
      <w:r>
        <w:t xml:space="preserve">.</w:t>
      </w:r>
    </w:p>
    <w:bookmarkEnd w:id="193"/>
    <w:bookmarkStart w:id="195" w:name="ref-WOSA1981LD54600001"/>
    <w:p>
      <w:pPr>
        <w:pStyle w:val="Bibliography"/>
      </w:pPr>
      <w:r>
        <w:t xml:space="preserve">Churchland, Paul M. 1981.</w:t>
      </w:r>
      <w:r>
        <w:t xml:space="preserve"> </w:t>
      </w:r>
      <w:r>
        <w:t xml:space="preserve">“Eliminative Materialism and the Propositional Attitudes.”</w:t>
      </w:r>
      <w:r>
        <w:t xml:space="preserve"> </w:t>
      </w:r>
      <w:r>
        <w:rPr>
          <w:i/>
          <w:iCs/>
        </w:rPr>
        <w:t xml:space="preserve">Journal of Philosophy</w:t>
      </w:r>
      <w:r>
        <w:t xml:space="preserve"> </w:t>
      </w:r>
      <w:r>
        <w:t xml:space="preserve">78 (2): 67–90.</w:t>
      </w:r>
      <w:r>
        <w:t xml:space="preserve"> </w:t>
      </w:r>
      <w:hyperlink r:id="rId194">
        <w:r>
          <w:rPr>
            <w:rStyle w:val="Hyperlink"/>
          </w:rPr>
          <w:t xml:space="preserve">https://doi.org/10.2307/2025900</w:t>
        </w:r>
      </w:hyperlink>
      <w:r>
        <w:t xml:space="preserve">.</w:t>
      </w:r>
    </w:p>
    <w:bookmarkEnd w:id="195"/>
    <w:bookmarkStart w:id="197" w:name="ref-WOSA1987K730800002"/>
    <w:p>
      <w:pPr>
        <w:pStyle w:val="Bibliography"/>
      </w:pPr>
      <w:r>
        <w:t xml:space="preserve">Cohen, Stewart. 1987.</w:t>
      </w:r>
      <w:r>
        <w:t xml:space="preserve"> </w:t>
      </w:r>
      <w:r>
        <w:t xml:space="preserve">“Knowledge, Context, and Social Standards.”</w:t>
      </w:r>
      <w:r>
        <w:t xml:space="preserve"> </w:t>
      </w:r>
      <w:r>
        <w:rPr>
          <w:i/>
          <w:iCs/>
        </w:rPr>
        <w:t xml:space="preserve">Synthese</w:t>
      </w:r>
      <w:r>
        <w:t xml:space="preserve"> </w:t>
      </w:r>
      <w:r>
        <w:t xml:space="preserve">73 (1): 3–26.</w:t>
      </w:r>
      <w:r>
        <w:t xml:space="preserve"> </w:t>
      </w:r>
      <w:hyperlink r:id="rId196">
        <w:r>
          <w:rPr>
            <w:rStyle w:val="Hyperlink"/>
          </w:rPr>
          <w:t xml:space="preserve">https://doi.org/10.1007/BF00485440</w:t>
        </w:r>
      </w:hyperlink>
      <w:r>
        <w:t xml:space="preserve">.</w:t>
      </w:r>
    </w:p>
    <w:bookmarkEnd w:id="197"/>
    <w:bookmarkStart w:id="199" w:name="ref-WOSA1975KG87100002"/>
    <w:p>
      <w:pPr>
        <w:pStyle w:val="Bibliography"/>
      </w:pPr>
      <w:r>
        <w:t xml:space="preserve">Curley, EM. 1975.</w:t>
      </w:r>
      <w:r>
        <w:t xml:space="preserve"> </w:t>
      </w:r>
      <w:r>
        <w:t xml:space="preserve">“Dreaming and Conceptual Revision.”</w:t>
      </w:r>
      <w:r>
        <w:t xml:space="preserve"> </w:t>
      </w:r>
      <w:r>
        <w:rPr>
          <w:i/>
          <w:iCs/>
        </w:rPr>
        <w:t xml:space="preserve">Australasian Journal of Philosophy</w:t>
      </w:r>
      <w:r>
        <w:t xml:space="preserve"> </w:t>
      </w:r>
      <w:r>
        <w:t xml:space="preserve">53 (2): 119–41.</w:t>
      </w:r>
      <w:r>
        <w:t xml:space="preserve"> </w:t>
      </w:r>
      <w:hyperlink r:id="rId198">
        <w:r>
          <w:rPr>
            <w:rStyle w:val="Hyperlink"/>
          </w:rPr>
          <w:t xml:space="preserve">https://doi.org/10.1080/00048407512341131</w:t>
        </w:r>
      </w:hyperlink>
      <w:r>
        <w:t xml:space="preserve">.</w:t>
      </w:r>
    </w:p>
    <w:bookmarkEnd w:id="199"/>
    <w:bookmarkStart w:id="201" w:name="ref-WOSA1991GL32100002"/>
    <w:p>
      <w:pPr>
        <w:pStyle w:val="Bibliography"/>
      </w:pPr>
      <w:r>
        <w:t xml:space="preserve">DeRose, Keith. 1991.</w:t>
      </w:r>
      <w:r>
        <w:t xml:space="preserve"> </w:t>
      </w:r>
      <w:r>
        <w:t xml:space="preserve">“Epistemic Possibilities.”</w:t>
      </w:r>
      <w:r>
        <w:t xml:space="preserve"> </w:t>
      </w:r>
      <w:r>
        <w:rPr>
          <w:i/>
          <w:iCs/>
        </w:rPr>
        <w:t xml:space="preserve">Philosophical Review</w:t>
      </w:r>
      <w:r>
        <w:t xml:space="preserve"> </w:t>
      </w:r>
      <w:r>
        <w:t xml:space="preserve">100 (4): 581–605.</w:t>
      </w:r>
      <w:r>
        <w:t xml:space="preserve"> </w:t>
      </w:r>
      <w:hyperlink r:id="rId200">
        <w:r>
          <w:rPr>
            <w:rStyle w:val="Hyperlink"/>
          </w:rPr>
          <w:t xml:space="preserve">https://doi.org/10.2307/2185175</w:t>
        </w:r>
      </w:hyperlink>
      <w:r>
        <w:t xml:space="preserve">.</w:t>
      </w:r>
    </w:p>
    <w:bookmarkEnd w:id="201"/>
    <w:bookmarkStart w:id="203" w:name="ref-WOSA1992KB29500008"/>
    <w:p>
      <w:pPr>
        <w:pStyle w:val="Bibliography"/>
      </w:pPr>
      <w:r>
        <w:t xml:space="preserve">———. 1992.</w:t>
      </w:r>
      <w:r>
        <w:t xml:space="preserve"> </w:t>
      </w:r>
      <w:r>
        <w:t xml:space="preserve">“Contextualism and Knowledge Attributions.”</w:t>
      </w:r>
      <w:r>
        <w:t xml:space="preserve"> </w:t>
      </w:r>
      <w:r>
        <w:rPr>
          <w:i/>
          <w:iCs/>
        </w:rPr>
        <w:t xml:space="preserve">Philosophy and Phenomenological Research</w:t>
      </w:r>
      <w:r>
        <w:t xml:space="preserve"> </w:t>
      </w:r>
      <w:r>
        <w:t xml:space="preserve">52 (4): 913–29.</w:t>
      </w:r>
      <w:r>
        <w:t xml:space="preserve"> </w:t>
      </w:r>
      <w:hyperlink r:id="rId202">
        <w:r>
          <w:rPr>
            <w:rStyle w:val="Hyperlink"/>
          </w:rPr>
          <w:t xml:space="preserve">https://doi.org/10.2307/2107917</w:t>
        </w:r>
      </w:hyperlink>
      <w:r>
        <w:t xml:space="preserve">.</w:t>
      </w:r>
    </w:p>
    <w:bookmarkEnd w:id="203"/>
    <w:bookmarkStart w:id="205" w:name="ref-WOSA1995RC31600001"/>
    <w:p>
      <w:pPr>
        <w:pStyle w:val="Bibliography"/>
      </w:pPr>
      <w:r>
        <w:t xml:space="preserve">———. 1995.</w:t>
      </w:r>
      <w:r>
        <w:t xml:space="preserve"> </w:t>
      </w:r>
      <w:r>
        <w:t xml:space="preserve">“Solving the Skeptical Problem.”</w:t>
      </w:r>
      <w:r>
        <w:t xml:space="preserve"> </w:t>
      </w:r>
      <w:r>
        <w:rPr>
          <w:i/>
          <w:iCs/>
        </w:rPr>
        <w:t xml:space="preserve">Philosophical Review</w:t>
      </w:r>
      <w:r>
        <w:t xml:space="preserve"> </w:t>
      </w:r>
      <w:r>
        <w:t xml:space="preserve">104 (1): 1–52.</w:t>
      </w:r>
      <w:r>
        <w:t xml:space="preserve"> </w:t>
      </w:r>
      <w:hyperlink r:id="rId204">
        <w:r>
          <w:rPr>
            <w:rStyle w:val="Hyperlink"/>
          </w:rPr>
          <w:t xml:space="preserve">https://doi.org/10.2307/2186011</w:t>
        </w:r>
      </w:hyperlink>
      <w:r>
        <w:t xml:space="preserve">.</w:t>
      </w:r>
    </w:p>
    <w:bookmarkEnd w:id="205"/>
    <w:bookmarkStart w:id="206" w:name="ref-WOS000184740400001"/>
    <w:p>
      <w:pPr>
        <w:pStyle w:val="Bibliography"/>
      </w:pPr>
      <w:r>
        <w:t xml:space="preserve">———. 2003.</w:t>
      </w:r>
      <w:r>
        <w:t xml:space="preserve"> </w:t>
      </w:r>
      <w:r>
        <w:t xml:space="preserve">“Assertion, Knowledge, and Context.”</w:t>
      </w:r>
      <w:r>
        <w:t xml:space="preserve"> </w:t>
      </w:r>
      <w:r>
        <w:rPr>
          <w:i/>
          <w:iCs/>
        </w:rPr>
        <w:t xml:space="preserve">Philosophical Review</w:t>
      </w:r>
      <w:r>
        <w:t xml:space="preserve"> </w:t>
      </w:r>
      <w:r>
        <w:t xml:space="preserve">111 (2): 167–203.</w:t>
      </w:r>
    </w:p>
    <w:bookmarkEnd w:id="206"/>
    <w:bookmarkStart w:id="208" w:name="ref-WOS000443474300002"/>
    <w:p>
      <w:pPr>
        <w:pStyle w:val="Bibliography"/>
      </w:pPr>
      <w:r>
        <w:t xml:space="preserve">Difrisco, James. 2018.</w:t>
      </w:r>
      <w:r>
        <w:t xml:space="preserve"> </w:t>
      </w:r>
      <w:r>
        <w:t xml:space="preserve">“Token Physicalism and Functional Individuation.”</w:t>
      </w:r>
      <w:r>
        <w:t xml:space="preserve"> </w:t>
      </w:r>
      <w:r>
        <w:rPr>
          <w:i/>
          <w:iCs/>
        </w:rPr>
        <w:t xml:space="preserve">European Journal for Philosophy of Science</w:t>
      </w:r>
      <w:r>
        <w:t xml:space="preserve"> </w:t>
      </w:r>
      <w:r>
        <w:t xml:space="preserve">8 (3): 309–29.</w:t>
      </w:r>
      <w:r>
        <w:t xml:space="preserve"> </w:t>
      </w:r>
      <w:hyperlink r:id="rId207">
        <w:r>
          <w:rPr>
            <w:rStyle w:val="Hyperlink"/>
          </w:rPr>
          <w:t xml:space="preserve">https://doi.org/10.1007/s13194-017-0188-y</w:t>
        </w:r>
      </w:hyperlink>
      <w:r>
        <w:t xml:space="preserve">.</w:t>
      </w:r>
    </w:p>
    <w:bookmarkEnd w:id="208"/>
    <w:bookmarkStart w:id="210" w:name="ref-WOSA1970ZE33800001"/>
    <w:p>
      <w:pPr>
        <w:pStyle w:val="Bibliography"/>
      </w:pPr>
      <w:r>
        <w:t xml:space="preserve">Dretske, Fred. 1970.</w:t>
      </w:r>
      <w:r>
        <w:t xml:space="preserve"> </w:t>
      </w:r>
      <w:r>
        <w:t xml:space="preserve">“Epistemic Operators.”</w:t>
      </w:r>
      <w:r>
        <w:t xml:space="preserve"> </w:t>
      </w:r>
      <w:r>
        <w:rPr>
          <w:i/>
          <w:iCs/>
        </w:rPr>
        <w:t xml:space="preserve">Journal of Philosophy</w:t>
      </w:r>
      <w:r>
        <w:t xml:space="preserve"> </w:t>
      </w:r>
      <w:r>
        <w:t xml:space="preserve">67 (24): 1007–23.</w:t>
      </w:r>
      <w:r>
        <w:t xml:space="preserve"> </w:t>
      </w:r>
      <w:hyperlink r:id="rId209">
        <w:r>
          <w:rPr>
            <w:rStyle w:val="Hyperlink"/>
          </w:rPr>
          <w:t xml:space="preserve">https://doi.org/10.2307/2024710</w:t>
        </w:r>
      </w:hyperlink>
      <w:r>
        <w:t xml:space="preserve">.</w:t>
      </w:r>
    </w:p>
    <w:bookmarkEnd w:id="210"/>
    <w:bookmarkStart w:id="212" w:name="ref-Elga2007"/>
    <w:p>
      <w:pPr>
        <w:pStyle w:val="Bibliography"/>
      </w:pPr>
      <w:r>
        <w:t xml:space="preserve">Elga, Adam. 2007a.</w:t>
      </w:r>
      <w:r>
        <w:t xml:space="preserve"> </w:t>
      </w:r>
      <w:r>
        <w:t xml:space="preserve">“Reflection and Disagreement.”</w:t>
      </w:r>
      <w:r>
        <w:t xml:space="preserve"> </w:t>
      </w:r>
      <w:r>
        <w:rPr>
          <w:i/>
          <w:iCs/>
        </w:rPr>
        <w:t xml:space="preserve">No</w:t>
      </w:r>
      <w:r>
        <w:rPr>
          <w:i/>
          <w:iCs/>
        </w:rPr>
        <w:t xml:space="preserve">û</w:t>
      </w:r>
      <w:r>
        <w:rPr>
          <w:i/>
          <w:iCs/>
        </w:rPr>
        <w:t xml:space="preserve">s</w:t>
      </w:r>
      <w:r>
        <w:t xml:space="preserve"> </w:t>
      </w:r>
      <w:r>
        <w:t xml:space="preserve">41 (3): 478–502.</w:t>
      </w:r>
      <w:r>
        <w:t xml:space="preserve"> </w:t>
      </w:r>
      <w:hyperlink r:id="rId211">
        <w:r>
          <w:rPr>
            <w:rStyle w:val="Hyperlink"/>
          </w:rPr>
          <w:t xml:space="preserve">https://doi.org/10.1111/j.1468-0068.2007.00656.x</w:t>
        </w:r>
      </w:hyperlink>
      <w:r>
        <w:t xml:space="preserve">.</w:t>
      </w:r>
    </w:p>
    <w:bookmarkEnd w:id="212"/>
    <w:bookmarkStart w:id="213" w:name="ref-WOS000249103800005"/>
    <w:p>
      <w:pPr>
        <w:pStyle w:val="Bibliography"/>
      </w:pPr>
      <w:r>
        <w:t xml:space="preserve">———. 2007b.</w:t>
      </w:r>
      <w:r>
        <w:t xml:space="preserve"> </w:t>
      </w:r>
      <w:r>
        <w:t xml:space="preserve">“Reflection and Disagreement.”</w:t>
      </w:r>
      <w:r>
        <w:t xml:space="preserve"> </w:t>
      </w:r>
      <w:r>
        <w:rPr>
          <w:i/>
          <w:iCs/>
        </w:rPr>
        <w:t xml:space="preserve">Noûs</w:t>
      </w:r>
      <w:r>
        <w:t xml:space="preserve"> </w:t>
      </w:r>
      <w:r>
        <w:t xml:space="preserve">41 (3): 478–502.</w:t>
      </w:r>
      <w:r>
        <w:t xml:space="preserve"> </w:t>
      </w:r>
      <w:hyperlink r:id="rId211">
        <w:r>
          <w:rPr>
            <w:rStyle w:val="Hyperlink"/>
          </w:rPr>
          <w:t xml:space="preserve">https://doi.org/10.1111/j.1468-0068.2007.00656.x</w:t>
        </w:r>
      </w:hyperlink>
      <w:r>
        <w:t xml:space="preserve">.</w:t>
      </w:r>
    </w:p>
    <w:bookmarkEnd w:id="213"/>
    <w:bookmarkStart w:id="215" w:name="ref-WOS000181094500003"/>
    <w:p>
      <w:pPr>
        <w:pStyle w:val="Bibliography"/>
      </w:pPr>
      <w:r>
        <w:t xml:space="preserve">Fantl, Jeremy, and Matthew McGrath. 2002.</w:t>
      </w:r>
      <w:r>
        <w:t xml:space="preserve"> </w:t>
      </w:r>
      <w:r>
        <w:t xml:space="preserve">“Evidence, Pragmatics, and Justification.”</w:t>
      </w:r>
      <w:r>
        <w:t xml:space="preserve"> </w:t>
      </w:r>
      <w:r>
        <w:rPr>
          <w:i/>
          <w:iCs/>
        </w:rPr>
        <w:t xml:space="preserve">Philosophical Review</w:t>
      </w:r>
      <w:r>
        <w:t xml:space="preserve"> </w:t>
      </w:r>
      <w:r>
        <w:t xml:space="preserve">111 (1): 67–94.</w:t>
      </w:r>
      <w:r>
        <w:t xml:space="preserve"> </w:t>
      </w:r>
      <w:hyperlink r:id="rId214">
        <w:r>
          <w:rPr>
            <w:rStyle w:val="Hyperlink"/>
          </w:rPr>
          <w:t xml:space="preserve">https://doi.org/10.1215/00318108-111-1-67</w:t>
        </w:r>
      </w:hyperlink>
      <w:r>
        <w:t xml:space="preserve">.</w:t>
      </w:r>
    </w:p>
    <w:bookmarkEnd w:id="215"/>
    <w:bookmarkStart w:id="217" w:name="ref-Fine1994b"/>
    <w:p>
      <w:pPr>
        <w:pStyle w:val="Bibliography"/>
      </w:pPr>
      <w:r>
        <w:t xml:space="preserve">Fine, Kit. 1994.</w:t>
      </w:r>
      <w:r>
        <w:t xml:space="preserve"> </w:t>
      </w:r>
      <w:r>
        <w:t xml:space="preserve">“Essence and Modality.”</w:t>
      </w:r>
      <w:r>
        <w:t xml:space="preserve"> </w:t>
      </w:r>
      <w:r>
        <w:rPr>
          <w:i/>
          <w:iCs/>
        </w:rPr>
        <w:t xml:space="preserve">Philosophical Perspectives</w:t>
      </w:r>
      <w:r>
        <w:t xml:space="preserve"> </w:t>
      </w:r>
      <w:r>
        <w:t xml:space="preserve">8: 1–16.</w:t>
      </w:r>
      <w:r>
        <w:t xml:space="preserve"> </w:t>
      </w:r>
      <w:hyperlink r:id="rId216">
        <w:r>
          <w:rPr>
            <w:rStyle w:val="Hyperlink"/>
          </w:rPr>
          <w:t xml:space="preserve">https://doi.org/10.2307/2214160</w:t>
        </w:r>
      </w:hyperlink>
      <w:r>
        <w:t xml:space="preserve">.</w:t>
      </w:r>
    </w:p>
    <w:bookmarkEnd w:id="217"/>
    <w:bookmarkStart w:id="219" w:name="ref-Frankfurt1969"/>
    <w:p>
      <w:pPr>
        <w:pStyle w:val="Bibliography"/>
      </w:pPr>
      <w:r>
        <w:t xml:space="preserve">Frankfurt, Harry G. 1969b.</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218">
        <w:r>
          <w:rPr>
            <w:rStyle w:val="Hyperlink"/>
          </w:rPr>
          <w:t xml:space="preserve">https://doi.org/10.2307/2023833</w:t>
        </w:r>
      </w:hyperlink>
      <w:r>
        <w:t xml:space="preserve">.</w:t>
      </w:r>
    </w:p>
    <w:bookmarkEnd w:id="219"/>
    <w:bookmarkStart w:id="220" w:name="ref-WOSA1969Y444700002"/>
    <w:p>
      <w:pPr>
        <w:pStyle w:val="Bibliography"/>
      </w:pPr>
      <w:r>
        <w:t xml:space="preserve">———. 1969a.</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218">
        <w:r>
          <w:rPr>
            <w:rStyle w:val="Hyperlink"/>
          </w:rPr>
          <w:t xml:space="preserve">https://doi.org/10.2307/2023833</w:t>
        </w:r>
      </w:hyperlink>
      <w:r>
        <w:t xml:space="preserve">.</w:t>
      </w:r>
    </w:p>
    <w:bookmarkEnd w:id="220"/>
    <w:bookmarkStart w:id="221" w:name="ref-10.2307_2024717"/>
    <w:p>
      <w:pPr>
        <w:pStyle w:val="Bibliography"/>
      </w:pPr>
      <w:r>
        <w:t xml:space="preserve">———. 1971.</w:t>
      </w:r>
      <w:r>
        <w:t xml:space="preserve"> </w:t>
      </w:r>
      <w:r>
        <w:t xml:space="preserve">“Freedom of the Will and the Concept of a Person.”</w:t>
      </w:r>
      <w:r>
        <w:t xml:space="preserve"> </w:t>
      </w:r>
      <w:r>
        <w:rPr>
          <w:i/>
          <w:iCs/>
        </w:rPr>
        <w:t xml:space="preserve">Journal of Philosophy</w:t>
      </w:r>
      <w:r>
        <w:t xml:space="preserve"> </w:t>
      </w:r>
      <w:r>
        <w:t xml:space="preserve">68 (1): 5–20.</w:t>
      </w:r>
    </w:p>
    <w:bookmarkEnd w:id="221"/>
    <w:bookmarkStart w:id="222" w:name="ref-10.2307_2024924"/>
    <w:p>
      <w:pPr>
        <w:pStyle w:val="Bibliography"/>
      </w:pPr>
      <w:r>
        <w:t xml:space="preserve">Friedman, Michael. 1974.</w:t>
      </w:r>
      <w:r>
        <w:t xml:space="preserve"> </w:t>
      </w:r>
      <w:r>
        <w:t xml:space="preserve">“Explanation and Scientific Understanding.”</w:t>
      </w:r>
      <w:r>
        <w:t xml:space="preserve"> </w:t>
      </w:r>
      <w:r>
        <w:rPr>
          <w:i/>
          <w:iCs/>
        </w:rPr>
        <w:t xml:space="preserve">Journal of Philosophy</w:t>
      </w:r>
      <w:r>
        <w:t xml:space="preserve"> </w:t>
      </w:r>
      <w:r>
        <w:t xml:space="preserve">71 (1): 5–19.</w:t>
      </w:r>
    </w:p>
    <w:bookmarkEnd w:id="222"/>
    <w:bookmarkStart w:id="224" w:name="ref-Gettier1963"/>
    <w:p>
      <w:pPr>
        <w:pStyle w:val="Bibliography"/>
      </w:pPr>
      <w:r>
        <w:t xml:space="preserve">Gettier, Edmund L. 1963.</w:t>
      </w:r>
      <w:r>
        <w:t xml:space="preserve"> </w:t>
      </w:r>
      <w:r>
        <w:t xml:space="preserve">“Is Justified True Belief Knowledge?”</w:t>
      </w:r>
      <w:r>
        <w:t xml:space="preserve"> </w:t>
      </w:r>
      <w:r>
        <w:rPr>
          <w:i/>
          <w:iCs/>
        </w:rPr>
        <w:t xml:space="preserve">Analysis</w:t>
      </w:r>
      <w:r>
        <w:t xml:space="preserve"> </w:t>
      </w:r>
      <w:r>
        <w:t xml:space="preserve">23 (6): 121–23.</w:t>
      </w:r>
      <w:r>
        <w:t xml:space="preserve"> </w:t>
      </w:r>
      <w:hyperlink r:id="rId223">
        <w:r>
          <w:rPr>
            <w:rStyle w:val="Hyperlink"/>
          </w:rPr>
          <w:t xml:space="preserve">https://doi.org/10.2307/3326922</w:t>
        </w:r>
      </w:hyperlink>
      <w:r>
        <w:t xml:space="preserve">.</w:t>
      </w:r>
    </w:p>
    <w:bookmarkEnd w:id="224"/>
    <w:bookmarkStart w:id="226" w:name="ref-GhitzaEtAl2023"/>
    <w:p>
      <w:pPr>
        <w:pStyle w:val="Bibliography"/>
      </w:pPr>
      <w:r>
        <w:t xml:space="preserve">Ghitza, Yair, Andrew Gelman, and Jonathan Auerbach. 2023.</w:t>
      </w:r>
      <w:r>
        <w:t xml:space="preserve"> </w:t>
      </w:r>
      <w:r>
        <w:t xml:space="preserve">“The Great Society, Reagan’s Revolution, and Generations of Presidential Voting.”</w:t>
      </w:r>
      <w:r>
        <w:t xml:space="preserve"> </w:t>
      </w:r>
      <w:r>
        <w:rPr>
          <w:i/>
          <w:iCs/>
        </w:rPr>
        <w:t xml:space="preserve">American Journal of Political Science</w:t>
      </w:r>
      <w:r>
        <w:t xml:space="preserve"> </w:t>
      </w:r>
      <w:r>
        <w:t xml:space="preserve">67 (3): 520–37. https://doi.org/</w:t>
      </w:r>
      <w:hyperlink r:id="rId225">
        <w:r>
          <w:rPr>
            <w:rStyle w:val="Hyperlink"/>
          </w:rPr>
          <w:t xml:space="preserve">https://doi.org/10.1111/ajps.12713</w:t>
        </w:r>
      </w:hyperlink>
      <w:r>
        <w:t xml:space="preserve">.</w:t>
      </w:r>
    </w:p>
    <w:bookmarkEnd w:id="226"/>
    <w:bookmarkStart w:id="228" w:name="ref-WOSA1957CGZ6000005"/>
    <w:p>
      <w:pPr>
        <w:pStyle w:val="Bibliography"/>
      </w:pPr>
      <w:r>
        <w:t xml:space="preserve">Grice, H. P. 1957.</w:t>
      </w:r>
      <w:r>
        <w:t xml:space="preserve"> </w:t>
      </w:r>
      <w:r>
        <w:t xml:space="preserve">“Meaning.”</w:t>
      </w:r>
      <w:r>
        <w:t xml:space="preserve"> </w:t>
      </w:r>
      <w:r>
        <w:rPr>
          <w:i/>
          <w:iCs/>
        </w:rPr>
        <w:t xml:space="preserve">Philosophical Review</w:t>
      </w:r>
      <w:r>
        <w:t xml:space="preserve"> </w:t>
      </w:r>
      <w:r>
        <w:t xml:space="preserve">66 (3): 377–88.</w:t>
      </w:r>
      <w:r>
        <w:t xml:space="preserve"> </w:t>
      </w:r>
      <w:hyperlink r:id="rId227">
        <w:r>
          <w:rPr>
            <w:rStyle w:val="Hyperlink"/>
          </w:rPr>
          <w:t xml:space="preserve">https://doi.org/10.2307/2182440</w:t>
        </w:r>
      </w:hyperlink>
      <w:r>
        <w:t xml:space="preserve">.</w:t>
      </w:r>
    </w:p>
    <w:bookmarkEnd w:id="228"/>
    <w:bookmarkStart w:id="230" w:name="ref-Haslanger2000"/>
    <w:p>
      <w:pPr>
        <w:pStyle w:val="Bibliography"/>
      </w:pPr>
      <w:r>
        <w:t xml:space="preserve">Haslanger, Sally. 2000a.</w:t>
      </w:r>
      <w:r>
        <w:t xml:space="preserve"> </w:t>
      </w:r>
      <w:r>
        <w:t xml:space="preserve">“Gender and Race: (What) Are They? (What) Do We Want Them to Be?”</w:t>
      </w:r>
      <w:r>
        <w:t xml:space="preserve"> </w:t>
      </w:r>
      <w:r>
        <w:rPr>
          <w:i/>
          <w:iCs/>
        </w:rPr>
        <w:t xml:space="preserve">No</w:t>
      </w:r>
      <w:r>
        <w:rPr>
          <w:i/>
          <w:iCs/>
        </w:rPr>
        <w:t xml:space="preserve">û</w:t>
      </w:r>
      <w:r>
        <w:rPr>
          <w:i/>
          <w:iCs/>
        </w:rPr>
        <w:t xml:space="preserve">s</w:t>
      </w:r>
      <w:r>
        <w:t xml:space="preserve"> </w:t>
      </w:r>
      <w:r>
        <w:t xml:space="preserve">34 (1): 31–55.</w:t>
      </w:r>
      <w:r>
        <w:t xml:space="preserve"> </w:t>
      </w:r>
      <w:hyperlink r:id="rId229">
        <w:r>
          <w:rPr>
            <w:rStyle w:val="Hyperlink"/>
          </w:rPr>
          <w:t xml:space="preserve">https://doi.org/10.1111/0029-4624.00201</w:t>
        </w:r>
      </w:hyperlink>
      <w:r>
        <w:t xml:space="preserve">.</w:t>
      </w:r>
    </w:p>
    <w:bookmarkEnd w:id="230"/>
    <w:bookmarkStart w:id="231" w:name="ref-WOS000085841900002"/>
    <w:p>
      <w:pPr>
        <w:pStyle w:val="Bibliography"/>
      </w:pPr>
      <w:r>
        <w:t xml:space="preserve">———. 2000b.</w:t>
      </w:r>
      <w:r>
        <w:t xml:space="preserve"> </w:t>
      </w:r>
      <w:r>
        <w:t xml:space="preserve">“Gender and Race: (What) Are They? (What) Do We Want Them to Be?”</w:t>
      </w:r>
      <w:r>
        <w:t xml:space="preserve"> </w:t>
      </w:r>
      <w:r>
        <w:rPr>
          <w:i/>
          <w:iCs/>
        </w:rPr>
        <w:t xml:space="preserve">Noûs</w:t>
      </w:r>
      <w:r>
        <w:t xml:space="preserve"> </w:t>
      </w:r>
      <w:r>
        <w:t xml:space="preserve">34 (1): 31–55.</w:t>
      </w:r>
      <w:r>
        <w:t xml:space="preserve"> </w:t>
      </w:r>
      <w:hyperlink r:id="rId229">
        <w:r>
          <w:rPr>
            <w:rStyle w:val="Hyperlink"/>
          </w:rPr>
          <w:t xml:space="preserve">https://doi.org/10.1111/0029-4624.00201</w:t>
        </w:r>
      </w:hyperlink>
      <w:r>
        <w:t xml:space="preserve">.</w:t>
      </w:r>
    </w:p>
    <w:bookmarkEnd w:id="231"/>
    <w:bookmarkStart w:id="232" w:name="ref-WOSA1982NC42600008"/>
    <w:p>
      <w:pPr>
        <w:pStyle w:val="Bibliography"/>
      </w:pPr>
      <w:r>
        <w:t xml:space="preserve">Haugeland, John. 1982.</w:t>
      </w:r>
      <w:r>
        <w:t xml:space="preserve"> </w:t>
      </w:r>
      <w:r>
        <w:t xml:space="preserve">“Weak Supervenience.”</w:t>
      </w:r>
      <w:r>
        <w:t xml:space="preserve"> </w:t>
      </w:r>
      <w:r>
        <w:rPr>
          <w:i/>
          <w:iCs/>
        </w:rPr>
        <w:t xml:space="preserve">American Philosophical Quarterly</w:t>
      </w:r>
      <w:r>
        <w:t xml:space="preserve"> </w:t>
      </w:r>
      <w:r>
        <w:t xml:space="preserve">19 (1): 93–103.</w:t>
      </w:r>
    </w:p>
    <w:bookmarkEnd w:id="232"/>
    <w:bookmarkStart w:id="233" w:name="ref-WOSA1982NN35300003"/>
    <w:p>
      <w:pPr>
        <w:pStyle w:val="Bibliography"/>
      </w:pPr>
      <w:r>
        <w:t xml:space="preserve">Horgan, Terrence. 1982.</w:t>
      </w:r>
      <w:r>
        <w:t xml:space="preserve"> </w:t>
      </w:r>
      <w:r>
        <w:t xml:space="preserve">“Supervenience and Microphysics.”</w:t>
      </w:r>
      <w:r>
        <w:t xml:space="preserve"> </w:t>
      </w:r>
      <w:r>
        <w:rPr>
          <w:i/>
          <w:iCs/>
        </w:rPr>
        <w:t xml:space="preserve">Pacific Philosophical Quarterly</w:t>
      </w:r>
      <w:r>
        <w:t xml:space="preserve"> </w:t>
      </w:r>
      <w:r>
        <w:t xml:space="preserve">63 (1): 29–43.</w:t>
      </w:r>
    </w:p>
    <w:bookmarkEnd w:id="233"/>
    <w:bookmarkStart w:id="235" w:name="ref-WOS000497282400001"/>
    <w:p>
      <w:pPr>
        <w:pStyle w:val="Bibliography"/>
      </w:pPr>
      <w:r>
        <w:t xml:space="preserve">Izgin, Christopher. 2020.</w:t>
      </w:r>
      <w:r>
        <w:t xml:space="preserve"> </w:t>
      </w:r>
      <w:r>
        <w:t xml:space="preserve">“Internal Negation and the Principles of Non-Contradiction and of Excluded Middle in Aristotle.”</w:t>
      </w:r>
      <w:r>
        <w:t xml:space="preserve"> </w:t>
      </w:r>
      <w:r>
        <w:rPr>
          <w:i/>
          <w:iCs/>
        </w:rPr>
        <w:t xml:space="preserve">History and Philosophy of Logic</w:t>
      </w:r>
      <w:r>
        <w:t xml:space="preserve"> </w:t>
      </w:r>
      <w:r>
        <w:t xml:space="preserve">41 (1): 1–15.</w:t>
      </w:r>
      <w:r>
        <w:t xml:space="preserve"> </w:t>
      </w:r>
      <w:hyperlink r:id="rId234">
        <w:r>
          <w:rPr>
            <w:rStyle w:val="Hyperlink"/>
          </w:rPr>
          <w:t xml:space="preserve">https://doi.org/10.1080/01445340.2019.1683793</w:t>
        </w:r>
      </w:hyperlink>
      <w:r>
        <w:t xml:space="preserve">.</w:t>
      </w:r>
    </w:p>
    <w:bookmarkEnd w:id="235"/>
    <w:bookmarkStart w:id="236" w:name="ref-Jackson1998"/>
    <w:p>
      <w:pPr>
        <w:pStyle w:val="Bibliography"/>
      </w:pPr>
      <w:r>
        <w:t xml:space="preserve">Jackson, Frank. 1998.</w:t>
      </w:r>
      <w:r>
        <w:t xml:space="preserve"> </w:t>
      </w:r>
      <w:r>
        <w:rPr>
          <w:i/>
          <w:iCs/>
        </w:rPr>
        <w:t xml:space="preserve">From Metaphysics to Ethics: A Defence of Conceptual Analysis</w:t>
      </w:r>
      <w:r>
        <w:t xml:space="preserve">. Clarendon Press: Oxford.</w:t>
      </w:r>
    </w:p>
    <w:bookmarkEnd w:id="236"/>
    <w:bookmarkStart w:id="238" w:name="ref-WOSA1992KC39800002"/>
    <w:p>
      <w:pPr>
        <w:pStyle w:val="Bibliography"/>
      </w:pPr>
      <w:r>
        <w:t xml:space="preserve">Johnston, Mark. 1992.</w:t>
      </w:r>
      <w:r>
        <w:t xml:space="preserve"> </w:t>
      </w:r>
      <w:r>
        <w:t xml:space="preserve">“How to Speak of the Colors.”</w:t>
      </w:r>
      <w:r>
        <w:t xml:space="preserve"> </w:t>
      </w:r>
      <w:r>
        <w:rPr>
          <w:i/>
          <w:iCs/>
        </w:rPr>
        <w:t xml:space="preserve">Philosophical Studies</w:t>
      </w:r>
      <w:r>
        <w:t xml:space="preserve"> </w:t>
      </w:r>
      <w:r>
        <w:t xml:space="preserve">68 (3): 221–63.</w:t>
      </w:r>
      <w:r>
        <w:t xml:space="preserve"> </w:t>
      </w:r>
      <w:hyperlink r:id="rId237">
        <w:r>
          <w:rPr>
            <w:rStyle w:val="Hyperlink"/>
          </w:rPr>
          <w:t xml:space="preserve">https://doi.org/10.1007/BF00694847</w:t>
        </w:r>
      </w:hyperlink>
      <w:r>
        <w:t xml:space="preserve">.</w:t>
      </w:r>
    </w:p>
    <w:bookmarkEnd w:id="238"/>
    <w:bookmarkStart w:id="239" w:name="ref-Kaplan1989"/>
    <w:p>
      <w:pPr>
        <w:pStyle w:val="Bibliography"/>
      </w:pPr>
      <w:r>
        <w:t xml:space="preserve">Kaplan, David. 1989.</w:t>
      </w:r>
      <w:r>
        <w:t xml:space="preserve"> </w:t>
      </w:r>
      <w:r>
        <w:t xml:space="preserve">“Demonstratives.”</w:t>
      </w:r>
      <w:r>
        <w:t xml:space="preserve"> </w:t>
      </w:r>
      <w:r>
        <w:t xml:space="preserve">In</w:t>
      </w:r>
      <w:r>
        <w:t xml:space="preserve"> </w:t>
      </w:r>
      <w:r>
        <w:rPr>
          <w:i/>
          <w:iCs/>
        </w:rPr>
        <w:t xml:space="preserve">Themes from Kaplan</w:t>
      </w:r>
      <w:r>
        <w:t xml:space="preserve">, edited by Joseph Almog, John Perry, and Howard Wettstein, 481–563. Oxford: Oxford University Press.</w:t>
      </w:r>
    </w:p>
    <w:bookmarkEnd w:id="239"/>
    <w:bookmarkStart w:id="241" w:name="ref-KeyesEtAl2010"/>
    <w:p>
      <w:pPr>
        <w:pStyle w:val="Bibliography"/>
      </w:pPr>
      <w:r>
        <w:t xml:space="preserve">Keyes, Katherine M., Rebecca L. Utz, Whitney Robinson, and Guohua Li. 2010.</w:t>
      </w:r>
      <w:r>
        <w:t xml:space="preserve"> </w:t>
      </w:r>
      <w:r>
        <w:t xml:space="preserve">“What Is a Cohort Effect? Comparison of Three Statistical Methods for Modeling Cohort Effects in Obesity Prevalence in the United States, 1971–2006.”</w:t>
      </w:r>
      <w:r>
        <w:t xml:space="preserve"> </w:t>
      </w:r>
      <w:r>
        <w:rPr>
          <w:i/>
          <w:iCs/>
        </w:rPr>
        <w:t xml:space="preserve">Social Science &amp; Medicine</w:t>
      </w:r>
      <w:r>
        <w:t xml:space="preserve"> </w:t>
      </w:r>
      <w:r>
        <w:t xml:space="preserve">70 (7): 1100–1108.</w:t>
      </w:r>
      <w:r>
        <w:t xml:space="preserve"> </w:t>
      </w:r>
      <w:hyperlink r:id="rId240">
        <w:r>
          <w:rPr>
            <w:rStyle w:val="Hyperlink"/>
          </w:rPr>
          <w:t xml:space="preserve">https://doi.org/10.1016/j.socscimed.2009.12.018</w:t>
        </w:r>
      </w:hyperlink>
      <w:r>
        <w:t xml:space="preserve">.</w:t>
      </w:r>
    </w:p>
    <w:bookmarkEnd w:id="241"/>
    <w:bookmarkStart w:id="242" w:name="ref-10.2307_2025096"/>
    <w:p>
      <w:pPr>
        <w:pStyle w:val="Bibliography"/>
      </w:pPr>
      <w:r>
        <w:t xml:space="preserve">Kim, Jaegwon. 1973.</w:t>
      </w:r>
      <w:r>
        <w:t xml:space="preserve"> </w:t>
      </w:r>
      <w:r>
        <w:t xml:space="preserve">“Causation, Nomic Subsumption, and the Concept of Event.”</w:t>
      </w:r>
      <w:r>
        <w:t xml:space="preserve"> </w:t>
      </w:r>
      <w:r>
        <w:rPr>
          <w:i/>
          <w:iCs/>
        </w:rPr>
        <w:t xml:space="preserve">Journal of Philosophy</w:t>
      </w:r>
      <w:r>
        <w:t xml:space="preserve"> </w:t>
      </w:r>
      <w:r>
        <w:t xml:space="preserve">70 (8): 217–36.</w:t>
      </w:r>
    </w:p>
    <w:bookmarkEnd w:id="242"/>
    <w:bookmarkStart w:id="244" w:name="ref-WOSA1982NC90700004"/>
    <w:p>
      <w:pPr>
        <w:pStyle w:val="Bibliography"/>
      </w:pPr>
      <w:r>
        <w:t xml:space="preserve">———. 1982.</w:t>
      </w:r>
      <w:r>
        <w:t xml:space="preserve"> </w:t>
      </w:r>
      <w:r>
        <w:t xml:space="preserve">“Psychophysical Supervenience.”</w:t>
      </w:r>
      <w:r>
        <w:t xml:space="preserve"> </w:t>
      </w:r>
      <w:r>
        <w:rPr>
          <w:i/>
          <w:iCs/>
        </w:rPr>
        <w:t xml:space="preserve">Philosophical Studies</w:t>
      </w:r>
      <w:r>
        <w:t xml:space="preserve"> </w:t>
      </w:r>
      <w:r>
        <w:t xml:space="preserve">41 (1): 51–70.</w:t>
      </w:r>
      <w:r>
        <w:t xml:space="preserve"> </w:t>
      </w:r>
      <w:hyperlink r:id="rId243">
        <w:r>
          <w:rPr>
            <w:rStyle w:val="Hyperlink"/>
          </w:rPr>
          <w:t xml:space="preserve">https://doi.org/10.1007/BF00353523</w:t>
        </w:r>
      </w:hyperlink>
      <w:r>
        <w:t xml:space="preserve">.</w:t>
      </w:r>
    </w:p>
    <w:bookmarkEnd w:id="244"/>
    <w:bookmarkStart w:id="246" w:name="ref-WOSA1984TV24600001"/>
    <w:p>
      <w:pPr>
        <w:pStyle w:val="Bibliography"/>
      </w:pPr>
      <w:r>
        <w:t xml:space="preserve">———. 1984.</w:t>
      </w:r>
      <w:r>
        <w:t xml:space="preserve"> </w:t>
      </w:r>
      <w:r>
        <w:t xml:space="preserve">“Concepts of Supervenience.”</w:t>
      </w:r>
      <w:r>
        <w:t xml:space="preserve"> </w:t>
      </w:r>
      <w:r>
        <w:rPr>
          <w:i/>
          <w:iCs/>
        </w:rPr>
        <w:t xml:space="preserve">Philosophy and Phenomenological Research</w:t>
      </w:r>
      <w:r>
        <w:t xml:space="preserve"> </w:t>
      </w:r>
      <w:r>
        <w:t xml:space="preserve">45 (2): 153–76.</w:t>
      </w:r>
      <w:r>
        <w:t xml:space="preserve"> </w:t>
      </w:r>
      <w:hyperlink r:id="rId245">
        <w:r>
          <w:rPr>
            <w:rStyle w:val="Hyperlink"/>
          </w:rPr>
          <w:t xml:space="preserve">https://doi.org/10.2307/2107423</w:t>
        </w:r>
      </w:hyperlink>
      <w:r>
        <w:t xml:space="preserve">.</w:t>
      </w:r>
    </w:p>
    <w:bookmarkEnd w:id="246"/>
    <w:bookmarkStart w:id="247" w:name="ref-Kripke1980"/>
    <w:p>
      <w:pPr>
        <w:pStyle w:val="Bibliography"/>
      </w:pPr>
      <w:r>
        <w:t xml:space="preserve">Kripke, Saul. (1972) 1980.</w:t>
      </w:r>
      <w:r>
        <w:t xml:space="preserve"> </w:t>
      </w:r>
      <w:r>
        <w:rPr>
          <w:i/>
          <w:iCs/>
        </w:rPr>
        <w:t xml:space="preserve">Naming and Necessity</w:t>
      </w:r>
      <w:r>
        <w:t xml:space="preserve">. Cambridge: Harvard University Press.</w:t>
      </w:r>
    </w:p>
    <w:bookmarkEnd w:id="247"/>
    <w:bookmarkStart w:id="248" w:name="ref-Kuhn1962"/>
    <w:p>
      <w:pPr>
        <w:pStyle w:val="Bibliography"/>
      </w:pPr>
      <w:r>
        <w:t xml:space="preserve">Kuhn, Thomas. 1962.</w:t>
      </w:r>
      <w:r>
        <w:t xml:space="preserve"> </w:t>
      </w:r>
      <w:r>
        <w:rPr>
          <w:i/>
          <w:iCs/>
        </w:rPr>
        <w:t xml:space="preserve">The Structure of Scientific Revolutions</w:t>
      </w:r>
      <w:r>
        <w:t xml:space="preserve">. Chicago: University of Chicago Press.</w:t>
      </w:r>
    </w:p>
    <w:bookmarkEnd w:id="248"/>
    <w:bookmarkStart w:id="249" w:name="ref-Lackey2008"/>
    <w:p>
      <w:pPr>
        <w:pStyle w:val="Bibliography"/>
      </w:pPr>
      <w:r>
        <w:t xml:space="preserve">Lackey, Jennifer. 2008.</w:t>
      </w:r>
      <w:r>
        <w:t xml:space="preserve"> </w:t>
      </w:r>
      <w:r>
        <w:rPr>
          <w:i/>
          <w:iCs/>
        </w:rPr>
        <w:t xml:space="preserve">Learning from Words: Testimony as a Source of Knowledge</w:t>
      </w:r>
      <w:r>
        <w:t xml:space="preserve">. Oxford: Oxford University Press.</w:t>
      </w:r>
    </w:p>
    <w:bookmarkEnd w:id="249"/>
    <w:bookmarkStart w:id="250" w:name="ref-Langton1993"/>
    <w:p>
      <w:pPr>
        <w:pStyle w:val="Bibliography"/>
      </w:pPr>
      <w:r>
        <w:t xml:space="preserve">Langton, Rae. 1993.</w:t>
      </w:r>
      <w:r>
        <w:t xml:space="preserve"> </w:t>
      </w:r>
      <w:r>
        <w:t xml:space="preserve">“Speech Acts and Unspeakable Acts.”</w:t>
      </w:r>
      <w:r>
        <w:t xml:space="preserve"> </w:t>
      </w:r>
      <w:r>
        <w:rPr>
          <w:i/>
          <w:iCs/>
        </w:rPr>
        <w:t xml:space="preserve">Philosophy &amp; Public Affairs</w:t>
      </w:r>
      <w:r>
        <w:t xml:space="preserve"> </w:t>
      </w:r>
      <w:r>
        <w:t xml:space="preserve">22 (4): 293–330.</w:t>
      </w:r>
    </w:p>
    <w:bookmarkEnd w:id="250"/>
    <w:bookmarkStart w:id="251" w:name="ref-10.2307_2025161"/>
    <w:p>
      <w:pPr>
        <w:pStyle w:val="Bibliography"/>
      </w:pPr>
      <w:r>
        <w:t xml:space="preserve">Levi, Isaac. 1974.</w:t>
      </w:r>
      <w:r>
        <w:t xml:space="preserve"> </w:t>
      </w:r>
      <w:r>
        <w:t xml:space="preserve">“On Indeterminate Probabilities.”</w:t>
      </w:r>
      <w:r>
        <w:t xml:space="preserve"> </w:t>
      </w:r>
      <w:r>
        <w:rPr>
          <w:i/>
          <w:iCs/>
        </w:rPr>
        <w:t xml:space="preserve">Journal of Philosophy</w:t>
      </w:r>
      <w:r>
        <w:t xml:space="preserve"> </w:t>
      </w:r>
      <w:r>
        <w:t xml:space="preserve">71 (13): 391–418.</w:t>
      </w:r>
    </w:p>
    <w:bookmarkEnd w:id="251"/>
    <w:bookmarkStart w:id="253" w:name="ref-WOSA1970ZE32700001"/>
    <w:p>
      <w:pPr>
        <w:pStyle w:val="Bibliography"/>
      </w:pPr>
      <w:r>
        <w:t xml:space="preserve">Lewis, David. 1970.</w:t>
      </w:r>
      <w:r>
        <w:t xml:space="preserve"> </w:t>
      </w:r>
      <w:r>
        <w:t xml:space="preserve">“How to Define Theoretical Terms.”</w:t>
      </w:r>
      <w:r>
        <w:t xml:space="preserve"> </w:t>
      </w:r>
      <w:r>
        <w:rPr>
          <w:i/>
          <w:iCs/>
        </w:rPr>
        <w:t xml:space="preserve">Journal of Philosophy</w:t>
      </w:r>
      <w:r>
        <w:t xml:space="preserve"> </w:t>
      </w:r>
      <w:r>
        <w:t xml:space="preserve">67 (13): 427–46.</w:t>
      </w:r>
      <w:r>
        <w:t xml:space="preserve"> </w:t>
      </w:r>
      <w:hyperlink r:id="rId252">
        <w:r>
          <w:rPr>
            <w:rStyle w:val="Hyperlink"/>
          </w:rPr>
          <w:t xml:space="preserve">https://doi.org/10.2307/2023861</w:t>
        </w:r>
      </w:hyperlink>
      <w:r>
        <w:t xml:space="preserve">.</w:t>
      </w:r>
    </w:p>
    <w:bookmarkEnd w:id="253"/>
    <w:bookmarkStart w:id="254" w:name="ref-10.2307_2024902"/>
    <w:p>
      <w:pPr>
        <w:pStyle w:val="Bibliography"/>
      </w:pPr>
      <w:r>
        <w:t xml:space="preserve">———. 1971.</w:t>
      </w:r>
      <w:r>
        <w:t xml:space="preserve"> </w:t>
      </w:r>
      <w:r>
        <w:t xml:space="preserve">“Counterparts of Persons and Their Bodies.”</w:t>
      </w:r>
      <w:r>
        <w:t xml:space="preserve"> </w:t>
      </w:r>
      <w:r>
        <w:rPr>
          <w:i/>
          <w:iCs/>
        </w:rPr>
        <w:t xml:space="preserve">Journal of Philosophy</w:t>
      </w:r>
      <w:r>
        <w:t xml:space="preserve"> </w:t>
      </w:r>
      <w:r>
        <w:t xml:space="preserve">68 (7): 203–11.</w:t>
      </w:r>
    </w:p>
    <w:bookmarkEnd w:id="254"/>
    <w:bookmarkStart w:id="255" w:name="ref-10.2307_2025310"/>
    <w:p>
      <w:pPr>
        <w:pStyle w:val="Bibliography"/>
      </w:pPr>
      <w:r>
        <w:t xml:space="preserve">———. 1973.</w:t>
      </w:r>
      <w:r>
        <w:t xml:space="preserve"> </w:t>
      </w:r>
      <w:r>
        <w:t xml:space="preserve">“Causation.”</w:t>
      </w:r>
      <w:r>
        <w:t xml:space="preserve"> </w:t>
      </w:r>
      <w:r>
        <w:rPr>
          <w:i/>
          <w:iCs/>
        </w:rPr>
        <w:t xml:space="preserve">Journal of Philosophy</w:t>
      </w:r>
      <w:r>
        <w:t xml:space="preserve"> </w:t>
      </w:r>
      <w:r>
        <w:t xml:space="preserve">70 (17): 556–67.</w:t>
      </w:r>
    </w:p>
    <w:bookmarkEnd w:id="255"/>
    <w:bookmarkStart w:id="256" w:name="ref-WOSA1979HJ57600007"/>
    <w:p>
      <w:pPr>
        <w:pStyle w:val="Bibliography"/>
      </w:pPr>
      <w:r>
        <w:t xml:space="preserve">———. 1979.</w:t>
      </w:r>
      <w:r>
        <w:t xml:space="preserve"> </w:t>
      </w:r>
      <w:r>
        <w:t xml:space="preserve">“Scorekeeping in a Language Game.”</w:t>
      </w:r>
      <w:r>
        <w:t xml:space="preserve"> </w:t>
      </w:r>
      <w:r>
        <w:rPr>
          <w:i/>
          <w:iCs/>
        </w:rPr>
        <w:t xml:space="preserve">Journal of Philosophical Logic</w:t>
      </w:r>
      <w:r>
        <w:t xml:space="preserve"> </w:t>
      </w:r>
      <w:r>
        <w:t xml:space="preserve">8 (3): 339–59.</w:t>
      </w:r>
    </w:p>
    <w:bookmarkEnd w:id="256"/>
    <w:bookmarkStart w:id="258" w:name="ref-WOSA1983RR51600001"/>
    <w:p>
      <w:pPr>
        <w:pStyle w:val="Bibliography"/>
      </w:pPr>
      <w:r>
        <w:t xml:space="preserve">———. 1983.</w:t>
      </w:r>
      <w:r>
        <w:t xml:space="preserve"> </w:t>
      </w:r>
      <w:r>
        <w:t xml:space="preserve">“New Work for a Theory of Universals.”</w:t>
      </w:r>
      <w:r>
        <w:t xml:space="preserve"> </w:t>
      </w:r>
      <w:r>
        <w:rPr>
          <w:i/>
          <w:iCs/>
        </w:rPr>
        <w:t xml:space="preserve">Australasian Journal of Philosophy</w:t>
      </w:r>
      <w:r>
        <w:t xml:space="preserve"> </w:t>
      </w:r>
      <w:r>
        <w:t xml:space="preserve">61 (4): 343–77.</w:t>
      </w:r>
      <w:r>
        <w:t xml:space="preserve"> </w:t>
      </w:r>
      <w:hyperlink r:id="rId257">
        <w:r>
          <w:rPr>
            <w:rStyle w:val="Hyperlink"/>
          </w:rPr>
          <w:t xml:space="preserve">https://doi.org/10.1080/00048408312341131</w:t>
        </w:r>
      </w:hyperlink>
      <w:r>
        <w:t xml:space="preserve">.</w:t>
      </w:r>
    </w:p>
    <w:bookmarkEnd w:id="258"/>
    <w:bookmarkStart w:id="260" w:name="ref-WOSA1996VY21200001"/>
    <w:p>
      <w:pPr>
        <w:pStyle w:val="Bibliography"/>
      </w:pPr>
      <w:r>
        <w:t xml:space="preserve">———. 1996.</w:t>
      </w:r>
      <w:r>
        <w:t xml:space="preserve"> </w:t>
      </w:r>
      <w:r>
        <w:t xml:space="preserve">“Elusive Knowledge.”</w:t>
      </w:r>
      <w:r>
        <w:t xml:space="preserve"> </w:t>
      </w:r>
      <w:r>
        <w:rPr>
          <w:i/>
          <w:iCs/>
        </w:rPr>
        <w:t xml:space="preserve">Australasian Journal of Philosophy</w:t>
      </w:r>
      <w:r>
        <w:t xml:space="preserve"> </w:t>
      </w:r>
      <w:r>
        <w:t xml:space="preserve">74 (4): 549–67.</w:t>
      </w:r>
      <w:r>
        <w:t xml:space="preserve"> </w:t>
      </w:r>
      <w:hyperlink r:id="rId259">
        <w:r>
          <w:rPr>
            <w:rStyle w:val="Hyperlink"/>
          </w:rPr>
          <w:t xml:space="preserve">https://doi.org/10.1080/00048409612347521</w:t>
        </w:r>
      </w:hyperlink>
      <w:r>
        <w:t xml:space="preserve">.</w:t>
      </w:r>
    </w:p>
    <w:bookmarkEnd w:id="260"/>
    <w:bookmarkStart w:id="262" w:name="ref-WOS000089124200002"/>
    <w:p>
      <w:pPr>
        <w:pStyle w:val="Bibliography"/>
      </w:pPr>
      <w:r>
        <w:t xml:space="preserve">———. 2000.</w:t>
      </w:r>
      <w:r>
        <w:t xml:space="preserve"> </w:t>
      </w:r>
      <w:r>
        <w:t xml:space="preserve">“Causation as Influence.”</w:t>
      </w:r>
      <w:r>
        <w:t xml:space="preserve"> </w:t>
      </w:r>
      <w:r>
        <w:rPr>
          <w:i/>
          <w:iCs/>
        </w:rPr>
        <w:t xml:space="preserve">Journal of Philosophy</w:t>
      </w:r>
      <w:r>
        <w:t xml:space="preserve"> </w:t>
      </w:r>
      <w:r>
        <w:t xml:space="preserve">97 (4): 182–97.</w:t>
      </w:r>
      <w:r>
        <w:t xml:space="preserve"> </w:t>
      </w:r>
      <w:hyperlink r:id="rId261">
        <w:r>
          <w:rPr>
            <w:rStyle w:val="Hyperlink"/>
          </w:rPr>
          <w:t xml:space="preserve">https://doi.org/10.2307/2678389</w:t>
        </w:r>
      </w:hyperlink>
      <w:r>
        <w:t xml:space="preserve">.</w:t>
      </w:r>
    </w:p>
    <w:bookmarkEnd w:id="262"/>
    <w:bookmarkStart w:id="263" w:name="ref-MacFarlane2014"/>
    <w:p>
      <w:pPr>
        <w:pStyle w:val="Bibliography"/>
      </w:pPr>
      <w:r>
        <w:t xml:space="preserve">MacFarlane, John. 2014.</w:t>
      </w:r>
      <w:r>
        <w:t xml:space="preserve"> </w:t>
      </w:r>
      <w:r>
        <w:rPr>
          <w:i/>
          <w:iCs/>
        </w:rPr>
        <w:t xml:space="preserve">Assessment Sensitivity</w:t>
      </w:r>
      <w:r>
        <w:t xml:space="preserve">. Oxford: Oxford University Press.</w:t>
      </w:r>
    </w:p>
    <w:bookmarkEnd w:id="263"/>
    <w:bookmarkStart w:id="265" w:name="ref-WOS000087305900001"/>
    <w:p>
      <w:pPr>
        <w:pStyle w:val="Bibliography"/>
      </w:pPr>
      <w:r>
        <w:t xml:space="preserve">Machamer, Peter, Lindley Darden, and Carl F. Craver. 2000.</w:t>
      </w:r>
      <w:r>
        <w:t xml:space="preserve"> </w:t>
      </w:r>
      <w:r>
        <w:t xml:space="preserve">“Thinking about Mechanisms.”</w:t>
      </w:r>
      <w:r>
        <w:t xml:space="preserve"> </w:t>
      </w:r>
      <w:r>
        <w:rPr>
          <w:i/>
          <w:iCs/>
        </w:rPr>
        <w:t xml:space="preserve">Philosophy of Science</w:t>
      </w:r>
      <w:r>
        <w:t xml:space="preserve"> </w:t>
      </w:r>
      <w:r>
        <w:t xml:space="preserve">67 (1): 1–25.</w:t>
      </w:r>
      <w:r>
        <w:t xml:space="preserve"> </w:t>
      </w:r>
      <w:hyperlink r:id="rId264">
        <w:r>
          <w:rPr>
            <w:rStyle w:val="Hyperlink"/>
          </w:rPr>
          <w:t xml:space="preserve">https://doi.org/10.1086/392759</w:t>
        </w:r>
      </w:hyperlink>
      <w:r>
        <w:t xml:space="preserve">.</w:t>
      </w:r>
    </w:p>
    <w:bookmarkEnd w:id="265"/>
    <w:bookmarkStart w:id="267" w:name="ref-WOSA1994MT56900001"/>
    <w:p>
      <w:pPr>
        <w:pStyle w:val="Bibliography"/>
      </w:pPr>
      <w:r>
        <w:t xml:space="preserve">Martin, C. B. 1994.</w:t>
      </w:r>
      <w:r>
        <w:t xml:space="preserve"> </w:t>
      </w:r>
      <w:r>
        <w:t xml:space="preserve">“Dispositions and Conditionals.”</w:t>
      </w:r>
      <w:r>
        <w:t xml:space="preserve"> </w:t>
      </w:r>
      <w:r>
        <w:rPr>
          <w:i/>
          <w:iCs/>
        </w:rPr>
        <w:t xml:space="preserve">Philosophical Quarterly</w:t>
      </w:r>
      <w:r>
        <w:t xml:space="preserve"> </w:t>
      </w:r>
      <w:r>
        <w:t xml:space="preserve">44 (174): 1–8.</w:t>
      </w:r>
      <w:r>
        <w:t xml:space="preserve"> </w:t>
      </w:r>
      <w:hyperlink r:id="rId266">
        <w:r>
          <w:rPr>
            <w:rStyle w:val="Hyperlink"/>
          </w:rPr>
          <w:t xml:space="preserve">https://doi.org/10.2307/2220143</w:t>
        </w:r>
      </w:hyperlink>
      <w:r>
        <w:t xml:space="preserve">.</w:t>
      </w:r>
    </w:p>
    <w:bookmarkEnd w:id="267"/>
    <w:bookmarkStart w:id="269" w:name="ref-WOSA1989AA09400006"/>
    <w:p>
      <w:pPr>
        <w:pStyle w:val="Bibliography"/>
      </w:pPr>
      <w:r>
        <w:t xml:space="preserve">Millikan, Ruth Garrett. 1989.</w:t>
      </w:r>
      <w:r>
        <w:t xml:space="preserve"> </w:t>
      </w:r>
      <w:r>
        <w:t xml:space="preserve">“In Defense of Proper Functions.”</w:t>
      </w:r>
      <w:r>
        <w:t xml:space="preserve"> </w:t>
      </w:r>
      <w:r>
        <w:rPr>
          <w:i/>
          <w:iCs/>
        </w:rPr>
        <w:t xml:space="preserve">Philosophy of Science</w:t>
      </w:r>
      <w:r>
        <w:t xml:space="preserve"> </w:t>
      </w:r>
      <w:r>
        <w:t xml:space="preserve">56 (2): 288–302.</w:t>
      </w:r>
      <w:r>
        <w:t xml:space="preserve"> </w:t>
      </w:r>
      <w:hyperlink r:id="rId268">
        <w:r>
          <w:rPr>
            <w:rStyle w:val="Hyperlink"/>
          </w:rPr>
          <w:t xml:space="preserve">https://doi.org/10.1086/289488</w:t>
        </w:r>
      </w:hyperlink>
      <w:r>
        <w:t xml:space="preserve">.</w:t>
      </w:r>
    </w:p>
    <w:bookmarkEnd w:id="269"/>
    <w:bookmarkStart w:id="271" w:name="ref-WOSA1991FQ15000002"/>
    <w:p>
      <w:pPr>
        <w:pStyle w:val="Bibliography"/>
      </w:pPr>
      <w:r>
        <w:t xml:space="preserve">Neander, Karen. 1991.</w:t>
      </w:r>
      <w:r>
        <w:t xml:space="preserve"> </w:t>
      </w:r>
      <w:r>
        <w:t xml:space="preserve">“Functions as Selected Effects: The Conceptual Analyst’s Defense.”</w:t>
      </w:r>
      <w:r>
        <w:t xml:space="preserve"> </w:t>
      </w:r>
      <w:r>
        <w:rPr>
          <w:i/>
          <w:iCs/>
        </w:rPr>
        <w:t xml:space="preserve">Philosophy of Science</w:t>
      </w:r>
      <w:r>
        <w:t xml:space="preserve"> </w:t>
      </w:r>
      <w:r>
        <w:t xml:space="preserve">58 (2): 168–84.</w:t>
      </w:r>
      <w:r>
        <w:t xml:space="preserve"> </w:t>
      </w:r>
      <w:hyperlink r:id="rId270">
        <w:r>
          <w:rPr>
            <w:rStyle w:val="Hyperlink"/>
          </w:rPr>
          <w:t xml:space="preserve">https://doi.org/10.1086/289610</w:t>
        </w:r>
      </w:hyperlink>
      <w:r>
        <w:t xml:space="preserve">.</w:t>
      </w:r>
    </w:p>
    <w:bookmarkEnd w:id="271"/>
    <w:bookmarkStart w:id="273" w:name="ref-WOS000575210400003"/>
    <w:p>
      <w:pPr>
        <w:pStyle w:val="Bibliography"/>
      </w:pPr>
      <w:r>
        <w:t xml:space="preserve">Oberman, Kieran. 2020.</w:t>
      </w:r>
      <w:r>
        <w:t xml:space="preserve"> </w:t>
      </w:r>
      <w:r>
        <w:t xml:space="preserve">“Killing and Rescuing: Why Necessity Must Be Rethought.”</w:t>
      </w:r>
      <w:r>
        <w:t xml:space="preserve"> </w:t>
      </w:r>
      <w:r>
        <w:rPr>
          <w:i/>
          <w:iCs/>
        </w:rPr>
        <w:t xml:space="preserve">Philosophical Review</w:t>
      </w:r>
      <w:r>
        <w:t xml:space="preserve"> </w:t>
      </w:r>
      <w:r>
        <w:t xml:space="preserve">129 (3): 433–63.</w:t>
      </w:r>
      <w:r>
        <w:t xml:space="preserve"> </w:t>
      </w:r>
      <w:hyperlink r:id="rId272">
        <w:r>
          <w:rPr>
            <w:rStyle w:val="Hyperlink"/>
          </w:rPr>
          <w:t xml:space="preserve">https://doi.org/10.1215/00318108-8311248</w:t>
        </w:r>
      </w:hyperlink>
      <w:r>
        <w:t xml:space="preserve">.</w:t>
      </w:r>
    </w:p>
    <w:bookmarkEnd w:id="273"/>
    <w:bookmarkStart w:id="275" w:name="ref-WOSA1971Y036400001"/>
    <w:p>
      <w:pPr>
        <w:pStyle w:val="Bibliography"/>
      </w:pPr>
      <w:r>
        <w:t xml:space="preserve">Parfit, Derek. 1971.</w:t>
      </w:r>
      <w:r>
        <w:t xml:space="preserve"> </w:t>
      </w:r>
      <w:r>
        <w:t xml:space="preserve">“Personal Identity.”</w:t>
      </w:r>
      <w:r>
        <w:t xml:space="preserve"> </w:t>
      </w:r>
      <w:r>
        <w:rPr>
          <w:i/>
          <w:iCs/>
        </w:rPr>
        <w:t xml:space="preserve">Philosophical Review</w:t>
      </w:r>
      <w:r>
        <w:t xml:space="preserve"> </w:t>
      </w:r>
      <w:r>
        <w:t xml:space="preserve">80 (1): 3–27.</w:t>
      </w:r>
      <w:r>
        <w:t xml:space="preserve"> </w:t>
      </w:r>
      <w:hyperlink r:id="rId274">
        <w:r>
          <w:rPr>
            <w:rStyle w:val="Hyperlink"/>
          </w:rPr>
          <w:t xml:space="preserve">https://doi.org/10.2307/2184309</w:t>
        </w:r>
      </w:hyperlink>
      <w:r>
        <w:t xml:space="preserve">.</w:t>
      </w:r>
    </w:p>
    <w:bookmarkEnd w:id="275"/>
    <w:bookmarkStart w:id="277" w:name="ref-WOSA1977EA01800002"/>
    <w:p>
      <w:pPr>
        <w:pStyle w:val="Bibliography"/>
      </w:pPr>
      <w:r>
        <w:t xml:space="preserve">Perry, John. 1977.</w:t>
      </w:r>
      <w:r>
        <w:t xml:space="preserve"> </w:t>
      </w:r>
      <w:r>
        <w:t xml:space="preserve">“Frege on Demonstratives.”</w:t>
      </w:r>
      <w:r>
        <w:t xml:space="preserve"> </w:t>
      </w:r>
      <w:r>
        <w:rPr>
          <w:i/>
          <w:iCs/>
        </w:rPr>
        <w:t xml:space="preserve">Philosophical Review</w:t>
      </w:r>
      <w:r>
        <w:t xml:space="preserve"> </w:t>
      </w:r>
      <w:r>
        <w:t xml:space="preserve">86 (4): 474–97.</w:t>
      </w:r>
      <w:r>
        <w:t xml:space="preserve"> </w:t>
      </w:r>
      <w:hyperlink r:id="rId276">
        <w:r>
          <w:rPr>
            <w:rStyle w:val="Hyperlink"/>
          </w:rPr>
          <w:t xml:space="preserve">https://doi.org/10.2307/2184564</w:t>
        </w:r>
      </w:hyperlink>
      <w:r>
        <w:t xml:space="preserve">.</w:t>
      </w:r>
    </w:p>
    <w:bookmarkEnd w:id="277"/>
    <w:bookmarkStart w:id="279" w:name="ref-WOS000165361800002"/>
    <w:p>
      <w:pPr>
        <w:pStyle w:val="Bibliography"/>
      </w:pPr>
      <w:r>
        <w:t xml:space="preserve">Pryor, James. 2000.</w:t>
      </w:r>
      <w:r>
        <w:t xml:space="preserve"> </w:t>
      </w:r>
      <w:r>
        <w:t xml:space="preserve">“The Skeptic and the Dogmatist.”</w:t>
      </w:r>
      <w:r>
        <w:t xml:space="preserve"> </w:t>
      </w:r>
      <w:r>
        <w:rPr>
          <w:i/>
          <w:iCs/>
        </w:rPr>
        <w:t xml:space="preserve">Noûs</w:t>
      </w:r>
      <w:r>
        <w:t xml:space="preserve"> </w:t>
      </w:r>
      <w:r>
        <w:t xml:space="preserve">34 (4): 517–49.</w:t>
      </w:r>
      <w:r>
        <w:t xml:space="preserve"> </w:t>
      </w:r>
      <w:hyperlink r:id="rId278">
        <w:r>
          <w:rPr>
            <w:rStyle w:val="Hyperlink"/>
          </w:rPr>
          <w:t xml:space="preserve">https://doi.org/10.1111/0029-4624.00277</w:t>
        </w:r>
      </w:hyperlink>
      <w:r>
        <w:t xml:space="preserve">.</w:t>
      </w:r>
    </w:p>
    <w:bookmarkEnd w:id="279"/>
    <w:bookmarkStart w:id="280" w:name="ref-10.2307_2025079"/>
    <w:p>
      <w:pPr>
        <w:pStyle w:val="Bibliography"/>
      </w:pPr>
      <w:r>
        <w:t xml:space="preserve">Putnam, Hilary. 1973.</w:t>
      </w:r>
      <w:r>
        <w:t xml:space="preserve"> </w:t>
      </w:r>
      <w:r>
        <w:t xml:space="preserve">“Meaning and Reference.”</w:t>
      </w:r>
      <w:r>
        <w:t xml:space="preserve"> </w:t>
      </w:r>
      <w:r>
        <w:rPr>
          <w:i/>
          <w:iCs/>
        </w:rPr>
        <w:t xml:space="preserve">Journal of Philosophy</w:t>
      </w:r>
      <w:r>
        <w:t xml:space="preserve"> </w:t>
      </w:r>
      <w:r>
        <w:t xml:space="preserve">70 (19): 699–711.</w:t>
      </w:r>
    </w:p>
    <w:bookmarkEnd w:id="280"/>
    <w:bookmarkStart w:id="281" w:name="ref-Quine1960"/>
    <w:p>
      <w:pPr>
        <w:pStyle w:val="Bibliography"/>
      </w:pPr>
      <w:r>
        <w:t xml:space="preserve">Quine, W. V. O. 1960.</w:t>
      </w:r>
      <w:r>
        <w:t xml:space="preserve"> </w:t>
      </w:r>
      <w:r>
        <w:rPr>
          <w:i/>
          <w:iCs/>
        </w:rPr>
        <w:t xml:space="preserve">Word and Object</w:t>
      </w:r>
      <w:r>
        <w:t xml:space="preserve">. Cambridge, MA.: MIT Press.</w:t>
      </w:r>
    </w:p>
    <w:bookmarkEnd w:id="281"/>
    <w:bookmarkStart w:id="282" w:name="ref-Rawls1971"/>
    <w:p>
      <w:pPr>
        <w:pStyle w:val="Bibliography"/>
      </w:pPr>
      <w:r>
        <w:t xml:space="preserve">Rawls, John. 1971.</w:t>
      </w:r>
      <w:r>
        <w:t xml:space="preserve"> </w:t>
      </w:r>
      <w:r>
        <w:rPr>
          <w:i/>
          <w:iCs/>
        </w:rPr>
        <w:t xml:space="preserve">A Theory of Justice</w:t>
      </w:r>
      <w:r>
        <w:t xml:space="preserve">. Cambridge, MA: Harvard University Press.</w:t>
      </w:r>
    </w:p>
    <w:bookmarkEnd w:id="282"/>
    <w:bookmarkStart w:id="283" w:name="ref-WOSA1985APA8500001"/>
    <w:p>
      <w:pPr>
        <w:pStyle w:val="Bibliography"/>
      </w:pPr>
      <w:r>
        <w:t xml:space="preserve">———. 1985.</w:t>
      </w:r>
      <w:r>
        <w:t xml:space="preserve"> </w:t>
      </w:r>
      <w:r>
        <w:t xml:space="preserve">“Justice as Fairness: Political Not Metaphysical.”</w:t>
      </w:r>
      <w:r>
        <w:t xml:space="preserve"> </w:t>
      </w:r>
      <w:r>
        <w:rPr>
          <w:i/>
          <w:iCs/>
        </w:rPr>
        <w:t xml:space="preserve">Philosophy &amp; Public Affairs</w:t>
      </w:r>
      <w:r>
        <w:t xml:space="preserve"> </w:t>
      </w:r>
      <w:r>
        <w:t xml:space="preserve">14 (3): 223–51.</w:t>
      </w:r>
    </w:p>
    <w:bookmarkEnd w:id="283"/>
    <w:bookmarkStart w:id="284" w:name="ref-Rawls2001"/>
    <w:p>
      <w:pPr>
        <w:pStyle w:val="Bibliography"/>
      </w:pPr>
      <w:r>
        <w:t xml:space="preserve">———. 2001.</w:t>
      </w:r>
      <w:r>
        <w:t xml:space="preserve"> </w:t>
      </w:r>
      <w:r>
        <w:rPr>
          <w:i/>
          <w:iCs/>
        </w:rPr>
        <w:t xml:space="preserve">Justice as Fairness: A Restatement</w:t>
      </w:r>
      <w:r>
        <w:t xml:space="preserve">. Edited by Erin Kelly. Cambridge, MA: Belknap Press.</w:t>
      </w:r>
    </w:p>
    <w:bookmarkEnd w:id="284"/>
    <w:bookmarkStart w:id="286" w:name="ref-WOS000453528500004"/>
    <w:p>
      <w:pPr>
        <w:pStyle w:val="Bibliography"/>
      </w:pPr>
      <w:r>
        <w:t xml:space="preserve">Rosenblatt, Lucas. 2017.</w:t>
      </w:r>
      <w:r>
        <w:t xml:space="preserve"> </w:t>
      </w:r>
      <w:r>
        <w:t xml:space="preserve">“Naive Validity, Internalization, and Substructural Approaches to Paradox.”</w:t>
      </w:r>
      <w:r>
        <w:t xml:space="preserve"> </w:t>
      </w:r>
      <w:r>
        <w:rPr>
          <w:i/>
          <w:iCs/>
        </w:rPr>
        <w:t xml:space="preserve">Ergo</w:t>
      </w:r>
      <w:r>
        <w:t xml:space="preserve"> </w:t>
      </w:r>
      <w:r>
        <w:t xml:space="preserve">4: 93–120.</w:t>
      </w:r>
      <w:r>
        <w:t xml:space="preserve"> </w:t>
      </w:r>
      <w:hyperlink r:id="rId285">
        <w:r>
          <w:rPr>
            <w:rStyle w:val="Hyperlink"/>
          </w:rPr>
          <w:t xml:space="preserve">https://doi.org/10.3998/ergo.12405314.0004.004</w:t>
        </w:r>
      </w:hyperlink>
      <w:r>
        <w:t xml:space="preserve">.</w:t>
      </w:r>
    </w:p>
    <w:bookmarkEnd w:id="286"/>
    <w:bookmarkStart w:id="288" w:name="ref-WOS000272855000002"/>
    <w:p>
      <w:pPr>
        <w:pStyle w:val="Bibliography"/>
      </w:pPr>
      <w:r>
        <w:t xml:space="preserve">Schaffer, Jonathan. 2010.</w:t>
      </w:r>
      <w:r>
        <w:t xml:space="preserve"> </w:t>
      </w:r>
      <w:r>
        <w:t xml:space="preserve">“Monism: The Priority of the Whole.”</w:t>
      </w:r>
      <w:r>
        <w:t xml:space="preserve"> </w:t>
      </w:r>
      <w:r>
        <w:rPr>
          <w:i/>
          <w:iCs/>
        </w:rPr>
        <w:t xml:space="preserve">Philosophical Review</w:t>
      </w:r>
      <w:r>
        <w:t xml:space="preserve"> </w:t>
      </w:r>
      <w:r>
        <w:t xml:space="preserve">119 (1): 31–76.</w:t>
      </w:r>
      <w:r>
        <w:t xml:space="preserve"> </w:t>
      </w:r>
      <w:hyperlink r:id="rId287">
        <w:r>
          <w:rPr>
            <w:rStyle w:val="Hyperlink"/>
          </w:rPr>
          <w:t xml:space="preserve">https://doi.org/10.1215/00318108-2009-025</w:t>
        </w:r>
      </w:hyperlink>
      <w:r>
        <w:t xml:space="preserve">.</w:t>
      </w:r>
    </w:p>
    <w:bookmarkEnd w:id="288"/>
    <w:bookmarkStart w:id="290" w:name="ref-WOS000224335200001"/>
    <w:p>
      <w:pPr>
        <w:pStyle w:val="Bibliography"/>
      </w:pPr>
      <w:r>
        <w:t xml:space="preserve">Shah, Nishi. 2003.</w:t>
      </w:r>
      <w:r>
        <w:t xml:space="preserve"> </w:t>
      </w:r>
      <w:r>
        <w:t xml:space="preserve">“How Truth Governs Belief.”</w:t>
      </w:r>
      <w:r>
        <w:t xml:space="preserve"> </w:t>
      </w:r>
      <w:r>
        <w:rPr>
          <w:i/>
          <w:iCs/>
        </w:rPr>
        <w:t xml:space="preserve">Philosophical Review</w:t>
      </w:r>
      <w:r>
        <w:t xml:space="preserve"> </w:t>
      </w:r>
      <w:r>
        <w:t xml:space="preserve">112 (4): 447–82.</w:t>
      </w:r>
      <w:r>
        <w:t xml:space="preserve"> </w:t>
      </w:r>
      <w:hyperlink r:id="rId289">
        <w:r>
          <w:rPr>
            <w:rStyle w:val="Hyperlink"/>
          </w:rPr>
          <w:t xml:space="preserve">https://doi.org/10.1215/00318108-112-4-447</w:t>
        </w:r>
      </w:hyperlink>
      <w:r>
        <w:t xml:space="preserve">.</w:t>
      </w:r>
    </w:p>
    <w:bookmarkEnd w:id="290"/>
    <w:bookmarkStart w:id="291" w:name="ref-Sider2020"/>
    <w:p>
      <w:pPr>
        <w:pStyle w:val="Bibliography"/>
      </w:pPr>
      <w:r>
        <w:t xml:space="preserve">Sider, Theodore. 2020.</w:t>
      </w:r>
      <w:r>
        <w:t xml:space="preserve"> </w:t>
      </w:r>
      <w:r>
        <w:rPr>
          <w:i/>
          <w:iCs/>
        </w:rPr>
        <w:t xml:space="preserve">The Tools of Metaphysics and the Metaphysics of Science</w:t>
      </w:r>
      <w:r>
        <w:t xml:space="preserve">. Oxford: Oxford University Press.</w:t>
      </w:r>
    </w:p>
    <w:bookmarkEnd w:id="291"/>
    <w:bookmarkStart w:id="292" w:name="ref-WOSA1972Z066400001"/>
    <w:p>
      <w:pPr>
        <w:pStyle w:val="Bibliography"/>
      </w:pPr>
      <w:r>
        <w:t xml:space="preserve">Singer, Peter. 1972.</w:t>
      </w:r>
      <w:r>
        <w:t xml:space="preserve"> </w:t>
      </w:r>
      <w:r>
        <w:t xml:space="preserve">“Famine, Affluence, and Morality.”</w:t>
      </w:r>
      <w:r>
        <w:t xml:space="preserve"> </w:t>
      </w:r>
      <w:r>
        <w:rPr>
          <w:i/>
          <w:iCs/>
        </w:rPr>
        <w:t xml:space="preserve">Philosophy &amp; Public Affairs</w:t>
      </w:r>
      <w:r>
        <w:t xml:space="preserve"> </w:t>
      </w:r>
      <w:r>
        <w:t xml:space="preserve">1 (3): 229–43.</w:t>
      </w:r>
    </w:p>
    <w:bookmarkEnd w:id="292"/>
    <w:bookmarkStart w:id="294" w:name="ref-WOSA1959CGZ6600001"/>
    <w:p>
      <w:pPr>
        <w:pStyle w:val="Bibliography"/>
      </w:pPr>
      <w:r>
        <w:t xml:space="preserve">Smart, J. J. C. 1959.</w:t>
      </w:r>
      <w:r>
        <w:t xml:space="preserve"> </w:t>
      </w:r>
      <w:r>
        <w:t xml:space="preserve">“Sensations and Brain Processes.”</w:t>
      </w:r>
      <w:r>
        <w:t xml:space="preserve"> </w:t>
      </w:r>
      <w:r>
        <w:rPr>
          <w:i/>
          <w:iCs/>
        </w:rPr>
        <w:t xml:space="preserve">Philosophical Review</w:t>
      </w:r>
      <w:r>
        <w:t xml:space="preserve"> </w:t>
      </w:r>
      <w:r>
        <w:t xml:space="preserve">68 (2): 141–56.</w:t>
      </w:r>
      <w:r>
        <w:t xml:space="preserve"> </w:t>
      </w:r>
      <w:hyperlink r:id="rId293">
        <w:r>
          <w:rPr>
            <w:rStyle w:val="Hyperlink"/>
          </w:rPr>
          <w:t xml:space="preserve">https://doi.org/10.2307/2182164</w:t>
        </w:r>
      </w:hyperlink>
      <w:r>
        <w:t xml:space="preserve">.</w:t>
      </w:r>
    </w:p>
    <w:bookmarkEnd w:id="294"/>
    <w:bookmarkStart w:id="296" w:name="ref-WOS000088616400001"/>
    <w:p>
      <w:pPr>
        <w:pStyle w:val="Bibliography"/>
      </w:pPr>
      <w:r>
        <w:t xml:space="preserve">Stanley, Jason, and Zoltán Gendler Szabó. 2000.</w:t>
      </w:r>
      <w:r>
        <w:t xml:space="preserve"> </w:t>
      </w:r>
      <w:r>
        <w:t xml:space="preserve">“On Quantifier Domain Restriction.”</w:t>
      </w:r>
      <w:r>
        <w:t xml:space="preserve"> </w:t>
      </w:r>
      <w:r>
        <w:rPr>
          <w:i/>
          <w:iCs/>
        </w:rPr>
        <w:t xml:space="preserve">Mind and Language</w:t>
      </w:r>
      <w:r>
        <w:t xml:space="preserve"> </w:t>
      </w:r>
      <w:r>
        <w:t xml:space="preserve">15 (2-3): 219–61.</w:t>
      </w:r>
      <w:r>
        <w:t xml:space="preserve"> </w:t>
      </w:r>
      <w:hyperlink r:id="rId295">
        <w:r>
          <w:rPr>
            <w:rStyle w:val="Hyperlink"/>
          </w:rPr>
          <w:t xml:space="preserve">https://doi.org/10.1111/1468-0017.00130</w:t>
        </w:r>
      </w:hyperlink>
      <w:r>
        <w:t xml:space="preserve">.</w:t>
      </w:r>
    </w:p>
    <w:bookmarkEnd w:id="296"/>
    <w:bookmarkStart w:id="298" w:name="ref-WOS000170277300002"/>
    <w:p>
      <w:pPr>
        <w:pStyle w:val="Bibliography"/>
      </w:pPr>
      <w:r>
        <w:t xml:space="preserve">Stanley, Jason, and Timothy Williamson. 2001.</w:t>
      </w:r>
      <w:r>
        <w:t xml:space="preserve"> </w:t>
      </w:r>
      <w:r>
        <w:t xml:space="preserve">“Knowing How.”</w:t>
      </w:r>
      <w:r>
        <w:t xml:space="preserve"> </w:t>
      </w:r>
      <w:r>
        <w:rPr>
          <w:i/>
          <w:iCs/>
        </w:rPr>
        <w:t xml:space="preserve">Journal of Philosophy</w:t>
      </w:r>
      <w:r>
        <w:t xml:space="preserve"> </w:t>
      </w:r>
      <w:r>
        <w:t xml:space="preserve">98 (8): 411–44.</w:t>
      </w:r>
      <w:r>
        <w:t xml:space="preserve"> </w:t>
      </w:r>
      <w:hyperlink r:id="rId297">
        <w:r>
          <w:rPr>
            <w:rStyle w:val="Hyperlink"/>
          </w:rPr>
          <w:t xml:space="preserve">https://doi.org/10.2307/2678403</w:t>
        </w:r>
      </w:hyperlink>
      <w:r>
        <w:t xml:space="preserve">.</w:t>
      </w:r>
    </w:p>
    <w:bookmarkEnd w:id="298"/>
    <w:bookmarkStart w:id="300" w:name="ref-WOS000255667800003"/>
    <w:p>
      <w:pPr>
        <w:pStyle w:val="Bibliography"/>
      </w:pPr>
      <w:r>
        <w:t xml:space="preserve">Stephenson, Tamina. 2007.</w:t>
      </w:r>
      <w:r>
        <w:t xml:space="preserve"> </w:t>
      </w:r>
      <w:r>
        <w:t xml:space="preserve">“Judge Dependence, Epistemic Modals, and Predicates of Personal Taste.”</w:t>
      </w:r>
      <w:r>
        <w:t xml:space="preserve"> </w:t>
      </w:r>
      <w:r>
        <w:rPr>
          <w:i/>
          <w:iCs/>
        </w:rPr>
        <w:t xml:space="preserve">Linguistics and Philosophy</w:t>
      </w:r>
      <w:r>
        <w:t xml:space="preserve"> </w:t>
      </w:r>
      <w:r>
        <w:t xml:space="preserve">30 (4): 487–525.</w:t>
      </w:r>
      <w:r>
        <w:t xml:space="preserve"> </w:t>
      </w:r>
      <w:hyperlink r:id="rId299">
        <w:r>
          <w:rPr>
            <w:rStyle w:val="Hyperlink"/>
          </w:rPr>
          <w:t xml:space="preserve">https://doi.org/10.1007/s10988-008-9023-4</w:t>
        </w:r>
      </w:hyperlink>
      <w:r>
        <w:t xml:space="preserve">.</w:t>
      </w:r>
    </w:p>
    <w:bookmarkEnd w:id="300"/>
    <w:bookmarkStart w:id="302" w:name="ref-WOSA1976EK38300003"/>
    <w:p>
      <w:pPr>
        <w:pStyle w:val="Bibliography"/>
      </w:pPr>
      <w:r>
        <w:t xml:space="preserve">Stine, G. C. 1976.</w:t>
      </w:r>
      <w:r>
        <w:t xml:space="preserve"> </w:t>
      </w:r>
      <w:r>
        <w:t xml:space="preserve">“Skepticism, Relevant Alternatives, and Deductive Closure.”</w:t>
      </w:r>
      <w:r>
        <w:t xml:space="preserve"> </w:t>
      </w:r>
      <w:r>
        <w:rPr>
          <w:i/>
          <w:iCs/>
        </w:rPr>
        <w:t xml:space="preserve">Philosophical Studies</w:t>
      </w:r>
      <w:r>
        <w:t xml:space="preserve"> </w:t>
      </w:r>
      <w:r>
        <w:t xml:space="preserve">29 (4): 249–61.</w:t>
      </w:r>
      <w:r>
        <w:t xml:space="preserve"> </w:t>
      </w:r>
      <w:hyperlink r:id="rId301">
        <w:r>
          <w:rPr>
            <w:rStyle w:val="Hyperlink"/>
          </w:rPr>
          <w:t xml:space="preserve">https://doi.org/10.1007/BF00411885</w:t>
        </w:r>
      </w:hyperlink>
      <w:r>
        <w:t xml:space="preserve">.</w:t>
      </w:r>
    </w:p>
    <w:bookmarkEnd w:id="302"/>
    <w:bookmarkStart w:id="303" w:name="ref-Kim1993"/>
    <w:p>
      <w:pPr>
        <w:pStyle w:val="Bibliography"/>
      </w:pPr>
      <w:r>
        <w:rPr>
          <w:i/>
          <w:iCs/>
        </w:rPr>
        <w:t xml:space="preserve">Supervenience and Mind</w:t>
      </w:r>
      <w:r>
        <w:t xml:space="preserve">. 1993. Cambridge:</w:t>
      </w:r>
      <w:r>
        <w:t xml:space="preserve"> </w:t>
      </w:r>
      <w:r>
        <w:t xml:space="preserve">C</w:t>
      </w:r>
      <w:r>
        <w:t xml:space="preserve">ambridge</w:t>
      </w:r>
      <w:r>
        <w:t xml:space="preserve"> </w:t>
      </w:r>
      <w:r>
        <w:t xml:space="preserve">U</w:t>
      </w:r>
      <w:r>
        <w:t xml:space="preserve">niversity</w:t>
      </w:r>
      <w:r>
        <w:t xml:space="preserve"> </w:t>
      </w:r>
      <w:r>
        <w:t xml:space="preserve">P</w:t>
      </w:r>
      <w:r>
        <w:t xml:space="preserve">ress.</w:t>
      </w:r>
    </w:p>
    <w:bookmarkEnd w:id="303"/>
    <w:bookmarkStart w:id="304" w:name="ref-WOSA1971Y116900003"/>
    <w:p>
      <w:pPr>
        <w:pStyle w:val="Bibliography"/>
      </w:pPr>
      <w:r>
        <w:t xml:space="preserve">Thomson, Judith Jarvis. 1971.</w:t>
      </w:r>
      <w:r>
        <w:t xml:space="preserve"> </w:t>
      </w:r>
      <w:r>
        <w:t xml:space="preserve">“A Defense of Abortion.”</w:t>
      </w:r>
      <w:r>
        <w:t xml:space="preserve"> </w:t>
      </w:r>
      <w:r>
        <w:rPr>
          <w:i/>
          <w:iCs/>
        </w:rPr>
        <w:t xml:space="preserve">Philosophy &amp; Public Affairs</w:t>
      </w:r>
      <w:r>
        <w:t xml:space="preserve"> </w:t>
      </w:r>
      <w:r>
        <w:t xml:space="preserve">1 (1): 47–66.</w:t>
      </w:r>
    </w:p>
    <w:bookmarkEnd w:id="304"/>
    <w:bookmarkStart w:id="306" w:name="ref-WOSA1970Y384700002"/>
    <w:p>
      <w:pPr>
        <w:pStyle w:val="Bibliography"/>
      </w:pPr>
      <w:r>
        <w:t xml:space="preserve">Walton, Kendall L. 1970.</w:t>
      </w:r>
      <w:r>
        <w:t xml:space="preserve"> </w:t>
      </w:r>
      <w:r>
        <w:t xml:space="preserve">“Categories of Art.”</w:t>
      </w:r>
      <w:r>
        <w:t xml:space="preserve"> </w:t>
      </w:r>
      <w:r>
        <w:rPr>
          <w:i/>
          <w:iCs/>
        </w:rPr>
        <w:t xml:space="preserve">Philosophical Review</w:t>
      </w:r>
      <w:r>
        <w:t xml:space="preserve"> </w:t>
      </w:r>
      <w:r>
        <w:t xml:space="preserve">79 (3): 334–67.</w:t>
      </w:r>
      <w:r>
        <w:t xml:space="preserve"> </w:t>
      </w:r>
      <w:hyperlink r:id="rId305">
        <w:r>
          <w:rPr>
            <w:rStyle w:val="Hyperlink"/>
          </w:rPr>
          <w:t xml:space="preserve">https://doi.org/10.2307/2183933</w:t>
        </w:r>
      </w:hyperlink>
      <w:r>
        <w:t xml:space="preserve">.</w:t>
      </w:r>
    </w:p>
    <w:bookmarkEnd w:id="306"/>
    <w:bookmarkStart w:id="308" w:name="ref-WOSA1973P242100001"/>
    <w:p>
      <w:pPr>
        <w:pStyle w:val="Bibliography"/>
      </w:pPr>
      <w:r>
        <w:t xml:space="preserve">Wright, Larry. 1973.</w:t>
      </w:r>
      <w:r>
        <w:t xml:space="preserve"> </w:t>
      </w:r>
      <w:r>
        <w:t xml:space="preserve">“Functions.”</w:t>
      </w:r>
      <w:r>
        <w:t xml:space="preserve"> </w:t>
      </w:r>
      <w:r>
        <w:rPr>
          <w:i/>
          <w:iCs/>
        </w:rPr>
        <w:t xml:space="preserve">Philosophical Review</w:t>
      </w:r>
      <w:r>
        <w:t xml:space="preserve"> </w:t>
      </w:r>
      <w:r>
        <w:t xml:space="preserve">82 (2): 139–68.</w:t>
      </w:r>
      <w:r>
        <w:t xml:space="preserve"> </w:t>
      </w:r>
      <w:hyperlink r:id="rId307">
        <w:r>
          <w:rPr>
            <w:rStyle w:val="Hyperlink"/>
          </w:rPr>
          <w:t xml:space="preserve">https://doi.org/10.2307/2183766</w:t>
        </w:r>
      </w:hyperlink>
      <w:r>
        <w:t xml:space="preserve">.</w:t>
      </w:r>
    </w:p>
    <w:bookmarkEnd w:id="308"/>
    <w:bookmarkStart w:id="310" w:name="ref-WOSA1992JA62400001"/>
    <w:p>
      <w:pPr>
        <w:pStyle w:val="Bibliography"/>
      </w:pPr>
      <w:r>
        <w:t xml:space="preserve">Yablo, Stephen. 1992.</w:t>
      </w:r>
      <w:r>
        <w:t xml:space="preserve"> </w:t>
      </w:r>
      <w:r>
        <w:t xml:space="preserve">“Mental Causation.”</w:t>
      </w:r>
      <w:r>
        <w:t xml:space="preserve"> </w:t>
      </w:r>
      <w:r>
        <w:rPr>
          <w:i/>
          <w:iCs/>
        </w:rPr>
        <w:t xml:space="preserve">Philosophical Review</w:t>
      </w:r>
      <w:r>
        <w:t xml:space="preserve"> </w:t>
      </w:r>
      <w:r>
        <w:t xml:space="preserve">101 (2): 245–80.</w:t>
      </w:r>
      <w:r>
        <w:t xml:space="preserve"> </w:t>
      </w:r>
      <w:hyperlink r:id="rId309">
        <w:r>
          <w:rPr>
            <w:rStyle w:val="Hyperlink"/>
          </w:rPr>
          <w:t xml:space="preserve">https://doi.org/10.2307/2185535</w:t>
        </w:r>
      </w:hyperlink>
      <w:r>
        <w:t xml:space="preserve">.</w:t>
      </w:r>
    </w:p>
    <w:bookmarkEnd w:id="310"/>
    <w:bookmarkStart w:id="312" w:name="ref-Yablo2000Jackson"/>
    <w:p>
      <w:pPr>
        <w:pStyle w:val="Bibliography"/>
      </w:pPr>
      <w:r>
        <w:t xml:space="preserve">———. 2000.</w:t>
      </w:r>
      <w:r>
        <w:t xml:space="preserve"> </w:t>
      </w:r>
      <w:r>
        <w:t xml:space="preserve">“Red, Bitter, Best.”</w:t>
      </w:r>
      <w:r>
        <w:t xml:space="preserve"> </w:t>
      </w:r>
      <w:r>
        <w:rPr>
          <w:i/>
          <w:iCs/>
        </w:rPr>
        <w:t xml:space="preserve">Philosophical Books</w:t>
      </w:r>
      <w:r>
        <w:t xml:space="preserve"> </w:t>
      </w:r>
      <w:r>
        <w:t xml:space="preserve">41 (1): 13–23. https://doi.org/</w:t>
      </w:r>
      <w:hyperlink r:id="rId311">
        <w:r>
          <w:rPr>
            <w:rStyle w:val="Hyperlink"/>
          </w:rPr>
          <w:t xml:space="preserve">https://doi.org/10.1111/1468-0149.00172</w:t>
        </w:r>
      </w:hyperlink>
      <w:r>
        <w:t xml:space="preserve">.</w:t>
      </w:r>
    </w:p>
    <w:bookmarkEnd w:id="312"/>
    <w:bookmarkStart w:id="314" w:name="ref-WOS000251545300007"/>
    <w:p>
      <w:pPr>
        <w:pStyle w:val="Bibliography"/>
      </w:pPr>
      <w:r>
        <w:t xml:space="preserve">Yalcin, Seth. 2007.</w:t>
      </w:r>
      <w:r>
        <w:t xml:space="preserve"> </w:t>
      </w:r>
      <w:r>
        <w:t xml:space="preserve">“Epistemic Modals.”</w:t>
      </w:r>
      <w:r>
        <w:t xml:space="preserve"> </w:t>
      </w:r>
      <w:r>
        <w:rPr>
          <w:i/>
          <w:iCs/>
        </w:rPr>
        <w:t xml:space="preserve">Mind</w:t>
      </w:r>
      <w:r>
        <w:t xml:space="preserve"> </w:t>
      </w:r>
      <w:r>
        <w:t xml:space="preserve">116 (464): 983–1026.</w:t>
      </w:r>
      <w:r>
        <w:t xml:space="preserve"> </w:t>
      </w:r>
      <w:hyperlink r:id="rId313">
        <w:r>
          <w:rPr>
            <w:rStyle w:val="Hyperlink"/>
          </w:rPr>
          <w:t xml:space="preserve">https://doi.org/10.1093/mind/fzm983</w:t>
        </w:r>
      </w:hyperlink>
      <w:r>
        <w:t xml:space="preserve">.</w:t>
      </w:r>
    </w:p>
    <w:bookmarkEnd w:id="314"/>
    <w:bookmarkEnd w:id="315"/>
    <w:bookmarkEnd w:id="316"/>
    <w:sectPr w:rsidR="00431377" w:rsidSect="00431377">
      <w:headerReference r:id="rId9" w:type="even"/>
      <w:headerReference r:id="rId11" w:type="default"/>
      <w:headerReference r:id="rId10" w:type="first"/>
      <w:pgSz w:h="15840" w:w="12240"/>
      <w:pgMar w:bottom="1728" w:footer="720" w:gutter="288" w:header="720" w:left="2016" w:right="2016" w:top="216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Minion Pro Capt">
    <w:altName w:val="Minion Pro Caption"/>
    <w:panose1 w:val="02040503050306020203"/>
    <w:charset w:val="00"/>
    <w:family w:val="roman"/>
    <w:notTrueType/>
    <w:pitch w:val="variable"/>
    <w:sig w:usb0="60000287" w:usb1="00000001" w:usb2="00000000" w:usb3="00000000" w:csb0="0000019F" w:csb1="00000000"/>
  </w:font>
  <w:font w:name="Times New Roman (Headings CS)">
    <w:altName w:val="Times New Roman"/>
    <w:panose1 w:val="020B0604020202020204"/>
    <w:charset w:val="00"/>
    <w:family w:val="roman"/>
    <w:pitch w:val="default"/>
  </w:font>
  <w:font w:name="Minion Pro SmBd Disp">
    <w:altName w:val="Minion Pro Semibold Display"/>
    <w:panose1 w:val="02040503050306020203"/>
    <w:charset w:val="00"/>
    <w:family w:val="roman"/>
    <w:notTrueType/>
    <w:pitch w:val="variable"/>
    <w:sig w:usb0="60000287" w:usb1="00000001" w:usb2="00000000" w:usb3="00000000" w:csb0="0000019F" w:csb1="00000000"/>
  </w:font>
  <w:font w:name="Minion Pro Med Cond">
    <w:altName w:val="Minion Pro Medium Cond"/>
    <w:panose1 w:val="02040503050306020203"/>
    <w:charset w:val="00"/>
    <w:family w:val="roman"/>
    <w:notTrueType/>
    <w:pitch w:val="variable"/>
    <w:sig w:usb0="60000287" w:usb1="00000001" w:usb2="00000000" w:usb3="00000000" w:csb0="0000019F" w:csb1="00000000"/>
  </w:font>
  <w:font w:name="Times New Roman (Body CS)">
    <w:altName w:val="Times New Roman"/>
    <w:panose1 w:val="020B0604020202020204"/>
    <w:charset w:val="00"/>
    <w:family w:val="roman"/>
    <w:pitch w:val="default"/>
  </w:font>
  <w:font w:name="Minion Pro Cond Capt">
    <w:altName w:val="Cambria"/>
    <w:panose1 w:val="02040503050306020203"/>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would like to have more recent data, but this is the latest full year of data available through my university’s contract with Web of Science. I do have substantial partial data for 2022, and it mostly confirms the trends shown here. But in this case I think it’s better to leave off partial data than to try to correct for its incompleteness.</w:t>
      </w:r>
    </w:p>
  </w:footnote>
  <w:footnote w:id="76">
    <w:p>
      <w:pPr>
        <w:pStyle w:val="FootnoteText"/>
      </w:pPr>
      <w:r>
        <w:rPr>
          <w:rStyle w:val="FootnoteReference"/>
        </w:rPr>
        <w:footnoteRef/>
      </w:r>
      <w:r>
        <w:t xml:space="preserve"> </w:t>
      </w:r>
      <w:r>
        <w:t xml:space="preserve">In the long run the average number of times an article is cited equals the average number of citations per article. So it shouldn’t be too surprising that most article have just a handful of citations in philosophy journals.</w:t>
      </w:r>
    </w:p>
  </w:footnote>
  <w:footnote w:id="77">
    <w:p>
      <w:pPr>
        <w:pStyle w:val="FootnoteText"/>
      </w:pPr>
      <w:r>
        <w:rPr>
          <w:rStyle w:val="FootnoteReference"/>
        </w:rPr>
        <w:footnoteRef/>
      </w:r>
      <w:r>
        <w:t xml:space="preserve"> </w:t>
      </w:r>
      <w:r>
        <w:t xml:space="preserve">In North America, placement on graduate syllabi might be an even better proxy, but that data is hard to collect, and we’d need a different measure for other countries.</w:t>
      </w:r>
    </w:p>
  </w:footnote>
  <w:footnote w:id="78">
    <w:p>
      <w:pPr>
        <w:pStyle w:val="FootnoteText"/>
      </w:pPr>
      <w:r>
        <w:rPr>
          <w:rStyle w:val="FootnoteReference"/>
        </w:rPr>
        <w:footnoteRef/>
      </w:r>
      <w:r>
        <w:t xml:space="preserve"> </w:t>
      </w:r>
      <w:r>
        <w:t xml:space="preserve">To be clear, the database contains about twice as many citations in 2021 as in the whole of the 1990s.</w:t>
      </w:r>
    </w:p>
  </w:footnote>
  <w:footnote w:id="84">
    <w:p>
      <w:pPr>
        <w:pStyle w:val="FootnoteText"/>
      </w:pPr>
      <w:r>
        <w:rPr>
          <w:rStyle w:val="FootnoteReference"/>
        </w:rPr>
        <w:footnoteRef/>
      </w:r>
      <w:r>
        <w:t xml:space="preserve"> </w:t>
      </w:r>
      <w:r>
        <w:t xml:space="preserve">On the first part of</w:t>
      </w:r>
      <w:r>
        <w:t xml:space="preserve"> </w:t>
      </w:r>
      <w:hyperlink w:anchor="tbl-comp-cite-ratio">
        <w:r>
          <w:rPr>
            <w:rStyle w:val="Hyperlink"/>
          </w:rPr>
          <w:t xml:space="preserve">Table 3</w:t>
        </w:r>
      </w:hyperlink>
      <w:r>
        <w:t xml:space="preserve">, I calculated this ratio for each year, and then displayed the average over the decade.</w:t>
      </w:r>
    </w:p>
  </w:footnote>
  <w:footnote w:id="95">
    <w:p>
      <w:pPr>
        <w:pStyle w:val="FootnoteText"/>
      </w:pPr>
      <w:r>
        <w:rPr>
          <w:rStyle w:val="FootnoteReference"/>
        </w:rPr>
        <w:footnoteRef/>
      </w:r>
      <w:r>
        <w:t xml:space="preserve"> </w:t>
      </w:r>
      <w:r>
        <w:t xml:space="preserve">If I did the same comparison year-by-year, there are individual years where</w:t>
      </w:r>
      <w:r>
        <w:t xml:space="preserve"> </w:t>
      </w:r>
      <w:r>
        <w:t xml:space="preserve">“Meaning”</w:t>
      </w:r>
      <w:r>
        <w:t xml:space="preserve"> </w:t>
      </w:r>
      <w:r>
        <w:t xml:space="preserve">(Grice 1957)</w:t>
      </w:r>
      <w:r>
        <w:t xml:space="preserve">,</w:t>
      </w:r>
      <w:r>
        <w:t xml:space="preserve"> </w:t>
      </w:r>
      <w:r>
        <w:t xml:space="preserve">“Justice as Fairness: Political not Metaphysical”</w:t>
      </w:r>
      <w:r>
        <w:t xml:space="preserve"> </w:t>
      </w:r>
      <w:r>
        <w:t xml:space="preserve">(Rawls 1985)</w:t>
      </w:r>
      <w:r>
        <w:t xml:space="preserve"> </w:t>
      </w:r>
      <w:r>
        <w:t xml:space="preserve">and</w:t>
      </w:r>
      <w:r>
        <w:t xml:space="preserve"> </w:t>
      </w:r>
      <w:r>
        <w:t xml:space="preserve">“Concepts of Supervenience”</w:t>
      </w:r>
      <w:r>
        <w:t xml:space="preserve"> </w:t>
      </w:r>
      <w:r>
        <w:t xml:space="preserve">(Kim 1984)</w:t>
      </w:r>
      <w:r>
        <w:t xml:space="preserve"> </w:t>
      </w:r>
      <w:r>
        <w:t xml:space="preserve">have a higher ratio of citations to the average typical article than</w:t>
      </w:r>
      <w:r>
        <w:t xml:space="preserve"> </w:t>
      </w:r>
      <w:r>
        <w:t xml:space="preserve">“New Work”</w:t>
      </w:r>
      <w:r>
        <w:t xml:space="preserve"> </w:t>
      </w:r>
      <w:r>
        <w:t xml:space="preserve">does in 2021.</w:t>
      </w:r>
    </w:p>
  </w:footnote>
  <w:footnote w:id="97">
    <w:p>
      <w:pPr>
        <w:pStyle w:val="FootnoteText"/>
      </w:pPr>
      <w:r>
        <w:rPr>
          <w:rStyle w:val="FootnoteReference"/>
        </w:rPr>
        <w:footnoteRef/>
      </w:r>
      <w:r>
        <w:t xml:space="preserve"> </w:t>
      </w:r>
      <w:r>
        <w:t xml:space="preserve">Though in</w:t>
      </w:r>
      <w:r>
        <w:t xml:space="preserve"> </w:t>
      </w:r>
      <w:r>
        <w:t xml:space="preserve">“Naive Validity, Internalization, and Substructural Approaches To Paradox”</w:t>
      </w:r>
      <w:r>
        <w:t xml:space="preserve"> </w:t>
      </w:r>
      <w:r>
        <w:t xml:space="preserve">(Rosenblatt 2017)</w:t>
      </w:r>
      <w:r>
        <w:t xml:space="preserve">, there are three citations to then forthcoming papers in Synthese which eventually appeared in 2021, giving them an age of -4.</w:t>
      </w:r>
    </w:p>
  </w:footnote>
  <w:footnote w:id="106">
    <w:p>
      <w:pPr>
        <w:pStyle w:val="FootnoteText"/>
      </w:pPr>
      <w:r>
        <w:rPr>
          <w:rStyle w:val="FootnoteReference"/>
        </w:rPr>
        <w:footnoteRef/>
      </w:r>
      <w:r>
        <w:t xml:space="preserve"> </w:t>
      </w:r>
      <w:r>
        <w:t xml:space="preserve">The graph also includes some</w:t>
      </w:r>
      <w:r>
        <w:t xml:space="preserve"> </w:t>
      </w:r>
      <w:r>
        <w:t xml:space="preserve">‘jitter’</w:t>
      </w:r>
      <w:r>
        <w:t xml:space="preserve"> </w:t>
      </w:r>
      <w:r>
        <w:t xml:space="preserve">to make the different points more easily visible. I’ve put each year of original publication in a different colour, with nearby years being in similar colours. But there are too many colours there to detect individual years, and we’ll return to faceted graphs like</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when I want to highlight individual years.</w:t>
      </w:r>
    </w:p>
  </w:footnote>
  <w:footnote w:id="119">
    <w:p>
      <w:pPr>
        <w:pStyle w:val="FootnoteText"/>
      </w:pPr>
      <w:r>
        <w:rPr>
          <w:rStyle w:val="FootnoteReference"/>
        </w:rPr>
        <w:footnoteRef/>
      </w:r>
      <w:r>
        <w:t xml:space="preserve"> </w:t>
      </w:r>
      <w:r>
        <w:t xml:space="preserve">I picked this threshold because there are approximately as many citations to articles with at least that many citations as to the other articles.</w:t>
      </w:r>
    </w:p>
  </w:footnote>
  <w:footnote w:id="160">
    <w:p>
      <w:pPr>
        <w:pStyle w:val="FootnoteText"/>
      </w:pPr>
      <w:r>
        <w:rPr>
          <w:rStyle w:val="FootnoteReference"/>
        </w:rPr>
        <w:footnoteRef/>
      </w:r>
      <w:r>
        <w:t xml:space="preserve"> </w:t>
      </w:r>
      <w:r>
        <w:t xml:space="preserve">It was usual, during this era, to take the necessity of origins thesis and the origin essentialism thesis to not just be mutually supporting, but to be literally identical. I don’t think that identity claim would be widely endorsed either before 1970 or after 2010.</w:t>
      </w:r>
    </w:p>
  </w:footnote>
  <w:footnote w:id="161">
    <w:p>
      <w:pPr>
        <w:pStyle w:val="FootnoteText"/>
      </w:pPr>
      <w:r>
        <w:rPr>
          <w:rStyle w:val="FootnoteReference"/>
        </w:rPr>
        <w:footnoteRef/>
      </w:r>
      <w:r>
        <w:t xml:space="preserve"> </w:t>
      </w:r>
      <w:r>
        <w:t xml:space="preserve">The only thing really puzzling about this passage is the claim about the relative controversialness of the necessity and sufficiency entailment as a solution to the location problem. After all,</w:t>
      </w:r>
      <w:r>
        <w:t xml:space="preserve"> </w:t>
      </w:r>
      <w:r>
        <w:t xml:space="preserve">Horgan (1982)</w:t>
      </w:r>
      <w:r>
        <w:t xml:space="preserve"> </w:t>
      </w:r>
      <w:r>
        <w:t xml:space="preserve">had already raised problems for it. So too had</w:t>
      </w:r>
      <w:r>
        <w:t xml:space="preserve"> </w:t>
      </w:r>
      <w:r>
        <w:t xml:space="preserve">Fine (1994)</w:t>
      </w:r>
      <w:r>
        <w:t xml:space="preserve">, in a way that would become very important a few years later, but that was not playing a major role in the literature, especially when Jackson delivered the Locke lectures this book was based on.</w:t>
      </w:r>
    </w:p>
  </w:footnote>
  <w:footnote w:id="163">
    <w:p>
      <w:pPr>
        <w:pStyle w:val="FootnoteText"/>
      </w:pPr>
      <w:r>
        <w:rPr>
          <w:rStyle w:val="FootnoteReference"/>
        </w:rPr>
        <w:footnoteRef/>
      </w:r>
      <w:r>
        <w:t xml:space="preserve"> </w:t>
      </w:r>
      <w:r>
        <w:t xml:space="preserve">The story of the relationship between twentieth century work on functions and twenty-first century work on mechanisms is interesting, but for another time.</w:t>
      </w:r>
    </w:p>
  </w:footnote>
  <w:footnote w:id="164">
    <w:p>
      <w:pPr>
        <w:pStyle w:val="FootnoteText"/>
      </w:pPr>
      <w:r>
        <w:rPr>
          <w:rStyle w:val="FootnoteReference"/>
        </w:rPr>
        <w:footnoteRef/>
      </w:r>
      <w:r>
        <w:t xml:space="preserve"> </w:t>
      </w:r>
      <w:r>
        <w:t xml:space="preserve">I had originally planned to include much more on how individual papers rise and fall in the citation indices, but this turned out to be less interesting than I thought. Most of the biggest</w:t>
      </w:r>
      <w:r>
        <w:t xml:space="preserve"> </w:t>
      </w:r>
      <w:r>
        <w:t xml:space="preserve">‘falls’</w:t>
      </w:r>
      <w:r>
        <w:t xml:space="preserve"> </w:t>
      </w:r>
      <w:r>
        <w:t xml:space="preserve">are just when a paper stops being cited because a book gets cited. Sometimes what gets cited is the reprint of the paper itself, as happened here. Sometimes the book supersedes the article. So you see a drop in citations to Rawls’s article</w:t>
      </w:r>
      <w:r>
        <w:t xml:space="preserve"> </w:t>
      </w:r>
      <w:r>
        <w:t xml:space="preserve">“Justice as Fairness: Political not Metaphysical”</w:t>
      </w:r>
      <w:r>
        <w:t xml:space="preserve"> </w:t>
      </w:r>
      <w:r>
        <w:t xml:space="preserve">(Rawls 1985)</w:t>
      </w:r>
      <w:r>
        <w:t xml:space="preserve"> </w:t>
      </w:r>
      <w:r>
        <w:t xml:space="preserve">after his book</w:t>
      </w:r>
      <w:r>
        <w:t xml:space="preserve"> </w:t>
      </w:r>
      <w:r>
        <w:rPr>
          <w:i/>
          <w:iCs/>
        </w:rPr>
        <w:t xml:space="preserve">Justice as Fairness: A Restatement</w:t>
      </w:r>
      <w:r>
        <w:t xml:space="preserve"> </w:t>
      </w:r>
      <w:r>
        <w:t xml:space="preserve">(Rawls 2001)</w:t>
      </w:r>
      <w:r>
        <w:t xml:space="preserve"> </w:t>
      </w:r>
      <w:r>
        <w:t xml:space="preserve">came out. Looking at grand-citations somewhat mitigates these issues, since they still track how much the articles that originally cited the older article are being picked up.</w:t>
      </w:r>
    </w:p>
  </w:footnote>
  <w:footnote w:id="166">
    <w:p>
      <w:pPr>
        <w:pStyle w:val="FootnoteText"/>
      </w:pPr>
      <w:r>
        <w:rPr>
          <w:rStyle w:val="FootnoteReference"/>
        </w:rPr>
        <w:footnoteRef/>
      </w:r>
      <w:r>
        <w:t xml:space="preserve"> </w:t>
      </w:r>
      <w:r>
        <w:t xml:space="preserve">I won’t include the full table, but if you created a table like</w:t>
      </w:r>
      <w:r>
        <w:t xml:space="preserve"> </w:t>
      </w:r>
      <w:hyperlink w:anchor="tbl-grand-cite-2010">
        <w:r>
          <w:rPr>
            <w:rStyle w:val="Hyperlink"/>
          </w:rPr>
          <w:t xml:space="preserve">Table 6</w:t>
        </w:r>
      </w:hyperlink>
      <w:r>
        <w:t xml:space="preserve"> </w:t>
      </w:r>
      <w:r>
        <w:t xml:space="preserve">for the twenty years through 2015, Stanley and Szabó’s paper would be on it.</w:t>
      </w:r>
    </w:p>
  </w:footnote>
  <w:footnote w:id="167">
    <w:p>
      <w:pPr>
        <w:pStyle w:val="FootnoteText"/>
      </w:pPr>
      <w:r>
        <w:rPr>
          <w:rStyle w:val="FootnoteReference"/>
        </w:rPr>
        <w:footnoteRef/>
      </w:r>
      <w:r>
        <w:t xml:space="preserve"> </w:t>
      </w:r>
      <w:r>
        <w:t xml:space="preserve">For particularly notable examples, see the papers by Andy</w:t>
      </w:r>
      <w:r>
        <w:t xml:space="preserve"> </w:t>
      </w:r>
      <w:r>
        <w:t xml:space="preserve">Stanley and Szabó (2000)</w:t>
      </w:r>
      <w:r>
        <w:t xml:space="preserve">, Seth</w:t>
      </w:r>
      <w:r>
        <w:t xml:space="preserve"> </w:t>
      </w:r>
      <w:r>
        <w:t xml:space="preserve">Yalcin (2007)</w:t>
      </w:r>
      <w:r>
        <w:t xml:space="preserve">, and Tamina</w:t>
      </w:r>
      <w:r>
        <w:t xml:space="preserve"> </w:t>
      </w:r>
      <w:r>
        <w:t xml:space="preserve">Stephenson (2007)</w:t>
      </w:r>
      <w:r>
        <w:t xml:space="preserve">.</w:t>
      </w:r>
    </w:p>
  </w:footnote>
  <w:footnote w:id="168">
    <w:p>
      <w:pPr>
        <w:pStyle w:val="FootnoteText"/>
      </w:pPr>
      <w:r>
        <w:rPr>
          <w:rStyle w:val="FootnoteReference"/>
        </w:rPr>
        <w:footnoteRef/>
      </w:r>
      <w:r>
        <w:t xml:space="preserve"> </w:t>
      </w:r>
      <w:r>
        <w:t xml:space="preserve">I haven’t used it above because using it doesn’t help much in separating out the three effects.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5874655"/>
      <w:docPartObj>
        <w:docPartGallery w:val="Page Numbers (Top of Page)"/>
        <w:docPartUnique/>
      </w:docPartObj>
    </w:sdtPr>
    <w:sdtContent>
      <w:p w14:paraId="562A86FF" w14:textId="0776D8D3"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4AB5BB" w14:textId="77777777" w:rsidR="00431377" w:rsidRDefault="00431377" w:rsidP="0043137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788115"/>
      <w:docPartObj>
        <w:docPartGallery w:val="Page Numbers (Top of Page)"/>
        <w:docPartUnique/>
      </w:docPartObj>
    </w:sdtPr>
    <w:sdtContent>
      <w:p w14:paraId="4EFC1A1A" w14:textId="506FA20A"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996673" w14:textId="77777777" w:rsidR="00431377" w:rsidRDefault="00431377" w:rsidP="00431377">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FC44" w14:textId="4E16F881" w:rsidR="000B4C7E" w:rsidRDefault="000B4C7E">
    <w:pPr>
      <w:pStyle w:val="Header"/>
    </w:pPr>
  </w:p>
  <w:p w14:paraId="176FE6C8" w14:textId="77777777" w:rsidR="00431377" w:rsidRDefault="00431377">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212607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7628D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D1696C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E5EA0D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12DFA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A7EBED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93AB12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F224F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EACBA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62AE4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0612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9E6355C"/>
    <w:multiLevelType w:val="multilevel"/>
    <w:tmpl w:val="06900E3C"/>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850991387" w:numId="1">
    <w:abstractNumId w:val="10"/>
  </w:num>
  <w:num w16cid:durableId="1284076532" w:numId="2">
    <w:abstractNumId w:val="11"/>
  </w:num>
  <w:num w16cid:durableId="90248346" w:numId="3">
    <w:abstractNumId w:val="0"/>
  </w:num>
  <w:num w16cid:durableId="503059898" w:numId="4">
    <w:abstractNumId w:val="1"/>
  </w:num>
  <w:num w16cid:durableId="733360292" w:numId="5">
    <w:abstractNumId w:val="2"/>
  </w:num>
  <w:num w16cid:durableId="1017463858" w:numId="6">
    <w:abstractNumId w:val="3"/>
  </w:num>
  <w:num w16cid:durableId="863711392" w:numId="7">
    <w:abstractNumId w:val="8"/>
  </w:num>
  <w:num w16cid:durableId="1543251649" w:numId="8">
    <w:abstractNumId w:val="4"/>
  </w:num>
  <w:num w16cid:durableId="2026982806" w:numId="9">
    <w:abstractNumId w:val="5"/>
  </w:num>
  <w:num w16cid:durableId="413010813" w:numId="10">
    <w:abstractNumId w:val="6"/>
  </w:num>
  <w:num w16cid:durableId="1846357614" w:numId="11">
    <w:abstractNumId w:val="7"/>
  </w:num>
  <w:num w16cid:durableId="23144053" w:numId="12">
    <w:abstractNumId w:val="9"/>
  </w:num>
  <w:num w16cid:durableId="884605114" w:numId="13">
    <w:abstractNumId w:val="0"/>
  </w:num>
  <w:num w16cid:durableId="312804032" w:numId="14">
    <w:abstractNumId w:val="1"/>
  </w:num>
  <w:num w16cid:durableId="486484674" w:numId="15">
    <w:abstractNumId w:val="2"/>
  </w:num>
  <w:num w16cid:durableId="1488009504" w:numId="16">
    <w:abstractNumId w:val="3"/>
  </w:num>
  <w:num w16cid:durableId="1387800420" w:numId="17">
    <w:abstractNumId w:val="8"/>
  </w:num>
  <w:num w16cid:durableId="150875921" w:numId="18">
    <w:abstractNumId w:val="4"/>
  </w:num>
  <w:num w16cid:durableId="1199465215" w:numId="19">
    <w:abstractNumId w:val="5"/>
  </w:num>
  <w:num w16cid:durableId="1546798468" w:numId="20">
    <w:abstractNumId w:val="6"/>
  </w:num>
  <w:num w16cid:durableId="1845974977" w:numId="21">
    <w:abstractNumId w:val="7"/>
  </w:num>
  <w:num w16cid:durableId="1678656371" w:numId="22">
    <w:abstractNumId w:val="9"/>
  </w:num>
  <w:num w16cid:durableId="1798454586" w:numId="23">
    <w:abstractNumId w:val="0"/>
  </w:num>
  <w:num w16cid:durableId="1810198233" w:numId="24">
    <w:abstractNumId w:val="1"/>
  </w:num>
  <w:num w16cid:durableId="1391613789" w:numId="25">
    <w:abstractNumId w:val="2"/>
  </w:num>
  <w:num w16cid:durableId="674922113" w:numId="26">
    <w:abstractNumId w:val="3"/>
  </w:num>
  <w:num w16cid:durableId="1655834508" w:numId="27">
    <w:abstractNumId w:val="8"/>
  </w:num>
  <w:num w16cid:durableId="831481953" w:numId="28">
    <w:abstractNumId w:val="4"/>
  </w:num>
  <w:num w16cid:durableId="687489865" w:numId="29">
    <w:abstractNumId w:val="5"/>
  </w:num>
  <w:num w16cid:durableId="1134712398" w:numId="30">
    <w:abstractNumId w:val="6"/>
  </w:num>
  <w:num w16cid:durableId="1646427282" w:numId="31">
    <w:abstractNumId w:val="7"/>
  </w:num>
  <w:num w16cid:durableId="802506650" w:numId="32">
    <w:abstractNumId w:val="9"/>
  </w:num>
  <w:num w16cid:durableId="802160987" w:numId="33">
    <w:abstractNumId w:val="0"/>
  </w:num>
  <w:num w16cid:durableId="1749814212" w:numId="34">
    <w:abstractNumId w:val="1"/>
  </w:num>
  <w:num w16cid:durableId="58554296" w:numId="35">
    <w:abstractNumId w:val="2"/>
  </w:num>
  <w:num w16cid:durableId="387610387" w:numId="36">
    <w:abstractNumId w:val="3"/>
  </w:num>
  <w:num w16cid:durableId="396587456" w:numId="37">
    <w:abstractNumId w:val="8"/>
  </w:num>
  <w:num w16cid:durableId="1442922162" w:numId="38">
    <w:abstractNumId w:val="4"/>
  </w:num>
  <w:num w16cid:durableId="2144275384" w:numId="39">
    <w:abstractNumId w:val="5"/>
  </w:num>
  <w:num w16cid:durableId="1248147007" w:numId="40">
    <w:abstractNumId w:val="6"/>
  </w:num>
  <w:num w16cid:durableId="1180507910" w:numId="41">
    <w:abstractNumId w:val="7"/>
  </w:num>
  <w:num w16cid:durableId="458690029" w:numId="42">
    <w:abstractNumId w:val="9"/>
  </w:num>
  <w:num w16cid:durableId="1154760042" w:numId="43">
    <w:abstractNumId w:val="0"/>
  </w:num>
  <w:num w16cid:durableId="1020820736" w:numId="44">
    <w:abstractNumId w:val="1"/>
  </w:num>
  <w:num w16cid:durableId="2146925848" w:numId="45">
    <w:abstractNumId w:val="2"/>
  </w:num>
  <w:num w16cid:durableId="782110520" w:numId="46">
    <w:abstractNumId w:val="3"/>
  </w:num>
  <w:num w16cid:durableId="1762288327" w:numId="47">
    <w:abstractNumId w:val="8"/>
  </w:num>
  <w:num w16cid:durableId="548881100" w:numId="48">
    <w:abstractNumId w:val="4"/>
  </w:num>
  <w:num w16cid:durableId="1191646196" w:numId="49">
    <w:abstractNumId w:val="5"/>
  </w:num>
  <w:num w16cid:durableId="564150073" w:numId="50">
    <w:abstractNumId w:val="6"/>
  </w:num>
  <w:num w16cid:durableId="142739380" w:numId="51">
    <w:abstractNumId w:val="7"/>
  </w:num>
  <w:num w16cid:durableId="105929816" w:numId="52">
    <w:abstractNumId w:val="9"/>
  </w:num>
  <w:num w16cid:durableId="1875998585" w:numId="53">
    <w:abstractNumId w:val="0"/>
  </w:num>
  <w:num w16cid:durableId="1351374104" w:numId="54">
    <w:abstractNumId w:val="1"/>
  </w:num>
  <w:num w16cid:durableId="1334529036" w:numId="55">
    <w:abstractNumId w:val="2"/>
  </w:num>
  <w:num w16cid:durableId="2002808016" w:numId="56">
    <w:abstractNumId w:val="3"/>
  </w:num>
  <w:num w16cid:durableId="37321178" w:numId="57">
    <w:abstractNumId w:val="8"/>
  </w:num>
  <w:num w16cid:durableId="502621450" w:numId="58">
    <w:abstractNumId w:val="4"/>
  </w:num>
  <w:num w16cid:durableId="438795314" w:numId="59">
    <w:abstractNumId w:val="5"/>
  </w:num>
  <w:num w16cid:durableId="1845776244" w:numId="60">
    <w:abstractNumId w:val="6"/>
  </w:num>
  <w:num w16cid:durableId="1475097140" w:numId="61">
    <w:abstractNumId w:val="7"/>
  </w:num>
  <w:num w16cid:durableId="1401368880" w:numId="62">
    <w:abstractNumId w:val="9"/>
  </w:num>
  <w:num w16cid:durableId="1091589136" w:numId="63">
    <w:abstractNumId w:val="0"/>
  </w:num>
  <w:num w16cid:durableId="1431505635" w:numId="64">
    <w:abstractNumId w:val="1"/>
  </w:num>
  <w:num w16cid:durableId="636303784" w:numId="65">
    <w:abstractNumId w:val="2"/>
  </w:num>
  <w:num w16cid:durableId="85541348" w:numId="66">
    <w:abstractNumId w:val="3"/>
  </w:num>
  <w:num w16cid:durableId="1864518432" w:numId="67">
    <w:abstractNumId w:val="8"/>
  </w:num>
  <w:num w16cid:durableId="70197029" w:numId="68">
    <w:abstractNumId w:val="4"/>
  </w:num>
  <w:num w16cid:durableId="1378356473" w:numId="69">
    <w:abstractNumId w:val="5"/>
  </w:num>
  <w:num w16cid:durableId="648822282" w:numId="70">
    <w:abstractNumId w:val="6"/>
  </w:num>
  <w:num w16cid:durableId="191114749" w:numId="71">
    <w:abstractNumId w:val="7"/>
  </w:num>
  <w:num w16cid:durableId="1197811246" w:numId="72">
    <w:abstractNumId w:val="9"/>
  </w:num>
  <w:num w16cid:durableId="156843498" w:numId="73">
    <w:abstractNumId w:val="0"/>
  </w:num>
  <w:num w16cid:durableId="1672752750" w:numId="74">
    <w:abstractNumId w:val="1"/>
  </w:num>
  <w:num w16cid:durableId="1872842157" w:numId="75">
    <w:abstractNumId w:val="2"/>
  </w:num>
  <w:num w16cid:durableId="684288864" w:numId="76">
    <w:abstractNumId w:val="3"/>
  </w:num>
  <w:num w16cid:durableId="71514264" w:numId="77">
    <w:abstractNumId w:val="8"/>
  </w:num>
  <w:num w16cid:durableId="2079131643" w:numId="78">
    <w:abstractNumId w:val="4"/>
  </w:num>
  <w:num w16cid:durableId="824129308" w:numId="79">
    <w:abstractNumId w:val="5"/>
  </w:num>
  <w:num w16cid:durableId="33385363" w:numId="80">
    <w:abstractNumId w:val="6"/>
  </w:num>
  <w:num w16cid:durableId="257955067" w:numId="81">
    <w:abstractNumId w:val="7"/>
  </w:num>
  <w:num w16cid:durableId="2089032173" w:numId="82">
    <w:abstractNumId w:val="9"/>
  </w:num>
  <w:num w16cid:durableId="2093046588" w:numId="83">
    <w:abstractNumId w:val="0"/>
  </w:num>
  <w:num w16cid:durableId="1904636254" w:numId="84">
    <w:abstractNumId w:val="1"/>
  </w:num>
  <w:num w16cid:durableId="1161040851" w:numId="85">
    <w:abstractNumId w:val="2"/>
  </w:num>
  <w:num w16cid:durableId="634607823" w:numId="86">
    <w:abstractNumId w:val="3"/>
  </w:num>
  <w:num w16cid:durableId="80570977" w:numId="87">
    <w:abstractNumId w:val="8"/>
  </w:num>
  <w:num w16cid:durableId="1804075373" w:numId="88">
    <w:abstractNumId w:val="4"/>
  </w:num>
  <w:num w16cid:durableId="1527211119" w:numId="89">
    <w:abstractNumId w:val="5"/>
  </w:num>
  <w:num w16cid:durableId="400442348" w:numId="90">
    <w:abstractNumId w:val="6"/>
  </w:num>
  <w:num w16cid:durableId="1098601162" w:numId="91">
    <w:abstractNumId w:val="7"/>
  </w:num>
  <w:num w16cid:durableId="1915509537" w:numId="92">
    <w:abstractNumId w:val="9"/>
  </w:num>
  <w:num w16cid:durableId="787040841" w:numId="93">
    <w:abstractNumId w:val="0"/>
  </w:num>
  <w:num w16cid:durableId="259267017" w:numId="94">
    <w:abstractNumId w:val="1"/>
  </w:num>
  <w:num w16cid:durableId="1294285907" w:numId="95">
    <w:abstractNumId w:val="2"/>
  </w:num>
  <w:num w16cid:durableId="964043342" w:numId="96">
    <w:abstractNumId w:val="3"/>
  </w:num>
  <w:num w16cid:durableId="150148620" w:numId="97">
    <w:abstractNumId w:val="8"/>
  </w:num>
  <w:num w16cid:durableId="1267690477" w:numId="98">
    <w:abstractNumId w:val="4"/>
  </w:num>
  <w:num w16cid:durableId="1741752936" w:numId="99">
    <w:abstractNumId w:val="5"/>
  </w:num>
  <w:num w16cid:durableId="2113278802" w:numId="100">
    <w:abstractNumId w:val="6"/>
  </w:num>
  <w:num w16cid:durableId="955255927" w:numId="101">
    <w:abstractNumId w:val="7"/>
  </w:num>
  <w:num w16cid:durableId="199831193" w:numId="102">
    <w:abstractNumId w:val="9"/>
  </w:num>
  <w:num w16cid:durableId="1121798679" w:numId="103">
    <w:abstractNumId w:val="0"/>
  </w:num>
  <w:num w16cid:durableId="1872109757" w:numId="104">
    <w:abstractNumId w:val="1"/>
  </w:num>
  <w:num w16cid:durableId="356808928" w:numId="105">
    <w:abstractNumId w:val="2"/>
  </w:num>
  <w:num w16cid:durableId="1247300387" w:numId="106">
    <w:abstractNumId w:val="3"/>
  </w:num>
  <w:num w16cid:durableId="477654023" w:numId="107">
    <w:abstractNumId w:val="8"/>
  </w:num>
  <w:num w16cid:durableId="2104253209" w:numId="108">
    <w:abstractNumId w:val="4"/>
  </w:num>
  <w:num w16cid:durableId="2021076386" w:numId="109">
    <w:abstractNumId w:val="5"/>
  </w:num>
  <w:num w16cid:durableId="179589035" w:numId="110">
    <w:abstractNumId w:val="6"/>
  </w:num>
  <w:num w16cid:durableId="365108499" w:numId="111">
    <w:abstractNumId w:val="7"/>
  </w:num>
  <w:num w16cid:durableId="1416593255" w:numId="112">
    <w:abstractNumId w:val="9"/>
  </w:num>
  <w:num w16cid:durableId="1960869854" w:numId="113">
    <w:abstractNumId w:val="0"/>
  </w:num>
  <w:num w16cid:durableId="684750441" w:numId="114">
    <w:abstractNumId w:val="1"/>
  </w:num>
  <w:num w16cid:durableId="296878380" w:numId="115">
    <w:abstractNumId w:val="2"/>
  </w:num>
  <w:num w16cid:durableId="1529562791" w:numId="116">
    <w:abstractNumId w:val="3"/>
  </w:num>
  <w:num w16cid:durableId="1775511714" w:numId="117">
    <w:abstractNumId w:val="8"/>
  </w:num>
  <w:num w16cid:durableId="1526358355" w:numId="118">
    <w:abstractNumId w:val="4"/>
  </w:num>
  <w:num w16cid:durableId="128861330" w:numId="119">
    <w:abstractNumId w:val="5"/>
  </w:num>
  <w:num w16cid:durableId="268632386" w:numId="120">
    <w:abstractNumId w:val="6"/>
  </w:num>
  <w:num w16cid:durableId="79066798" w:numId="121">
    <w:abstractNumId w:val="7"/>
  </w:num>
  <w:num w16cid:durableId="996298420" w:numId="122">
    <w:abstractNumId w:val="9"/>
  </w:num>
  <w:num w16cid:durableId="1515412257" w:numId="123">
    <w:abstractNumId w:val="0"/>
  </w:num>
  <w:num w16cid:durableId="1097559336" w:numId="124">
    <w:abstractNumId w:val="1"/>
  </w:num>
  <w:num w16cid:durableId="437868344" w:numId="125">
    <w:abstractNumId w:val="2"/>
  </w:num>
  <w:num w16cid:durableId="705905391" w:numId="126">
    <w:abstractNumId w:val="3"/>
  </w:num>
  <w:num w16cid:durableId="544417514" w:numId="127">
    <w:abstractNumId w:val="8"/>
  </w:num>
  <w:num w16cid:durableId="431169454" w:numId="128">
    <w:abstractNumId w:val="4"/>
  </w:num>
  <w:num w16cid:durableId="483594318" w:numId="129">
    <w:abstractNumId w:val="5"/>
  </w:num>
  <w:num w16cid:durableId="1504779525" w:numId="130">
    <w:abstractNumId w:val="6"/>
  </w:num>
  <w:num w16cid:durableId="1382559440" w:numId="131">
    <w:abstractNumId w:val="7"/>
  </w:num>
  <w:num w16cid:durableId="405110031" w:numId="132">
    <w:abstractNumId w:val="9"/>
  </w:num>
  <w:num w16cid:durableId="500583875" w:numId="133">
    <w:abstractNumId w:val="0"/>
  </w:num>
  <w:num w16cid:durableId="1952662042" w:numId="134">
    <w:abstractNumId w:val="1"/>
  </w:num>
  <w:num w16cid:durableId="506866996" w:numId="135">
    <w:abstractNumId w:val="2"/>
  </w:num>
  <w:num w16cid:durableId="1253466750" w:numId="136">
    <w:abstractNumId w:val="3"/>
  </w:num>
  <w:num w16cid:durableId="2029213925" w:numId="137">
    <w:abstractNumId w:val="8"/>
  </w:num>
  <w:num w16cid:durableId="1666587177" w:numId="138">
    <w:abstractNumId w:val="4"/>
  </w:num>
  <w:num w16cid:durableId="449789127" w:numId="139">
    <w:abstractNumId w:val="5"/>
  </w:num>
  <w:num w16cid:durableId="1604339105" w:numId="140">
    <w:abstractNumId w:val="6"/>
  </w:num>
  <w:num w16cid:durableId="766578831" w:numId="141">
    <w:abstractNumId w:val="7"/>
  </w:num>
  <w:num w16cid:durableId="577373772" w:numId="142">
    <w:abstractNumId w:val="9"/>
  </w:num>
  <w:num w16cid:durableId="1252660523" w:numId="143">
    <w:abstractNumId w:val="0"/>
  </w:num>
  <w:num w16cid:durableId="235285754" w:numId="144">
    <w:abstractNumId w:val="1"/>
  </w:num>
  <w:num w16cid:durableId="324089084" w:numId="145">
    <w:abstractNumId w:val="2"/>
  </w:num>
  <w:num w16cid:durableId="2003006823" w:numId="146">
    <w:abstractNumId w:val="3"/>
  </w:num>
  <w:num w16cid:durableId="1880314211" w:numId="147">
    <w:abstractNumId w:val="8"/>
  </w:num>
  <w:num w16cid:durableId="1900096299" w:numId="148">
    <w:abstractNumId w:val="4"/>
  </w:num>
  <w:num w16cid:durableId="798497746" w:numId="149">
    <w:abstractNumId w:val="5"/>
  </w:num>
  <w:num w16cid:durableId="1747651756" w:numId="150">
    <w:abstractNumId w:val="6"/>
  </w:num>
  <w:num w16cid:durableId="1364557437" w:numId="151">
    <w:abstractNumId w:val="7"/>
  </w:num>
  <w:num w16cid:durableId="535823350" w:numId="152">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90" w:val="bestFit"/>
  <w:embedSystemFonts/>
  <w:mirrorMargin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120"/>
  <w:drawingGridVerticalSpacing w:val="163"/>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6047"/>
    <w:rsid w:val="0005637E"/>
    <w:rsid w:val="000A4323"/>
    <w:rsid w:val="000B4C7E"/>
    <w:rsid w:val="000C139D"/>
    <w:rsid w:val="000F28BE"/>
    <w:rsid w:val="001403B9"/>
    <w:rsid w:val="001D619D"/>
    <w:rsid w:val="00223D0E"/>
    <w:rsid w:val="00282616"/>
    <w:rsid w:val="002A2E48"/>
    <w:rsid w:val="002C0803"/>
    <w:rsid w:val="002D50BA"/>
    <w:rsid w:val="002F66ED"/>
    <w:rsid w:val="004213E1"/>
    <w:rsid w:val="00430106"/>
    <w:rsid w:val="00431377"/>
    <w:rsid w:val="00467CAE"/>
    <w:rsid w:val="00485B43"/>
    <w:rsid w:val="00485C1D"/>
    <w:rsid w:val="004E29B3"/>
    <w:rsid w:val="00530EF5"/>
    <w:rsid w:val="00590D07"/>
    <w:rsid w:val="005A1531"/>
    <w:rsid w:val="00637C96"/>
    <w:rsid w:val="006A097A"/>
    <w:rsid w:val="006C373E"/>
    <w:rsid w:val="007017E4"/>
    <w:rsid w:val="007030B0"/>
    <w:rsid w:val="00732711"/>
    <w:rsid w:val="00784D58"/>
    <w:rsid w:val="00817D1B"/>
    <w:rsid w:val="008D6863"/>
    <w:rsid w:val="00901D2C"/>
    <w:rsid w:val="00913774"/>
    <w:rsid w:val="00953943"/>
    <w:rsid w:val="00962B98"/>
    <w:rsid w:val="00965D42"/>
    <w:rsid w:val="00A43160"/>
    <w:rsid w:val="00B35687"/>
    <w:rsid w:val="00B86B75"/>
    <w:rsid w:val="00BB2056"/>
    <w:rsid w:val="00BC48D5"/>
    <w:rsid w:val="00C36279"/>
    <w:rsid w:val="00C9076C"/>
    <w:rsid w:val="00CA4387"/>
    <w:rsid w:val="00CD4570"/>
    <w:rsid w:val="00CE50D2"/>
    <w:rsid w:val="00DD157D"/>
    <w:rsid w:val="00E315A3"/>
    <w:rsid w:val="00E422F0"/>
    <w:rsid w:val="00EB2974"/>
    <w:rsid w:val="00EB5849"/>
    <w:rsid w:val="00FA1D76"/>
    <w:rsid w:val="00FC1DC3"/>
    <w:rsid w:val="00FE7B93"/>
    <w:rsid w:val="00FF7B3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965D42"/>
    <w:pPr>
      <w:spacing w:after="180" w:before="180" w:line="360" w:lineRule="auto"/>
    </w:pPr>
    <w:rPr>
      <w:rFonts w:ascii="Minion Pro" w:hAnsi="Minion Pro"/>
      <w:sz w:val="22"/>
      <w:szCs w:val="22"/>
    </w:rPr>
  </w:style>
  <w:style w:styleId="Heading1" w:type="paragraph">
    <w:name w:val="heading 1"/>
    <w:basedOn w:val="Normal"/>
    <w:next w:val="BodyText"/>
    <w:uiPriority w:val="9"/>
    <w:qFormat/>
    <w:rsid w:val="00CA4387"/>
    <w:pPr>
      <w:keepNext/>
      <w:keepLines/>
      <w:spacing w:after="0" w:before="480"/>
      <w:outlineLvl w:val="0"/>
    </w:pPr>
    <w:rPr>
      <w:rFonts w:ascii="Minion Pro Capt" w:cs="Times New Roman (Headings CS)" w:eastAsiaTheme="majorEastAsia" w:hAnsi="Minion Pro Capt"/>
      <w:bCs/>
      <w:smallCaps/>
      <w:color w:themeColor="text1" w:val="000000"/>
      <w:sz w:val="28"/>
      <w:szCs w:val="32"/>
    </w:rPr>
  </w:style>
  <w:style w:styleId="Heading2" w:type="paragraph">
    <w:name w:val="heading 2"/>
    <w:basedOn w:val="Heading1"/>
    <w:next w:val="BodyText"/>
    <w:uiPriority w:val="9"/>
    <w:unhideWhenUsed/>
    <w:qFormat/>
    <w:rsid w:val="00A43160"/>
    <w:pPr>
      <w:spacing w:before="200"/>
      <w:outlineLvl w:val="1"/>
    </w:pPr>
    <w:rPr>
      <w:i/>
      <w:smallCaps w:val="0"/>
      <w:sz w:val="24"/>
      <w:szCs w:val="24"/>
    </w:rPr>
  </w:style>
  <w:style w:styleId="Heading3" w:type="paragraph">
    <w:name w:val="heading 3"/>
    <w:basedOn w:val="Heading2"/>
    <w:next w:val="BodyText"/>
    <w:uiPriority w:val="9"/>
    <w:unhideWhenUsed/>
    <w:qFormat/>
    <w:rsid w:val="007030B0"/>
    <w:pPr>
      <w:outlineLvl w:val="2"/>
    </w:pPr>
    <w:rPr>
      <w:b/>
      <w:bCs w:val="0"/>
      <w:i w:val="0"/>
      <w:sz w:val="22"/>
      <w:szCs w:val="22"/>
    </w:rPr>
  </w:style>
  <w:style w:styleId="Heading4" w:type="paragraph">
    <w:name w:val="heading 4"/>
    <w:basedOn w:val="Normal"/>
    <w:next w:val="BodyText"/>
    <w:uiPriority w:val="9"/>
    <w:unhideWhenUsed/>
    <w:qFormat/>
    <w:rsid w:val="006A097A"/>
    <w:pPr>
      <w:keepNext/>
      <w:keepLines/>
      <w:spacing w:after="0" w:before="200"/>
      <w:outlineLvl w:val="3"/>
    </w:pPr>
    <w:rPr>
      <w:rFonts w:ascii="Minion Pro Capt" w:cs="Times New Roman (Headings CS)" w:eastAsiaTheme="majorEastAsia" w:hAnsi="Minion Pro Capt"/>
      <w:bCs/>
      <w:i/>
      <w:color w:themeColor="text1" w:val="000000"/>
    </w:rPr>
  </w:style>
  <w:style w:styleId="Heading5" w:type="paragraph">
    <w:name w:val="heading 5"/>
    <w:basedOn w:val="Normal"/>
    <w:next w:val="BodyText"/>
    <w:uiPriority w:val="9"/>
    <w:unhideWhenUsed/>
    <w:qFormat/>
    <w:rsid w:val="007017E4"/>
    <w:pPr>
      <w:keepNext/>
      <w:keepLines/>
      <w:spacing w:after="0" w:before="200"/>
      <w:outlineLvl w:val="4"/>
    </w:pPr>
    <w:rPr>
      <w:rFonts w:ascii="Minion Pro Capt" w:cs="Times New Roman (Headings CS)" w:eastAsiaTheme="majorEastAsia" w:hAnsi="Minion Pro Capt"/>
      <w:i/>
      <w:iCs/>
      <w:color w:themeColor="text1" w:val="000000"/>
    </w:rPr>
  </w:style>
  <w:style w:styleId="Heading6" w:type="paragraph">
    <w:name w:val="heading 6"/>
    <w:basedOn w:val="Normal"/>
    <w:next w:val="BodyText"/>
    <w:uiPriority w:val="9"/>
    <w:unhideWhenUsed/>
    <w:qFormat/>
    <w:rsid w:val="006A097A"/>
    <w:pPr>
      <w:keepNext/>
      <w:keepLines/>
      <w:spacing w:after="0" w:before="200"/>
      <w:outlineLvl w:val="5"/>
    </w:pPr>
    <w:rPr>
      <w:rFonts w:ascii="Minion Pro Capt" w:cs="Times New Roman (Headings CS)" w:eastAsiaTheme="majorEastAsia" w:hAnsi="Minion Pro Capt"/>
      <w:color w:themeColor="text1" w:val="000000"/>
    </w:rPr>
  </w:style>
  <w:style w:styleId="Heading7" w:type="paragraph">
    <w:name w:val="heading 7"/>
    <w:basedOn w:val="Normal"/>
    <w:next w:val="BodyText"/>
    <w:uiPriority w:val="9"/>
    <w:unhideWhenUsed/>
    <w:qFormat/>
    <w:rsid w:val="006A097A"/>
    <w:pPr>
      <w:keepNext/>
      <w:keepLines/>
      <w:spacing w:after="0" w:before="200"/>
      <w:outlineLvl w:val="6"/>
    </w:pPr>
    <w:rPr>
      <w:rFonts w:ascii="Minion Pro Capt" w:cs="Times New Roman (Headings CS)" w:eastAsiaTheme="majorEastAsia" w:hAnsi="Minion Pro Capt"/>
      <w:color w:themeColor="text1" w:val="000000"/>
    </w:rPr>
  </w:style>
  <w:style w:styleId="Heading8" w:type="paragraph">
    <w:name w:val="heading 8"/>
    <w:basedOn w:val="Normal"/>
    <w:next w:val="BodyText"/>
    <w:uiPriority w:val="9"/>
    <w:unhideWhenUsed/>
    <w:qFormat/>
    <w:rsid w:val="006A097A"/>
    <w:pPr>
      <w:keepNext/>
      <w:keepLines/>
      <w:spacing w:after="0" w:before="200"/>
      <w:outlineLvl w:val="7"/>
    </w:pPr>
    <w:rPr>
      <w:rFonts w:ascii="Minion Pro Capt" w:cs="Times New Roman (Headings CS)" w:eastAsiaTheme="majorEastAsia" w:hAnsi="Minion Pro Capt"/>
      <w:color w:themeColor="text1" w:val="000000"/>
    </w:rPr>
  </w:style>
  <w:style w:styleId="Heading9" w:type="paragraph">
    <w:name w:val="heading 9"/>
    <w:basedOn w:val="Normal"/>
    <w:next w:val="BodyText"/>
    <w:uiPriority w:val="9"/>
    <w:unhideWhenUsed/>
    <w:qFormat/>
    <w:rsid w:val="006A097A"/>
    <w:pPr>
      <w:keepNext/>
      <w:keepLines/>
      <w:spacing w:after="0" w:before="200"/>
      <w:outlineLvl w:val="8"/>
    </w:pPr>
    <w:rPr>
      <w:rFonts w:ascii="Minion Pro Capt" w:cs="Times New Roman (Headings CS)" w:eastAsiaTheme="majorEastAsia" w:hAnsi="Minion Pro Capt"/>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style>
  <w:style w:customStyle="1" w:styleId="FirstParagraph" w:type="paragraph">
    <w:name w:val="First Paragraph"/>
    <w:basedOn w:val="BodyText"/>
    <w:next w:val="BodyText"/>
    <w:qFormat/>
  </w:style>
  <w:style w:customStyle="1" w:styleId="Compact" w:type="paragraph">
    <w:name w:val="Compact"/>
    <w:basedOn w:val="BodyText"/>
    <w:qFormat/>
    <w:rsid w:val="00732711"/>
    <w:pPr>
      <w:keepNext/>
      <w:keepLines/>
      <w:spacing w:after="0" w:before="0"/>
      <w:contextualSpacing/>
    </w:pPr>
  </w:style>
  <w:style w:styleId="Title" w:type="paragraph">
    <w:name w:val="Title"/>
    <w:basedOn w:val="Normal"/>
    <w:next w:val="BodyText"/>
    <w:qFormat/>
    <w:rsid w:val="00EB2974"/>
    <w:pPr>
      <w:keepNext/>
      <w:keepLines/>
      <w:spacing w:after="240" w:before="480"/>
    </w:pPr>
    <w:rPr>
      <w:rFonts w:ascii="Minion Pro SmBd Disp" w:cstheme="majorBidi" w:eastAsiaTheme="majorEastAsia" w:hAnsi="Minion Pro SmBd Disp"/>
      <w:b/>
      <w:bCs/>
      <w:color w:themeColor="text1" w:val="000000"/>
      <w:sz w:val="48"/>
      <w:szCs w:val="48"/>
    </w:rPr>
  </w:style>
  <w:style w:styleId="Subtitle" w:type="paragraph">
    <w:name w:val="Subtitle"/>
    <w:basedOn w:val="Title"/>
    <w:next w:val="BodyText"/>
    <w:qFormat/>
    <w:rsid w:val="00EB2974"/>
    <w:pPr>
      <w:spacing w:before="240"/>
    </w:pPr>
    <w:rPr>
      <w:sz w:val="36"/>
      <w:szCs w:val="30"/>
    </w:rPr>
  </w:style>
  <w:style w:customStyle="1" w:styleId="Author" w:type="paragraph">
    <w:name w:val="Author"/>
    <w:next w:val="BodyText"/>
    <w:qFormat/>
    <w:rsid w:val="00EB2974"/>
    <w:pPr>
      <w:keepNext/>
      <w:keepLines/>
    </w:pPr>
    <w:rPr>
      <w:rFonts w:ascii="Minion Pro SmBd Disp" w:hAnsi="Minion Pro SmBd Disp"/>
      <w:b/>
      <w:bCs/>
      <w:sz w:val="36"/>
    </w:rPr>
  </w:style>
  <w:style w:styleId="Date" w:type="paragraph">
    <w:name w:val="Date"/>
    <w:next w:val="BodyText"/>
    <w:qFormat/>
    <w:rsid w:val="00EB2974"/>
    <w:pPr>
      <w:keepNext/>
      <w:keepLines/>
    </w:pPr>
    <w:rPr>
      <w:rFonts w:ascii="Minion Pro SmBd Disp" w:hAnsi="Minion Pro SmBd Disp"/>
      <w:b/>
      <w:bCs/>
      <w:sz w:val="28"/>
    </w:rPr>
  </w:style>
  <w:style w:customStyle="1" w:styleId="Abstract" w:type="paragraph">
    <w:name w:val="Abstract"/>
    <w:basedOn w:val="Normal"/>
    <w:next w:val="BodyText"/>
    <w:qFormat/>
    <w:rsid w:val="00A43160"/>
    <w:pPr>
      <w:keepNext/>
      <w:keepLines/>
      <w:spacing w:after="300" w:before="300"/>
    </w:pPr>
    <w:rPr>
      <w:rFonts w:ascii="Minion Pro Med Cond" w:cs="Times New Roman (Body CS)" w:hAnsi="Minion Pro Med Cond"/>
      <w:i/>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05637E"/>
    <w:pPr>
      <w:spacing w:after="100" w:before="100"/>
    </w:pPr>
    <w:rPr>
      <w:rFonts w:cstheme="majorBidi" w:eastAsiaTheme="majorEastAsia"/>
      <w:sz w:val="20"/>
      <w:szCs w:val="20"/>
    </w:rPr>
  </w:style>
  <w:style w:styleId="FootnoteText" w:type="paragraph">
    <w:name w:val="footnote text"/>
    <w:basedOn w:val="Normal"/>
    <w:uiPriority w:val="9"/>
    <w:unhideWhenUsed/>
    <w:qFormat/>
    <w:rsid w:val="00530EF5"/>
    <w:pPr>
      <w:spacing w:line="240" w:lineRule="auto"/>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 w:hAnsi="Minion Pro Capt"/>
    </w:rPr>
  </w:style>
  <w:style w:customStyle="1" w:styleId="TableCaption" w:type="paragraph">
    <w:name w:val="Table Caption"/>
    <w:basedOn w:val="Caption"/>
    <w:rsid w:val="00485B43"/>
    <w:pPr>
      <w:keepNext/>
      <w:keepLines/>
    </w:pPr>
  </w:style>
  <w:style w:customStyle="1" w:styleId="ImageCaption" w:type="paragraph">
    <w:name w:val="Image Caption"/>
    <w:basedOn w:val="Caption"/>
    <w:rsid w:val="0005637E"/>
    <w:rPr>
      <w:rFonts w:ascii="Minion Pro Cond Capt" w:hAnsi="Minion Pro Cond Capt"/>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 w:hAnsi="Minion Pro Capt"/>
    </w:rPr>
  </w:style>
  <w:style w:customStyle="1" w:styleId="CaptionChar" w:type="character">
    <w:name w:val="Caption Char"/>
    <w:basedOn w:val="DefaultParagraphFont"/>
    <w:link w:val="Caption"/>
    <w:rsid w:val="00B35687"/>
    <w:rPr>
      <w:rFonts w:ascii="Minion Pro Capt" w:hAnsi="Minion Pro Capt"/>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 w:hAnsi="Minion Pro Capt"/>
      <w:vertAlign w:val="superscript"/>
    </w:rPr>
  </w:style>
  <w:style w:styleId="Hyperlink" w:type="character">
    <w:name w:val="Hyperlink"/>
    <w:basedOn w:val="CaptionChar"/>
    <w:uiPriority w:val="99"/>
    <w:rPr>
      <w:rFonts w:ascii="Minion Pro Capt" w:hAnsi="Minion Pro Capt"/>
      <w:color w:themeColor="accent1" w:val="4F81BD"/>
    </w:rPr>
  </w:style>
  <w:style w:styleId="TOCHeading" w:type="paragraph">
    <w:name w:val="TOC Heading"/>
    <w:basedOn w:val="Heading1"/>
    <w:next w:val="BodyText"/>
    <w:uiPriority w:val="39"/>
    <w:unhideWhenUsed/>
    <w:qFormat/>
    <w:rsid w:val="00EB5849"/>
    <w:pPr>
      <w:spacing w:before="240" w:line="259" w:lineRule="auto"/>
      <w:outlineLvl w:val="9"/>
    </w:pPr>
    <w:rPr>
      <w:b/>
    </w:rPr>
  </w:style>
  <w:style w:customStyle="1" w:styleId="BodyTextChar" w:type="character">
    <w:name w:val="Body Text Char"/>
    <w:basedOn w:val="DefaultParagraphFont"/>
    <w:link w:val="BodyText"/>
    <w:rsid w:val="006A097A"/>
    <w:rPr>
      <w:rFonts w:ascii="Minion Pro" w:hAnsi="Minion Pro"/>
    </w:rPr>
  </w:style>
  <w:style w:styleId="Header" w:type="paragraph">
    <w:name w:val="header"/>
    <w:basedOn w:val="Normal"/>
    <w:link w:val="HeaderChar"/>
    <w:uiPriority w:val="99"/>
    <w:unhideWhenUsed/>
    <w:rsid w:val="00431377"/>
    <w:pPr>
      <w:tabs>
        <w:tab w:pos="4680" w:val="center"/>
        <w:tab w:pos="9360" w:val="right"/>
      </w:tabs>
      <w:spacing w:after="0" w:before="0" w:line="240" w:lineRule="auto"/>
    </w:pPr>
  </w:style>
  <w:style w:customStyle="1" w:styleId="HeaderChar" w:type="character">
    <w:name w:val="Header Char"/>
    <w:basedOn w:val="DefaultParagraphFont"/>
    <w:link w:val="Header"/>
    <w:uiPriority w:val="99"/>
    <w:rsid w:val="00431377"/>
    <w:rPr>
      <w:rFonts w:ascii="Minion Pro" w:hAnsi="Minion Pro"/>
      <w:sz w:val="22"/>
      <w:szCs w:val="22"/>
    </w:rPr>
  </w:style>
  <w:style w:styleId="PageNumber" w:type="character">
    <w:name w:val="page number"/>
    <w:basedOn w:val="DefaultParagraphFont"/>
    <w:semiHidden/>
    <w:unhideWhenUsed/>
    <w:rsid w:val="00431377"/>
  </w:style>
  <w:style w:styleId="Footer" w:type="paragraph">
    <w:name w:val="footer"/>
    <w:basedOn w:val="Normal"/>
    <w:link w:val="FooterChar"/>
    <w:unhideWhenUsed/>
    <w:rsid w:val="00431377"/>
    <w:pPr>
      <w:tabs>
        <w:tab w:pos="4680" w:val="center"/>
        <w:tab w:pos="9360" w:val="right"/>
      </w:tabs>
      <w:spacing w:after="0" w:before="0" w:line="240" w:lineRule="auto"/>
    </w:pPr>
  </w:style>
  <w:style w:customStyle="1" w:styleId="FooterChar" w:type="character">
    <w:name w:val="Footer Char"/>
    <w:basedOn w:val="DefaultParagraphFont"/>
    <w:link w:val="Footer"/>
    <w:rsid w:val="00431377"/>
    <w:rPr>
      <w:rFonts w:ascii="Minion Pro" w:hAnsi="Minion Pro"/>
      <w:sz w:val="22"/>
      <w:szCs w:val="22"/>
    </w:rPr>
  </w:style>
  <w:style w:styleId="TOC1" w:type="paragraph">
    <w:name w:val="toc 1"/>
    <w:basedOn w:val="Normal"/>
    <w:next w:val="Normal"/>
    <w:autoRedefine/>
    <w:uiPriority w:val="39"/>
    <w:unhideWhenUsed/>
    <w:rsid w:val="00282616"/>
    <w:pPr>
      <w:spacing w:after="0" w:before="120"/>
    </w:pPr>
    <w:rPr>
      <w:rFonts w:asciiTheme="minorHAnsi" w:hAnsiTheme="minorHAnsi"/>
      <w:b/>
      <w:bCs/>
      <w:i/>
      <w:iCs/>
      <w:sz w:val="24"/>
      <w:szCs w:val="24"/>
    </w:rPr>
  </w:style>
  <w:style w:styleId="TOC2" w:type="paragraph">
    <w:name w:val="toc 2"/>
    <w:basedOn w:val="Normal"/>
    <w:next w:val="Normal"/>
    <w:autoRedefine/>
    <w:uiPriority w:val="39"/>
    <w:unhideWhenUsed/>
    <w:rsid w:val="00282616"/>
    <w:pPr>
      <w:spacing w:after="0" w:before="120"/>
      <w:ind w:left="220"/>
    </w:pPr>
    <w:rPr>
      <w:rFonts w:asciiTheme="minorHAnsi" w:hAnsiTheme="minorHAnsi"/>
      <w:b/>
      <w:bCs/>
    </w:rPr>
  </w:style>
  <w:style w:styleId="TOC3" w:type="paragraph">
    <w:name w:val="toc 3"/>
    <w:basedOn w:val="Normal"/>
    <w:next w:val="Normal"/>
    <w:autoRedefine/>
    <w:uiPriority w:val="39"/>
    <w:unhideWhenUsed/>
    <w:rsid w:val="00282616"/>
    <w:pPr>
      <w:spacing w:after="0" w:before="0"/>
      <w:ind w:left="440"/>
    </w:pPr>
    <w:rPr>
      <w:rFonts w:asciiTheme="minorHAnsi" w:hAnsiTheme="minorHAnsi"/>
      <w:sz w:val="20"/>
      <w:szCs w:val="20"/>
    </w:rPr>
  </w:style>
  <w:style w:styleId="TOC4" w:type="paragraph">
    <w:name w:val="toc 4"/>
    <w:basedOn w:val="Normal"/>
    <w:next w:val="Normal"/>
    <w:autoRedefine/>
    <w:semiHidden/>
    <w:unhideWhenUsed/>
    <w:rsid w:val="00282616"/>
    <w:pPr>
      <w:spacing w:after="0" w:before="0"/>
      <w:ind w:left="660"/>
    </w:pPr>
    <w:rPr>
      <w:rFonts w:asciiTheme="minorHAnsi" w:hAnsiTheme="minorHAnsi"/>
      <w:sz w:val="20"/>
      <w:szCs w:val="20"/>
    </w:rPr>
  </w:style>
  <w:style w:styleId="TOC5" w:type="paragraph">
    <w:name w:val="toc 5"/>
    <w:basedOn w:val="Normal"/>
    <w:next w:val="Normal"/>
    <w:autoRedefine/>
    <w:semiHidden/>
    <w:unhideWhenUsed/>
    <w:rsid w:val="00282616"/>
    <w:pPr>
      <w:spacing w:after="0" w:before="0"/>
      <w:ind w:left="880"/>
    </w:pPr>
    <w:rPr>
      <w:rFonts w:asciiTheme="minorHAnsi" w:hAnsiTheme="minorHAnsi"/>
      <w:sz w:val="20"/>
      <w:szCs w:val="20"/>
    </w:rPr>
  </w:style>
  <w:style w:styleId="TOC6" w:type="paragraph">
    <w:name w:val="toc 6"/>
    <w:basedOn w:val="Normal"/>
    <w:next w:val="Normal"/>
    <w:autoRedefine/>
    <w:semiHidden/>
    <w:unhideWhenUsed/>
    <w:rsid w:val="00282616"/>
    <w:pPr>
      <w:spacing w:after="0" w:before="0"/>
      <w:ind w:left="1100"/>
    </w:pPr>
    <w:rPr>
      <w:rFonts w:asciiTheme="minorHAnsi" w:hAnsiTheme="minorHAnsi"/>
      <w:sz w:val="20"/>
      <w:szCs w:val="20"/>
    </w:rPr>
  </w:style>
  <w:style w:styleId="TOC7" w:type="paragraph">
    <w:name w:val="toc 7"/>
    <w:basedOn w:val="Normal"/>
    <w:next w:val="Normal"/>
    <w:autoRedefine/>
    <w:semiHidden/>
    <w:unhideWhenUsed/>
    <w:rsid w:val="00282616"/>
    <w:pPr>
      <w:spacing w:after="0" w:before="0"/>
      <w:ind w:left="1320"/>
    </w:pPr>
    <w:rPr>
      <w:rFonts w:asciiTheme="minorHAnsi" w:hAnsiTheme="minorHAnsi"/>
      <w:sz w:val="20"/>
      <w:szCs w:val="20"/>
    </w:rPr>
  </w:style>
  <w:style w:styleId="TOC8" w:type="paragraph">
    <w:name w:val="toc 8"/>
    <w:basedOn w:val="Normal"/>
    <w:next w:val="Normal"/>
    <w:autoRedefine/>
    <w:semiHidden/>
    <w:unhideWhenUsed/>
    <w:rsid w:val="00282616"/>
    <w:pPr>
      <w:spacing w:after="0" w:before="0"/>
      <w:ind w:left="1540"/>
    </w:pPr>
    <w:rPr>
      <w:rFonts w:asciiTheme="minorHAnsi" w:hAnsiTheme="minorHAnsi"/>
      <w:sz w:val="20"/>
      <w:szCs w:val="20"/>
    </w:rPr>
  </w:style>
  <w:style w:styleId="TOC9" w:type="paragraph">
    <w:name w:val="toc 9"/>
    <w:basedOn w:val="Normal"/>
    <w:next w:val="Normal"/>
    <w:autoRedefine/>
    <w:semiHidden/>
    <w:unhideWhenUsed/>
    <w:rsid w:val="00282616"/>
    <w:pPr>
      <w:spacing w:after="0" w:before="0"/>
      <w:ind w:left="1760"/>
    </w:pPr>
    <w:rPr>
      <w:rFonts w:asciiTheme="minorHAnsi" w:hAnsiTheme="minorHAnsi"/>
      <w:sz w:val="20"/>
      <w:szCs w:val="20"/>
    </w:rPr>
  </w:style>
  <w:style w:customStyle="1" w:styleId="Tablebody" w:type="paragraph">
    <w:name w:val="Table body"/>
    <w:basedOn w:val="Compact"/>
    <w:qFormat/>
    <w:rsid w:val="00817D1B"/>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9120">
      <w:bodyDiv w:val="1"/>
      <w:marLeft w:val="0"/>
      <w:marRight w:val="0"/>
      <w:marTop w:val="0"/>
      <w:marBottom w:val="0"/>
      <w:divBdr>
        <w:top w:val="none" w:sz="0" w:space="0" w:color="auto"/>
        <w:left w:val="none" w:sz="0" w:space="0" w:color="auto"/>
        <w:bottom w:val="none" w:sz="0" w:space="0" w:color="auto"/>
        <w:right w:val="none" w:sz="0" w:space="0" w:color="auto"/>
      </w:divBdr>
    </w:div>
    <w:div w:id="5615275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hyperlink" Id="rId179" Target="https://doi.org/10.1007/BF00350139" TargetMode="External" /><Relationship Type="http://schemas.openxmlformats.org/officeDocument/2006/relationships/hyperlink" Id="rId243" Target="https://doi.org/10.1007/BF00353523" TargetMode="External" /><Relationship Type="http://schemas.openxmlformats.org/officeDocument/2006/relationships/hyperlink" Id="rId301" Target="https://doi.org/10.1007/BF00411885" TargetMode="External" /><Relationship Type="http://schemas.openxmlformats.org/officeDocument/2006/relationships/hyperlink" Id="rId196" Target="https://doi.org/10.1007/BF00485440" TargetMode="External" /><Relationship Type="http://schemas.openxmlformats.org/officeDocument/2006/relationships/hyperlink" Id="rId237" Target="https://doi.org/10.1007/BF00694847" TargetMode="External" /><Relationship Type="http://schemas.openxmlformats.org/officeDocument/2006/relationships/hyperlink" Id="rId299" Target="https://doi.org/10.1007/s10988-008-9023-4" TargetMode="External" /><Relationship Type="http://schemas.openxmlformats.org/officeDocument/2006/relationships/hyperlink" Id="rId207" Target="https://doi.org/10.1007/s13194-017-0188-y" TargetMode="External" /><Relationship Type="http://schemas.openxmlformats.org/officeDocument/2006/relationships/hyperlink" Id="rId240" Target="https://doi.org/10.1016/j.socscimed.2009.12.018" TargetMode="External" /><Relationship Type="http://schemas.openxmlformats.org/officeDocument/2006/relationships/hyperlink" Id="rId174" Target="https://doi.org/10.1017/S0031819100037943" TargetMode="External" /><Relationship Type="http://schemas.openxmlformats.org/officeDocument/2006/relationships/hyperlink" Id="rId198" Target="https://doi.org/10.1080/00048407512341131" TargetMode="External" /><Relationship Type="http://schemas.openxmlformats.org/officeDocument/2006/relationships/hyperlink" Id="rId257" Target="https://doi.org/10.1080/00048408312341131" TargetMode="External" /><Relationship Type="http://schemas.openxmlformats.org/officeDocument/2006/relationships/hyperlink" Id="rId259" Target="https://doi.org/10.1080/00048409612347521" TargetMode="External" /><Relationship Type="http://schemas.openxmlformats.org/officeDocument/2006/relationships/hyperlink" Id="rId234" Target="https://doi.org/10.1080/01445340.2019.1683793" TargetMode="External" /><Relationship Type="http://schemas.openxmlformats.org/officeDocument/2006/relationships/hyperlink" Id="rId268" Target="https://doi.org/10.1086/289488" TargetMode="External" /><Relationship Type="http://schemas.openxmlformats.org/officeDocument/2006/relationships/hyperlink" Id="rId270" Target="https://doi.org/10.1086/289610" TargetMode="External" /><Relationship Type="http://schemas.openxmlformats.org/officeDocument/2006/relationships/hyperlink" Id="rId264" Target="https://doi.org/10.1086/392759" TargetMode="External" /><Relationship Type="http://schemas.openxmlformats.org/officeDocument/2006/relationships/hyperlink" Id="rId176" Target="https://doi.org/10.1093/aristotelian/57.1.1" TargetMode="External" /><Relationship Type="http://schemas.openxmlformats.org/officeDocument/2006/relationships/hyperlink" Id="rId171" Target="https://doi.org/10.1093/mind/65.1.1" TargetMode="External" /><Relationship Type="http://schemas.openxmlformats.org/officeDocument/2006/relationships/hyperlink" Id="rId313" Target="https://doi.org/10.1093/mind/fzm983" TargetMode="External" /><Relationship Type="http://schemas.openxmlformats.org/officeDocument/2006/relationships/hyperlink" Id="rId229" Target="https://doi.org/10.1111/0029-4624.00201" TargetMode="External" /><Relationship Type="http://schemas.openxmlformats.org/officeDocument/2006/relationships/hyperlink" Id="rId278" Target="https://doi.org/10.1111/0029-4624.00277" TargetMode="External" /><Relationship Type="http://schemas.openxmlformats.org/officeDocument/2006/relationships/hyperlink" Id="rId295" Target="https://doi.org/10.1111/1468-0017.00130" TargetMode="External" /><Relationship Type="http://schemas.openxmlformats.org/officeDocument/2006/relationships/hyperlink" Id="rId311" Target="https://doi.org/10.1111/1468-0149.00172" TargetMode="External" /><Relationship Type="http://schemas.openxmlformats.org/officeDocument/2006/relationships/hyperlink" Id="rId225" Target="https://doi.org/10.1111/ajps.12713" TargetMode="External" /><Relationship Type="http://schemas.openxmlformats.org/officeDocument/2006/relationships/hyperlink" Id="rId211" Target="https://doi.org/10.1111/j.1468-0068.2007.00656.x" TargetMode="External" /><Relationship Type="http://schemas.openxmlformats.org/officeDocument/2006/relationships/hyperlink" Id="rId214" Target="https://doi.org/10.1215/00318108-111-1-67" TargetMode="External" /><Relationship Type="http://schemas.openxmlformats.org/officeDocument/2006/relationships/hyperlink" Id="rId289" Target="https://doi.org/10.1215/00318108-112-4-447" TargetMode="External" /><Relationship Type="http://schemas.openxmlformats.org/officeDocument/2006/relationships/hyperlink" Id="rId192" Target="https://doi.org/10.1215/00318108-2006-035" TargetMode="External" /><Relationship Type="http://schemas.openxmlformats.org/officeDocument/2006/relationships/hyperlink" Id="rId287" Target="https://doi.org/10.1215/00318108-2009-025" TargetMode="External" /><Relationship Type="http://schemas.openxmlformats.org/officeDocument/2006/relationships/hyperlink" Id="rId272" Target="https://doi.org/10.1215/00318108-8311248" TargetMode="External" /><Relationship Type="http://schemas.openxmlformats.org/officeDocument/2006/relationships/hyperlink" Id="rId218" Target="https://doi.org/10.2307/2023833" TargetMode="External" /><Relationship Type="http://schemas.openxmlformats.org/officeDocument/2006/relationships/hyperlink" Id="rId252" Target="https://doi.org/10.2307/2023861" TargetMode="External" /><Relationship Type="http://schemas.openxmlformats.org/officeDocument/2006/relationships/hyperlink" Id="rId209" Target="https://doi.org/10.2307/2024710" TargetMode="External" /><Relationship Type="http://schemas.openxmlformats.org/officeDocument/2006/relationships/hyperlink" Id="rId194" Target="https://doi.org/10.2307/2025900" TargetMode="External" /><Relationship Type="http://schemas.openxmlformats.org/officeDocument/2006/relationships/hyperlink" Id="rId182" Target="https://doi.org/10.2307/2027157" TargetMode="External" /><Relationship Type="http://schemas.openxmlformats.org/officeDocument/2006/relationships/hyperlink" Id="rId245" Target="https://doi.org/10.2307/2107423" TargetMode="External" /><Relationship Type="http://schemas.openxmlformats.org/officeDocument/2006/relationships/hyperlink" Id="rId202" Target="https://doi.org/10.2307/2107917" TargetMode="External" /><Relationship Type="http://schemas.openxmlformats.org/officeDocument/2006/relationships/hyperlink" Id="rId293" Target="https://doi.org/10.2307/2182164" TargetMode="External" /><Relationship Type="http://schemas.openxmlformats.org/officeDocument/2006/relationships/hyperlink" Id="rId227" Target="https://doi.org/10.2307/2182440" TargetMode="External" /><Relationship Type="http://schemas.openxmlformats.org/officeDocument/2006/relationships/hyperlink" Id="rId307" Target="https://doi.org/10.2307/2183766" TargetMode="External" /><Relationship Type="http://schemas.openxmlformats.org/officeDocument/2006/relationships/hyperlink" Id="rId305" Target="https://doi.org/10.2307/2183933" TargetMode="External" /><Relationship Type="http://schemas.openxmlformats.org/officeDocument/2006/relationships/hyperlink" Id="rId274" Target="https://doi.org/10.2307/2184309" TargetMode="External" /><Relationship Type="http://schemas.openxmlformats.org/officeDocument/2006/relationships/hyperlink" Id="rId276" Target="https://doi.org/10.2307/2184564" TargetMode="External" /><Relationship Type="http://schemas.openxmlformats.org/officeDocument/2006/relationships/hyperlink" Id="rId186" Target="https://doi.org/10.2307/2185131" TargetMode="External" /><Relationship Type="http://schemas.openxmlformats.org/officeDocument/2006/relationships/hyperlink" Id="rId200" Target="https://doi.org/10.2307/2185175" TargetMode="External" /><Relationship Type="http://schemas.openxmlformats.org/officeDocument/2006/relationships/hyperlink" Id="rId309" Target="https://doi.org/10.2307/2185535" TargetMode="External" /><Relationship Type="http://schemas.openxmlformats.org/officeDocument/2006/relationships/hyperlink" Id="rId188" Target="https://doi.org/10.2307/2185680" TargetMode="External" /><Relationship Type="http://schemas.openxmlformats.org/officeDocument/2006/relationships/hyperlink" Id="rId204" Target="https://doi.org/10.2307/2186011" TargetMode="External" /><Relationship Type="http://schemas.openxmlformats.org/officeDocument/2006/relationships/hyperlink" Id="rId216" Target="https://doi.org/10.2307/2214160" TargetMode="External" /><Relationship Type="http://schemas.openxmlformats.org/officeDocument/2006/relationships/hyperlink" Id="rId266" Target="https://doi.org/10.2307/2220143" TargetMode="External" /><Relationship Type="http://schemas.openxmlformats.org/officeDocument/2006/relationships/hyperlink" Id="rId261" Target="https://doi.org/10.2307/2678389" TargetMode="External" /><Relationship Type="http://schemas.openxmlformats.org/officeDocument/2006/relationships/hyperlink" Id="rId297" Target="https://doi.org/10.2307/2678403" TargetMode="External" /><Relationship Type="http://schemas.openxmlformats.org/officeDocument/2006/relationships/hyperlink" Id="rId223" Target="https://doi.org/10.2307/3326922" TargetMode="External" /><Relationship Type="http://schemas.openxmlformats.org/officeDocument/2006/relationships/hyperlink" Id="rId190" Target="https://doi.org/10.2307/3328875" TargetMode="External" /><Relationship Type="http://schemas.openxmlformats.org/officeDocument/2006/relationships/hyperlink" Id="rId285" Target="https://doi.org/10.3998/ergo.12405314.0004.004" TargetMode="External" /></Relationships>
</file>

<file path=word/_rels/footnotes.xml.rels><?xml version="1.0" encoding="UTF-8"?><Relationships xmlns="http://schemas.openxmlformats.org/package/2006/relationships"><Relationship Type="http://schemas.openxmlformats.org/officeDocument/2006/relationships/hyperlink" Id="rId179" Target="https://doi.org/10.1007/BF00350139" TargetMode="External" /><Relationship Type="http://schemas.openxmlformats.org/officeDocument/2006/relationships/hyperlink" Id="rId243" Target="https://doi.org/10.1007/BF00353523" TargetMode="External" /><Relationship Type="http://schemas.openxmlformats.org/officeDocument/2006/relationships/hyperlink" Id="rId301" Target="https://doi.org/10.1007/BF00411885" TargetMode="External" /><Relationship Type="http://schemas.openxmlformats.org/officeDocument/2006/relationships/hyperlink" Id="rId196" Target="https://doi.org/10.1007/BF00485440" TargetMode="External" /><Relationship Type="http://schemas.openxmlformats.org/officeDocument/2006/relationships/hyperlink" Id="rId237" Target="https://doi.org/10.1007/BF00694847" TargetMode="External" /><Relationship Type="http://schemas.openxmlformats.org/officeDocument/2006/relationships/hyperlink" Id="rId299" Target="https://doi.org/10.1007/s10988-008-9023-4" TargetMode="External" /><Relationship Type="http://schemas.openxmlformats.org/officeDocument/2006/relationships/hyperlink" Id="rId207" Target="https://doi.org/10.1007/s13194-017-0188-y" TargetMode="External" /><Relationship Type="http://schemas.openxmlformats.org/officeDocument/2006/relationships/hyperlink" Id="rId240" Target="https://doi.org/10.1016/j.socscimed.2009.12.018" TargetMode="External" /><Relationship Type="http://schemas.openxmlformats.org/officeDocument/2006/relationships/hyperlink" Id="rId174" Target="https://doi.org/10.1017/S0031819100037943" TargetMode="External" /><Relationship Type="http://schemas.openxmlformats.org/officeDocument/2006/relationships/hyperlink" Id="rId198" Target="https://doi.org/10.1080/00048407512341131" TargetMode="External" /><Relationship Type="http://schemas.openxmlformats.org/officeDocument/2006/relationships/hyperlink" Id="rId257" Target="https://doi.org/10.1080/00048408312341131" TargetMode="External" /><Relationship Type="http://schemas.openxmlformats.org/officeDocument/2006/relationships/hyperlink" Id="rId259" Target="https://doi.org/10.1080/00048409612347521" TargetMode="External" /><Relationship Type="http://schemas.openxmlformats.org/officeDocument/2006/relationships/hyperlink" Id="rId234" Target="https://doi.org/10.1080/01445340.2019.1683793" TargetMode="External" /><Relationship Type="http://schemas.openxmlformats.org/officeDocument/2006/relationships/hyperlink" Id="rId268" Target="https://doi.org/10.1086/289488" TargetMode="External" /><Relationship Type="http://schemas.openxmlformats.org/officeDocument/2006/relationships/hyperlink" Id="rId270" Target="https://doi.org/10.1086/289610" TargetMode="External" /><Relationship Type="http://schemas.openxmlformats.org/officeDocument/2006/relationships/hyperlink" Id="rId264" Target="https://doi.org/10.1086/392759" TargetMode="External" /><Relationship Type="http://schemas.openxmlformats.org/officeDocument/2006/relationships/hyperlink" Id="rId176" Target="https://doi.org/10.1093/aristotelian/57.1.1" TargetMode="External" /><Relationship Type="http://schemas.openxmlformats.org/officeDocument/2006/relationships/hyperlink" Id="rId171" Target="https://doi.org/10.1093/mind/65.1.1" TargetMode="External" /><Relationship Type="http://schemas.openxmlformats.org/officeDocument/2006/relationships/hyperlink" Id="rId313" Target="https://doi.org/10.1093/mind/fzm983" TargetMode="External" /><Relationship Type="http://schemas.openxmlformats.org/officeDocument/2006/relationships/hyperlink" Id="rId229" Target="https://doi.org/10.1111/0029-4624.00201" TargetMode="External" /><Relationship Type="http://schemas.openxmlformats.org/officeDocument/2006/relationships/hyperlink" Id="rId278" Target="https://doi.org/10.1111/0029-4624.00277" TargetMode="External" /><Relationship Type="http://schemas.openxmlformats.org/officeDocument/2006/relationships/hyperlink" Id="rId295" Target="https://doi.org/10.1111/1468-0017.00130" TargetMode="External" /><Relationship Type="http://schemas.openxmlformats.org/officeDocument/2006/relationships/hyperlink" Id="rId311" Target="https://doi.org/10.1111/1468-0149.00172" TargetMode="External" /><Relationship Type="http://schemas.openxmlformats.org/officeDocument/2006/relationships/hyperlink" Id="rId225" Target="https://doi.org/10.1111/ajps.12713" TargetMode="External" /><Relationship Type="http://schemas.openxmlformats.org/officeDocument/2006/relationships/hyperlink" Id="rId211" Target="https://doi.org/10.1111/j.1468-0068.2007.00656.x" TargetMode="External" /><Relationship Type="http://schemas.openxmlformats.org/officeDocument/2006/relationships/hyperlink" Id="rId214" Target="https://doi.org/10.1215/00318108-111-1-67" TargetMode="External" /><Relationship Type="http://schemas.openxmlformats.org/officeDocument/2006/relationships/hyperlink" Id="rId289" Target="https://doi.org/10.1215/00318108-112-4-447" TargetMode="External" /><Relationship Type="http://schemas.openxmlformats.org/officeDocument/2006/relationships/hyperlink" Id="rId192" Target="https://doi.org/10.1215/00318108-2006-035" TargetMode="External" /><Relationship Type="http://schemas.openxmlformats.org/officeDocument/2006/relationships/hyperlink" Id="rId287" Target="https://doi.org/10.1215/00318108-2009-025" TargetMode="External" /><Relationship Type="http://schemas.openxmlformats.org/officeDocument/2006/relationships/hyperlink" Id="rId272" Target="https://doi.org/10.1215/00318108-8311248" TargetMode="External" /><Relationship Type="http://schemas.openxmlformats.org/officeDocument/2006/relationships/hyperlink" Id="rId218" Target="https://doi.org/10.2307/2023833" TargetMode="External" /><Relationship Type="http://schemas.openxmlformats.org/officeDocument/2006/relationships/hyperlink" Id="rId252" Target="https://doi.org/10.2307/2023861" TargetMode="External" /><Relationship Type="http://schemas.openxmlformats.org/officeDocument/2006/relationships/hyperlink" Id="rId209" Target="https://doi.org/10.2307/2024710" TargetMode="External" /><Relationship Type="http://schemas.openxmlformats.org/officeDocument/2006/relationships/hyperlink" Id="rId194" Target="https://doi.org/10.2307/2025900" TargetMode="External" /><Relationship Type="http://schemas.openxmlformats.org/officeDocument/2006/relationships/hyperlink" Id="rId182" Target="https://doi.org/10.2307/2027157" TargetMode="External" /><Relationship Type="http://schemas.openxmlformats.org/officeDocument/2006/relationships/hyperlink" Id="rId245" Target="https://doi.org/10.2307/2107423" TargetMode="External" /><Relationship Type="http://schemas.openxmlformats.org/officeDocument/2006/relationships/hyperlink" Id="rId202" Target="https://doi.org/10.2307/2107917" TargetMode="External" /><Relationship Type="http://schemas.openxmlformats.org/officeDocument/2006/relationships/hyperlink" Id="rId293" Target="https://doi.org/10.2307/2182164" TargetMode="External" /><Relationship Type="http://schemas.openxmlformats.org/officeDocument/2006/relationships/hyperlink" Id="rId227" Target="https://doi.org/10.2307/2182440" TargetMode="External" /><Relationship Type="http://schemas.openxmlformats.org/officeDocument/2006/relationships/hyperlink" Id="rId307" Target="https://doi.org/10.2307/2183766" TargetMode="External" /><Relationship Type="http://schemas.openxmlformats.org/officeDocument/2006/relationships/hyperlink" Id="rId305" Target="https://doi.org/10.2307/2183933" TargetMode="External" /><Relationship Type="http://schemas.openxmlformats.org/officeDocument/2006/relationships/hyperlink" Id="rId274" Target="https://doi.org/10.2307/2184309" TargetMode="External" /><Relationship Type="http://schemas.openxmlformats.org/officeDocument/2006/relationships/hyperlink" Id="rId276" Target="https://doi.org/10.2307/2184564" TargetMode="External" /><Relationship Type="http://schemas.openxmlformats.org/officeDocument/2006/relationships/hyperlink" Id="rId186" Target="https://doi.org/10.2307/2185131" TargetMode="External" /><Relationship Type="http://schemas.openxmlformats.org/officeDocument/2006/relationships/hyperlink" Id="rId200" Target="https://doi.org/10.2307/2185175" TargetMode="External" /><Relationship Type="http://schemas.openxmlformats.org/officeDocument/2006/relationships/hyperlink" Id="rId309" Target="https://doi.org/10.2307/2185535" TargetMode="External" /><Relationship Type="http://schemas.openxmlformats.org/officeDocument/2006/relationships/hyperlink" Id="rId188" Target="https://doi.org/10.2307/2185680" TargetMode="External" /><Relationship Type="http://schemas.openxmlformats.org/officeDocument/2006/relationships/hyperlink" Id="rId204" Target="https://doi.org/10.2307/2186011" TargetMode="External" /><Relationship Type="http://schemas.openxmlformats.org/officeDocument/2006/relationships/hyperlink" Id="rId216" Target="https://doi.org/10.2307/2214160" TargetMode="External" /><Relationship Type="http://schemas.openxmlformats.org/officeDocument/2006/relationships/hyperlink" Id="rId266" Target="https://doi.org/10.2307/2220143" TargetMode="External" /><Relationship Type="http://schemas.openxmlformats.org/officeDocument/2006/relationships/hyperlink" Id="rId261" Target="https://doi.org/10.2307/2678389" TargetMode="External" /><Relationship Type="http://schemas.openxmlformats.org/officeDocument/2006/relationships/hyperlink" Id="rId297" Target="https://doi.org/10.2307/2678403" TargetMode="External" /><Relationship Type="http://schemas.openxmlformats.org/officeDocument/2006/relationships/hyperlink" Id="rId223" Target="https://doi.org/10.2307/3326922" TargetMode="External" /><Relationship Type="http://schemas.openxmlformats.org/officeDocument/2006/relationships/hyperlink" Id="rId190" Target="https://doi.org/10.2307/3328875" TargetMode="External" /><Relationship Type="http://schemas.openxmlformats.org/officeDocument/2006/relationships/hyperlink" Id="rId285" Target="https://doi.org/10.3998/ergo.12405314.0004.0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106</Words>
  <Characters>605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 Period, and Cohort Effects in Philosophy Journal Citations</dc:title>
  <dc:creator>Anon</dc:creator>
  <cp:keywords/>
  <dcterms:created xsi:type="dcterms:W3CDTF">2025-02-27T17:50:30Z</dcterms:created>
  <dcterms:modified xsi:type="dcterms:W3CDTF">2025-02-27T17:50:30Z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extremely strong age and period effects in citations in philosophy journals. The age effect is that citations are concentrated on articles published two to five years prior. The period effect is that recent years have seen an explosion in the number of articles published, and the number of citations per articles, so many articles are getting more citations per year than they ever had previously. But cohort effects are trickier to detect. In this note I argue that they exist. There are more citations to articles from eras of more dramatic change in philosophy, such as around 1970 and around 2010. And there are fewer citations to articles from periods of consolidation, especially in the late 1970s through the 1980s.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2025-02-12</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