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with the bulk of this paper one in each of the following nine sections.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right"/>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right"/>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right"/>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right"/>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right"/>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right"/>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right"/>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right"/>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bookmarkEnd w:id="29"/>
    <w:bookmarkStart w:id="31"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bookmarkEnd w:id="31"/>
    <w:bookmarkStart w:id="38"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2"/>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3"/>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4"/>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37" w:name="tbl-edt-war"/>
    <w:tbl>
      <w:tblPr>
        <w:tblStyle w:val="Table"/>
        <w:tblW w:type="pct" w:w="5000"/>
        <w:tblLook w:firstRow="0" w:lastRow="0" w:firstColumn="0" w:lastColumn="0" w:noHBand="0" w:noVBand="0" w:val="0000"/>
        <w:jc w:val="start"/>
      </w:tblPr>
      <w:tblGrid>
        <w:gridCol w:w="3960"/>
        <w:gridCol w:w="3960"/>
      </w:tblGrid>
      <w:tr>
        <w:tc>
          <w:tcPr/>
          <w:bookmarkStart w:id="35"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right"/>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right"/>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6"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right"/>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right"/>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6"/>
          <w:p/>
        </w:tc>
      </w:tr>
    </w:tbl>
    <w:p>
      <w:pPr>
        <w:pStyle w:val="BodyText"/>
      </w:pPr>
      <w:pPr>
        <w:spacing w:before="200"/>
        <w:pStyle w:val="ImageCaption"/>
      </w:pPr>
      <w:r>
        <w:t xml:space="preserve">Table 3: A Newcomb problem with two demons</w:t>
      </w:r>
    </w:p>
    <w:bookmarkEnd w:id="37"/>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38"/>
    <w:bookmarkStart w:id="42"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39"/>
      </w:r>
      <w:r>
        <w:t xml:space="preserve"> </w:t>
      </w:r>
      <w:r>
        <w:t xml:space="preserve">One is that the chooser might not be capable of carrying out a mixed strategy. They might not, for instance, have any coins in their pocket.</w:t>
      </w:r>
      <w:r>
        <w:rPr>
          <w:rStyle w:val="FootnoteReference"/>
        </w:rPr>
        <w:footnoteReference w:id="40"/>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1"/>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w:t>
      </w:r>
    </w:p>
    <w:p>
      <w:pPr>
        <w:pStyle w:val="BodyText"/>
      </w:pPr>
      <w:r>
        <w:t xml:space="preserve">So I conclude that if we are idealising, and if that idealisation extends at least as far as arithmetic perfection, it should also extend to being able to carry out mixed strategies. There is a place for a decision theory for agents who can’t mix, just like there is a place for a decision theory for agents who can’t add. What I deny, and indeed what I don’t see any reason to accept, is that there is value in doing decision theory for agents who are perfect at adding and multiplying, but completely incapable of mixing, even in one-shot games. The reasons that have been offered are bad ones; they rule out the arithmetic just as much as the mixing. And I can’t think of any others. So from now on, I’ll follow the game theorists in assuming if two options are available, so is any mixture of those two options.</w:t>
      </w:r>
    </w:p>
    <w:bookmarkEnd w:id="42"/>
    <w:bookmarkStart w:id="47"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W. 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3"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right"/>
            </w:pPr>
            <w:r>
              <w:rPr>
                <w:bCs/>
                <w:b/>
              </w:rPr>
              <w:t xml:space="preserve">Down</w:t>
            </w:r>
          </w:p>
        </w:tc>
        <w:tc>
          <w:tcPr/>
          <w:p>
            <w:pPr>
              <w:pStyle w:val="Compact"/>
              <w:jc w:val="center"/>
            </w:pPr>
            <w:r>
              <w:t xml:space="preserve">4</w:t>
            </w:r>
          </w:p>
        </w:tc>
        <w:tc>
          <w:tcPr/>
          <w:p>
            <w:pPr>
              <w:pStyle w:val="Compact"/>
              <w:jc w:val="center"/>
            </w:pPr>
            <w:r>
              <w:t xml:space="preserve">3</w:t>
            </w:r>
          </w:p>
        </w:tc>
      </w:tr>
    </w:tbl>
    <w:bookmarkEnd w:id="43"/>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4"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right"/>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right"/>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4"/>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5" w:name="tbl-verybad-third"/>
    <w:p>
      <w:pPr>
        <w:pStyle w:val="TableCaption"/>
      </w:pPr>
      <w:r>
        <w:t xml:space="preserve">Table 6: A case with only a bad pure ratifiable option that is not weakly dominated.</w:t>
      </w:r>
    </w:p>
    <w:tbl>
      <w:tblPr>
        <w:tblStyle w:val="Table"/>
        <w:tblW w:type="auto" w:w="0"/>
        <w:tblLook w:firstRow="0" w:lastRow="0" w:firstColumn="0" w:lastColumn="0" w:noHBand="0" w:noVBand="0" w:val="0000"/>
        <w:jc w:val="start"/>
        <w:tblCaption w:val="Table 6: A case with only a bad pure ratifiable option that is not weakly dominated."/>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right"/>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right"/>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ε</w:t>
            </w:r>
          </w:p>
        </w:tc>
      </w:tr>
    </w:tbl>
    <w:bookmarkEnd w:id="45"/>
    <w:p>
      <w:pPr>
        <w:pStyle w:val="BodyText"/>
      </w:pPr>
      <w:r>
        <w:t xml:space="preserve">A better option is to insist, as</w:t>
      </w:r>
      <w:r>
        <w:t xml:space="preserve"> </w:t>
      </w:r>
      <w:r>
        <w:t xml:space="preserve">W. 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6"/>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47"/>
    <w:bookmarkStart w:id="64"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48"/>
      </w:r>
      <w:r>
        <w:t xml:space="preserve"> </w:t>
      </w:r>
      <w:r>
        <w:t xml:space="preserve">Here is an example of a Stag Hunt decision.</w:t>
      </w:r>
    </w:p>
    <w:bookmarkStart w:id="49"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5</w:t>
            </w:r>
          </w:p>
        </w:tc>
        <w:tc>
          <w:tcPr/>
          <w:p>
            <w:pPr>
              <w:pStyle w:val="Compact"/>
              <w:jc w:val="center"/>
            </w:pPr>
            <w:r>
              <w:t xml:space="preserve">2</w:t>
            </w:r>
          </w:p>
        </w:tc>
      </w:tr>
    </w:tbl>
    <w:bookmarkEnd w:id="49"/>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(2020)</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0"/>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1"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0</w:t>
            </w:r>
          </w:p>
        </w:tc>
        <w:tc>
          <w:tcPr/>
          <w:p>
            <w:pPr>
              <w:pStyle w:val="Compact"/>
              <w:jc w:val="center"/>
            </w:pPr>
            <w:r>
              <w:t xml:space="preserve">3</w:t>
            </w:r>
          </w:p>
        </w:tc>
      </w:tr>
    </w:tbl>
    <w:bookmarkEnd w:id="51"/>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 it’s worth having the abstract structure of them in front of us.</w:t>
      </w:r>
    </w:p>
    <w:bookmarkStart w:id="54" w:name="tbl-general-exit"/>
    <w:tbl>
      <w:tblPr>
        <w:tblStyle w:val="Table"/>
        <w:tblW w:type="pct" w:w="5000"/>
        <w:tblLook w:firstRow="0" w:lastRow="0" w:firstColumn="0" w:lastColumn="0" w:noHBand="0" w:noVBand="0" w:val="0000"/>
        <w:jc w:val="start"/>
      </w:tblPr>
      <w:tblGrid>
        <w:gridCol w:w="3960"/>
        <w:gridCol w:w="3960"/>
      </w:tblGrid>
      <w:tr>
        <w:tc>
          <w:tcPr/>
          <w:bookmarkStart w:id="52"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3"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right"/>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right"/>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3"/>
          <w:p/>
        </w:tc>
      </w:tr>
    </w:tbl>
    <w:p>
      <w:pPr>
        <w:pStyle w:val="BodyText"/>
      </w:pPr>
      <w:pPr>
        <w:spacing w:before="200"/>
        <w:pStyle w:val="ImageCaption"/>
      </w:pPr>
      <w:r>
        <w:t xml:space="preserve">Table 9: The abstract form of an exit problem.</w:t>
      </w:r>
    </w:p>
    <w:bookmarkEnd w:id="54"/>
    <w:p>
      <w:pPr>
        <w:pStyle w:val="BodyText"/>
      </w:pPr>
      <w:r>
        <w:t xml:space="preserve">Our problem has this abstract structure 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One could also argue, I think correctly, that anyone who violates Exit Principle will violate a plausible version of the Sure Thing Principle. 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To put the point in game-theoretic terms, there is no difference between extensive form and normal form reasoning when a decider has only one possible choice to make.</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5"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5"/>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56"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0</w:t>
            </w:r>
          </w:p>
        </w:tc>
        <w:tc>
          <w:tcPr/>
          <w:p>
            <w:pPr>
              <w:pStyle w:val="Compact"/>
              <w:jc w:val="center"/>
            </w:pPr>
            <w:r>
              <w:t xml:space="preserve">3</w:t>
            </w:r>
          </w:p>
        </w:tc>
      </w:tr>
    </w:tbl>
    <w:bookmarkEnd w:id="56"/>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57"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right"/>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57"/>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58"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right"/>
            </w:pPr>
            <w:r>
              <w:rPr>
                <w:bCs/>
                <w:b/>
              </w:rPr>
              <w:t xml:space="preserve">Down</w:t>
            </w:r>
          </w:p>
        </w:tc>
        <w:tc>
          <w:tcPr/>
          <w:p>
            <w:pPr>
              <w:pStyle w:val="Compact"/>
              <w:jc w:val="center"/>
            </w:pPr>
            <w:r>
              <w:t xml:space="preserve">15</w:t>
            </w:r>
          </w:p>
        </w:tc>
        <w:tc>
          <w:tcPr/>
          <w:p>
            <w:pPr>
              <w:pStyle w:val="Compact"/>
              <w:jc w:val="center"/>
            </w:pPr>
            <w:r>
              <w:t xml:space="preserve">0</w:t>
            </w:r>
          </w:p>
        </w:tc>
      </w:tr>
    </w:tbl>
    <w:bookmarkEnd w:id="58"/>
    <w:p>
      <w:pPr>
        <w:pStyle w:val="BodyText"/>
      </w:pPr>
      <w:r>
        <w:t xml:space="preserve">If we embed Frustrating Button in an exit problem, the intuitions shift.</w:t>
      </w:r>
    </w:p>
    <w:bookmarkStart w:id="61" w:name="tbl-frustrating-exit"/>
    <w:tbl>
      <w:tblPr>
        <w:tblStyle w:val="Table"/>
        <w:tblW w:type="pct" w:w="5000"/>
        <w:tblLook w:firstRow="0" w:lastRow="0" w:firstColumn="0" w:lastColumn="0" w:noHBand="0" w:noVBand="0" w:val="0000"/>
        <w:jc w:val="start"/>
      </w:tblPr>
      <w:tblGrid>
        <w:gridCol w:w="3960"/>
        <w:gridCol w:w="3960"/>
      </w:tblGrid>
      <w:tr>
        <w:tc>
          <w:tcPr/>
          <w:bookmarkStart w:id="59"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5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0"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right"/>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right"/>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0"/>
          <w:p/>
        </w:tc>
      </w:tr>
    </w:tbl>
    <w:p>
      <w:pPr>
        <w:pStyle w:val="BodyText"/>
      </w:pPr>
      <w:pPr>
        <w:spacing w:before="200"/>
        <w:pStyle w:val="ImageCaption"/>
      </w:pPr>
      <w:r>
        <w:t xml:space="preserve">Table 14: An exit problem with Frustrating Button in round 2.</w:t>
      </w:r>
    </w:p>
    <w:bookmarkEnd w:id="61"/>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2"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right"/>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right"/>
            </w:pPr>
            <w:r>
              <w:rPr>
                <w:bCs/>
                <w:b/>
              </w:rPr>
              <w:t xml:space="preserve">Down</w:t>
            </w:r>
          </w:p>
        </w:tc>
        <w:tc>
          <w:tcPr/>
          <w:p>
            <w:pPr>
              <w:pStyle w:val="Compact"/>
              <w:jc w:val="center"/>
            </w:pPr>
            <w:r>
              <w:t xml:space="preserve">-37</w:t>
            </w:r>
          </w:p>
        </w:tc>
        <w:tc>
          <w:tcPr/>
          <w:p>
            <w:pPr>
              <w:pStyle w:val="Compact"/>
              <w:jc w:val="center"/>
            </w:pPr>
            <w:r>
              <w:t xml:space="preserve">0</w:t>
            </w:r>
          </w:p>
        </w:tc>
      </w:tr>
    </w:tbl>
    <w:bookmarkEnd w:id="62"/>
    <w:p>
      <w:pPr>
        <w:pStyle w:val="BodyText"/>
      </w:pPr>
      <w:r>
        <w:t xml:space="preserve">And if there is an intuition here, it is that it’s better to choose Down rather than Up.</w:t>
      </w:r>
      <w:r>
        <w:rPr>
          <w:rStyle w:val="FootnoteReference"/>
        </w:rPr>
        <w:footnoteReference w:id="63"/>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an appendix.</w:t>
      </w:r>
    </w:p>
    <w:bookmarkEnd w:id="64"/>
    <w:bookmarkStart w:id="78"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4"/>
        </w:numPr>
        <w:pStyle w:val="Compact"/>
      </w:pPr>
      <w:r>
        <w:t xml:space="preserve">At every step, Chooser either receives some information, or makes a choice.</w:t>
      </w:r>
    </w:p>
    <w:p>
      <w:pPr>
        <w:numPr>
          <w:ilvl w:val="0"/>
          <w:numId w:val="1004"/>
        </w:numPr>
        <w:pStyle w:val="Compact"/>
      </w:pPr>
      <w:r>
        <w:t xml:space="preserve">Chooser knows before the first step what possible choices will be available at each step, given the prior steps, or what possible pieces of information could be received.</w:t>
      </w:r>
    </w:p>
    <w:p>
      <w:pPr>
        <w:numPr>
          <w:ilvl w:val="0"/>
          <w:numId w:val="1004"/>
        </w:numPr>
        <w:pStyle w:val="Compact"/>
      </w:pPr>
      <w:r>
        <w:t xml:space="preserve">No matter what happens, the tree ends after finitely many steps. (Though it may end after more or fewer steps depending on what happens).</w:t>
      </w:r>
    </w:p>
    <w:p>
      <w:pPr>
        <w:numPr>
          <w:ilvl w:val="0"/>
          <w:numId w:val="1004"/>
        </w:numPr>
        <w:pStyle w:val="Compact"/>
      </w:pPr>
      <w:r>
        <w:t xml:space="preserve">Chooser knows before the first step what payout they will receive given each possible sequence of choices and information.</w:t>
      </w:r>
    </w:p>
    <w:p>
      <w:pPr>
        <w:numPr>
          <w:ilvl w:val="0"/>
          <w:numId w:val="1004"/>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5"/>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66"/>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67"/>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68"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right"/>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right"/>
            </w:pPr>
            <w:r>
              <w:rPr>
                <w:bCs/>
                <w:b/>
              </w:rPr>
              <w:t xml:space="preserve">D</w:t>
            </w:r>
          </w:p>
        </w:tc>
        <w:tc>
          <w:tcPr/>
          <w:p>
            <w:pPr>
              <w:pStyle w:val="Compact"/>
              <w:jc w:val="center"/>
            </w:pPr>
            <w:r>
              <w:t xml:space="preserve">-50</w:t>
            </w:r>
          </w:p>
        </w:tc>
        <w:tc>
          <w:tcPr/>
          <w:p>
            <w:pPr>
              <w:pStyle w:val="Compact"/>
              <w:jc w:val="center"/>
            </w:pPr>
            <w:r>
              <w:t xml:space="preserve">-50</w:t>
            </w:r>
          </w:p>
        </w:tc>
      </w:tr>
    </w:tbl>
    <w:bookmarkEnd w:id="68"/>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69"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right"/>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right"/>
            </w:pPr>
            <w:r>
              <w:rPr>
                <w:bCs/>
                <w:b/>
              </w:rPr>
              <w:t xml:space="preserve">D</w:t>
            </w:r>
          </w:p>
        </w:tc>
        <w:tc>
          <w:tcPr/>
          <w:p>
            <w:pPr>
              <w:pStyle w:val="Compact"/>
              <w:jc w:val="center"/>
            </w:pPr>
            <w:r>
              <w:t xml:space="preserve">5</w:t>
            </w:r>
          </w:p>
        </w:tc>
        <w:tc>
          <w:tcPr/>
          <w:p>
            <w:pPr>
              <w:pStyle w:val="Compact"/>
              <w:jc w:val="center"/>
            </w:pPr>
            <w:r>
              <w:t xml:space="preserve">0</w:t>
            </w:r>
          </w:p>
        </w:tc>
      </w:tr>
    </w:tbl>
    <w:bookmarkEnd w:id="69"/>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0"/>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1"/>
      </w:r>
    </w:p>
    <w:bookmarkStart w:id="74" w:name="tbl-newcomb-insurance"/>
    <w:tbl>
      <w:tblPr>
        <w:tblStyle w:val="Table"/>
        <w:tblW w:type="pct" w:w="5000"/>
        <w:tblLook w:firstRow="0" w:lastRow="0" w:firstColumn="0" w:lastColumn="0" w:noHBand="0" w:noVBand="0" w:val="0000"/>
        <w:jc w:val="start"/>
      </w:tblPr>
      <w:tblGrid>
        <w:gridCol w:w="3960"/>
        <w:gridCol w:w="3960"/>
      </w:tblGrid>
      <w:tr>
        <w:tc>
          <w:tcPr/>
          <w:bookmarkStart w:id="72"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right"/>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right"/>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3"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right"/>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right"/>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3"/>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4"/>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5"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right"/>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right"/>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right"/>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right"/>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5"/>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76"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right"/>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right"/>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76"/>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77"/>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78"/>
    <w:bookmarkStart w:id="84"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79"/>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 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w:t>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5"/>
        </w:numPr>
        <w:pStyle w:val="Compact"/>
      </w:pPr>
      <w:r>
        <w:t xml:space="preserve">A coin will be flipped, landing Heads or Tails. It is biased, 60% likely to land Heads. It will be shown to Chooser, but not to Demon.</w:t>
      </w:r>
    </w:p>
    <w:p>
      <w:pPr>
        <w:numPr>
          <w:ilvl w:val="0"/>
          <w:numId w:val="1005"/>
        </w:numPr>
        <w:pStyle w:val="Compact"/>
      </w:pPr>
      <w:r>
        <w:t xml:space="preserve">Chooser will say either Heads or Tails.</w:t>
      </w:r>
    </w:p>
    <w:p>
      <w:pPr>
        <w:numPr>
          <w:ilvl w:val="0"/>
          <w:numId w:val="1005"/>
        </w:numPr>
        <w:pStyle w:val="Compact"/>
      </w:pPr>
      <w:r>
        <w:t xml:space="preserve">Demon, knowing what Chooser has said, and being arbitrarily good at predicting Chooser’s strategy</w:t>
      </w:r>
      <w:r>
        <w:rPr>
          <w:rStyle w:val="FootnoteReference"/>
        </w:rPr>
        <w:footnoteReference w:id="80"/>
      </w:r>
      <w:r>
        <w:t xml:space="preserve">. will say Heads if it is more probable the coin landed Heads, and Tails if it is more probable the coin landed Tails.</w:t>
      </w:r>
      <w:r>
        <w:rPr>
          <w:rStyle w:val="FootnoteReference"/>
        </w:rPr>
        <w:footnoteReference w:id="81"/>
      </w:r>
    </w:p>
    <w:p>
      <w:pPr>
        <w:numPr>
          <w:ilvl w:val="0"/>
          <w:numId w:val="1005"/>
        </w:numPr>
        <w:pStyle w:val="Compact"/>
      </w:pPr>
      <w:r>
        <w:t xml:space="preserve">Chooser is paid $30 if Demon says Heads, and nothing if Demon says Tails.</w:t>
      </w:r>
    </w:p>
    <w:p>
      <w:pPr>
        <w:numPr>
          <w:ilvl w:val="0"/>
          <w:numId w:val="1005"/>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2"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2"/>
    <w:p>
      <w:pPr>
        <w:pStyle w:val="BodyText"/>
      </w:pPr>
      <w:r>
        <w:t xml:space="preserve">What will Chooser do? There are two coherent things for Chooser to do, though each of them is only coherent given a background belief that isn’t entailed by the evidence.</w:t>
      </w:r>
    </w:p>
    <w:p>
      <w:pPr>
        <w:numPr>
          <w:ilvl w:val="0"/>
          <w:numId w:val="1006"/>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6"/>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3"/>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4"/>
    <w:bookmarkStart w:id="85" w:name="sec-weak"/>
    <w:p>
      <w:pPr>
        <w:pStyle w:val="Heading1"/>
      </w:pPr>
      <w:r>
        <w:t xml:space="preserve">10. Weak Dominance, Once</w:t>
      </w:r>
    </w:p>
    <w:p>
      <w:pPr>
        <w:pStyle w:val="FirstParagraph"/>
      </w:pPr>
      <w:r>
        <w:t xml:space="preserve">Why weak dominance?</w:t>
      </w:r>
    </w:p>
    <w:p>
      <w:pPr>
        <w:pStyle w:val="BodyText"/>
      </w:pPr>
      <w:r>
        <w:t xml:space="preserve">PU PD U 1 1 D 0 1</w:t>
      </w:r>
    </w:p>
    <w:p>
      <w:pPr>
        <w:numPr>
          <w:ilvl w:val="0"/>
          <w:numId w:val="1007"/>
        </w:numPr>
        <w:pStyle w:val="Compact"/>
      </w:pPr>
      <w:r>
        <w:t xml:space="preserve">D seems like a needless risk</w:t>
      </w:r>
    </w:p>
    <w:p>
      <w:pPr>
        <w:numPr>
          <w:ilvl w:val="0"/>
          <w:numId w:val="1007"/>
        </w:numPr>
        <w:pStyle w:val="Compact"/>
      </w:pPr>
      <w:r>
        <w:t xml:space="preserve">If Pr(Demon Correct) &lt; 1, then D isn’t ratifiable</w:t>
      </w:r>
    </w:p>
    <w:p>
      <w:pPr>
        <w:pStyle w:val="FirstParagraph"/>
      </w:pPr>
      <w:r>
        <w:t xml:space="preserve">Why only once?</w:t>
      </w:r>
    </w:p>
    <w:p>
      <w:pPr>
        <w:numPr>
          <w:ilvl w:val="0"/>
          <w:numId w:val="1008"/>
        </w:numPr>
      </w:pPr>
      <w:r>
        <w:t xml:space="preserve">Order variance (Bonano)</w:t>
      </w:r>
    </w:p>
    <w:p>
      <w:pPr>
        <w:numPr>
          <w:ilvl w:val="0"/>
          <w:numId w:val="1008"/>
        </w:numPr>
      </w:pPr>
      <w:r>
        <w:t xml:space="preserve">Money burning (cite Stalnaker)</w:t>
      </w:r>
    </w:p>
    <w:p>
      <w:pPr>
        <w:numPr>
          <w:ilvl w:val="0"/>
          <w:numId w:val="1008"/>
        </w:numPr>
      </w:pPr>
      <w:r>
        <w:t xml:space="preserve">This game</w:t>
      </w:r>
    </w:p>
    <w:p>
      <w:pPr>
        <w:numPr>
          <w:ilvl w:val="0"/>
          <w:numId w:val="1000"/>
        </w:numPr>
      </w:pPr>
      <w:r>
        <w:t xml:space="preserve">PU PD PX U 1 1 0 D 0 1 2 X 0 1 1</w:t>
      </w:r>
    </w:p>
    <w:p>
      <w:pPr>
        <w:pStyle w:val="FirstParagraph"/>
      </w:pPr>
      <w:r>
        <w:t xml:space="preserve">Iterated weak dominance would first rule out X, then PX, then D, leaving U as the only play. But D makes sense, even if the demon might make a mistake. Indeed, it makes more sense than U by some measures.</w:t>
      </w:r>
    </w:p>
    <w:bookmarkEnd w:id="85"/>
    <w:bookmarkStart w:id="163" w:name="sec-conclusion"/>
    <w:p>
      <w:pPr>
        <w:pStyle w:val="Heading1"/>
      </w:pPr>
      <w:r>
        <w:t xml:space="preserve">11. Conclusion</w:t>
      </w:r>
    </w:p>
    <w:p>
      <w:pPr>
        <w:numPr>
          <w:ilvl w:val="0"/>
          <w:numId w:val="1009"/>
        </w:numPr>
        <w:pStyle w:val="Compact"/>
      </w:pPr>
      <w:r>
        <w:t xml:space="preserve">State positive theory</w:t>
      </w:r>
    </w:p>
    <w:p>
      <w:pPr>
        <w:numPr>
          <w:ilvl w:val="0"/>
          <w:numId w:val="1009"/>
        </w:numPr>
        <w:pStyle w:val="Compact"/>
      </w:pPr>
      <w:r>
        <w:t xml:space="preserve">Include clause for weak dominance</w:t>
      </w:r>
    </w:p>
    <w:p>
      <w:pPr>
        <w:numPr>
          <w:ilvl w:val="0"/>
          <w:numId w:val="1009"/>
        </w:numPr>
        <w:pStyle w:val="Compact"/>
      </w:pPr>
      <w:r>
        <w:t xml:space="preserve">Note that it can be dropped if you insist that Pr(Demon correct) &lt; 1.</w:t>
      </w:r>
    </w:p>
    <w:p>
      <w:pPr>
        <w:numPr>
          <w:ilvl w:val="0"/>
          <w:numId w:val="1009"/>
        </w:numPr>
        <w:pStyle w:val="Compact"/>
      </w:pPr>
      <w:r>
        <w:t xml:space="preserve">Note that it meets these 9 conditions</w:t>
      </w:r>
    </w:p>
    <w:p>
      <w:pPr>
        <w:numPr>
          <w:ilvl w:val="0"/>
          <w:numId w:val="1009"/>
        </w:numPr>
        <w:pStyle w:val="Compact"/>
      </w:pPr>
      <w:r>
        <w:t xml:space="preserve">Final flourish</w:t>
      </w:r>
    </w:p>
    <w:bookmarkStart w:id="162" w:name="refs"/>
    <w:bookmarkStart w:id="87"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86">
        <w:r>
          <w:rPr>
            <w:rStyle w:val="Hyperlink"/>
          </w:rPr>
          <w:t xml:space="preserve">https://doi.org/10.1086/666065</w:t>
        </w:r>
      </w:hyperlink>
      <w:r>
        <w:t xml:space="preserve">.</w:t>
      </w:r>
    </w:p>
    <w:bookmarkEnd w:id="87"/>
    <w:bookmarkStart w:id="89"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88">
        <w:r>
          <w:rPr>
            <w:rStyle w:val="Hyperlink"/>
          </w:rPr>
          <w:t xml:space="preserve">https://doi.org/10.2307/1879431</w:t>
        </w:r>
      </w:hyperlink>
      <w:r>
        <w:t xml:space="preserve">.</w:t>
      </w:r>
    </w:p>
    <w:bookmarkEnd w:id="89"/>
    <w:bookmarkStart w:id="91"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90">
        <w:r>
          <w:rPr>
            <w:rStyle w:val="Hyperlink"/>
          </w:rPr>
          <w:t xml:space="preserve">https://doi.org/10.1007/s10670-007-9084-8</w:t>
        </w:r>
      </w:hyperlink>
      <w:r>
        <w:t xml:space="preserve">.</w:t>
      </w:r>
    </w:p>
    <w:bookmarkEnd w:id="91"/>
    <w:bookmarkStart w:id="93"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92">
        <w:r>
          <w:rPr>
            <w:rStyle w:val="Hyperlink"/>
          </w:rPr>
          <w:t xml:space="preserve">https://doi.org/10.5840/jphil202211925</w:t>
        </w:r>
      </w:hyperlink>
      <w:r>
        <w:t xml:space="preserve">.</w:t>
      </w:r>
    </w:p>
    <w:bookmarkEnd w:id="93"/>
    <w:bookmarkStart w:id="95"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94">
        <w:r>
          <w:rPr>
            <w:rStyle w:val="Hyperlink"/>
          </w:rPr>
          <w:t xml:space="preserve">http://faculty.econ.ucdavis.edu/faculty/bonanno/GT_Book.html</w:t>
        </w:r>
      </w:hyperlink>
      <w:r>
        <w:t xml:space="preserve">.</w:t>
      </w:r>
    </w:p>
    <w:bookmarkEnd w:id="95"/>
    <w:bookmarkStart w:id="96" w:name="ref-BuchakRisk"/>
    <w:p>
      <w:pPr>
        <w:pStyle w:val="Bibliography"/>
      </w:pPr>
      <w:r>
        <w:t xml:space="preserve">Buchak, Lara. 2013.</w:t>
      </w:r>
      <w:r>
        <w:t xml:space="preserve"> </w:t>
      </w:r>
      <w:r>
        <w:rPr>
          <w:iCs/>
          <w:i/>
        </w:rPr>
        <w:t xml:space="preserve">Risk and Rationality</w:t>
      </w:r>
      <w:r>
        <w:t xml:space="preserve">. Oxford: Oxford University Press.</w:t>
      </w:r>
    </w:p>
    <w:bookmarkEnd w:id="96"/>
    <w:bookmarkStart w:id="98"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97">
        <w:r>
          <w:rPr>
            <w:rStyle w:val="Hyperlink"/>
          </w:rPr>
          <w:t xml:space="preserve">https://doi.org/10.1086/339673</w:t>
        </w:r>
      </w:hyperlink>
      <w:r>
        <w:t xml:space="preserve">.</w:t>
      </w:r>
    </w:p>
    <w:bookmarkEnd w:id="98"/>
    <w:bookmarkStart w:id="100"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99">
        <w:r>
          <w:rPr>
            <w:rStyle w:val="Hyperlink"/>
          </w:rPr>
          <w:t xml:space="preserve">https://doi.org/10.2307/1885060</w:t>
        </w:r>
      </w:hyperlink>
      <w:r>
        <w:t xml:space="preserve">.</w:t>
      </w:r>
    </w:p>
    <w:bookmarkEnd w:id="100"/>
    <w:bookmarkStart w:id="102"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01">
        <w:r>
          <w:rPr>
            <w:rStyle w:val="Hyperlink"/>
          </w:rPr>
          <w:t xml:space="preserve">https://doi.org/10.1086/658093</w:t>
        </w:r>
      </w:hyperlink>
      <w:r>
        <w:t xml:space="preserve">.</w:t>
      </w:r>
    </w:p>
    <w:bookmarkEnd w:id="102"/>
    <w:bookmarkStart w:id="104"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03">
        <w:r>
          <w:rPr>
            <w:rStyle w:val="Hyperlink"/>
          </w:rPr>
          <w:t xml:space="preserve">https://doi.org/10.1215/00318108-2006-023</w:t>
        </w:r>
      </w:hyperlink>
      <w:r>
        <w:t xml:space="preserve">.</w:t>
      </w:r>
    </w:p>
    <w:bookmarkEnd w:id="104"/>
    <w:bookmarkStart w:id="106"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05">
        <w:r>
          <w:rPr>
            <w:rStyle w:val="Hyperlink"/>
          </w:rPr>
          <w:t xml:space="preserve">https://doi.org/10.1093/analys/anz059</w:t>
        </w:r>
      </w:hyperlink>
      <w:r>
        <w:t xml:space="preserve">.</w:t>
      </w:r>
    </w:p>
    <w:bookmarkEnd w:id="106"/>
    <w:bookmarkStart w:id="108"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07">
        <w:r>
          <w:rPr>
            <w:rStyle w:val="Hyperlink"/>
          </w:rPr>
          <w:t xml:space="preserve">10.1111/j.1468-0262.2005.00631.x</w:t>
        </w:r>
      </w:hyperlink>
      <w:r>
        <w:t xml:space="preserve">.</w:t>
      </w:r>
    </w:p>
    <w:bookmarkEnd w:id="108"/>
    <w:bookmarkStart w:id="110"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09">
        <w:r>
          <w:rPr>
            <w:rStyle w:val="Hyperlink"/>
          </w:rPr>
          <w:t xml:space="preserve">https://doi.org/10.1111/nous.12459</w:t>
        </w:r>
      </w:hyperlink>
      <w:r>
        <w:t xml:space="preserve">.</w:t>
      </w:r>
    </w:p>
    <w:bookmarkEnd w:id="110"/>
    <w:bookmarkStart w:id="111"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111"/>
    <w:bookmarkStart w:id="113"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12">
        <w:r>
          <w:rPr>
            <w:rStyle w:val="Hyperlink"/>
          </w:rPr>
          <w:t xml:space="preserve">https://philpapers.org/archive/GALTST-2.pdf</w:t>
        </w:r>
      </w:hyperlink>
      <w:r>
        <w:t xml:space="preserve">.</w:t>
      </w:r>
    </w:p>
    <w:bookmarkEnd w:id="113"/>
    <w:bookmarkStart w:id="115"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14">
        <w:r>
          <w:rPr>
            <w:rStyle w:val="Hyperlink"/>
          </w:rPr>
          <w:t xml:space="preserve">https://doi.org/10.1111/nous.12473</w:t>
        </w:r>
      </w:hyperlink>
      <w:r>
        <w:t xml:space="preserve">.</w:t>
      </w:r>
    </w:p>
    <w:bookmarkEnd w:id="115"/>
    <w:bookmarkStart w:id="117"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16">
        <w:r>
          <w:rPr>
            <w:rStyle w:val="Hyperlink"/>
          </w:rPr>
          <w:t xml:space="preserve">https://doi.org/10.1007/BF00183199</w:t>
        </w:r>
      </w:hyperlink>
      <w:r>
        <w:t xml:space="preserve">.</w:t>
      </w:r>
    </w:p>
    <w:bookmarkEnd w:id="117"/>
    <w:bookmarkStart w:id="119" w:name="ref-Harper1988"/>
    <w:p>
      <w:pPr>
        <w:pStyle w:val="Bibliography"/>
      </w:pPr>
      <w:r>
        <w:t xml:space="preserve">Harper, William L.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L. Harper and Brian Skyrms, 25–48. Dordrecht: Springer Netherlands.</w:t>
      </w:r>
      <w:r>
        <w:t xml:space="preserve"> </w:t>
      </w:r>
      <w:hyperlink r:id="rId118">
        <w:r>
          <w:rPr>
            <w:rStyle w:val="Hyperlink"/>
          </w:rPr>
          <w:t xml:space="preserve">https://doi.org/10.1007/978-94-009-2865-7_2</w:t>
        </w:r>
      </w:hyperlink>
      <w:r>
        <w:t xml:space="preserve">.</w:t>
      </w:r>
    </w:p>
    <w:bookmarkEnd w:id="119"/>
    <w:bookmarkStart w:id="121"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20">
        <w:r>
          <w:rPr>
            <w:rStyle w:val="Hyperlink"/>
          </w:rPr>
          <w:t xml:space="preserve">https://doi.org/10.2307/2185591</w:t>
        </w:r>
      </w:hyperlink>
      <w:r>
        <w:t xml:space="preserve">.</w:t>
      </w:r>
    </w:p>
    <w:bookmarkEnd w:id="121"/>
    <w:bookmarkStart w:id="122"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22"/>
    <w:bookmarkStart w:id="124"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23">
        <w:r>
          <w:rPr>
            <w:rStyle w:val="Hyperlink"/>
          </w:rPr>
          <w:t xml:space="preserve">https://doi.org/10.5840/jphil2020117516</w:t>
        </w:r>
      </w:hyperlink>
      <w:r>
        <w:t xml:space="preserve">.</w:t>
      </w:r>
    </w:p>
    <w:bookmarkEnd w:id="124"/>
    <w:bookmarkStart w:id="125"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25"/>
    <w:bookmarkStart w:id="127"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26">
        <w:r>
          <w:rPr>
            <w:rStyle w:val="Hyperlink"/>
          </w:rPr>
          <w:t xml:space="preserve">https://doi.org/10.2307/2215439</w:t>
        </w:r>
      </w:hyperlink>
      <w:r>
        <w:t xml:space="preserve">.</w:t>
      </w:r>
    </w:p>
    <w:bookmarkEnd w:id="127"/>
    <w:bookmarkStart w:id="128" w:name="ref-Lewis-Gorman-10071979"/>
    <w:p>
      <w:pPr>
        <w:pStyle w:val="Bibliography"/>
      </w:pPr>
      <w:r>
        <w:t xml:space="preserve">———. 2020.</w:t>
      </w:r>
      <w:r>
        <w:t xml:space="preserve"> </w:t>
      </w:r>
      <w:r>
        <w:t xml:space="preserve">“Letter to Gregory Kavka,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28"/>
    <w:bookmarkStart w:id="129"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29"/>
    <w:bookmarkStart w:id="130"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30"/>
    <w:bookmarkStart w:id="131"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 g. Hempel: A Tribute on the Occasion of His Sixty-Fifth Birthday</w:t>
      </w:r>
      <w:r>
        <w:t xml:space="preserve">, edited by Nicholas Rescher, 114–46. Riedel: Springer.</w:t>
      </w:r>
    </w:p>
    <w:bookmarkEnd w:id="131"/>
    <w:bookmarkStart w:id="133" w:name="ref-Podgorski2020"/>
    <w:p>
      <w:pPr>
        <w:pStyle w:val="Bibliography"/>
      </w:pPr>
      <w:r>
        <w:t xml:space="preserve">Podgorski, Aberlard. 2020.</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tbc (tbc): xx–.</w:t>
      </w:r>
      <w:r>
        <w:t xml:space="preserve"> </w:t>
      </w:r>
      <w:hyperlink r:id="rId132">
        <w:r>
          <w:rPr>
            <w:rStyle w:val="Hyperlink"/>
          </w:rPr>
          <w:t xml:space="preserve">https://doi.org/10.1111/nous.12353</w:t>
        </w:r>
      </w:hyperlink>
      <w:r>
        <w:t xml:space="preserve">.</w:t>
      </w:r>
    </w:p>
    <w:bookmarkEnd w:id="133"/>
    <w:bookmarkStart w:id="13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34">
        <w:r>
          <w:rPr>
            <w:rStyle w:val="Hyperlink"/>
          </w:rPr>
          <w:t xml:space="preserve">https://doi.org/10.1016/0167-2681(82)90008-7</w:t>
        </w:r>
      </w:hyperlink>
      <w:r>
        <w:t xml:space="preserve">.</w:t>
      </w:r>
    </w:p>
    <w:bookmarkEnd w:id="135"/>
    <w:bookmarkStart w:id="137"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36">
        <w:r>
          <w:rPr>
            <w:rStyle w:val="Hyperlink"/>
          </w:rPr>
          <w:t xml:space="preserve">https://doi.org/10.1080/00048408412341601</w:t>
        </w:r>
      </w:hyperlink>
      <w:r>
        <w:t xml:space="preserve">.</w:t>
      </w:r>
    </w:p>
    <w:bookmarkEnd w:id="137"/>
    <w:bookmarkStart w:id="138"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38"/>
    <w:bookmarkStart w:id="139"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39"/>
    <w:bookmarkStart w:id="140"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40"/>
    <w:bookmarkStart w:id="141"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41"/>
    <w:bookmarkStart w:id="142"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42"/>
    <w:bookmarkStart w:id="144"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43">
        <w:r>
          <w:rPr>
            <w:rStyle w:val="Hyperlink"/>
          </w:rPr>
          <w:t xml:space="preserve">https://doi.org/10.1093/analys/anaa037</w:t>
        </w:r>
      </w:hyperlink>
      <w:r>
        <w:t xml:space="preserve">.</w:t>
      </w:r>
    </w:p>
    <w:bookmarkEnd w:id="144"/>
    <w:bookmarkStart w:id="146"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45">
        <w:r>
          <w:rPr>
            <w:rStyle w:val="Hyperlink"/>
          </w:rPr>
          <w:t xml:space="preserve">https://doi.org/10.1007/s11098-020-01509-9</w:t>
        </w:r>
      </w:hyperlink>
      <w:r>
        <w:t xml:space="preserve">.</w:t>
      </w:r>
    </w:p>
    <w:bookmarkEnd w:id="146"/>
    <w:bookmarkStart w:id="148"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47">
        <w:r>
          <w:rPr>
            <w:rStyle w:val="Hyperlink"/>
          </w:rPr>
          <w:t xml:space="preserve">https://doi.org/10.1080/00048402.2021.1958880</w:t>
        </w:r>
      </w:hyperlink>
      <w:r>
        <w:t xml:space="preserve">.</w:t>
      </w:r>
    </w:p>
    <w:bookmarkEnd w:id="148"/>
    <w:bookmarkStart w:id="150"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49">
        <w:r>
          <w:rPr>
            <w:rStyle w:val="Hyperlink"/>
          </w:rPr>
          <w:t xml:space="preserve">https://doi.org/10.1111/phpr.12466</w:t>
        </w:r>
      </w:hyperlink>
      <w:r>
        <w:t xml:space="preserve">.</w:t>
      </w:r>
    </w:p>
    <w:bookmarkEnd w:id="150"/>
    <w:bookmarkStart w:id="151" w:name="ref-Stalnaker2008"/>
    <w:p>
      <w:pPr>
        <w:pStyle w:val="Bibliography"/>
      </w:pPr>
      <w:r>
        <w:t xml:space="preserve">Stalnaker, Robert. 2008.</w:t>
      </w:r>
      <w:r>
        <w:t xml:space="preserve"> </w:t>
      </w:r>
      <w:r>
        <w:rPr>
          <w:iCs/>
          <w:i/>
        </w:rPr>
        <w:t xml:space="preserve">Our Knowledge of the Internal World</w:t>
      </w:r>
      <w:r>
        <w:t xml:space="preserve">. Oxford: Oxford University Press.</w:t>
      </w:r>
    </w:p>
    <w:bookmarkEnd w:id="151"/>
    <w:bookmarkStart w:id="152"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152"/>
    <w:bookmarkStart w:id="153"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153"/>
    <w:bookmarkStart w:id="155"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2643–75.</w:t>
      </w:r>
      <w:r>
        <w:t xml:space="preserve"> </w:t>
      </w:r>
      <w:hyperlink r:id="rId154">
        <w:r>
          <w:rPr>
            <w:rStyle w:val="Hyperlink"/>
          </w:rPr>
          <w:t xml:space="preserve">https://doi.org/10.1007/s11229-011-9900-1</w:t>
        </w:r>
      </w:hyperlink>
      <w:r>
        <w:t xml:space="preserve">.</w:t>
      </w:r>
    </w:p>
    <w:bookmarkEnd w:id="155"/>
    <w:bookmarkStart w:id="157"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156">
        <w:r>
          <w:rPr>
            <w:rStyle w:val="Hyperlink"/>
          </w:rPr>
          <w:t xml:space="preserve">https://doi.org/10.1080/00048408512342061</w:t>
        </w:r>
      </w:hyperlink>
      <w:r>
        <w:t xml:space="preserve">.</w:t>
      </w:r>
    </w:p>
    <w:bookmarkEnd w:id="157"/>
    <w:bookmarkStart w:id="159"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158">
        <w:r>
          <w:rPr>
            <w:rStyle w:val="Hyperlink"/>
          </w:rPr>
          <w:t xml:space="preserve">https://doi.org/10.1287/mnsc.13.11.816</w:t>
        </w:r>
      </w:hyperlink>
      <w:r>
        <w:t xml:space="preserve">.</w:t>
      </w:r>
    </w:p>
    <w:bookmarkEnd w:id="159"/>
    <w:bookmarkStart w:id="160"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160"/>
    <w:bookmarkStart w:id="161"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w:t>
      </w:r>
      <w:r>
        <w:rPr>
          <w:bCs/>
          <w:b/>
        </w:rPr>
        <w:t xml:space="preserve">LipseyLancaster1956?</w:t>
      </w:r>
      <w:r>
        <w:t xml:space="preserve">)</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2">
    <w:p>
      <w:pPr>
        <w:pStyle w:val="FootnoteText"/>
      </w:pPr>
      <w:r>
        <w:rPr>
          <w:rStyle w:val="FootnoteReference"/>
        </w:rPr>
        <w:footnoteRef/>
      </w:r>
      <w:r>
        <w:t xml:space="preserve"> </w:t>
      </w:r>
      <w:r>
        <w:t xml:space="preserve">This point is made by</w:t>
      </w:r>
      <w:r>
        <w:t xml:space="preserve"> </w:t>
      </w:r>
      <w:r>
        <w:t xml:space="preserve">W. L. Harper (1988)</w:t>
      </w:r>
      <w:r>
        <w:t xml:space="preserve">, and many (though not all) of the conclusions I draw in this paper will be similar to ones he drew.</w:t>
      </w:r>
    </w:p>
  </w:footnote>
  <w:footnote w:id="33">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4">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39">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0">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1">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6">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48">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0">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63">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5">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66">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67">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0">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1">
    <w:p>
      <w:pPr>
        <w:pStyle w:val="FootnoteText"/>
      </w:pPr>
      <w:r>
        <w:rPr>
          <w:rStyle w:val="FootnoteReference"/>
        </w:rPr>
        <w:footnoteRef/>
      </w:r>
      <w:r>
        <w:t xml:space="preserve"> </w:t>
      </w:r>
      <w:r>
        <w:t xml:space="preserve">Assume Chooser is reasonably risk-neutral over dollars over this range of outcomes.</w:t>
      </w:r>
    </w:p>
  </w:footnote>
  <w:footnote w:id="77">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79">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0">
    <w:p>
      <w:pPr>
        <w:pStyle w:val="FootnoteText"/>
      </w:pPr>
      <w:r>
        <w:rPr>
          <w:rStyle w:val="FootnoteReference"/>
        </w:rPr>
        <w:footnoteRef/>
      </w:r>
      <w:r>
        <w:t xml:space="preserve"> </w:t>
      </w:r>
      <w:r>
        <w:t xml:space="preserve">That is, what Chooser will do if Heads, and what they will do if Tails.</w:t>
      </w:r>
    </w:p>
  </w:footnote>
  <w:footnote w:id="81">
    <w:p>
      <w:pPr>
        <w:pStyle w:val="FootnoteText"/>
      </w:pPr>
      <w:r>
        <w:rPr>
          <w:rStyle w:val="FootnoteReference"/>
        </w:rPr>
        <w:footnoteRef/>
      </w:r>
      <w:r>
        <w:t xml:space="preserve"> </w:t>
      </w:r>
      <w:r>
        <w:t xml:space="preserve">If both are equally likely, Demon will flip a fair coin and say how it lands.</w:t>
      </w:r>
    </w:p>
  </w:footnote>
  <w:footnote w:id="83">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faculty.econ.ucdavis.edu/faculty/bonanno/GT_Book.html" TargetMode="External" /><Relationship Type="http://schemas.openxmlformats.org/officeDocument/2006/relationships/hyperlink" Id="rId107" Target="https://10.1111/j.1468-0262.2005.00631.x" TargetMode="External" /><Relationship Type="http://schemas.openxmlformats.org/officeDocument/2006/relationships/hyperlink" Id="rId118" Target="https://doi.org/10.1007/978-94-009-2865-7_2" TargetMode="External" /><Relationship Type="http://schemas.openxmlformats.org/officeDocument/2006/relationships/hyperlink" Id="rId116" Target="https://doi.org/10.1007/BF00183199" TargetMode="External" /><Relationship Type="http://schemas.openxmlformats.org/officeDocument/2006/relationships/hyperlink" Id="rId90" Target="https://doi.org/10.1007/s10670-007-9084-8" TargetMode="External" /><Relationship Type="http://schemas.openxmlformats.org/officeDocument/2006/relationships/hyperlink" Id="rId145" Target="https://doi.org/10.1007/s11098-020-01509-9" TargetMode="External" /><Relationship Type="http://schemas.openxmlformats.org/officeDocument/2006/relationships/hyperlink" Id="rId154" Target="https://doi.org/10.1007/s11229-011-9900-1" TargetMode="External" /><Relationship Type="http://schemas.openxmlformats.org/officeDocument/2006/relationships/hyperlink" Id="rId134" Target="https://doi.org/10.1016/0167-2681(82)90008-7" TargetMode="External" /><Relationship Type="http://schemas.openxmlformats.org/officeDocument/2006/relationships/hyperlink" Id="rId147" Target="https://doi.org/10.1080/00048402.2021.1958880" TargetMode="External" /><Relationship Type="http://schemas.openxmlformats.org/officeDocument/2006/relationships/hyperlink" Id="rId136" Target="https://doi.org/10.1080/00048408412341601" TargetMode="External" /><Relationship Type="http://schemas.openxmlformats.org/officeDocument/2006/relationships/hyperlink" Id="rId156" Target="https://doi.org/10.1080/00048408512342061" TargetMode="External" /><Relationship Type="http://schemas.openxmlformats.org/officeDocument/2006/relationships/hyperlink" Id="rId97" Target="https://doi.org/10.1086/339673" TargetMode="External" /><Relationship Type="http://schemas.openxmlformats.org/officeDocument/2006/relationships/hyperlink" Id="rId101" Target="https://doi.org/10.1086/658093" TargetMode="External" /><Relationship Type="http://schemas.openxmlformats.org/officeDocument/2006/relationships/hyperlink" Id="rId86" Target="https://doi.org/10.1086/666065" TargetMode="External" /><Relationship Type="http://schemas.openxmlformats.org/officeDocument/2006/relationships/hyperlink" Id="rId143" Target="https://doi.org/10.1093/analys/anaa037" TargetMode="External" /><Relationship Type="http://schemas.openxmlformats.org/officeDocument/2006/relationships/hyperlink" Id="rId105" Target="https://doi.org/10.1093/analys/anz059" TargetMode="External" /><Relationship Type="http://schemas.openxmlformats.org/officeDocument/2006/relationships/hyperlink" Id="rId132" Target="https://doi.org/10.1111/nous.12353" TargetMode="External" /><Relationship Type="http://schemas.openxmlformats.org/officeDocument/2006/relationships/hyperlink" Id="rId109" Target="https://doi.org/10.1111/nous.12459" TargetMode="External" /><Relationship Type="http://schemas.openxmlformats.org/officeDocument/2006/relationships/hyperlink" Id="rId114" Target="https://doi.org/10.1111/nous.12473" TargetMode="External" /><Relationship Type="http://schemas.openxmlformats.org/officeDocument/2006/relationships/hyperlink" Id="rId149" Target="https://doi.org/10.1111/phpr.12466" TargetMode="External" /><Relationship Type="http://schemas.openxmlformats.org/officeDocument/2006/relationships/hyperlink" Id="rId103" Target="https://doi.org/10.1215/00318108-2006-023" TargetMode="External" /><Relationship Type="http://schemas.openxmlformats.org/officeDocument/2006/relationships/hyperlink" Id="rId158" Target="https://doi.org/10.1287/mnsc.13.11.816" TargetMode="External" /><Relationship Type="http://schemas.openxmlformats.org/officeDocument/2006/relationships/hyperlink" Id="rId88" Target="https://doi.org/10.2307/1879431" TargetMode="External" /><Relationship Type="http://schemas.openxmlformats.org/officeDocument/2006/relationships/hyperlink" Id="rId99" Target="https://doi.org/10.2307/1885060" TargetMode="External" /><Relationship Type="http://schemas.openxmlformats.org/officeDocument/2006/relationships/hyperlink" Id="rId120" Target="https://doi.org/10.2307/2185591" TargetMode="External" /><Relationship Type="http://schemas.openxmlformats.org/officeDocument/2006/relationships/hyperlink" Id="rId126" Target="https://doi.org/10.2307/2215439" TargetMode="External" /><Relationship Type="http://schemas.openxmlformats.org/officeDocument/2006/relationships/hyperlink" Id="rId123" Target="https://doi.org/10.5840/jphil2020117516" TargetMode="External" /><Relationship Type="http://schemas.openxmlformats.org/officeDocument/2006/relationships/hyperlink" Id="rId92" Target="https://doi.org/10.5840/jphil202211925" TargetMode="External" /><Relationship Type="http://schemas.openxmlformats.org/officeDocument/2006/relationships/hyperlink" Id="rId112" Target="https://philpapers.org/archive/GALTST-2.pdf" TargetMode="External" /></Relationships>
</file>

<file path=word/_rels/footnotes.xml.rels><?xml version="1.0" encoding="UTF-8"?><Relationships xmlns="http://schemas.openxmlformats.org/package/2006/relationships"><Relationship Type="http://schemas.openxmlformats.org/officeDocument/2006/relationships/hyperlink" Id="rId94" Target="http://faculty.econ.ucdavis.edu/faculty/bonanno/GT_Book.html" TargetMode="External" /><Relationship Type="http://schemas.openxmlformats.org/officeDocument/2006/relationships/hyperlink" Id="rId107" Target="https://10.1111/j.1468-0262.2005.00631.x" TargetMode="External" /><Relationship Type="http://schemas.openxmlformats.org/officeDocument/2006/relationships/hyperlink" Id="rId118" Target="https://doi.org/10.1007/978-94-009-2865-7_2" TargetMode="External" /><Relationship Type="http://schemas.openxmlformats.org/officeDocument/2006/relationships/hyperlink" Id="rId116" Target="https://doi.org/10.1007/BF00183199" TargetMode="External" /><Relationship Type="http://schemas.openxmlformats.org/officeDocument/2006/relationships/hyperlink" Id="rId90" Target="https://doi.org/10.1007/s10670-007-9084-8" TargetMode="External" /><Relationship Type="http://schemas.openxmlformats.org/officeDocument/2006/relationships/hyperlink" Id="rId145" Target="https://doi.org/10.1007/s11098-020-01509-9" TargetMode="External" /><Relationship Type="http://schemas.openxmlformats.org/officeDocument/2006/relationships/hyperlink" Id="rId154" Target="https://doi.org/10.1007/s11229-011-9900-1" TargetMode="External" /><Relationship Type="http://schemas.openxmlformats.org/officeDocument/2006/relationships/hyperlink" Id="rId134" Target="https://doi.org/10.1016/0167-2681(82)90008-7" TargetMode="External" /><Relationship Type="http://schemas.openxmlformats.org/officeDocument/2006/relationships/hyperlink" Id="rId147" Target="https://doi.org/10.1080/00048402.2021.1958880" TargetMode="External" /><Relationship Type="http://schemas.openxmlformats.org/officeDocument/2006/relationships/hyperlink" Id="rId136" Target="https://doi.org/10.1080/00048408412341601" TargetMode="External" /><Relationship Type="http://schemas.openxmlformats.org/officeDocument/2006/relationships/hyperlink" Id="rId156" Target="https://doi.org/10.1080/00048408512342061" TargetMode="External" /><Relationship Type="http://schemas.openxmlformats.org/officeDocument/2006/relationships/hyperlink" Id="rId97" Target="https://doi.org/10.1086/339673" TargetMode="External" /><Relationship Type="http://schemas.openxmlformats.org/officeDocument/2006/relationships/hyperlink" Id="rId101" Target="https://doi.org/10.1086/658093" TargetMode="External" /><Relationship Type="http://schemas.openxmlformats.org/officeDocument/2006/relationships/hyperlink" Id="rId86" Target="https://doi.org/10.1086/666065" TargetMode="External" /><Relationship Type="http://schemas.openxmlformats.org/officeDocument/2006/relationships/hyperlink" Id="rId143" Target="https://doi.org/10.1093/analys/anaa037" TargetMode="External" /><Relationship Type="http://schemas.openxmlformats.org/officeDocument/2006/relationships/hyperlink" Id="rId105" Target="https://doi.org/10.1093/analys/anz059" TargetMode="External" /><Relationship Type="http://schemas.openxmlformats.org/officeDocument/2006/relationships/hyperlink" Id="rId132" Target="https://doi.org/10.1111/nous.12353" TargetMode="External" /><Relationship Type="http://schemas.openxmlformats.org/officeDocument/2006/relationships/hyperlink" Id="rId109" Target="https://doi.org/10.1111/nous.12459" TargetMode="External" /><Relationship Type="http://schemas.openxmlformats.org/officeDocument/2006/relationships/hyperlink" Id="rId114" Target="https://doi.org/10.1111/nous.12473" TargetMode="External" /><Relationship Type="http://schemas.openxmlformats.org/officeDocument/2006/relationships/hyperlink" Id="rId149" Target="https://doi.org/10.1111/phpr.12466" TargetMode="External" /><Relationship Type="http://schemas.openxmlformats.org/officeDocument/2006/relationships/hyperlink" Id="rId103" Target="https://doi.org/10.1215/00318108-2006-023" TargetMode="External" /><Relationship Type="http://schemas.openxmlformats.org/officeDocument/2006/relationships/hyperlink" Id="rId158" Target="https://doi.org/10.1287/mnsc.13.11.816" TargetMode="External" /><Relationship Type="http://schemas.openxmlformats.org/officeDocument/2006/relationships/hyperlink" Id="rId88" Target="https://doi.org/10.2307/1879431" TargetMode="External" /><Relationship Type="http://schemas.openxmlformats.org/officeDocument/2006/relationships/hyperlink" Id="rId99" Target="https://doi.org/10.2307/1885060" TargetMode="External" /><Relationship Type="http://schemas.openxmlformats.org/officeDocument/2006/relationships/hyperlink" Id="rId120" Target="https://doi.org/10.2307/2185591" TargetMode="External" /><Relationship Type="http://schemas.openxmlformats.org/officeDocument/2006/relationships/hyperlink" Id="rId126" Target="https://doi.org/10.2307/2215439" TargetMode="External" /><Relationship Type="http://schemas.openxmlformats.org/officeDocument/2006/relationships/hyperlink" Id="rId123" Target="https://doi.org/10.5840/jphil2020117516" TargetMode="External" /><Relationship Type="http://schemas.openxmlformats.org/officeDocument/2006/relationships/hyperlink" Id="rId92" Target="https://doi.org/10.5840/jphil202211925" TargetMode="External" /><Relationship Type="http://schemas.openxmlformats.org/officeDocument/2006/relationships/hyperlink" Id="rId112" Target="https://philpapers.org/archive/GALTST-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2023-07-07T23:02:59Z</dcterms:created>
  <dcterms:modified xsi:type="dcterms:W3CDTF">2023-07-07T23:02:59Z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