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Gamified</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2023-08-17</w:t>
      </w:r>
    </w:p>
    <w:bookmarkStart w:id="20" w:name="sec-intro"/>
    <w:p>
      <w:pPr>
        <w:pStyle w:val="Heading1"/>
      </w:pPr>
      <w:r>
        <w:t xml:space="preserve">1. Introduction</w:t>
      </w:r>
    </w:p>
    <w:p>
      <w:pPr>
        <w:pStyle w:val="FirstParagraph"/>
      </w:pPr>
      <w:r>
        <w:t xml:space="preserve">Textbook versions of game theory embed a distinctive approach to decision theory. That theory isn’t always made explicit, and it isn’t always clear how it handles some cases. But we can extract one interesting and plausible theory, which I’ll call Gamified Decision Theory (GDT), from these textbooks. There are nine characteristics of GDT (as I’ll understand it) that I will focus on. I’ll quickly list them here, then the bulk of the paper will consist of a section on each of the nine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of 1-9. In fact it wouldn’t take much work to show that they endorse 1-5, so the work wouldn’t be worth doing. And while some books endorse 8 and 9, it would take a lot more investigative work than I’m going to do here to show that anything like a majority of them do. It would be interesting, but not obviously a philosophical question, to see what proportion endorse 6 and 7.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paper.</w:t>
      </w:r>
    </w:p>
    <w:p>
      <w:pPr>
        <w:pStyle w:val="BodyText"/>
      </w:pPr>
      <w:r>
        <w:t xml:space="preserve">The conclusion of this paper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Fusco (n.d.)</w:t>
      </w:r>
      <w:r>
        <w:t xml:space="preserve">.</w:t>
      </w:r>
    </w:p>
    <w:bookmarkEnd w:id="20"/>
    <w:bookmarkStart w:id="30" w:name="sec-ideal"/>
    <w:p>
      <w:pPr>
        <w:pStyle w:val="Heading1"/>
      </w:pPr>
      <w:r>
        <w:t xml:space="preserve">2. Idealised</w:t>
      </w:r>
    </w:p>
    <w:p>
      <w:pPr>
        <w:pStyle w:val="FirstParagraph"/>
      </w:pPr>
      <w:r>
        <w:t xml:space="preserve">Consider the following decision problem. Chooser (our main protagonist) is going to be given a series of multiplication problems, where each of the multiplicands is a four digit number. Chooser doesn’t have access to any kind of calculating device, and has no special arithmetic ability. For each question, if Chooser says the right answer, they get $2; if they pass, they get $1; if they say the wrong answer, they get nothing.</w:t>
      </w:r>
      <w:r>
        <w:t xml:space="preserve"> </w:t>
      </w:r>
      <w:hyperlink w:anchor="tbl-multi">
        <w:r>
          <w:rPr>
            <w:rStyle w:val="Hyperlink"/>
          </w:rPr>
          <w:t xml:space="preserve">Table 1</w:t>
        </w:r>
      </w:hyperlink>
      <w:r>
        <w:t xml:space="preserve"> </w:t>
      </w:r>
      <w:r>
        <w:t xml:space="preserve">has the payout in table form.</w:t>
      </w:r>
    </w:p>
    <w:bookmarkStart w:id="21" w:name="tbl-multi"/>
    <w:p>
      <w:pPr>
        <w:pStyle w:val="TableCaption"/>
      </w:pPr>
      <w:r>
        <w:t xml:space="preserve">Table 1: The multiplication game</w:t>
      </w:r>
    </w:p>
    <w:tbl>
      <w:tblPr>
        <w:tblStyle w:val="Table"/>
        <w:tblW w:type="auto" w:w="0"/>
        <w:tblLook w:firstRow="0" w:lastRow="0" w:firstColumn="0" w:lastColumn="0" w:noHBand="0" w:noVBand="0" w:val="0000"/>
        <w:jc w:val="start"/>
        <w:tblCaption w:val="Table 1: The multiplication game"/>
      </w:tblPr>
      <w:tblGrid>
        <w:gridCol w:w="2640"/>
        <w:gridCol w:w="2640"/>
        <w:gridCol w:w="2640"/>
      </w:tblGrid>
      <w:tr>
        <w:tc>
          <w:tcPr/>
          <w:p>
            <w:pPr>
              <w:pStyle w:val="Compact"/>
            </w:pPr>
          </w:p>
        </w:tc>
        <w:tc>
          <w:tcPr/>
          <w:p>
            <w:pPr>
              <w:pStyle w:val="Compact"/>
              <w:jc w:val="center"/>
            </w:pPr>
            <w:r>
              <w:rPr>
                <w:bCs/>
                <w:b/>
              </w:rPr>
              <w:t xml:space="preserve">Best Guess Correct</w:t>
            </w:r>
          </w:p>
        </w:tc>
        <w:tc>
          <w:tcPr/>
          <w:p>
            <w:pPr>
              <w:pStyle w:val="Compact"/>
              <w:jc w:val="center"/>
            </w:pPr>
            <w:r>
              <w:rPr>
                <w:bCs/>
                <w:b/>
              </w:rPr>
              <w:t xml:space="preserve">Best Guess Incorrect</w:t>
            </w:r>
          </w:p>
        </w:tc>
      </w:tr>
      <w:tr>
        <w:tc>
          <w:tcPr/>
          <w:p>
            <w:pPr>
              <w:pStyle w:val="Compact"/>
              <w:jc w:val="center"/>
            </w:pPr>
            <w:r>
              <w:rPr>
                <w:bCs/>
                <w:b/>
              </w:rPr>
              <w:t xml:space="preserve">Guess</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Pass</w:t>
            </w:r>
          </w:p>
        </w:tc>
        <w:tc>
          <w:tcPr/>
          <w:p>
            <w:pPr>
              <w:pStyle w:val="Compact"/>
              <w:jc w:val="center"/>
            </w:pPr>
            <w:r>
              <w:t xml:space="preserve">$1</w:t>
            </w:r>
          </w:p>
        </w:tc>
        <w:tc>
          <w:tcPr/>
          <w:p>
            <w:pPr>
              <w:pStyle w:val="Compact"/>
              <w:jc w:val="center"/>
            </w:pPr>
            <w:r>
              <w:t xml:space="preserve">$1</w:t>
            </w:r>
          </w:p>
        </w:tc>
      </w:tr>
    </w:tbl>
    <w:bookmarkEnd w:id="21"/>
    <w:p>
      <w:pPr>
        <w:pStyle w:val="BodyText"/>
      </w:pPr>
      <w:r>
        <w:t xml:space="preserve">Every variety of decision theory defended in philosophy journals in recent years, and every game theory textbook, says that Chooser should simply say the correct answer. After all, Chooser should have probabilistically coherent credences, and every mathematical truth has probability 1, so whatever the correct answer is, saying it is a sure $2.</w:t>
      </w:r>
    </w:p>
    <w:p>
      <w:pPr>
        <w:pStyle w:val="BodyText"/>
      </w:pPr>
      <w:r>
        <w:t xml:space="preserve">This is completely terrible advice. Chooser should pass every time, unless the question is something boring like 1000 times 2000. The chance of them getting a question like 5278 times 9713 correct are way less than one in two, so they are better off passing.</w:t>
      </w:r>
    </w:p>
    <w:p>
      <w:pPr>
        <w:pStyle w:val="BodyText"/>
      </w:pPr>
      <w:r>
        <w:t xml:space="preserve">This doesn’t mean that every philosophical decision theory, and every game theory textbook, is wrong. Those theories are not in the business of giving advice to people like Chooser. They are in the business of saying what it would be ideal, in some sense of ideal, for Chooser to do. And it would be ideal for Chooser to be a reliable computer, so if Chooser were reliable, they would always give the correct answer.</w:t>
      </w:r>
    </w:p>
    <w:p>
      <w:pPr>
        <w:pStyle w:val="BodyText"/>
      </w:pPr>
      <w:r>
        <w:t xml:space="preserve">There is a big question about why we should care about what would have if Chooser were ideal. Chooser is not in fact ideal, so who cares what they would do if they were different. One might think that knowing what the ideal is gives Chooser something to aim for. Even if Chooser is not ideal, they can try to be closer to the ideal. The problem is that trying to be more like the ideal will make things worse. The ideal agent will never pass, and even if Chooser doesn’t know the answers to the particular questions, they can know this fact. So if they try to be more like the ideal, they will never pass, and things will go badly.</w:t>
      </w:r>
      <w:r>
        <w:rPr>
          <w:rStyle w:val="FootnoteReference"/>
        </w:rPr>
        <w:footnoteReference w:id="22"/>
      </w:r>
    </w:p>
    <w:p>
      <w:pPr>
        <w:pStyle w:val="BodyText"/>
      </w:pPr>
      <w:r>
        <w:t xml:space="preserve">In philosophy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23"/>
      </w:r>
    </w:p>
    <w:p>
      <w:pPr>
        <w:pStyle w:val="BodyText"/>
      </w:pPr>
      <w:r>
        <w:t xml:space="preserve">The best way to understand decision theorists, and game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p>
      <w:pPr>
        <w:pStyle w:val="BodyText"/>
      </w:pPr>
      <w:r>
        <w:t xml:space="preserve">One nice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I’ll end this section with a response to one objection, one caveat, and one surprising bonus to doing idealised decision theory this way.</w:t>
      </w:r>
    </w:p>
    <w:p>
      <w:pPr>
        <w:pStyle w:val="BodyText"/>
      </w:pPr>
      <w:r>
        <w:t xml:space="preserve">The objection is that decision theory isn’t actually that helpful for prediction and explanation. If all that it says are things like when rain is more probable, more people take umbrellas, that doesn’t need a whole academic discipline. The response to that is that in non-cooperative games, the predictions, and explanations, can be somewhat surprising. One nice case of this is the discussion of Gulf of Mexico oil leases in</w:t>
      </w:r>
      <w:r>
        <w:t xml:space="preserve"> </w:t>
      </w:r>
      <w:r>
        <w:t xml:space="preserve">Wilson (1967)</w:t>
      </w:r>
      <w:r>
        <w:t xml:space="preserve">.</w:t>
      </w:r>
      <w:r>
        <w:rPr>
          <w:rStyle w:val="FootnoteReference"/>
        </w:rPr>
        <w:footnoteReference w:id="24"/>
      </w:r>
      <w:r>
        <w:t xml:space="preserve"> </w:t>
      </w:r>
      <w:r>
        <w:t xml:space="preserve">But here’s a simpler surprising prediction that you need something like GDT to get.</w:t>
      </w:r>
      <w:r>
        <w:rPr>
          <w:rStyle w:val="FootnoteReference"/>
        </w:rPr>
        <w:footnoteReference w:id="25"/>
      </w:r>
    </w:p>
    <w:p>
      <w:pPr>
        <w:pStyle w:val="BodyText"/>
      </w:pP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 (a)</w:t>
        </w:r>
      </w:hyperlink>
      <w:r>
        <w:t xml:space="preserve"> </w:t>
      </w:r>
      <w:r>
        <w:t xml:space="preserve">to</w:t>
      </w:r>
      <w:r>
        <w:t xml:space="preserve"> </w:t>
      </w:r>
      <w:hyperlink w:anchor="tbl-rps-modified">
        <w:r>
          <w:rPr>
            <w:rStyle w:val="Hyperlink"/>
          </w:rPr>
          <w:t xml:space="preserve">Table 2 (b)</w:t>
        </w:r>
      </w:hyperlink>
      <w:r>
        <w:t xml:space="preserve">.</w:t>
      </w:r>
    </w:p>
    <w:bookmarkStart w:id="28" w:name="tbl-rps"/>
    <w:tbl>
      <w:tblPr>
        <w:tblStyle w:val="Table"/>
        <w:tblW w:type="pct" w:w="5000"/>
        <w:tblLook w:firstRow="0" w:lastRow="0" w:firstColumn="0" w:lastColumn="0" w:noHBand="0" w:noVBand="0" w:val="0000"/>
        <w:jc w:val="start"/>
      </w:tblPr>
      <w:tblGrid>
        <w:gridCol w:w="3960"/>
        <w:gridCol w:w="3960"/>
      </w:tblGrid>
      <w:tr>
        <w:tc>
          <w:tcPr/>
          <w:bookmarkStart w:id="26"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2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7"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27"/>
          <w:p/>
        </w:tc>
      </w:tr>
    </w:tbl>
    <w:p>
      <w:pPr>
        <w:pStyle w:val="BodyText"/>
      </w:pPr>
      <w:pPr>
        <w:spacing w:before="200"/>
        <w:pStyle w:val="ImageCaption"/>
      </w:pPr>
      <w:r>
        <w:t xml:space="preserve">Table 2: Two versions of Rock-Paper-Scissors</w:t>
      </w:r>
    </w:p>
    <w:bookmarkEnd w:id="28"/>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29"/>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caveat is that there is a reason that this particular idealisation is chosen, at least as the first attempt. There are a lot of stylised facts about people that we could use in a model of behaviour. In game theory we concentrate on the ways in which people are, at least approximately much of the time, somewhat rational. People who prefer vanilla to chocolate really do buy vanilla more than chocolate. We could also choose stylised facts that are not particularly rational. But there is a worry that these will not remain facts, even approximately, when the stakes go up. And for some purposes, what people do in high stakes situations might be really important. If you think that people are more careful in high stakes situations, and that this care translates into more rational action, and it’s particularly important to make the right predictions in high stakes cases, it makes sense to focus on idealisations that are also true of perfectly rational people.</w:t>
      </w:r>
    </w:p>
    <w:p>
      <w:pPr>
        <w:pStyle w:val="BodyText"/>
      </w:pPr>
      <w:r>
        <w:t xml:space="preserve">There is a tricky complication here that isn’t always attended to in theory, though in practice it’s less of a problem. Especially in decision theory, we idealise away from computational shortcomings, but not away from informational shortcomings. We take the chooser’s information as fixed, and ask how they’ll decide. In high stakes cases, people don’t just get better calculators, they get more information. If this is why we idealise, why don’t we idealise away from ignorance? The reason is that in a lot of cases, either it is impossible to get the evidence the chooser needs, because it is about the future, or it is challenging because there is someone else working just as hard to prevent the chooser getting the information. It’s not a coincidence that game theory, and decision theory, are most explanatory when the chooser’s ignorance is about the future, or about something that someone is trying to hide from them.</w:t>
      </w:r>
    </w:p>
    <w:p>
      <w:pPr>
        <w:pStyle w:val="BodyText"/>
      </w:pPr>
      <w:r>
        <w:t xml:space="preserve">There is one surprising bonus from starting with these rational idealisations. Sometimes one gets a powerful kind of explanation from very carefully working out the ideal theory, and then relaxing one of the components. At a very high level of abstraction, that’s what happened with the development of cursed equilibrium</w:t>
      </w:r>
      <w:r>
        <w:t xml:space="preserve"> </w:t>
      </w:r>
      <w:r>
        <w:t xml:space="preserve">(Eyster and Rabin 2005)</w:t>
      </w:r>
      <w:r>
        <w:t xml:space="preserve">. The explanations one gets these ways are, to my mind, very surprising. The models have people acting as if they have solved very complex equations, but have ignored simple facts, notably that other people may know more than they do. But if the model fits the data, it is worth taking seriously. And while it was logically possible to develop a model like cursed equilibrium without first developing an ideal model and then relaxing it, it seems not surprising that in fact that’s how the model was developed.</w:t>
      </w:r>
    </w:p>
    <w:p>
      <w:pPr>
        <w:pStyle w:val="BodyText"/>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does not reduce the utility of ultimately taking that option, as it does for many humans. They know what options they can perform, and what options they can’t perform. I’ll argue in</w:t>
      </w:r>
      <w:r>
        <w:t xml:space="preserve"> </w:t>
      </w:r>
      <w:hyperlink w:anchor="sec-mixed">
        <w:r>
          <w:rPr>
            <w:rStyle w:val="Hyperlink"/>
          </w:rPr>
          <w:t xml:space="preserve">Section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Section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30"/>
    <w:bookmarkStart w:id="34"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31"/>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32"/>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33"/>
      </w:r>
    </w:p>
    <w:bookmarkEnd w:id="34"/>
    <w:bookmarkStart w:id="42"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35"/>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36"/>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37"/>
      </w:r>
      <w:r>
        <w:t xml:space="preserve"> </w:t>
      </w:r>
      <w:r>
        <w:t xml:space="preserve">In the recent literature, I think there are four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Section 2</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Section 7</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Section 5</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r>
        <w:rPr>
          <w:rStyle w:val="FootnoteReference"/>
        </w:rPr>
        <w:footnoteReference w:id="38"/>
      </w:r>
    </w:p>
    <w:p>
      <w:pPr>
        <w:pStyle w:val="BodyText"/>
      </w:pPr>
      <w:r>
        <w:t xml:space="preserve">There are two demons, who will predict what Chooser will do. Both of them are arbitrarily good, though not quite perfect, and their errors are independent. Chooser will play either the left or right game in</w:t>
      </w:r>
      <w:r>
        <w:t xml:space="preserve"> </w:t>
      </w:r>
      <w:hyperlink w:anchor="tbl-edt-war">
        <w:r>
          <w:rPr>
            <w:rStyle w:val="Hyperlink"/>
          </w:rPr>
          <w:t xml:space="preserve">Table 3</w:t>
        </w:r>
      </w:hyperlink>
      <w:r>
        <w:t xml:space="preserve">.</w:t>
      </w:r>
    </w:p>
    <w:bookmarkStart w:id="41" w:name="tbl-edt-war"/>
    <w:tbl>
      <w:tblPr>
        <w:tblStyle w:val="Table"/>
        <w:tblW w:type="pct" w:w="5000"/>
        <w:tblLook w:firstRow="0" w:lastRow="0" w:firstColumn="0" w:lastColumn="0" w:noHBand="0" w:noVBand="0" w:val="0000"/>
        <w:jc w:val="start"/>
      </w:tblPr>
      <w:tblGrid>
        <w:gridCol w:w="3960"/>
        <w:gridCol w:w="3960"/>
      </w:tblGrid>
      <w:tr>
        <w:tc>
          <w:tcPr/>
          <w:bookmarkStart w:id="39"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3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0"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40"/>
          <w:p/>
        </w:tc>
      </w:tr>
    </w:tbl>
    <w:p>
      <w:pPr>
        <w:pStyle w:val="BodyText"/>
      </w:pPr>
      <w:pPr>
        <w:spacing w:before="200"/>
        <w:pStyle w:val="ImageCaption"/>
      </w:pPr>
      <w:r>
        <w:t xml:space="preserve">Table 3: A Newcomb problem with two demons</w:t>
      </w:r>
    </w:p>
    <w:bookmarkEnd w:id="41"/>
    <w:p>
      <w:pPr>
        <w:pStyle w:val="BodyText"/>
      </w:pPr>
      <w:r>
        <w:t xml:space="preserve">If Demon-1 predicts that Chooser will play Down, Demon-1 will offer Chooser</w:t>
      </w:r>
      <w:r>
        <w:t xml:space="preserve"> </w:t>
      </w:r>
      <w:hyperlink w:anchor="tbl-war-left">
        <w:r>
          <w:rPr>
            <w:rStyle w:val="Hyperlink"/>
          </w:rPr>
          <w:t xml:space="preserve">Table 3 (a)</w:t>
        </w:r>
      </w:hyperlink>
      <w:r>
        <w:t xml:space="preserve">; if Demon-1 predicts that Chooser will play Up, Demon-1 will offer Chooser</w:t>
      </w:r>
      <w:r>
        <w:t xml:space="preserve"> </w:t>
      </w:r>
      <w:hyperlink w:anchor="tbl-war-right">
        <w:r>
          <w:rPr>
            <w:rStyle w:val="Hyperlink"/>
          </w:rPr>
          <w:t xml:space="preserve">Table 3 (b)</w:t>
        </w:r>
      </w:hyperlink>
      <w:r>
        <w:t xml:space="preserve">. Then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worry at this stage that I haven’t shown that everyone is vulnerable to this kind of</w:t>
      </w:r>
      <w:r>
        <w:t xml:space="preserve"> </w:t>
      </w:r>
      <w:r>
        <w:t xml:space="preserve">‘</w:t>
      </w:r>
      <w:r>
        <w:t xml:space="preserve">objection</w:t>
      </w:r>
      <w:r>
        <w:t xml:space="preserve">’</w:t>
      </w:r>
      <w:r>
        <w:t xml:space="preserve">, just that CDT and EDT are equally vulnerable to it. In particular, so-called</w:t>
      </w:r>
      <w:r>
        <w:t xml:space="preserve"> </w:t>
      </w:r>
      <w:r>
        <w:t xml:space="preserve">‘</w:t>
      </w:r>
      <w:r>
        <w:t xml:space="preserve">resolute</w:t>
      </w:r>
      <w:r>
        <w:t xml:space="preserve">’</w:t>
      </w:r>
      <w:r>
        <w:t xml:space="preserve"> </w:t>
      </w:r>
      <w:r>
        <w:t xml:space="preserve">decision theories will choose one-box in Newcomb’s Problem, and Up in</w:t>
      </w:r>
      <w:r>
        <w:t xml:space="preserve"> </w:t>
      </w:r>
      <w:hyperlink w:anchor="tbl-edt-war">
        <w:r>
          <w:rPr>
            <w:rStyle w:val="Hyperlink"/>
          </w:rPr>
          <w:t xml:space="preserve">Table 3</w:t>
        </w:r>
      </w:hyperlink>
      <w:r>
        <w:t xml:space="preserve">, and so be enriched both times.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makes that pair of choices. But those theories are vulnerable to much more serious objections, that I’ll come to in</w:t>
      </w:r>
      <w:r>
        <w:t xml:space="preserve"> </w:t>
      </w:r>
      <w:hyperlink w:anchor="sec-dualmandate">
        <w:r>
          <w:rPr>
            <w:rStyle w:val="Hyperlink"/>
          </w:rPr>
          <w:t xml:space="preserve">Section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42"/>
    <w:bookmarkStart w:id="46"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43"/>
      </w:r>
      <w:r>
        <w:t xml:space="preserve"> </w:t>
      </w:r>
      <w:r>
        <w:t xml:space="preserve">One is that the chooser might not be capable of carrying out a mixed strategy. They might not, for instance, have any coins in their pocket.</w:t>
      </w:r>
      <w:r>
        <w:rPr>
          <w:rStyle w:val="FootnoteReference"/>
        </w:rPr>
        <w:footnoteReference w:id="44"/>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45"/>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46"/>
    <w:bookmarkStart w:id="51"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4</w:t>
        </w:r>
      </w:hyperlink>
      <w:r>
        <w:t xml:space="preserve"> </w:t>
      </w:r>
      <w:r>
        <w:t xml:space="preserve">is one such case.</w:t>
      </w:r>
    </w:p>
    <w:bookmarkStart w:id="47" w:name="tbl-no-pure"/>
    <w:p>
      <w:pPr>
        <w:pStyle w:val="TableCaption"/>
      </w:pPr>
      <w:r>
        <w:t xml:space="preserve">Table 4: A case with no pure ratifiable options.</w:t>
      </w:r>
    </w:p>
    <w:tbl>
      <w:tblPr>
        <w:tblStyle w:val="Table"/>
        <w:tblW w:type="auto" w:w="0"/>
        <w:tblLook w:firstRow="0" w:lastRow="0" w:firstColumn="0" w:lastColumn="0" w:noHBand="0" w:noVBand="0" w:val="0000"/>
        <w:jc w:val="start"/>
        <w:tblCaption w:val="Table 4: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47"/>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5</w:t>
        </w:r>
      </w:hyperlink>
      <w:r>
        <w:t xml:space="preserve">.</w:t>
      </w:r>
    </w:p>
    <w:bookmarkStart w:id="48" w:name="tbl-bad-third"/>
    <w:p>
      <w:pPr>
        <w:pStyle w:val="TableCaption"/>
      </w:pPr>
      <w:r>
        <w:t xml:space="preserve">Table 5: A case with only a bad pure ratifiable option.</w:t>
      </w:r>
    </w:p>
    <w:tbl>
      <w:tblPr>
        <w:tblStyle w:val="Table"/>
        <w:tblW w:type="auto" w:w="0"/>
        <w:tblLook w:firstRow="0" w:lastRow="0" w:firstColumn="0" w:lastColumn="0" w:noHBand="0" w:noVBand="0" w:val="0000"/>
        <w:jc w:val="start"/>
        <w:tblCaption w:val="Table 5: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48"/>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4</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w:t>
        </w:r>
      </w:hyperlink>
      <w:r>
        <w:t xml:space="preserve"> </w:t>
      </w:r>
      <w:r>
        <w:t xml:space="preserve">there is no weakly dominant option, but X is surely still a bad play.</w:t>
      </w:r>
    </w:p>
    <w:bookmarkStart w:id="49" w:name="tbl-verybad-third"/>
    <w:p>
      <w:pPr>
        <w:pStyle w:val="TableCaption"/>
      </w:pPr>
      <w:r>
        <w:t xml:space="preserve">Table 6: Skyrms’s counterexample to ratificationism.</w:t>
      </w:r>
    </w:p>
    <w:tbl>
      <w:tblPr>
        <w:tblStyle w:val="Table"/>
        <w:tblW w:type="auto" w:w="0"/>
        <w:tblLook w:firstRow="0" w:lastRow="0" w:firstColumn="0" w:lastColumn="0" w:noHBand="0" w:noVBand="0" w:val="0000"/>
        <w:jc w:val="start"/>
        <w:tblCaption w:val="Table 6: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49"/>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4</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50"/>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5</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51"/>
    <w:bookmarkStart w:id="69"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52"/>
      </w:r>
      <w:r>
        <w:t xml:space="preserve"> </w:t>
      </w:r>
      <w:r>
        <w:t xml:space="preserve">Here is an example of a Stag Hunt decision.</w:t>
      </w:r>
    </w:p>
    <w:bookmarkStart w:id="53" w:name="tbl-stag-hunt"/>
    <w:p>
      <w:pPr>
        <w:pStyle w:val="TableCaption"/>
      </w:pPr>
      <w:r>
        <w:t xml:space="preserve">Table 7: An example of a Stag Hunt.</w:t>
      </w:r>
    </w:p>
    <w:tbl>
      <w:tblPr>
        <w:tblStyle w:val="Table"/>
        <w:tblW w:type="auto" w:w="0"/>
        <w:tblLook w:firstRow="0" w:lastRow="0" w:firstColumn="0" w:lastColumn="0" w:noHBand="0" w:noVBand="0" w:val="0000"/>
        <w:jc w:val="start"/>
        <w:tblCaption w:val="Table 7: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53"/>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54"/>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w:t>
        </w:r>
      </w:hyperlink>
      <w:r>
        <w:t xml:space="preserve">.</w:t>
      </w:r>
    </w:p>
    <w:bookmarkStart w:id="55" w:name="tbl-coord"/>
    <w:p>
      <w:pPr>
        <w:pStyle w:val="TableCaption"/>
      </w:pPr>
      <w:r>
        <w:t xml:space="preserve">Table 8: An example of a coordination game.</w:t>
      </w:r>
    </w:p>
    <w:tbl>
      <w:tblPr>
        <w:tblStyle w:val="Table"/>
        <w:tblW w:type="auto" w:w="0"/>
        <w:tblLook w:firstRow="0" w:lastRow="0" w:firstColumn="0" w:lastColumn="0" w:noHBand="0" w:noVBand="0" w:val="0000"/>
        <w:jc w:val="start"/>
        <w:tblCaption w:val="Table 8: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5"/>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2"/>
        </w:numPr>
        <w:pStyle w:val="Compact"/>
      </w:pPr>
      <w:r>
        <w:t xml:space="preserve">Both Demon-1 and Demon-2 predict Chooser, but do not reveal their prediction.</w:t>
      </w:r>
    </w:p>
    <w:p>
      <w:pPr>
        <w:numPr>
          <w:ilvl w:val="0"/>
          <w:numId w:val="100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2"/>
        </w:numPr>
        <w:pStyle w:val="Compact"/>
      </w:pPr>
      <w:r>
        <w:t xml:space="preserve">Chooser chooses Up or Down.</w:t>
      </w:r>
    </w:p>
    <w:p>
      <w:pPr>
        <w:numPr>
          <w:ilvl w:val="0"/>
          <w:numId w:val="1002"/>
        </w:numPr>
        <w:pStyle w:val="Compact"/>
      </w:pPr>
      <w:r>
        <w:t xml:space="preserve">Demon-2’s prediction is chosen, and that determines whether we are in state PU or state PD.</w:t>
      </w:r>
    </w:p>
    <w:p>
      <w:pPr>
        <w:numPr>
          <w:ilvl w:val="0"/>
          <w:numId w:val="1002"/>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9</w:t>
        </w:r>
      </w:hyperlink>
      <w:r>
        <w:t xml:space="preserve"> </w:t>
      </w:r>
      <w:r>
        <w:t xml:space="preserve">gives the general form of such a problem. Our problem has this abstract of</w:t>
      </w:r>
      <w:r>
        <w:t xml:space="preserve"> </w:t>
      </w:r>
      <w:hyperlink w:anchor="tbl-general-exit">
        <w:r>
          <w:rPr>
            <w:rStyle w:val="Hyperlink"/>
          </w:rPr>
          <w:t xml:space="preserve">Table 9</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58" w:name="tbl-general-exit"/>
    <w:tbl>
      <w:tblPr>
        <w:tblStyle w:val="Table"/>
        <w:tblW w:type="pct" w:w="5000"/>
        <w:tblLook w:firstRow="0" w:lastRow="0" w:firstColumn="0" w:lastColumn="0" w:noHBand="0" w:noVBand="0" w:val="0000"/>
        <w:jc w:val="start"/>
      </w:tblPr>
      <w:tblGrid>
        <w:gridCol w:w="3960"/>
        <w:gridCol w:w="3960"/>
      </w:tblGrid>
      <w:tr>
        <w:tc>
          <w:tcPr/>
          <w:bookmarkStart w:id="56"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5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7"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57"/>
          <w:p/>
        </w:tc>
      </w:tr>
    </w:tbl>
    <w:p>
      <w:pPr>
        <w:pStyle w:val="BodyText"/>
      </w:pPr>
      <w:pPr>
        <w:spacing w:before="200"/>
        <w:pStyle w:val="ImageCaption"/>
      </w:pPr>
      <w:r>
        <w:t xml:space="preserve">Table 9: The abstract form of an exit problem.</w:t>
      </w:r>
    </w:p>
    <w:bookmarkEnd w:id="58"/>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3"/>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4"/>
        </w:numPr>
        <w:pStyle w:val="Compact"/>
      </w:pPr>
      <w:r>
        <w:t xml:space="preserve">If</w:t>
      </w:r>
      <w:r>
        <w:t xml:space="preserve"> </w:t>
      </w:r>
      <w:r>
        <w:rPr>
          <w:iCs/>
          <w:i/>
        </w:rPr>
        <w:t xml:space="preserve">p</w:t>
      </w:r>
      <w:r>
        <w:t xml:space="preserve"> </w:t>
      </w:r>
      <w:r>
        <w:t xml:space="preserve">happens, what do you want to do?</w:t>
      </w:r>
    </w:p>
    <w:p>
      <w:pPr>
        <w:numPr>
          <w:ilvl w:val="0"/>
          <w:numId w:val="1004"/>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59"/>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w:t>
        </w:r>
      </w:hyperlink>
      <w:r>
        <w:t xml:space="preserve"> </w:t>
      </w:r>
      <w:r>
        <w:t xml:space="preserve">cite above table will violate Exit Principle. Think about what they will say</w:t>
      </w:r>
      <w:r>
        <w:t xml:space="preserve"> </w:t>
      </w:r>
      <w:hyperlink w:anchor="tbl-early-choice">
        <w:r>
          <w:rPr>
            <w:rStyle w:val="Hyperlink"/>
          </w:rPr>
          <w:t xml:space="preserve">Table 10</w:t>
        </w:r>
      </w:hyperlink>
      <w:r>
        <w:t xml:space="preserve">.</w:t>
      </w:r>
    </w:p>
    <w:bookmarkStart w:id="60" w:name="tbl-early-choice"/>
    <w:p>
      <w:pPr>
        <w:pStyle w:val="TableCaption"/>
      </w:pPr>
      <w:r>
        <w:t xml:space="preserve">Table 10: The Early Choice decision.</w:t>
      </w:r>
    </w:p>
    <w:tbl>
      <w:tblPr>
        <w:tblStyle w:val="Table"/>
        <w:tblW w:type="auto" w:w="0"/>
        <w:tblLook w:firstRow="0" w:lastRow="0" w:firstColumn="0" w:lastColumn="0" w:noHBand="0" w:noVBand="0" w:val="0000"/>
        <w:jc w:val="start"/>
        <w:tblCaption w:val="Table 10: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60"/>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11</w:t>
        </w:r>
      </w:hyperlink>
      <w:r>
        <w:t xml:space="preserve">.</w:t>
      </w:r>
    </w:p>
    <w:bookmarkStart w:id="61" w:name="tbl-early-choice-simplified"/>
    <w:p>
      <w:pPr>
        <w:pStyle w:val="TableCaption"/>
      </w:pPr>
      <w:r>
        <w:t xml:space="preserve">Table 11: The Early Choice decision simplified.</w:t>
      </w:r>
    </w:p>
    <w:tbl>
      <w:tblPr>
        <w:tblStyle w:val="Table"/>
        <w:tblW w:type="auto" w:w="0"/>
        <w:tblLook w:firstRow="0" w:lastRow="0" w:firstColumn="0" w:lastColumn="0" w:noHBand="0" w:noVBand="0" w:val="0000"/>
        <w:jc w:val="start"/>
        <w:tblCaption w:val="Table 11: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61"/>
    <w:p>
      <w:pPr>
        <w:pStyle w:val="BodyText"/>
      </w:pPr>
      <w:r>
        <w:t xml:space="preserve">Now presumably if one prefers Up in above table, it is because one prefers Up in any game like</w:t>
      </w:r>
      <w:r>
        <w:t xml:space="preserve"> </w:t>
      </w:r>
      <w:hyperlink w:anchor="tbl-general-coord">
        <w:r>
          <w:rPr>
            <w:rStyle w:val="Hyperlink"/>
          </w:rPr>
          <w:t xml:space="preserve">Table 12</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62" w:name="tbl-general-coord"/>
    <w:p>
      <w:pPr>
        <w:pStyle w:val="TableCaption"/>
      </w:pPr>
      <w:r>
        <w:t xml:space="preserve">Table 12: General coordination game.</w:t>
      </w:r>
    </w:p>
    <w:tbl>
      <w:tblPr>
        <w:tblStyle w:val="Table"/>
        <w:tblW w:type="auto" w:w="0"/>
        <w:tblLook w:firstRow="0" w:lastRow="0" w:firstColumn="0" w:lastColumn="0" w:noHBand="0" w:noVBand="0" w:val="0000"/>
        <w:jc w:val="start"/>
        <w:tblCaption w:val="Table 12: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62"/>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11</w:t>
        </w:r>
      </w:hyperlink>
      <w:r>
        <w:t xml:space="preserve"> </w:t>
      </w:r>
      <w:r>
        <w:t xml:space="preserve">and so, presumably, in</w:t>
      </w:r>
      <w:r>
        <w:t xml:space="preserve"> </w:t>
      </w:r>
      <w:hyperlink w:anchor="tbl-early-choice">
        <w:r>
          <w:rPr>
            <w:rStyle w:val="Hyperlink"/>
          </w:rPr>
          <w:t xml:space="preserve">Table 10</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12</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13</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bookmarkStart w:id="63" w:name="tbl-frustrating-button"/>
    <w:p>
      <w:pPr>
        <w:pStyle w:val="TableCaption"/>
      </w:pPr>
      <w:r>
        <w:t xml:space="preserve">Table 13: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13: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63"/>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14</w:t>
        </w:r>
      </w:hyperlink>
      <w:r>
        <w:t xml:space="preserve">, the intuitions shift.</w:t>
      </w:r>
    </w:p>
    <w:bookmarkStart w:id="66" w:name="tbl-frustrating-exit"/>
    <w:tbl>
      <w:tblPr>
        <w:tblStyle w:val="Table"/>
        <w:tblW w:type="pct" w:w="5000"/>
        <w:tblLook w:firstRow="0" w:lastRow="0" w:firstColumn="0" w:lastColumn="0" w:noHBand="0" w:noVBand="0" w:val="0000"/>
        <w:jc w:val="start"/>
      </w:tblPr>
      <w:tblGrid>
        <w:gridCol w:w="3960"/>
        <w:gridCol w:w="3960"/>
      </w:tblGrid>
      <w:tr>
        <w:tc>
          <w:tcPr/>
          <w:bookmarkStart w:id="64"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6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5"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65"/>
          <w:p/>
        </w:tc>
      </w:tr>
    </w:tbl>
    <w:p>
      <w:pPr>
        <w:pStyle w:val="BodyText"/>
      </w:pPr>
      <w:pPr>
        <w:spacing w:before="200"/>
        <w:pStyle w:val="ImageCaption"/>
      </w:pPr>
      <w:r>
        <w:t xml:space="preserve">Table 14: An exit problem with Frustrating Button in round 2.</w:t>
      </w:r>
    </w:p>
    <w:bookmarkEnd w:id="66"/>
    <w:p>
      <w:pPr>
        <w:pStyle w:val="BodyText"/>
      </w:pPr>
      <w:r>
        <w:t xml:space="preserve">The Early Version of</w:t>
      </w:r>
      <w:r>
        <w:t xml:space="preserve"> </w:t>
      </w:r>
      <w:hyperlink w:anchor="tbl-frustrating-exit">
        <w:r>
          <w:rPr>
            <w:rStyle w:val="Hyperlink"/>
          </w:rPr>
          <w:t xml:space="preserve">Table 14</w:t>
        </w:r>
      </w:hyperlink>
      <w:r>
        <w:t xml:space="preserve"> </w:t>
      </w:r>
      <w:r>
        <w:t xml:space="preserve">is</w:t>
      </w:r>
      <w:r>
        <w:t xml:space="preserve"> </w:t>
      </w:r>
      <w:hyperlink w:anchor="tbl-ev-fe">
        <w:r>
          <w:rPr>
            <w:rStyle w:val="Hyperlink"/>
          </w:rPr>
          <w:t xml:space="preserve">Table 15</w:t>
        </w:r>
      </w:hyperlink>
      <w:r>
        <w:t xml:space="preserve">.</w:t>
      </w:r>
    </w:p>
    <w:bookmarkStart w:id="67" w:name="tbl-ev-fe"/>
    <w:p>
      <w:pPr>
        <w:pStyle w:val="TableCaption"/>
      </w:pPr>
      <w:r>
        <w:t xml:space="preserve">Table 15: Early Version of</w:t>
      </w:r>
      <w:r>
        <w:t xml:space="preserve"> </w:t>
      </w:r>
      <w:hyperlink w:anchor="tbl-frustrating-exit">
        <w:r>
          <w:rPr>
            <w:rStyle w:val="Hyperlink"/>
          </w:rPr>
          <w:t xml:space="preserve">Table 14</w:t>
        </w:r>
      </w:hyperlink>
      <w:r>
        <w:t xml:space="preserve">.</w:t>
      </w:r>
    </w:p>
    <w:tbl>
      <w:tblPr>
        <w:tblStyle w:val="Table"/>
        <w:tblW w:type="auto" w:w="0"/>
        <w:tblLook w:firstRow="0" w:lastRow="0" w:firstColumn="0" w:lastColumn="0" w:noHBand="0" w:noVBand="0" w:val="0000"/>
        <w:jc w:val="start"/>
        <w:tblCaption w:val="Table 15: Early Version of Table 14."/>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67"/>
    <w:p>
      <w:pPr>
        <w:pStyle w:val="BodyText"/>
      </w:pPr>
      <w:r>
        <w:t xml:space="preserve">And if there is an intuition here, it is that it’s better to choose Down rather than Up.</w:t>
      </w:r>
      <w:r>
        <w:rPr>
          <w:rStyle w:val="FootnoteReference"/>
        </w:rPr>
        <w:footnoteReference w:id="68"/>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69"/>
    <w:bookmarkStart w:id="83"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05"/>
        </w:numPr>
        <w:pStyle w:val="Compact"/>
      </w:pPr>
      <w:r>
        <w:t xml:space="preserve">At every step, Chooser either receives some information, or makes a choice.</w:t>
      </w:r>
    </w:p>
    <w:p>
      <w:pPr>
        <w:numPr>
          <w:ilvl w:val="0"/>
          <w:numId w:val="1005"/>
        </w:numPr>
        <w:pStyle w:val="Compact"/>
      </w:pPr>
      <w:r>
        <w:t xml:space="preserve">Chooser knows before the first step what possible choices will be available at each step, given the prior steps, or what possible pieces of information could be received.</w:t>
      </w:r>
    </w:p>
    <w:p>
      <w:pPr>
        <w:numPr>
          <w:ilvl w:val="0"/>
          <w:numId w:val="1005"/>
        </w:numPr>
        <w:pStyle w:val="Compact"/>
      </w:pPr>
      <w:r>
        <w:t xml:space="preserve">No matter what happens, the tree ends after finitely many steps. (Though it may end after more or fewer steps depending on what happens).</w:t>
      </w:r>
    </w:p>
    <w:p>
      <w:pPr>
        <w:numPr>
          <w:ilvl w:val="0"/>
          <w:numId w:val="1005"/>
        </w:numPr>
        <w:pStyle w:val="Compact"/>
      </w:pPr>
      <w:r>
        <w:t xml:space="preserve">Chooser knows before the first step what payout they will receive given each possible sequence of choices and information.</w:t>
      </w:r>
    </w:p>
    <w:p>
      <w:pPr>
        <w:numPr>
          <w:ilvl w:val="0"/>
          <w:numId w:val="1005"/>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70"/>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71"/>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72"/>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73" w:name="tbl-retaliation"/>
    <w:p>
      <w:pPr>
        <w:pStyle w:val="TableCaption"/>
      </w:pPr>
      <w:r>
        <w:t xml:space="preserve">Table 16: Deciding whether to retaliate.</w:t>
      </w:r>
    </w:p>
    <w:tbl>
      <w:tblPr>
        <w:tblStyle w:val="Table"/>
        <w:tblW w:type="auto" w:w="0"/>
        <w:tblLook w:firstRow="0" w:lastRow="0" w:firstColumn="0" w:lastColumn="0" w:noHBand="0" w:noVBand="0" w:val="0000"/>
        <w:jc w:val="start"/>
        <w:tblCaption w:val="Table 16: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73"/>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17</w:t>
        </w:r>
      </w:hyperlink>
      <w:r>
        <w:t xml:space="preserve">.</w:t>
      </w:r>
    </w:p>
    <w:bookmarkStart w:id="74" w:name="tbl-gallow-sophisticated"/>
    <w:p>
      <w:pPr>
        <w:pStyle w:val="TableCaption"/>
      </w:pPr>
      <w:r>
        <w:t xml:space="preserve">Table 17: A challenge for pure sophisticated decision.</w:t>
      </w:r>
    </w:p>
    <w:tbl>
      <w:tblPr>
        <w:tblStyle w:val="Table"/>
        <w:tblW w:type="auto" w:w="0"/>
        <w:tblLook w:firstRow="0" w:lastRow="0" w:firstColumn="0" w:lastColumn="0" w:noHBand="0" w:noVBand="0" w:val="0000"/>
        <w:jc w:val="start"/>
        <w:tblCaption w:val="Table 17: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74"/>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17</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 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75"/>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76"/>
      </w:r>
    </w:p>
    <w:bookmarkStart w:id="79" w:name="tbl-newcomb-insurance"/>
    <w:tbl>
      <w:tblPr>
        <w:tblStyle w:val="Table"/>
        <w:tblW w:type="pct" w:w="5000"/>
        <w:tblLook w:firstRow="0" w:lastRow="0" w:firstColumn="0" w:lastColumn="0" w:noHBand="0" w:noVBand="0" w:val="0000"/>
        <w:jc w:val="start"/>
      </w:tblPr>
      <w:tblGrid>
        <w:gridCol w:w="3960"/>
        <w:gridCol w:w="3960"/>
      </w:tblGrid>
      <w:tr>
        <w:tc>
          <w:tcPr/>
          <w:bookmarkStart w:id="77"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7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78"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78"/>
          <w:p/>
        </w:tc>
      </w:tr>
    </w:tbl>
    <w:p>
      <w:pPr>
        <w:pStyle w:val="BodyText"/>
      </w:pPr>
      <w:pPr>
        <w:spacing w:before="200"/>
        <w:pStyle w:val="ImageCaption"/>
      </w:pPr>
      <w:r>
        <w:t xml:space="preserve">Table 18: Ahmed Insurance (from</w:t>
      </w:r>
      <w:r>
        <w:t xml:space="preserve"> </w:t>
      </w:r>
      <w:r>
        <w:t xml:space="preserve">Spencer (2021a)</w:t>
      </w:r>
      <w:r>
        <w:t xml:space="preserve">).</w:t>
      </w:r>
    </w:p>
    <w:bookmarkEnd w:id="79"/>
    <w:p>
      <w:pPr>
        <w:pStyle w:val="BodyText"/>
      </w:pPr>
      <w:r>
        <w:t xml:space="preserve">Note that in</w:t>
      </w:r>
      <w:r>
        <w:t xml:space="preserve"> </w:t>
      </w:r>
      <w:hyperlink w:anchor="tbl-ni-right">
        <w:r>
          <w:rPr>
            <w:rStyle w:val="Hyperlink"/>
          </w:rPr>
          <w:t xml:space="preserve">Table 18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18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80" w:name="tbl-ni-strategic"/>
    <w:p>
      <w:pPr>
        <w:pStyle w:val="TableCaption"/>
      </w:pPr>
      <w:r>
        <w:t xml:space="preserve">Table 19: Strategic form of Ahmed Insurance.</w:t>
      </w:r>
    </w:p>
    <w:tbl>
      <w:tblPr>
        <w:tblStyle w:val="Table"/>
        <w:tblW w:type="auto" w:w="0"/>
        <w:tblLook w:firstRow="0" w:lastRow="0" w:firstColumn="0" w:lastColumn="0" w:noHBand="0" w:noVBand="0" w:val="0000"/>
        <w:jc w:val="start"/>
        <w:tblCaption w:val="Table 19: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80"/>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18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18 (a)</w:t>
        </w:r>
      </w:hyperlink>
      <w:r>
        <w:t xml:space="preserve"> </w:t>
      </w:r>
      <w:r>
        <w:t xml:space="preserve">comes down to this.</w:t>
      </w:r>
    </w:p>
    <w:bookmarkStart w:id="81" w:name="tbl-ni-new-left"/>
    <w:p>
      <w:pPr>
        <w:pStyle w:val="TableCaption"/>
      </w:pPr>
      <w:r>
        <w:t xml:space="preserve">Table 20: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20: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81"/>
    <w:p>
      <w:pPr>
        <w:pStyle w:val="BodyText"/>
      </w:pPr>
      <w:r>
        <w:t xml:space="preserve">This game has two pure strategy equilibria, and on its own I think (because of the arguments in</w:t>
      </w:r>
      <w:r>
        <w:t xml:space="preserve"> </w:t>
      </w:r>
      <w:hyperlink w:anchor="sec-indecisive">
        <w:r>
          <w:rPr>
            <w:rStyle w:val="Hyperlink"/>
          </w:rPr>
          <w:t xml:space="preserve">Section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18</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Section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82"/>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17</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83"/>
    <w:bookmarkStart w:id="90"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84"/>
      </w:r>
    </w:p>
    <w:p>
      <w:pPr>
        <w:pStyle w:val="BlockText"/>
      </w:pPr>
      <w:r>
        <w:t xml:space="preserve">The central question of decision theory is: which choices are the ones that serve one’s desires according to one’s beliefs?</w:t>
      </w:r>
      <w:r>
        <w:t xml:space="preserve"> </w:t>
      </w:r>
      <w:r>
        <w:t xml:space="preserve">(Lewis 2020,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85"/>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6"/>
        </w:numPr>
        <w:pStyle w:val="Compact"/>
      </w:pPr>
      <w:r>
        <w:t xml:space="preserve">A coin will be flipped, landing Heads or Tails. It is biased, 60% likely to land Heads. It will be shown to Chooser, but not to Demon.</w:t>
      </w:r>
    </w:p>
    <w:p>
      <w:pPr>
        <w:numPr>
          <w:ilvl w:val="0"/>
          <w:numId w:val="1006"/>
        </w:numPr>
        <w:pStyle w:val="Compact"/>
      </w:pPr>
      <w:r>
        <w:t xml:space="preserve">Chooser will say either Heads or Tails.</w:t>
      </w:r>
    </w:p>
    <w:p>
      <w:pPr>
        <w:numPr>
          <w:ilvl w:val="0"/>
          <w:numId w:val="1006"/>
        </w:numPr>
        <w:pStyle w:val="Compact"/>
      </w:pPr>
      <w:r>
        <w:t xml:space="preserve">Demon, knowing what Chooser has said, and being arbitrarily good at predicting Chooser’s strategy</w:t>
      </w:r>
      <w:r>
        <w:rPr>
          <w:rStyle w:val="FootnoteReference"/>
        </w:rPr>
        <w:footnoteReference w:id="86"/>
      </w:r>
      <w:r>
        <w:t xml:space="preserve">. will say Heads if it is more probable the coin landed Heads, and Tails if it is more probable the coin landed Tails.</w:t>
      </w:r>
      <w:r>
        <w:rPr>
          <w:rStyle w:val="FootnoteReference"/>
        </w:rPr>
        <w:footnoteReference w:id="87"/>
      </w:r>
    </w:p>
    <w:p>
      <w:pPr>
        <w:numPr>
          <w:ilvl w:val="0"/>
          <w:numId w:val="1006"/>
        </w:numPr>
        <w:pStyle w:val="Compact"/>
      </w:pPr>
      <w:r>
        <w:t xml:space="preserve">Chooser is paid $30 if Demon says Heads, and nothing if Demon says Tails.</w:t>
      </w:r>
    </w:p>
    <w:p>
      <w:pPr>
        <w:numPr>
          <w:ilvl w:val="0"/>
          <w:numId w:val="1006"/>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88" w:name="tbl-cho-kreps"/>
    <w:p>
      <w:pPr>
        <w:pStyle w:val="TableCaption"/>
      </w:pPr>
      <w:r>
        <w:t xml:space="preserve">Table 21: The coin game.</w:t>
      </w:r>
    </w:p>
    <w:tbl>
      <w:tblPr>
        <w:tblStyle w:val="Table"/>
        <w:tblW w:type="auto" w:w="0"/>
        <w:tblLook w:firstRow="0" w:lastRow="0" w:firstColumn="0" w:lastColumn="0" w:noHBand="0" w:noVBand="0" w:val="0000"/>
        <w:jc w:val="start"/>
        <w:tblCaption w:val="Table 2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88"/>
    <w:p>
      <w:pPr>
        <w:pStyle w:val="BodyText"/>
      </w:pPr>
      <w:r>
        <w:t xml:space="preserve">What will Chooser do? There are two coherent things for Chooser to do, though each of them is only coherent given a background belief that isn’t entailed by the evidence.</w:t>
      </w:r>
    </w:p>
    <w:p>
      <w:pPr>
        <w:numPr>
          <w:ilvl w:val="0"/>
          <w:numId w:val="1007"/>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7"/>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89"/>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90"/>
    <w:bookmarkStart w:id="94" w:name="sec-weak"/>
    <w:p>
      <w:pPr>
        <w:pStyle w:val="Heading1"/>
      </w:pPr>
      <w:r>
        <w:t xml:space="preserve">10.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22</w:t>
        </w:r>
      </w:hyperlink>
      <w:r>
        <w:t xml:space="preserve">; what would the ideal chooser do?</w:t>
      </w:r>
    </w:p>
    <w:bookmarkStart w:id="91" w:name="tbl-first-wd"/>
    <w:p>
      <w:pPr>
        <w:pStyle w:val="TableCaption"/>
      </w:pPr>
      <w:r>
        <w:t xml:space="preserve">Table 22: A ratifiable, weakly dominated, option.</w:t>
      </w:r>
    </w:p>
    <w:tbl>
      <w:tblPr>
        <w:tblStyle w:val="Table"/>
        <w:tblW w:type="auto" w:w="0"/>
        <w:tblLook w:firstRow="0" w:lastRow="0" w:firstColumn="0" w:lastColumn="0" w:noHBand="0" w:noVBand="0" w:val="0000"/>
        <w:jc w:val="start"/>
        <w:tblCaption w:val="Table 22: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91"/>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92"/>
      </w:r>
      <w:r>
        <w:t xml:space="preserve"> </w:t>
      </w:r>
      <w:r>
        <w:t xml:space="preserve">Think about</w:t>
      </w:r>
      <w:r>
        <w:t xml:space="preserve"> </w:t>
      </w:r>
      <w:hyperlink w:anchor="tbl-wd-itd">
        <w:r>
          <w:rPr>
            <w:rStyle w:val="Hyperlink"/>
          </w:rPr>
          <w:t xml:space="preserve">Table 23</w:t>
        </w:r>
      </w:hyperlink>
      <w:r>
        <w:t xml:space="preserve">.</w:t>
      </w:r>
    </w:p>
    <w:bookmarkStart w:id="93" w:name="tbl-wd-itd"/>
    <w:p>
      <w:pPr>
        <w:pStyle w:val="TableCaption"/>
      </w:pPr>
      <w:r>
        <w:t xml:space="preserve">Table 23: An example of iterated weak dominance.</w:t>
      </w:r>
    </w:p>
    <w:tbl>
      <w:tblPr>
        <w:tblStyle w:val="Table"/>
        <w:tblW w:type="auto" w:w="0"/>
        <w:tblLook w:firstRow="0" w:lastRow="0" w:firstColumn="0" w:lastColumn="0" w:noHBand="0" w:noVBand="0" w:val="0000"/>
        <w:jc w:val="start"/>
        <w:tblCaption w:val="Table 23: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93"/>
    <w:p>
      <w:pPr>
        <w:pStyle w:val="BodyText"/>
      </w:pPr>
      <w:r>
        <w:t xml:space="preserve">In</w:t>
      </w:r>
      <w:r>
        <w:t xml:space="preserve"> </w:t>
      </w:r>
      <w:hyperlink w:anchor="tbl-wd-itd">
        <w:r>
          <w:rPr>
            <w:rStyle w:val="Hyperlink"/>
          </w:rPr>
          <w:t xml:space="preserve">Table 23</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22</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23</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22</w:t>
        </w:r>
      </w:hyperlink>
      <w:r>
        <w:t xml:space="preserve"> </w:t>
      </w:r>
      <w:r>
        <w:t xml:space="preserve">simply don’t carry over to</w:t>
      </w:r>
      <w:r>
        <w:t xml:space="preserve"> </w:t>
      </w:r>
      <w:hyperlink w:anchor="tbl-wd-itd">
        <w:r>
          <w:rPr>
            <w:rStyle w:val="Hyperlink"/>
          </w:rPr>
          <w:t xml:space="preserve">Table 23</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22</w:t>
        </w:r>
      </w:hyperlink>
      <w:r>
        <w:t xml:space="preserve">, but not in</w:t>
      </w:r>
      <w:r>
        <w:t xml:space="preserve"> </w:t>
      </w:r>
      <w:hyperlink w:anchor="tbl-wd-itd">
        <w:r>
          <w:rPr>
            <w:rStyle w:val="Hyperlink"/>
          </w:rPr>
          <w:t xml:space="preserve">Table 23</w:t>
        </w:r>
      </w:hyperlink>
      <w:r>
        <w:t xml:space="preserve">.</w:t>
      </w:r>
    </w:p>
    <w:bookmarkEnd w:id="94"/>
    <w:bookmarkStart w:id="96" w:name="sec-conclusion"/>
    <w:p>
      <w:pPr>
        <w:pStyle w:val="Heading1"/>
      </w:pPr>
      <w:r>
        <w:t xml:space="preserve">11.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95"/>
      </w:r>
    </w:p>
    <w:bookmarkEnd w:id="96"/>
    <w:bookmarkStart w:id="97" w:name="sec-rps"/>
    <w:p>
      <w:pPr>
        <w:pStyle w:val="Heading1"/>
      </w:pPr>
      <w:r>
        <w:t xml:space="preserve">Appendix One: Rock-Paper-Scissors</w:t>
      </w:r>
    </w:p>
    <w:p>
      <w:pPr>
        <w:pStyle w:val="FirstParagraph"/>
      </w:pPr>
      <w:r>
        <w:t xml:space="preserve">This appendix shows how to find the equilibrium of</w:t>
      </w:r>
      <w:r>
        <w:t xml:space="preserve"> </w:t>
      </w:r>
      <w:hyperlink w:anchor="tbl-rps-modified">
        <w:r>
          <w:rPr>
            <w:rStyle w:val="Hyperlink"/>
          </w:rPr>
          <w:t xml:space="preserve">Table 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97"/>
    <w:bookmarkStart w:id="110" w:name="sec-buchak"/>
    <w:p>
      <w:pPr>
        <w:pStyle w:val="Heading1"/>
      </w:pPr>
      <w:r>
        <w:t xml:space="preserve">Appendix Two: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Section 7</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08"/>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08"/>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08"/>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24</w:t>
        </w:r>
      </w:hyperlink>
      <w:r>
        <w:t xml:space="preserve">.</w:t>
      </w:r>
    </w:p>
    <w:bookmarkStart w:id="100" w:name="tbl-general-coin-exit"/>
    <w:tbl>
      <w:tblPr>
        <w:tblStyle w:val="Table"/>
        <w:tblW w:type="pct" w:w="5000"/>
        <w:tblLook w:firstRow="0" w:lastRow="0" w:firstColumn="0" w:lastColumn="0" w:noHBand="0" w:noVBand="0" w:val="0000"/>
        <w:jc w:val="start"/>
      </w:tblPr>
      <w:tblGrid>
        <w:gridCol w:w="3960"/>
        <w:gridCol w:w="3960"/>
      </w:tblGrid>
      <w:tr>
        <w:tc>
          <w:tcPr/>
          <w:bookmarkStart w:id="98"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9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99"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99"/>
          <w:p/>
        </w:tc>
      </w:tr>
    </w:tbl>
    <w:p>
      <w:pPr>
        <w:pStyle w:val="BodyText"/>
      </w:pPr>
      <w:pPr>
        <w:spacing w:before="200"/>
        <w:pStyle w:val="ImageCaption"/>
      </w:pPr>
      <w:r>
        <w:t xml:space="preserve">Table 24: The abstract form of an exit problem with coins.</w:t>
      </w:r>
    </w:p>
    <w:bookmarkEnd w:id="100"/>
    <w:p>
      <w:pPr>
        <w:pStyle w:val="BodyText"/>
      </w:pPr>
      <w:r>
        <w:t xml:space="preserve">Then we get a version of Exit Principle that applies to games like this.</w:t>
      </w:r>
    </w:p>
    <w:p>
      <w:pPr>
        <w:numPr>
          <w:ilvl w:val="0"/>
          <w:numId w:val="1009"/>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25</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103" w:name="tbl-zero-coin-exit"/>
    <w:tbl>
      <w:tblPr>
        <w:tblStyle w:val="Table"/>
        <w:tblW w:type="pct" w:w="5000"/>
        <w:tblLook w:firstRow="0" w:lastRow="0" w:firstColumn="0" w:lastColumn="0" w:noHBand="0" w:noVBand="0" w:val="0000"/>
        <w:jc w:val="start"/>
      </w:tblPr>
      <w:tblGrid>
        <w:gridCol w:w="3960"/>
        <w:gridCol w:w="3960"/>
      </w:tblGrid>
      <w:tr>
        <w:tc>
          <w:tcPr/>
          <w:bookmarkStart w:id="101"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10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2"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2"/>
          <w:p/>
        </w:tc>
      </w:tr>
    </w:tbl>
    <w:p>
      <w:pPr>
        <w:pStyle w:val="BodyText"/>
      </w:pPr>
      <w:pPr>
        <w:spacing w:before="200"/>
        <w:pStyle w:val="ImageCaption"/>
      </w:pPr>
      <w:r>
        <w:t xml:space="preserve">Table 25: An exit game with exit payout 0.</w:t>
      </w:r>
    </w:p>
    <w:bookmarkEnd w:id="103"/>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26</w:t>
        </w:r>
      </w:hyperlink>
      <w:r>
        <w:t xml:space="preserve">, where</w:t>
      </w:r>
      <w:r>
        <w:t xml:space="preserve"> </w:t>
      </w:r>
      <m:oMath>
        <m:r>
          <m:t>y</m:t>
        </m:r>
      </m:oMath>
      <w:r>
        <w:t xml:space="preserve"> </w:t>
      </w:r>
      <w:r>
        <w:t xml:space="preserve">is arbitrary.</w:t>
      </w:r>
    </w:p>
    <w:bookmarkStart w:id="106" w:name="tbl-one-coin-exit"/>
    <w:tbl>
      <w:tblPr>
        <w:tblStyle w:val="Table"/>
        <w:tblW w:type="pct" w:w="5000"/>
        <w:tblLook w:firstRow="0" w:lastRow="0" w:firstColumn="0" w:lastColumn="0" w:noHBand="0" w:noVBand="0" w:val="0000"/>
        <w:jc w:val="start"/>
      </w:tblPr>
      <w:tblGrid>
        <w:gridCol w:w="3960"/>
        <w:gridCol w:w="3960"/>
      </w:tblGrid>
      <w:tr>
        <w:tc>
          <w:tcPr/>
          <w:bookmarkStart w:id="104"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5"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5"/>
          <w:p/>
        </w:tc>
      </w:tr>
    </w:tbl>
    <w:p>
      <w:pPr>
        <w:pStyle w:val="BodyText"/>
      </w:pPr>
      <w:pPr>
        <w:spacing w:before="200"/>
        <w:pStyle w:val="ImageCaption"/>
      </w:pPr>
      <w:r>
        <w:t xml:space="preserve">Table 26: An exit game with exit payout 1.</w:t>
      </w:r>
    </w:p>
    <w:bookmarkEnd w:id="106"/>
    <w:p>
      <w:pPr>
        <w:pStyle w:val="BodyText"/>
      </w:pPr>
      <w:r>
        <w:t xml:space="preserve">In</w:t>
      </w:r>
      <w:r>
        <w:t xml:space="preserve"> </w:t>
      </w:r>
      <w:hyperlink w:anchor="tbl-one-coin-exit">
        <w:r>
          <w:rPr>
            <w:rStyle w:val="Hyperlink"/>
          </w:rPr>
          <w:t xml:space="preserve">Table 26</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27</w:t>
        </w:r>
      </w:hyperlink>
      <w:r>
        <w:t xml:space="preserve">, which is just the same as</w:t>
      </w:r>
      <w:r>
        <w:t xml:space="preserve"> </w:t>
      </w:r>
      <w:hyperlink w:anchor="tbl-one-coin-exit">
        <w:r>
          <w:rPr>
            <w:rStyle w:val="Hyperlink"/>
          </w:rPr>
          <w:t xml:space="preserve">Table 26</w:t>
        </w:r>
      </w:hyperlink>
      <w:r>
        <w:t xml:space="preserve">, except the exit payout is now 2.</w:t>
      </w:r>
    </w:p>
    <w:bookmarkStart w:id="109" w:name="tbl-two-coin-exit"/>
    <w:tbl>
      <w:tblPr>
        <w:tblStyle w:val="Table"/>
        <w:tblW w:type="pct" w:w="5000"/>
        <w:tblLook w:firstRow="0" w:lastRow="0" w:firstColumn="0" w:lastColumn="0" w:noHBand="0" w:noVBand="0" w:val="0000"/>
        <w:jc w:val="start"/>
      </w:tblPr>
      <w:tblGrid>
        <w:gridCol w:w="3960"/>
        <w:gridCol w:w="3960"/>
      </w:tblGrid>
      <w:tr>
        <w:tc>
          <w:tcPr/>
          <w:bookmarkStart w:id="107"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8"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8"/>
          <w:p/>
        </w:tc>
      </w:tr>
    </w:tbl>
    <w:p>
      <w:pPr>
        <w:pStyle w:val="BodyText"/>
      </w:pPr>
      <w:pPr>
        <w:spacing w:before="200"/>
        <w:pStyle w:val="ImageCaption"/>
      </w:pPr>
      <w:r>
        <w:t xml:space="preserve">Table 27: An exit game with exit payout 2.</w:t>
      </w:r>
    </w:p>
    <w:bookmarkEnd w:id="109"/>
    <w:p>
      <w:pPr>
        <w:pStyle w:val="BodyText"/>
      </w:pPr>
      <w:r>
        <w:t xml:space="preserve">In</w:t>
      </w:r>
      <w:r>
        <w:t xml:space="preserve"> </w:t>
      </w:r>
      <w:hyperlink w:anchor="tbl-two-coin-exit">
        <w:r>
          <w:rPr>
            <w:rStyle w:val="Hyperlink"/>
          </w:rPr>
          <w:t xml:space="preserve">Table 27</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110"/>
    <w:bookmarkStart w:id="220" w:name="references"/>
    <w:p>
      <w:pPr>
        <w:pStyle w:val="Heading1"/>
      </w:pPr>
      <w:r>
        <w:t xml:space="preserve">References</w:t>
      </w:r>
    </w:p>
    <w:bookmarkStart w:id="219" w:name="refs"/>
    <w:bookmarkStart w:id="112"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11">
        <w:r>
          <w:rPr>
            <w:rStyle w:val="Hyperlink"/>
          </w:rPr>
          <w:t xml:space="preserve">https://doi.org/10.1086/666065</w:t>
        </w:r>
      </w:hyperlink>
      <w:r>
        <w:t xml:space="preserve">.</w:t>
      </w:r>
    </w:p>
    <w:bookmarkEnd w:id="112"/>
    <w:bookmarkStart w:id="114"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13">
        <w:r>
          <w:rPr>
            <w:rStyle w:val="Hyperlink"/>
          </w:rPr>
          <w:t xml:space="preserve">https://doi.org/10.1093/mind/fzz073</w:t>
        </w:r>
      </w:hyperlink>
      <w:r>
        <w:t xml:space="preserve">.</w:t>
      </w:r>
    </w:p>
    <w:bookmarkEnd w:id="114"/>
    <w:bookmarkStart w:id="116"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15">
        <w:r>
          <w:rPr>
            <w:rStyle w:val="Hyperlink"/>
          </w:rPr>
          <w:t xml:space="preserve">https://doi.org/10.2307/1879431</w:t>
        </w:r>
      </w:hyperlink>
      <w:r>
        <w:t xml:space="preserve">.</w:t>
      </w:r>
    </w:p>
    <w:bookmarkEnd w:id="116"/>
    <w:bookmarkStart w:id="118"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17">
        <w:r>
          <w:rPr>
            <w:rStyle w:val="Hyperlink"/>
          </w:rPr>
          <w:t xml:space="preserve">https://www.nytimes.com/2023/06/19/world/americas/argentina-inflation-peso-restaurants.html</w:t>
        </w:r>
      </w:hyperlink>
      <w:r>
        <w:t xml:space="preserve">.</w:t>
      </w:r>
    </w:p>
    <w:bookmarkEnd w:id="118"/>
    <w:bookmarkStart w:id="120"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19">
        <w:r>
          <w:rPr>
            <w:rStyle w:val="Hyperlink"/>
          </w:rPr>
          <w:t xml:space="preserve">https://doi.org/10.2307/1907921</w:t>
        </w:r>
      </w:hyperlink>
      <w:r>
        <w:t xml:space="preserve">.</w:t>
      </w:r>
    </w:p>
    <w:bookmarkEnd w:id="120"/>
    <w:bookmarkStart w:id="122"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21">
        <w:r>
          <w:rPr>
            <w:rStyle w:val="Hyperlink"/>
          </w:rPr>
          <w:t xml:space="preserve">https://doi.org/10.1007/s10670-007-9084-8</w:t>
        </w:r>
      </w:hyperlink>
      <w:r>
        <w:t xml:space="preserve">.</w:t>
      </w:r>
    </w:p>
    <w:bookmarkEnd w:id="122"/>
    <w:bookmarkStart w:id="124" w:name="ref-Barnettnd"/>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23">
        <w:r>
          <w:rPr>
            <w:rStyle w:val="Hyperlink"/>
          </w:rPr>
          <w:t xml:space="preserve">https://doi.org/10.5840/jphil202211925</w:t>
        </w:r>
      </w:hyperlink>
      <w:r>
        <w:t xml:space="preserve">.</w:t>
      </w:r>
    </w:p>
    <w:bookmarkEnd w:id="124"/>
    <w:bookmarkStart w:id="126"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25">
        <w:r>
          <w:rPr>
            <w:rStyle w:val="Hyperlink"/>
          </w:rPr>
          <w:t xml:space="preserve">https://doi.org/10.1016/S0022-0531(05)80039-0</w:t>
        </w:r>
      </w:hyperlink>
      <w:r>
        <w:t xml:space="preserve">.</w:t>
      </w:r>
    </w:p>
    <w:bookmarkEnd w:id="126"/>
    <w:bookmarkStart w:id="128"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27">
        <w:r>
          <w:rPr>
            <w:rStyle w:val="Hyperlink"/>
          </w:rPr>
          <w:t xml:space="preserve">http://faculty.econ.ucdavis.edu/faculty/bonanno/GT_Book.html</w:t>
        </w:r>
      </w:hyperlink>
      <w:r>
        <w:t xml:space="preserve">.</w:t>
      </w:r>
    </w:p>
    <w:bookmarkEnd w:id="128"/>
    <w:bookmarkStart w:id="130"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29">
        <w:r>
          <w:rPr>
            <w:rStyle w:val="Hyperlink"/>
          </w:rPr>
          <w:t xml:space="preserve">https://doi.org/doi.org/10.1111/phpr.13006</w:t>
        </w:r>
      </w:hyperlink>
      <w:r>
        <w:t xml:space="preserve">.</w:t>
      </w:r>
    </w:p>
    <w:bookmarkEnd w:id="130"/>
    <w:bookmarkStart w:id="131" w:name="ref-BuchakRisk"/>
    <w:p>
      <w:pPr>
        <w:pStyle w:val="Bibliography"/>
      </w:pPr>
      <w:r>
        <w:t xml:space="preserve">Buchak, Lara. 2013.</w:t>
      </w:r>
      <w:r>
        <w:t xml:space="preserve"> </w:t>
      </w:r>
      <w:r>
        <w:rPr>
          <w:iCs/>
          <w:i/>
        </w:rPr>
        <w:t xml:space="preserve">Risk and Rationality</w:t>
      </w:r>
      <w:r>
        <w:t xml:space="preserve">. Oxford: Oxford University Press.</w:t>
      </w:r>
    </w:p>
    <w:bookmarkEnd w:id="131"/>
    <w:bookmarkStart w:id="133"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32">
        <w:r>
          <w:rPr>
            <w:rStyle w:val="Hyperlink"/>
          </w:rPr>
          <w:t xml:space="preserve">https://doi.org/10.1086/339673</w:t>
        </w:r>
      </w:hyperlink>
      <w:r>
        <w:t xml:space="preserve">.</w:t>
      </w:r>
    </w:p>
    <w:bookmarkEnd w:id="133"/>
    <w:bookmarkStart w:id="135"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34">
        <w:r>
          <w:rPr>
            <w:rStyle w:val="Hyperlink"/>
          </w:rPr>
          <w:t xml:space="preserve">https://doi.org/10.2307/1885060</w:t>
        </w:r>
      </w:hyperlink>
      <w:r>
        <w:t xml:space="preserve">.</w:t>
      </w:r>
    </w:p>
    <w:bookmarkEnd w:id="135"/>
    <w:bookmarkStart w:id="137"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36">
        <w:r>
          <w:rPr>
            <w:rStyle w:val="Hyperlink"/>
          </w:rPr>
          <w:t xml:space="preserve">https://doi.org/10.1086/658093</w:t>
        </w:r>
      </w:hyperlink>
      <w:r>
        <w:t xml:space="preserve">.</w:t>
      </w:r>
    </w:p>
    <w:bookmarkEnd w:id="137"/>
    <w:bookmarkStart w:id="139"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38">
        <w:r>
          <w:rPr>
            <w:rStyle w:val="Hyperlink"/>
          </w:rPr>
          <w:t xml:space="preserve">https://doi.org/10.1215/00318108-2006-023</w:t>
        </w:r>
      </w:hyperlink>
      <w:r>
        <w:t xml:space="preserve">.</w:t>
      </w:r>
    </w:p>
    <w:bookmarkEnd w:id="139"/>
    <w:bookmarkStart w:id="141"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40">
        <w:r>
          <w:rPr>
            <w:rStyle w:val="Hyperlink"/>
          </w:rPr>
          <w:t xml:space="preserve">https://doi.org/10.1093/analys/anz059</w:t>
        </w:r>
      </w:hyperlink>
      <w:r>
        <w:t xml:space="preserve">.</w:t>
      </w:r>
    </w:p>
    <w:bookmarkEnd w:id="141"/>
    <w:bookmarkStart w:id="143"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42">
        <w:r>
          <w:rPr>
            <w:rStyle w:val="Hyperlink"/>
          </w:rPr>
          <w:t xml:space="preserve">10.1111/j.1468-0262.2005.00631.x</w:t>
        </w:r>
      </w:hyperlink>
      <w:r>
        <w:t xml:space="preserve">.</w:t>
      </w:r>
    </w:p>
    <w:bookmarkEnd w:id="143"/>
    <w:bookmarkStart w:id="145"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44">
        <w:r>
          <w:rPr>
            <w:rStyle w:val="Hyperlink"/>
          </w:rPr>
          <w:t xml:space="preserve">https://doi.org/10.1111/nous.12459</w:t>
        </w:r>
      </w:hyperlink>
      <w:r>
        <w:t xml:space="preserve">.</w:t>
      </w:r>
    </w:p>
    <w:bookmarkEnd w:id="145"/>
    <w:bookmarkStart w:id="147"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146">
        <w:r>
          <w:rPr>
            <w:rStyle w:val="Hyperlink"/>
          </w:rPr>
          <w:t xml:space="preserve">https://doi.org/10.5840/jphil202011739</w:t>
        </w:r>
      </w:hyperlink>
      <w:r>
        <w:t xml:space="preserve">.</w:t>
      </w:r>
    </w:p>
    <w:bookmarkEnd w:id="147"/>
    <w:bookmarkStart w:id="149"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48">
        <w:r>
          <w:rPr>
            <w:rStyle w:val="Hyperlink"/>
          </w:rPr>
          <w:t xml:space="preserve">https://philpapers.org/archive/GALTST-2.pdf</w:t>
        </w:r>
      </w:hyperlink>
      <w:r>
        <w:t xml:space="preserve">.</w:t>
      </w:r>
    </w:p>
    <w:bookmarkEnd w:id="149"/>
    <w:bookmarkStart w:id="151"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50">
        <w:r>
          <w:rPr>
            <w:rStyle w:val="Hyperlink"/>
          </w:rPr>
          <w:t xml:space="preserve">https://doi.org/10.1111/nous.12473</w:t>
        </w:r>
      </w:hyperlink>
      <w:r>
        <w:t xml:space="preserve">.</w:t>
      </w:r>
    </w:p>
    <w:bookmarkEnd w:id="151"/>
    <w:bookmarkStart w:id="153"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52">
        <w:r>
          <w:rPr>
            <w:rStyle w:val="Hyperlink"/>
          </w:rPr>
          <w:t xml:space="preserve">https://doi.org/10.1515/bejte-2018-0185</w:t>
        </w:r>
      </w:hyperlink>
      <w:r>
        <w:t xml:space="preserve">.</w:t>
      </w:r>
    </w:p>
    <w:bookmarkEnd w:id="153"/>
    <w:bookmarkStart w:id="155"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54">
        <w:r>
          <w:rPr>
            <w:rStyle w:val="Hyperlink"/>
          </w:rPr>
          <w:t xml:space="preserve">https://doi.org/10.1111/nous.12094</w:t>
        </w:r>
      </w:hyperlink>
      <w:r>
        <w:t xml:space="preserve">.</w:t>
      </w:r>
    </w:p>
    <w:bookmarkEnd w:id="155"/>
    <w:bookmarkStart w:id="157"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56">
        <w:r>
          <w:rPr>
            <w:rStyle w:val="Hyperlink"/>
          </w:rPr>
          <w:t xml:space="preserve">https://doi.org/10.1007/BF00183199</w:t>
        </w:r>
      </w:hyperlink>
      <w:r>
        <w:t xml:space="preserve">.</w:t>
      </w:r>
    </w:p>
    <w:bookmarkEnd w:id="157"/>
    <w:bookmarkStart w:id="159"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158">
        <w:r>
          <w:rPr>
            <w:rStyle w:val="Hyperlink"/>
          </w:rPr>
          <w:t xml:space="preserve">https://doi.org/10.1007/978-94-009-2865-7_2</w:t>
        </w:r>
      </w:hyperlink>
      <w:r>
        <w:t xml:space="preserve">.</w:t>
      </w:r>
    </w:p>
    <w:bookmarkEnd w:id="159"/>
    <w:bookmarkStart w:id="161"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160">
        <w:r>
          <w:rPr>
            <w:rStyle w:val="Hyperlink"/>
          </w:rPr>
          <w:t xml:space="preserve">https://doi.org/10.1093/pq/pqac083</w:t>
        </w:r>
      </w:hyperlink>
      <w:r>
        <w:t xml:space="preserve">.</w:t>
      </w:r>
    </w:p>
    <w:bookmarkEnd w:id="161"/>
    <w:bookmarkStart w:id="163"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62">
        <w:r>
          <w:rPr>
            <w:rStyle w:val="Hyperlink"/>
          </w:rPr>
          <w:t xml:space="preserve">https://doi.org/10.2307/2185591</w:t>
        </w:r>
      </w:hyperlink>
      <w:r>
        <w:t xml:space="preserve">.</w:t>
      </w:r>
    </w:p>
    <w:bookmarkEnd w:id="163"/>
    <w:bookmarkStart w:id="164"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64"/>
    <w:bookmarkStart w:id="166" w:name="ref-Leend"/>
    <w:p>
      <w:pPr>
        <w:pStyle w:val="Bibliography"/>
      </w:pPr>
      <w:r>
        <w:t xml:space="preserve">Lee, Wooram. n.d.</w:t>
      </w:r>
      <w:r>
        <w:t xml:space="preserve"> </w:t>
      </w:r>
      <w:r>
        <w:t xml:space="preserve">“What Is Structural Rationality?”</w:t>
      </w:r>
      <w:r>
        <w:t xml:space="preserve"> Philosophical Quarterly.</w:t>
      </w:r>
      <w:r>
        <w:t xml:space="preserve"> </w:t>
      </w:r>
      <w:hyperlink r:id="rId165">
        <w:r>
          <w:rPr>
            <w:rStyle w:val="Hyperlink"/>
          </w:rPr>
          <w:t xml:space="preserve">https://doi.org/10.1093/pq/pqad072</w:t>
        </w:r>
      </w:hyperlink>
      <w:r>
        <w:t xml:space="preserve">.</w:t>
      </w:r>
    </w:p>
    <w:bookmarkEnd w:id="166"/>
    <w:bookmarkStart w:id="168"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67">
        <w:r>
          <w:rPr>
            <w:rStyle w:val="Hyperlink"/>
          </w:rPr>
          <w:t xml:space="preserve">https://doi.org/10.5840/jphil2020117516</w:t>
        </w:r>
      </w:hyperlink>
      <w:r>
        <w:t xml:space="preserve">.</w:t>
      </w:r>
    </w:p>
    <w:bookmarkEnd w:id="168"/>
    <w:bookmarkStart w:id="169"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69"/>
    <w:bookmarkStart w:id="171"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170">
        <w:r>
          <w:rPr>
            <w:rStyle w:val="Hyperlink"/>
          </w:rPr>
          <w:t xml:space="preserve">https://doi.org/10.2307/2215439</w:t>
        </w:r>
      </w:hyperlink>
      <w:r>
        <w:t xml:space="preserve">.</w:t>
      </w:r>
    </w:p>
    <w:bookmarkEnd w:id="171"/>
    <w:bookmarkStart w:id="172" w:name="ref-Lewis-Gorman-10071979"/>
    <w:p>
      <w:pPr>
        <w:pStyle w:val="Bibliography"/>
      </w:pPr>
      <w:r>
        <w:t xml:space="preserve">———. 2020.</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172"/>
    <w:bookmarkStart w:id="174"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173">
        <w:r>
          <w:rPr>
            <w:rStyle w:val="Hyperlink"/>
          </w:rPr>
          <w:t xml:space="preserve">https://doi.org/10.2307/2296233</w:t>
        </w:r>
      </w:hyperlink>
      <w:r>
        <w:t xml:space="preserve">.</w:t>
      </w:r>
    </w:p>
    <w:bookmarkEnd w:id="174"/>
    <w:bookmarkStart w:id="175"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175"/>
    <w:bookmarkStart w:id="177"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176">
        <w:r>
          <w:rPr>
            <w:rStyle w:val="Hyperlink"/>
          </w:rPr>
          <w:t xml:space="preserve">https://doi.org/10.1007/BF01753236</w:t>
        </w:r>
      </w:hyperlink>
      <w:r>
        <w:t xml:space="preserve">.</w:t>
      </w:r>
    </w:p>
    <w:bookmarkEnd w:id="177"/>
    <w:bookmarkStart w:id="178"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178"/>
    <w:bookmarkStart w:id="179"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179"/>
    <w:bookmarkStart w:id="181"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180">
        <w:r>
          <w:rPr>
            <w:rStyle w:val="Hyperlink"/>
          </w:rPr>
          <w:t xml:space="preserve">https://doi.org/10.1111/nous.12353</w:t>
        </w:r>
      </w:hyperlink>
      <w:r>
        <w:t xml:space="preserve">.</w:t>
      </w:r>
    </w:p>
    <w:bookmarkEnd w:id="181"/>
    <w:bookmarkStart w:id="183"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182">
        <w:r>
          <w:rPr>
            <w:rStyle w:val="Hyperlink"/>
          </w:rPr>
          <w:t xml:space="preserve">https://doi.org/10.1016/0167-2681(82)90008-7</w:t>
        </w:r>
      </w:hyperlink>
      <w:r>
        <w:t xml:space="preserve">.</w:t>
      </w:r>
    </w:p>
    <w:bookmarkEnd w:id="183"/>
    <w:bookmarkStart w:id="184"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184"/>
    <w:bookmarkStart w:id="186"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185">
        <w:r>
          <w:rPr>
            <w:rStyle w:val="Hyperlink"/>
          </w:rPr>
          <w:t xml:space="preserve">https://doi.org/10.1080/00048408412341601</w:t>
        </w:r>
      </w:hyperlink>
      <w:r>
        <w:t xml:space="preserve">.</w:t>
      </w:r>
    </w:p>
    <w:bookmarkEnd w:id="186"/>
    <w:bookmarkStart w:id="187"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187"/>
    <w:bookmarkStart w:id="189"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188">
        <w:r>
          <w:rPr>
            <w:rStyle w:val="Hyperlink"/>
          </w:rPr>
          <w:t xml:space="preserve">https://doi.org/10.1007/BF01766400</w:t>
        </w:r>
      </w:hyperlink>
      <w:r>
        <w:t xml:space="preserve">.</w:t>
      </w:r>
    </w:p>
    <w:bookmarkEnd w:id="189"/>
    <w:bookmarkStart w:id="190"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190"/>
    <w:bookmarkStart w:id="191"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191"/>
    <w:bookmarkStart w:id="192"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192"/>
    <w:bookmarkStart w:id="193"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193"/>
    <w:bookmarkStart w:id="195"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194">
        <w:r>
          <w:rPr>
            <w:rStyle w:val="Hyperlink"/>
          </w:rPr>
          <w:t xml:space="preserve">https://doi.org/10.1093/analys/anaa037</w:t>
        </w:r>
      </w:hyperlink>
      <w:r>
        <w:t xml:space="preserve">.</w:t>
      </w:r>
    </w:p>
    <w:bookmarkEnd w:id="195"/>
    <w:bookmarkStart w:id="197"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196">
        <w:r>
          <w:rPr>
            <w:rStyle w:val="Hyperlink"/>
          </w:rPr>
          <w:t xml:space="preserve">https://doi.org/10.1007/s11098-020-01509-9</w:t>
        </w:r>
      </w:hyperlink>
      <w:r>
        <w:t xml:space="preserve">.</w:t>
      </w:r>
    </w:p>
    <w:bookmarkEnd w:id="197"/>
    <w:bookmarkStart w:id="199"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198">
        <w:r>
          <w:rPr>
            <w:rStyle w:val="Hyperlink"/>
          </w:rPr>
          <w:t xml:space="preserve">https://doi.org/10.1080/00048402.2021.1958880</w:t>
        </w:r>
      </w:hyperlink>
      <w:r>
        <w:t xml:space="preserve">.</w:t>
      </w:r>
    </w:p>
    <w:bookmarkEnd w:id="199"/>
    <w:bookmarkStart w:id="201"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200">
        <w:r>
          <w:rPr>
            <w:rStyle w:val="Hyperlink"/>
          </w:rPr>
          <w:t xml:space="preserve">https://doi.org/10.1111/phpr.12466</w:t>
        </w:r>
      </w:hyperlink>
      <w:r>
        <w:t xml:space="preserve">.</w:t>
      </w:r>
    </w:p>
    <w:bookmarkEnd w:id="201"/>
    <w:bookmarkStart w:id="203"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202">
        <w:r>
          <w:rPr>
            <w:rStyle w:val="Hyperlink"/>
          </w:rPr>
          <w:t xml:space="preserve">https://doi.org/10.1016/S0165-4896(98)00007-9</w:t>
        </w:r>
      </w:hyperlink>
      <w:r>
        <w:t xml:space="preserve">.</w:t>
      </w:r>
    </w:p>
    <w:bookmarkEnd w:id="203"/>
    <w:bookmarkStart w:id="204"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204"/>
    <w:bookmarkStart w:id="205"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205"/>
    <w:bookmarkStart w:id="206"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206"/>
    <w:bookmarkStart w:id="208"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207">
        <w:r>
          <w:rPr>
            <w:rStyle w:val="Hyperlink"/>
          </w:rPr>
          <w:t xml:space="preserve">https://doi.org/10.1086/699256</w:t>
        </w:r>
      </w:hyperlink>
      <w:r>
        <w:t xml:space="preserve">.</w:t>
      </w:r>
    </w:p>
    <w:bookmarkEnd w:id="208"/>
    <w:bookmarkStart w:id="210"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209">
        <w:r>
          <w:rPr>
            <w:rStyle w:val="Hyperlink"/>
          </w:rPr>
          <w:t xml:space="preserve">https://doi.org/10.1007/s11229-011-9900-1</w:t>
        </w:r>
      </w:hyperlink>
      <w:r>
        <w:t xml:space="preserve">.</w:t>
      </w:r>
    </w:p>
    <w:bookmarkEnd w:id="210"/>
    <w:bookmarkStart w:id="212"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11">
        <w:r>
          <w:rPr>
            <w:rStyle w:val="Hyperlink"/>
          </w:rPr>
          <w:t xml:space="preserve">https://doi.org/10.1080/00048408512342061</w:t>
        </w:r>
      </w:hyperlink>
      <w:r>
        <w:t xml:space="preserve">.</w:t>
      </w:r>
    </w:p>
    <w:bookmarkEnd w:id="212"/>
    <w:bookmarkStart w:id="214"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213">
        <w:r>
          <w:rPr>
            <w:rStyle w:val="Hyperlink"/>
          </w:rPr>
          <w:t xml:space="preserve">https://doi.org/10.1093/mind/fzx018</w:t>
        </w:r>
      </w:hyperlink>
      <w:r>
        <w:t xml:space="preserve">.</w:t>
      </w:r>
    </w:p>
    <w:bookmarkEnd w:id="214"/>
    <w:bookmarkStart w:id="216"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215">
        <w:r>
          <w:rPr>
            <w:rStyle w:val="Hyperlink"/>
          </w:rPr>
          <w:t xml:space="preserve">https://doi.org/10.1287/mnsc.13.11.816</w:t>
        </w:r>
      </w:hyperlink>
      <w:r>
        <w:t xml:space="preserve">.</w:t>
      </w:r>
    </w:p>
    <w:bookmarkEnd w:id="216"/>
    <w:bookmarkStart w:id="217"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217"/>
    <w:bookmarkStart w:id="218"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218"/>
    <w:bookmarkEnd w:id="219"/>
    <w:bookmarkEnd w:id="220"/>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2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24">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25">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29">
    <w:p>
      <w:pPr>
        <w:pStyle w:val="FootnoteText"/>
      </w:pPr>
      <w:r>
        <w:rPr>
          <w:rStyle w:val="FootnoteReference"/>
        </w:rPr>
        <w:footnoteRef/>
      </w:r>
      <w:r>
        <w:t xml:space="preserve"> </w:t>
      </w:r>
      <w:r>
        <w:t xml:space="preserve">The proof is in Appendix One.</w:t>
      </w:r>
    </w:p>
  </w:footnote>
  <w:footnote w:id="31">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32">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33">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35">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36">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37">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Section 7</w:t>
        </w:r>
      </w:hyperlink>
      <w:r>
        <w:t xml:space="preserve">. But the label seems entrenched, so I’ll use it. In contrast, evidential decision theory, EDT, is a theory; it is a full account of what to do in all cases.</w:t>
      </w:r>
    </w:p>
  </w:footnote>
  <w:footnote w:id="38">
    <w:p>
      <w:pPr>
        <w:pStyle w:val="FootnoteText"/>
      </w:pPr>
      <w:r>
        <w:rPr>
          <w:rStyle w:val="FootnoteReference"/>
        </w:rPr>
        <w:footnoteRef/>
      </w:r>
      <w:r>
        <w:t xml:space="preserve"> </w:t>
      </w:r>
      <w:r>
        <w:t xml:space="preserve">See</w:t>
      </w:r>
      <w:r>
        <w:t xml:space="preserve"> </w:t>
      </w:r>
      <w:r>
        <w:t xml:space="preserve">Wells (2019)</w:t>
      </w:r>
      <w:r>
        <w:t xml:space="preserve"> </w:t>
      </w:r>
      <w:r>
        <w:t xml:space="preserve">for a slightly more complicated case, and</w:t>
      </w:r>
      <w:r>
        <w:t xml:space="preserve"> </w:t>
      </w:r>
      <w:r>
        <w:t xml:space="preserve">Ahmed (2020)</w:t>
      </w:r>
      <w:r>
        <w:t xml:space="preserve"> </w:t>
      </w:r>
      <w:r>
        <w:t xml:space="preserve">for an argument that Wells’s argument is unfair to EDT.</w:t>
      </w:r>
    </w:p>
  </w:footnote>
  <w:footnote w:id="43">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44">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45">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50">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52">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54">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59">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68">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70">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71">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72">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75">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76">
    <w:p>
      <w:pPr>
        <w:pStyle w:val="FootnoteText"/>
      </w:pPr>
      <w:r>
        <w:rPr>
          <w:rStyle w:val="FootnoteReference"/>
        </w:rPr>
        <w:footnoteRef/>
      </w:r>
      <w:r>
        <w:t xml:space="preserve"> </w:t>
      </w:r>
      <w:r>
        <w:t xml:space="preserve">Assume Chooser is reasonably risk-neutral over dollars over this range of outcomes.</w:t>
      </w:r>
    </w:p>
  </w:footnote>
  <w:footnote w:id="82">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84">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Section 2</w:t>
        </w:r>
      </w:hyperlink>
      <w:r>
        <w:t xml:space="preserve">. But he thinks its descriptive role is primarily in defining belief and desire; I think it is in explaining social phenomena.</w:t>
      </w:r>
    </w:p>
  </w:footnote>
  <w:footnote w:id="85">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86">
    <w:p>
      <w:pPr>
        <w:pStyle w:val="FootnoteText"/>
      </w:pPr>
      <w:r>
        <w:rPr>
          <w:rStyle w:val="FootnoteReference"/>
        </w:rPr>
        <w:footnoteRef/>
      </w:r>
      <w:r>
        <w:t xml:space="preserve"> </w:t>
      </w:r>
      <w:r>
        <w:t xml:space="preserve">That is, what Chooser will do if Heads, and what they will do if Tails.</w:t>
      </w:r>
    </w:p>
  </w:footnote>
  <w:footnote w:id="87">
    <w:p>
      <w:pPr>
        <w:pStyle w:val="FootnoteText"/>
      </w:pPr>
      <w:r>
        <w:rPr>
          <w:rStyle w:val="FootnoteReference"/>
        </w:rPr>
        <w:footnoteRef/>
      </w:r>
      <w:r>
        <w:t xml:space="preserve"> </w:t>
      </w:r>
      <w:r>
        <w:t xml:space="preserve">If both are equally likely, Demon will flip a fair coin and say how it lands.</w:t>
      </w:r>
    </w:p>
  </w:footnote>
  <w:footnote w:id="89">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Section 7</w:t>
        </w:r>
      </w:hyperlink>
      <w:r>
        <w:t xml:space="preserve"> </w:t>
      </w:r>
      <w:r>
        <w:t xml:space="preserve">also start preferring option 2. But applying these theories to complex cases is hard, so I’m not quite sure about this.</w:t>
      </w:r>
    </w:p>
  </w:footnote>
  <w:footnote w:id="92">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95">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127" Target="http://faculty.econ.ucdavis.edu/faculty/bonanno/GT_Book.html" TargetMode="External" /><Relationship Type="http://schemas.openxmlformats.org/officeDocument/2006/relationships/hyperlink" Id="rId142" Target="https://10.1111/j.1468-0262.2005.00631.x" TargetMode="External" /><Relationship Type="http://schemas.openxmlformats.org/officeDocument/2006/relationships/hyperlink" Id="rId158" Target="https://doi.org/10.1007/978-94-009-2865-7_2" TargetMode="External" /><Relationship Type="http://schemas.openxmlformats.org/officeDocument/2006/relationships/hyperlink" Id="rId156" Target="https://doi.org/10.1007/BF00183199" TargetMode="External" /><Relationship Type="http://schemas.openxmlformats.org/officeDocument/2006/relationships/hyperlink" Id="rId176" Target="https://doi.org/10.1007/BF01753236" TargetMode="External" /><Relationship Type="http://schemas.openxmlformats.org/officeDocument/2006/relationships/hyperlink" Id="rId188" Target="https://doi.org/10.1007/BF01766400" TargetMode="External" /><Relationship Type="http://schemas.openxmlformats.org/officeDocument/2006/relationships/hyperlink" Id="rId121" Target="https://doi.org/10.1007/s10670-007-9084-8" TargetMode="External" /><Relationship Type="http://schemas.openxmlformats.org/officeDocument/2006/relationships/hyperlink" Id="rId196" Target="https://doi.org/10.1007/s11098-020-01509-9" TargetMode="External" /><Relationship Type="http://schemas.openxmlformats.org/officeDocument/2006/relationships/hyperlink" Id="rId209" Target="https://doi.org/10.1007/s11229-011-9900-1" TargetMode="External" /><Relationship Type="http://schemas.openxmlformats.org/officeDocument/2006/relationships/hyperlink" Id="rId182" Target="https://doi.org/10.1016/0167-2681(82)90008-7" TargetMode="External" /><Relationship Type="http://schemas.openxmlformats.org/officeDocument/2006/relationships/hyperlink" Id="rId125" Target="https://doi.org/10.1016/S0022-0531(05)80039-0" TargetMode="External" /><Relationship Type="http://schemas.openxmlformats.org/officeDocument/2006/relationships/hyperlink" Id="rId202" Target="https://doi.org/10.1016/S0165-4896(98)00007-9" TargetMode="External" /><Relationship Type="http://schemas.openxmlformats.org/officeDocument/2006/relationships/hyperlink" Id="rId198" Target="https://doi.org/10.1080/00048402.2021.1958880" TargetMode="External" /><Relationship Type="http://schemas.openxmlformats.org/officeDocument/2006/relationships/hyperlink" Id="rId185" Target="https://doi.org/10.1080/00048408412341601" TargetMode="External" /><Relationship Type="http://schemas.openxmlformats.org/officeDocument/2006/relationships/hyperlink" Id="rId211" Target="https://doi.org/10.1080/00048408512342061" TargetMode="External" /><Relationship Type="http://schemas.openxmlformats.org/officeDocument/2006/relationships/hyperlink" Id="rId132" Target="https://doi.org/10.1086/339673" TargetMode="External" /><Relationship Type="http://schemas.openxmlformats.org/officeDocument/2006/relationships/hyperlink" Id="rId136" Target="https://doi.org/10.1086/658093" TargetMode="External" /><Relationship Type="http://schemas.openxmlformats.org/officeDocument/2006/relationships/hyperlink" Id="rId111" Target="https://doi.org/10.1086/666065" TargetMode="External" /><Relationship Type="http://schemas.openxmlformats.org/officeDocument/2006/relationships/hyperlink" Id="rId207" Target="https://doi.org/10.1086/699256" TargetMode="External" /><Relationship Type="http://schemas.openxmlformats.org/officeDocument/2006/relationships/hyperlink" Id="rId194" Target="https://doi.org/10.1093/analys/anaa037" TargetMode="External" /><Relationship Type="http://schemas.openxmlformats.org/officeDocument/2006/relationships/hyperlink" Id="rId140" Target="https://doi.org/10.1093/analys/anz059" TargetMode="External" /><Relationship Type="http://schemas.openxmlformats.org/officeDocument/2006/relationships/hyperlink" Id="rId213" Target="https://doi.org/10.1093/mind/fzx018" TargetMode="External" /><Relationship Type="http://schemas.openxmlformats.org/officeDocument/2006/relationships/hyperlink" Id="rId113" Target="https://doi.org/10.1093/mind/fzz073" TargetMode="External" /><Relationship Type="http://schemas.openxmlformats.org/officeDocument/2006/relationships/hyperlink" Id="rId160" Target="https://doi.org/10.1093/pq/pqac083" TargetMode="External" /><Relationship Type="http://schemas.openxmlformats.org/officeDocument/2006/relationships/hyperlink" Id="rId165" Target="https://doi.org/10.1093/pq/pqad072" TargetMode="External" /><Relationship Type="http://schemas.openxmlformats.org/officeDocument/2006/relationships/hyperlink" Id="rId154" Target="https://doi.org/10.1111/nous.12094" TargetMode="External" /><Relationship Type="http://schemas.openxmlformats.org/officeDocument/2006/relationships/hyperlink" Id="rId180" Target="https://doi.org/10.1111/nous.12353" TargetMode="External" /><Relationship Type="http://schemas.openxmlformats.org/officeDocument/2006/relationships/hyperlink" Id="rId144" Target="https://doi.org/10.1111/nous.12459" TargetMode="External" /><Relationship Type="http://schemas.openxmlformats.org/officeDocument/2006/relationships/hyperlink" Id="rId150" Target="https://doi.org/10.1111/nous.12473" TargetMode="External" /><Relationship Type="http://schemas.openxmlformats.org/officeDocument/2006/relationships/hyperlink" Id="rId200" Target="https://doi.org/10.1111/phpr.12466" TargetMode="External" /><Relationship Type="http://schemas.openxmlformats.org/officeDocument/2006/relationships/hyperlink" Id="rId138" Target="https://doi.org/10.1215/00318108-2006-023" TargetMode="External" /><Relationship Type="http://schemas.openxmlformats.org/officeDocument/2006/relationships/hyperlink" Id="rId215" Target="https://doi.org/10.1287/mnsc.13.11.816" TargetMode="External" /><Relationship Type="http://schemas.openxmlformats.org/officeDocument/2006/relationships/hyperlink" Id="rId152" Target="https://doi.org/10.1515/bejte-2018-0185" TargetMode="External" /><Relationship Type="http://schemas.openxmlformats.org/officeDocument/2006/relationships/hyperlink" Id="rId115" Target="https://doi.org/10.2307/1879431" TargetMode="External" /><Relationship Type="http://schemas.openxmlformats.org/officeDocument/2006/relationships/hyperlink" Id="rId134" Target="https://doi.org/10.2307/1885060" TargetMode="External" /><Relationship Type="http://schemas.openxmlformats.org/officeDocument/2006/relationships/hyperlink" Id="rId119" Target="https://doi.org/10.2307/1907921" TargetMode="External" /><Relationship Type="http://schemas.openxmlformats.org/officeDocument/2006/relationships/hyperlink" Id="rId162" Target="https://doi.org/10.2307/2185591" TargetMode="External" /><Relationship Type="http://schemas.openxmlformats.org/officeDocument/2006/relationships/hyperlink" Id="rId170" Target="https://doi.org/10.2307/2215439" TargetMode="External" /><Relationship Type="http://schemas.openxmlformats.org/officeDocument/2006/relationships/hyperlink" Id="rId173" Target="https://doi.org/10.2307/2296233" TargetMode="External" /><Relationship Type="http://schemas.openxmlformats.org/officeDocument/2006/relationships/hyperlink" Id="rId146" Target="https://doi.org/10.5840/jphil202011739" TargetMode="External" /><Relationship Type="http://schemas.openxmlformats.org/officeDocument/2006/relationships/hyperlink" Id="rId167" Target="https://doi.org/10.5840/jphil2020117516" TargetMode="External" /><Relationship Type="http://schemas.openxmlformats.org/officeDocument/2006/relationships/hyperlink" Id="rId123" Target="https://doi.org/10.5840/jphil202211925" TargetMode="External" /><Relationship Type="http://schemas.openxmlformats.org/officeDocument/2006/relationships/hyperlink" Id="rId129" Target="https://doi.org/doi.org/10.1111/phpr.13006" TargetMode="External" /><Relationship Type="http://schemas.openxmlformats.org/officeDocument/2006/relationships/hyperlink" Id="rId148" Target="https://philpapers.org/archive/GALTST-2.pdf" TargetMode="External" /><Relationship Type="http://schemas.openxmlformats.org/officeDocument/2006/relationships/hyperlink" Id="rId117"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27" Target="http://faculty.econ.ucdavis.edu/faculty/bonanno/GT_Book.html" TargetMode="External" /><Relationship Type="http://schemas.openxmlformats.org/officeDocument/2006/relationships/hyperlink" Id="rId142" Target="https://10.1111/j.1468-0262.2005.00631.x" TargetMode="External" /><Relationship Type="http://schemas.openxmlformats.org/officeDocument/2006/relationships/hyperlink" Id="rId158" Target="https://doi.org/10.1007/978-94-009-2865-7_2" TargetMode="External" /><Relationship Type="http://schemas.openxmlformats.org/officeDocument/2006/relationships/hyperlink" Id="rId156" Target="https://doi.org/10.1007/BF00183199" TargetMode="External" /><Relationship Type="http://schemas.openxmlformats.org/officeDocument/2006/relationships/hyperlink" Id="rId176" Target="https://doi.org/10.1007/BF01753236" TargetMode="External" /><Relationship Type="http://schemas.openxmlformats.org/officeDocument/2006/relationships/hyperlink" Id="rId188" Target="https://doi.org/10.1007/BF01766400" TargetMode="External" /><Relationship Type="http://schemas.openxmlformats.org/officeDocument/2006/relationships/hyperlink" Id="rId121" Target="https://doi.org/10.1007/s10670-007-9084-8" TargetMode="External" /><Relationship Type="http://schemas.openxmlformats.org/officeDocument/2006/relationships/hyperlink" Id="rId196" Target="https://doi.org/10.1007/s11098-020-01509-9" TargetMode="External" /><Relationship Type="http://schemas.openxmlformats.org/officeDocument/2006/relationships/hyperlink" Id="rId209" Target="https://doi.org/10.1007/s11229-011-9900-1" TargetMode="External" /><Relationship Type="http://schemas.openxmlformats.org/officeDocument/2006/relationships/hyperlink" Id="rId182" Target="https://doi.org/10.1016/0167-2681(82)90008-7" TargetMode="External" /><Relationship Type="http://schemas.openxmlformats.org/officeDocument/2006/relationships/hyperlink" Id="rId125" Target="https://doi.org/10.1016/S0022-0531(05)80039-0" TargetMode="External" /><Relationship Type="http://schemas.openxmlformats.org/officeDocument/2006/relationships/hyperlink" Id="rId202" Target="https://doi.org/10.1016/S0165-4896(98)00007-9" TargetMode="External" /><Relationship Type="http://schemas.openxmlformats.org/officeDocument/2006/relationships/hyperlink" Id="rId198" Target="https://doi.org/10.1080/00048402.2021.1958880" TargetMode="External" /><Relationship Type="http://schemas.openxmlformats.org/officeDocument/2006/relationships/hyperlink" Id="rId185" Target="https://doi.org/10.1080/00048408412341601" TargetMode="External" /><Relationship Type="http://schemas.openxmlformats.org/officeDocument/2006/relationships/hyperlink" Id="rId211" Target="https://doi.org/10.1080/00048408512342061" TargetMode="External" /><Relationship Type="http://schemas.openxmlformats.org/officeDocument/2006/relationships/hyperlink" Id="rId132" Target="https://doi.org/10.1086/339673" TargetMode="External" /><Relationship Type="http://schemas.openxmlformats.org/officeDocument/2006/relationships/hyperlink" Id="rId136" Target="https://doi.org/10.1086/658093" TargetMode="External" /><Relationship Type="http://schemas.openxmlformats.org/officeDocument/2006/relationships/hyperlink" Id="rId111" Target="https://doi.org/10.1086/666065" TargetMode="External" /><Relationship Type="http://schemas.openxmlformats.org/officeDocument/2006/relationships/hyperlink" Id="rId207" Target="https://doi.org/10.1086/699256" TargetMode="External" /><Relationship Type="http://schemas.openxmlformats.org/officeDocument/2006/relationships/hyperlink" Id="rId194" Target="https://doi.org/10.1093/analys/anaa037" TargetMode="External" /><Relationship Type="http://schemas.openxmlformats.org/officeDocument/2006/relationships/hyperlink" Id="rId140" Target="https://doi.org/10.1093/analys/anz059" TargetMode="External" /><Relationship Type="http://schemas.openxmlformats.org/officeDocument/2006/relationships/hyperlink" Id="rId213" Target="https://doi.org/10.1093/mind/fzx018" TargetMode="External" /><Relationship Type="http://schemas.openxmlformats.org/officeDocument/2006/relationships/hyperlink" Id="rId113" Target="https://doi.org/10.1093/mind/fzz073" TargetMode="External" /><Relationship Type="http://schemas.openxmlformats.org/officeDocument/2006/relationships/hyperlink" Id="rId160" Target="https://doi.org/10.1093/pq/pqac083" TargetMode="External" /><Relationship Type="http://schemas.openxmlformats.org/officeDocument/2006/relationships/hyperlink" Id="rId165" Target="https://doi.org/10.1093/pq/pqad072" TargetMode="External" /><Relationship Type="http://schemas.openxmlformats.org/officeDocument/2006/relationships/hyperlink" Id="rId154" Target="https://doi.org/10.1111/nous.12094" TargetMode="External" /><Relationship Type="http://schemas.openxmlformats.org/officeDocument/2006/relationships/hyperlink" Id="rId180" Target="https://doi.org/10.1111/nous.12353" TargetMode="External" /><Relationship Type="http://schemas.openxmlformats.org/officeDocument/2006/relationships/hyperlink" Id="rId144" Target="https://doi.org/10.1111/nous.12459" TargetMode="External" /><Relationship Type="http://schemas.openxmlformats.org/officeDocument/2006/relationships/hyperlink" Id="rId150" Target="https://doi.org/10.1111/nous.12473" TargetMode="External" /><Relationship Type="http://schemas.openxmlformats.org/officeDocument/2006/relationships/hyperlink" Id="rId200" Target="https://doi.org/10.1111/phpr.12466" TargetMode="External" /><Relationship Type="http://schemas.openxmlformats.org/officeDocument/2006/relationships/hyperlink" Id="rId138" Target="https://doi.org/10.1215/00318108-2006-023" TargetMode="External" /><Relationship Type="http://schemas.openxmlformats.org/officeDocument/2006/relationships/hyperlink" Id="rId215" Target="https://doi.org/10.1287/mnsc.13.11.816" TargetMode="External" /><Relationship Type="http://schemas.openxmlformats.org/officeDocument/2006/relationships/hyperlink" Id="rId152" Target="https://doi.org/10.1515/bejte-2018-0185" TargetMode="External" /><Relationship Type="http://schemas.openxmlformats.org/officeDocument/2006/relationships/hyperlink" Id="rId115" Target="https://doi.org/10.2307/1879431" TargetMode="External" /><Relationship Type="http://schemas.openxmlformats.org/officeDocument/2006/relationships/hyperlink" Id="rId134" Target="https://doi.org/10.2307/1885060" TargetMode="External" /><Relationship Type="http://schemas.openxmlformats.org/officeDocument/2006/relationships/hyperlink" Id="rId119" Target="https://doi.org/10.2307/1907921" TargetMode="External" /><Relationship Type="http://schemas.openxmlformats.org/officeDocument/2006/relationships/hyperlink" Id="rId162" Target="https://doi.org/10.2307/2185591" TargetMode="External" /><Relationship Type="http://schemas.openxmlformats.org/officeDocument/2006/relationships/hyperlink" Id="rId170" Target="https://doi.org/10.2307/2215439" TargetMode="External" /><Relationship Type="http://schemas.openxmlformats.org/officeDocument/2006/relationships/hyperlink" Id="rId173" Target="https://doi.org/10.2307/2296233" TargetMode="External" /><Relationship Type="http://schemas.openxmlformats.org/officeDocument/2006/relationships/hyperlink" Id="rId146" Target="https://doi.org/10.5840/jphil202011739" TargetMode="External" /><Relationship Type="http://schemas.openxmlformats.org/officeDocument/2006/relationships/hyperlink" Id="rId167" Target="https://doi.org/10.5840/jphil2020117516" TargetMode="External" /><Relationship Type="http://schemas.openxmlformats.org/officeDocument/2006/relationships/hyperlink" Id="rId123" Target="https://doi.org/10.5840/jphil202211925" TargetMode="External" /><Relationship Type="http://schemas.openxmlformats.org/officeDocument/2006/relationships/hyperlink" Id="rId129" Target="https://doi.org/doi.org/10.1111/phpr.13006" TargetMode="External" /><Relationship Type="http://schemas.openxmlformats.org/officeDocument/2006/relationships/hyperlink" Id="rId148" Target="https://philpapers.org/archive/GALTST-2.pdf" TargetMode="External" /><Relationship Type="http://schemas.openxmlformats.org/officeDocument/2006/relationships/hyperlink" Id="rId117"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Gamified Decision Theory</dc:title>
  <dc:creator>Brian Weatherson</dc:creator>
  <cp:keywords/>
  <dcterms:created xsi:type="dcterms:W3CDTF">2023-08-17T20:25:40Z</dcterms:created>
  <dcterms:modified xsi:type="dcterms:W3CDTF">2023-08-17T20:25:40Z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../rBib.bib</vt:lpwstr>
  </property>
  <property fmtid="{D5CDD505-2E9C-101B-9397-08002B2CF9AE}" pid="5" name="by-author">
    <vt:lpwstr/>
  </property>
  <property fmtid="{D5CDD505-2E9C-101B-9397-08002B2CF9AE}" pid="6" name="date">
    <vt:lpwstr>2023-08-17</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