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37.png" ContentType="image/png"/>
  <Override PartName="/word/media/rId2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Break</w:t>
      </w:r>
      <w:r>
        <w:t xml:space="preserve"> </w:t>
      </w:r>
      <w:r>
        <w:t xml:space="preserve">in</w:t>
      </w:r>
      <w:r>
        <w:t xml:space="preserve"> </w:t>
      </w:r>
      <w:r>
        <w:t xml:space="preserve">the</w:t>
      </w:r>
      <w:r>
        <w:t xml:space="preserve"> </w:t>
      </w:r>
      <w:r>
        <w:t xml:space="preserve">Citation</w:t>
      </w:r>
      <w:r>
        <w:t xml:space="preserve"> </w:t>
      </w:r>
      <w:r>
        <w:t xml:space="preserve">Patterns</w:t>
      </w:r>
    </w:p>
    <w:p>
      <w:pPr>
        <w:pStyle w:val="Author"/>
      </w:pPr>
      <w:r>
        <w:t xml:space="preserve">Brian</w:t>
      </w:r>
      <w:r>
        <w:t xml:space="preserve"> </w:t>
      </w:r>
      <w:r>
        <w:t xml:space="preserve">Weatherson</w:t>
      </w:r>
    </w:p>
    <w:p>
      <w:pPr>
        <w:pStyle w:val="Date"/>
      </w:pPr>
      <w:r>
        <w:t xml:space="preserve">2024-08-21</w:t>
      </w:r>
    </w:p>
    <w:p>
      <w:pPr>
        <w:pStyle w:val="AbstractTitle"/>
      </w:pPr>
      <w:r>
        <w:t xml:space="preserve">Abstract</w:t>
      </w:r>
    </w:p>
    <w:p>
      <w:pPr>
        <w:pStyle w:val="Abstract"/>
      </w:pPr>
      <w:r>
        <w:t xml:space="preserve">Comments</w:t>
      </w:r>
      <w:r>
        <w:t xml:space="preserve"> </w:t>
      </w:r>
      <w:r>
        <w:t xml:space="preserve">on</w:t>
      </w:r>
      <w:r>
        <w:t xml:space="preserve"> </w:t>
      </w:r>
      <w:r>
        <w:t xml:space="preserve">Eugenio</w:t>
      </w:r>
      <w:r>
        <w:t xml:space="preserve"> </w:t>
      </w:r>
      <w:r>
        <w:t xml:space="preserve">Petrovich’s</w:t>
      </w:r>
      <w:r>
        <w:t xml:space="preserve"> </w:t>
      </w:r>
      <w:r>
        <w:t xml:space="preserve">book</w:t>
      </w:r>
      <w:r>
        <w:t xml:space="preserve"> </w:t>
      </w:r>
      <w:r>
        <w:rPr>
          <w:iCs/>
          <w:i/>
        </w:rPr>
        <w:t xml:space="preserve">A</w:t>
      </w:r>
      <w:r>
        <w:rPr>
          <w:iCs/>
          <w:i/>
        </w:rPr>
        <w:t xml:space="preserve"> </w:t>
      </w:r>
      <w:r>
        <w:rPr>
          <w:iCs/>
          <w:i/>
        </w:rPr>
        <w:t xml:space="preserve">Quantitative</w:t>
      </w:r>
      <w:r>
        <w:rPr>
          <w:iCs/>
          <w:i/>
        </w:rPr>
        <w:t xml:space="preserve"> </w:t>
      </w:r>
      <w:r>
        <w:rPr>
          <w:iCs/>
          <w:i/>
        </w:rPr>
        <w:t xml:space="preserve">Portrait</w:t>
      </w:r>
      <w:r>
        <w:rPr>
          <w:iCs/>
          <w:i/>
        </w:rPr>
        <w:t xml:space="preserve"> </w:t>
      </w:r>
      <w:r>
        <w:rPr>
          <w:iCs/>
          <w:i/>
        </w:rPr>
        <w:t xml:space="preserve">of</w:t>
      </w:r>
      <w:r>
        <w:rPr>
          <w:iCs/>
          <w:i/>
        </w:rPr>
        <w:t xml:space="preserve"> </w:t>
      </w:r>
      <w:r>
        <w:rPr>
          <w:iCs/>
          <w:i/>
        </w:rPr>
        <w:t xml:space="preserve">Analytic</w:t>
      </w:r>
      <w:r>
        <w:rPr>
          <w:iCs/>
          <w:i/>
        </w:rPr>
        <w:t xml:space="preserve"> </w:t>
      </w:r>
      <w:r>
        <w:rPr>
          <w:iCs/>
          <w:i/>
        </w:rPr>
        <w:t xml:space="preserve">Philosophy:</w:t>
      </w:r>
      <w:r>
        <w:rPr>
          <w:iCs/>
          <w:i/>
        </w:rPr>
        <w:t xml:space="preserve"> </w:t>
      </w:r>
      <w:r>
        <w:rPr>
          <w:iCs/>
          <w:i/>
        </w:rPr>
        <w:t xml:space="preserve">Looking</w:t>
      </w:r>
      <w:r>
        <w:rPr>
          <w:iCs/>
          <w:i/>
        </w:rPr>
        <w:t xml:space="preserve"> </w:t>
      </w:r>
      <w:r>
        <w:rPr>
          <w:iCs/>
          <w:i/>
        </w:rPr>
        <w:t xml:space="preserve">Through</w:t>
      </w:r>
      <w:r>
        <w:rPr>
          <w:iCs/>
          <w:i/>
        </w:rPr>
        <w:t xml:space="preserve"> </w:t>
      </w:r>
      <w:r>
        <w:rPr>
          <w:iCs/>
          <w:i/>
        </w:rPr>
        <w:t xml:space="preserve">the</w:t>
      </w:r>
      <w:r>
        <w:rPr>
          <w:iCs/>
          <w:i/>
        </w:rPr>
        <w:t xml:space="preserve"> </w:t>
      </w:r>
      <w:r>
        <w:rPr>
          <w:iCs/>
          <w:i/>
        </w:rPr>
        <w:t xml:space="preserve">Margins</w:t>
      </w:r>
      <w:r>
        <w:t xml:space="preserve">,</w:t>
      </w:r>
      <w:r>
        <w:t xml:space="preserve"> </w:t>
      </w:r>
      <w:r>
        <w:t xml:space="preserve">for</w:t>
      </w:r>
      <w:r>
        <w:t xml:space="preserve"> </w:t>
      </w:r>
      <w:r>
        <w:t xml:space="preserve">the</w:t>
      </w:r>
      <w:r>
        <w:t xml:space="preserve"> </w:t>
      </w:r>
      <w:r>
        <w:t xml:space="preserve">Quantitative</w:t>
      </w:r>
      <w:r>
        <w:t xml:space="preserve"> </w:t>
      </w:r>
      <w:r>
        <w:t xml:space="preserve">Studies</w:t>
      </w:r>
      <w:r>
        <w:t xml:space="preserve"> </w:t>
      </w:r>
      <w:r>
        <w:t xml:space="preserve">of</w:t>
      </w:r>
      <w:r>
        <w:t xml:space="preserve"> </w:t>
      </w:r>
      <w:r>
        <w:t xml:space="preserve">Philosophy</w:t>
      </w:r>
      <w:r>
        <w:t xml:space="preserve"> </w:t>
      </w:r>
      <w:r>
        <w:t xml:space="preserve">workshop</w:t>
      </w:r>
      <w:r>
        <w:t xml:space="preserve"> </w:t>
      </w:r>
      <w:r>
        <w:t xml:space="preserve">at</w:t>
      </w:r>
      <w:r>
        <w:t xml:space="preserve"> </w:t>
      </w:r>
      <w:r>
        <w:t xml:space="preserve">Tiburg,</w:t>
      </w:r>
      <w:r>
        <w:t xml:space="preserve"> </w:t>
      </w:r>
      <w:r>
        <w:t xml:space="preserve">August</w:t>
      </w:r>
      <w:r>
        <w:t xml:space="preserve"> </w:t>
      </w:r>
      <w:r>
        <w:t xml:space="preserve">21-22</w:t>
      </w:r>
      <w:r>
        <w:t xml:space="preserve"> </w:t>
      </w:r>
      <w:r>
        <w:t xml:space="preserve">2024.</w:t>
      </w:r>
    </w:p>
    <w:p>
      <w:pPr>
        <w:pStyle w:val="FirstParagraph"/>
      </w:pPr>
      <w:r>
        <w:t xml:space="preserve">First, I’d like to thank the organisers for putting on these great workshops, and Eugenio for writing such a well researched and endlessly thought provoking book.</w:t>
      </w:r>
    </w:p>
    <w:p>
      <w:pPr>
        <w:pStyle w:val="BodyText"/>
      </w:pPr>
      <w:r>
        <w:t xml:space="preserve">I’m going to comment just on one study in the book - the intriguing suggestion that there’s a break in the citation patterns around 2000. This is intriguing because it connects to a question that’s long interested me: can Late Analytic Philosophy be usefully divided into eras? Are there periods within Late Analytic that are usefully separated out from the rest the way it is useful to separate out the Ordinary Language era, at least in the UK, from the times around it? No such periodization has caught on, and maybe that’s because there isn’t a useful one to find, but if the citations change around 2000, maybe we should think about whether that’s the start of a new era.</w:t>
      </w:r>
    </w:p>
    <w:p>
      <w:pPr>
        <w:pStyle w:val="BodyText"/>
      </w:pPr>
      <w:r>
        <w:t xml:space="preserve">The details will matter a bit here, so let me go over what’s happening at this stage of the book (i.e., section 4.4 of the book). We start with all the citations in five big journals:</w:t>
      </w:r>
      <w:r>
        <w:t xml:space="preserve"> </w:t>
      </w:r>
      <w:r>
        <w:rPr>
          <w:iCs/>
          <w:i/>
        </w:rPr>
        <w:t xml:space="preserve">Mind</w:t>
      </w:r>
      <w:r>
        <w:t xml:space="preserve">,</w:t>
      </w:r>
      <w:r>
        <w:t xml:space="preserve"> </w:t>
      </w:r>
      <w:r>
        <w:rPr>
          <w:iCs/>
          <w:i/>
        </w:rPr>
        <w:t xml:space="preserve">Philosophical Review</w:t>
      </w:r>
      <w:r>
        <w:t xml:space="preserve">,</w:t>
      </w:r>
      <w:r>
        <w:t xml:space="preserve"> </w:t>
      </w:r>
      <w:r>
        <w:rPr>
          <w:iCs/>
          <w:i/>
        </w:rPr>
        <w:t xml:space="preserve">Journal of Philosophy</w:t>
      </w:r>
      <w:r>
        <w:t xml:space="preserve">,</w:t>
      </w:r>
      <w:r>
        <w:t xml:space="preserve"> </w:t>
      </w:r>
      <w:r>
        <w:rPr>
          <w:iCs/>
          <w:i/>
        </w:rPr>
        <w:t xml:space="preserve">Noûs</w:t>
      </w:r>
      <w:r>
        <w:t xml:space="preserve"> </w:t>
      </w:r>
      <w:r>
        <w:t xml:space="preserve">and</w:t>
      </w:r>
      <w:r>
        <w:t xml:space="preserve"> </w:t>
      </w:r>
      <w:r>
        <w:rPr>
          <w:iCs/>
          <w:i/>
        </w:rPr>
        <w:t xml:space="preserve">Philosophy and Phenomenological Research</w:t>
      </w:r>
      <w:r>
        <w:t xml:space="preserve">, for each year from 1980-2020. We represent the citations in each year as a vector, with a dimension for each article cited at any time in the study, and the magnitude of that dimension being the number of citations. That gives us 41 n-dimensional vectors, and we can look at their similarity by taking the cosine of the angle between them. The result is</w:t>
      </w:r>
      <w:r>
        <w:t xml:space="preserve"> </w:t>
      </w:r>
      <w:hyperlink w:anchor="fig-eugenio-matrix">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eugenio-matrix"/>
          <w:p>
            <w:pPr>
              <w:pStyle w:val="Compact"/>
              <w:jc w:val="center"/>
            </w:pPr>
            <w:r>
              <w:drawing>
                <wp:inline>
                  <wp:extent cx="5334000" cy="5120967"/>
                  <wp:effectExtent b="0" l="0" r="0" t="0"/>
                  <wp:docPr descr="" title="" id="21" name="Picture"/>
                  <a:graphic>
                    <a:graphicData uri="http://schemas.openxmlformats.org/drawingml/2006/picture">
                      <pic:pic>
                        <pic:nvPicPr>
                          <pic:cNvPr descr="cosine-screenshot.png" id="22" name="Picture"/>
                          <pic:cNvPicPr>
                            <a:picLocks noChangeArrowheads="1" noChangeAspect="1"/>
                          </pic:cNvPicPr>
                        </pic:nvPicPr>
                        <pic:blipFill>
                          <a:blip r:embed="rId20"/>
                          <a:stretch>
                            <a:fillRect/>
                          </a:stretch>
                        </pic:blipFill>
                        <pic:spPr bwMode="auto">
                          <a:xfrm>
                            <a:off x="0" y="0"/>
                            <a:ext cx="5334000" cy="512096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From page 103 of</w:t>
            </w:r>
            <w:r>
              <w:t xml:space="preserve"> </w:t>
            </w:r>
            <w:r>
              <w:t xml:space="preserve">@Petrovich2024</w:t>
            </w:r>
            <w:r>
              <w:t xml:space="preserve">.</w:t>
            </w:r>
          </w:p>
          <w:bookmarkEnd w:id="23"/>
        </w:tc>
      </w:tr>
    </w:tbl>
    <w:p>
      <w:pPr>
        <w:pStyle w:val="BodyText"/>
      </w:pPr>
      <w:r>
        <w:t xml:space="preserve">The darker cells are more similar years, so in the middle of the graph, we see several years where the similarity scores are relatively high: around 0.5. Each row of that graph is itself a vector. Eugenio looked for clusters within those vectors, and</w:t>
      </w:r>
      <w:r>
        <w:t xml:space="preserve"> </w:t>
      </w:r>
      <w:hyperlink w:anchor="fig-eugenio-cluster">
        <w:r>
          <w:rPr>
            <w:rStyle w:val="Hyperlink"/>
          </w:rPr>
          <w:t xml:space="preserve">Figure 2</w:t>
        </w:r>
      </w:hyperlink>
      <w:r>
        <w:t xml:space="preserve"> </w:t>
      </w:r>
      <w:r>
        <w:t xml:space="preserve">shows what he found.</w:t>
      </w:r>
    </w:p>
    <w:tbl>
      <w:tblPr>
        <w:tblStyle w:val="Table"/>
        <w:tblW w:type="pct" w:w="5000"/>
        <w:tblLook w:firstRow="0" w:lastRow="0" w:firstColumn="0" w:lastColumn="0" w:noHBand="0" w:noVBand="0" w:val="0000"/>
        <w:jc w:val="start"/>
        <w:tblLayout w:type="fixed"/>
      </w:tblPr>
      <w:tblGrid>
        <w:gridCol w:w="7920"/>
      </w:tblGrid>
      <w:tr>
        <w:tc>
          <w:tcPr/>
          <w:bookmarkStart w:id="27" w:name="fig-eugenio-cluster"/>
          <w:p>
            <w:pPr>
              <w:pStyle w:val="Compact"/>
              <w:jc w:val="center"/>
            </w:pPr>
            <w:r>
              <w:drawing>
                <wp:inline>
                  <wp:extent cx="5334000" cy="2187376"/>
                  <wp:effectExtent b="0" l="0" r="0" t="0"/>
                  <wp:docPr descr="" title="" id="25" name="Picture"/>
                  <a:graphic>
                    <a:graphicData uri="http://schemas.openxmlformats.org/drawingml/2006/picture">
                      <pic:pic>
                        <pic:nvPicPr>
                          <pic:cNvPr descr="cluster-screenshot.png" id="26" name="Picture"/>
                          <pic:cNvPicPr>
                            <a:picLocks noChangeArrowheads="1" noChangeAspect="1"/>
                          </pic:cNvPicPr>
                        </pic:nvPicPr>
                        <pic:blipFill>
                          <a:blip r:embed="rId24"/>
                          <a:stretch>
                            <a:fillRect/>
                          </a:stretch>
                        </pic:blipFill>
                        <pic:spPr bwMode="auto">
                          <a:xfrm>
                            <a:off x="0" y="0"/>
                            <a:ext cx="5334000" cy="21873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From page 103 of</w:t>
            </w:r>
            <w:r>
              <w:t xml:space="preserve"> </w:t>
            </w:r>
            <w:r>
              <w:t xml:space="preserve">@Petrovich2024</w:t>
            </w:r>
            <w:r>
              <w:t xml:space="preserve">.</w:t>
            </w:r>
          </w:p>
          <w:bookmarkEnd w:id="27"/>
        </w:tc>
      </w:tr>
    </w:tbl>
    <w:p>
      <w:pPr>
        <w:pStyle w:val="BodyText"/>
      </w:pPr>
      <w:r>
        <w:t xml:space="preserve">In this graph there are three clusters, but the blue cluster to me feels fairly connected to the green one. What strikes me about this graph is how few dark cells there are where one year is before 1996 and the other year is after 1996. Somewhere between 1996 and 2006, there seems to be a step change here. What could explain that, and does it have a larger historical significance?</w:t>
      </w:r>
    </w:p>
    <w:p>
      <w:pPr>
        <w:pStyle w:val="BodyText"/>
      </w:pPr>
      <w:r>
        <w:t xml:space="preserve">Being old enough to have some memories of this time, I had two thoughts about what might be going on which I don’t think end up being supported by the data.</w:t>
      </w:r>
    </w:p>
    <w:p>
      <w:pPr>
        <w:pStyle w:val="BodyText"/>
      </w:pPr>
      <w:r>
        <w:t xml:space="preserve">One was that there was a change in who the heroes of the narrative were around then. The giants of the mid twentieth century, particularly Wittgenstein, Rawls, Quine, and Davidson, seemed to be a smaller part of the discussion than they had been a few years earlier. But while that may be reflected in the data for Wittgenstein, the fact that Quine and Davidson write two of the five pieces most cited in these journals around the turn of the century doesn’t really back up that theory.</w:t>
      </w:r>
    </w:p>
    <w:p>
      <w:pPr>
        <w:pStyle w:val="BodyText"/>
      </w:pPr>
      <w:r>
        <w:t xml:space="preserve">A second was that that time was characterised by many more flurries of interest in particular problems or approaches. Some of these had more lasting impacts than others, but it was striking how many of them there were. By the early 2000s, all of these were prominent topics of conversation, at least around prominent East Coast philosophy departments, in a way that distinguished that time from earlier or later times:</w:t>
      </w:r>
    </w:p>
    <w:p>
      <w:pPr>
        <w:numPr>
          <w:ilvl w:val="0"/>
          <w:numId w:val="1001"/>
        </w:numPr>
        <w:pStyle w:val="Compact"/>
      </w:pPr>
      <w:r>
        <w:t xml:space="preserve">Non-conceptual content</w:t>
      </w:r>
    </w:p>
    <w:p>
      <w:pPr>
        <w:numPr>
          <w:ilvl w:val="0"/>
          <w:numId w:val="1001"/>
        </w:numPr>
        <w:pStyle w:val="Compact"/>
      </w:pPr>
      <w:r>
        <w:t xml:space="preserve">Zombies</w:t>
      </w:r>
    </w:p>
    <w:p>
      <w:pPr>
        <w:numPr>
          <w:ilvl w:val="0"/>
          <w:numId w:val="1001"/>
        </w:numPr>
        <w:pStyle w:val="Compact"/>
      </w:pPr>
      <w:r>
        <w:t xml:space="preserve">Fictionalism</w:t>
      </w:r>
    </w:p>
    <w:p>
      <w:pPr>
        <w:numPr>
          <w:ilvl w:val="0"/>
          <w:numId w:val="1001"/>
        </w:numPr>
        <w:pStyle w:val="Compact"/>
      </w:pPr>
      <w:r>
        <w:t xml:space="preserve">Vagueness</w:t>
      </w:r>
    </w:p>
    <w:p>
      <w:pPr>
        <w:numPr>
          <w:ilvl w:val="0"/>
          <w:numId w:val="1001"/>
        </w:numPr>
        <w:pStyle w:val="Compact"/>
      </w:pPr>
      <w:r>
        <w:t xml:space="preserve">Self-locating belief (i.e., Sleeping Beauty)</w:t>
      </w:r>
    </w:p>
    <w:p>
      <w:pPr>
        <w:pStyle w:val="FirstParagraph"/>
      </w:pPr>
      <w:r>
        <w:t xml:space="preserve">But while these were definitely hot topics - at one stage you could apparently start a conversation with a Princeton grad student by asking what they were working on fictionalism about - I don’t really see them represented enough in those five journals to make a difference. If we were looking at</w:t>
      </w:r>
      <w:r>
        <w:t xml:space="preserve"> </w:t>
      </w:r>
      <w:r>
        <w:rPr>
          <w:iCs/>
          <w:i/>
        </w:rPr>
        <w:t xml:space="preserve">Analysis</w:t>
      </w:r>
      <w:r>
        <w:t xml:space="preserve">, which was much more sensitive to trends like these, the story might be different. There was a bit on non-conceptual content, in</w:t>
      </w:r>
      <w:r>
        <w:t xml:space="preserve"> </w:t>
      </w:r>
      <w:r>
        <w:rPr>
          <w:iCs/>
          <w:i/>
        </w:rPr>
        <w:t xml:space="preserve">Philosophical Review</w:t>
      </w:r>
      <w:r>
        <w:t xml:space="preserve"> </w:t>
      </w:r>
      <w:r>
        <w:t xml:space="preserve">in particular, but it probably made the citation record</w:t>
      </w:r>
      <w:r>
        <w:t xml:space="preserve"> </w:t>
      </w:r>
      <w:r>
        <w:rPr>
          <w:iCs/>
          <w:i/>
        </w:rPr>
        <w:t xml:space="preserve">less</w:t>
      </w:r>
      <w:r>
        <w:t xml:space="preserve"> </w:t>
      </w:r>
      <w:r>
        <w:t xml:space="preserve">distinctive, because it connected to earlier discussions by Evans and others. So I don’t think that’s the explanation here.</w:t>
      </w:r>
    </w:p>
    <w:p>
      <w:pPr>
        <w:pStyle w:val="BodyText"/>
      </w:pPr>
      <w:r>
        <w:t xml:space="preserve">It could be that technological changes around this time, i.e., the rise of the internet, made a difference. The internet made it somewhat easier to read articles. It made it much easier to look up citation info, and so maybe citations that got cut because the author didn’t want to trudge to the library to look up page numbers instead got left in. But I suspect two other things are more important. It meant philosophers across long distances could communicate in writing in real time. So written versions of ideas could spread before they were in print. That was probably connected to the growth of so many hot topics. And it was much easier to organise and publicise small workshops and conferences, especially in the eastern United States. Maybe that’s part of the explanation, though I don’t have any direct evidence for it, and I want to turn to Eugenio’s main suggestion for what’s going on.</w:t>
      </w:r>
    </w:p>
    <w:p>
      <w:pPr>
        <w:pStyle w:val="BodyText"/>
      </w:pPr>
      <w:r>
        <w:t xml:space="preserve">Eugenio suggests that a big part of the story is the rise of epistemology. If that’s the explanation, I suspect that’s telling us something about the sociology of the journals, and of the field, not about the trends.</w:t>
      </w:r>
    </w:p>
    <w:p>
      <w:pPr>
        <w:pStyle w:val="BodyText"/>
      </w:pPr>
      <w:r>
        <w:t xml:space="preserve">There are two important things happen to epistemology around this time.</w:t>
      </w:r>
    </w:p>
    <w:p>
      <w:pPr>
        <w:pStyle w:val="BodyText"/>
      </w:pPr>
      <w:r>
        <w:t xml:space="preserve">One is that Ernie Sosa becomes editor of both</w:t>
      </w:r>
      <w:r>
        <w:t xml:space="preserve"> </w:t>
      </w:r>
      <w:r>
        <w:rPr>
          <w:iCs/>
          <w:i/>
        </w:rPr>
        <w:t xml:space="preserve">Noûs</w:t>
      </w:r>
      <w:r>
        <w:t xml:space="preserve"> </w:t>
      </w:r>
      <w:r>
        <w:t xml:space="preserve">and</w:t>
      </w:r>
      <w:r>
        <w:t xml:space="preserve"> </w:t>
      </w:r>
      <w:r>
        <w:rPr>
          <w:iCs/>
          <w:i/>
        </w:rPr>
        <w:t xml:space="preserve">PPR</w:t>
      </w:r>
      <w:r>
        <w:t xml:space="preserve">. And then those two journals publish more epistemology.</w:t>
      </w:r>
    </w:p>
    <w:p>
      <w:pPr>
        <w:pStyle w:val="BodyText"/>
      </w:pPr>
      <w:r>
        <w:t xml:space="preserve">The other is that the boundary between epistemology and philosophy of science shifts. Some of the most important articles in late twentieth century epistemology are in philosophy of science journals. Think of</w:t>
      </w:r>
      <w:r>
        <w:t xml:space="preserve"> </w:t>
      </w:r>
      <w:r>
        <w:t xml:space="preserve">“</w:t>
      </w:r>
      <w:r>
        <w:t xml:space="preserve">A Non-Pragmatic Vindication of Probabilism</w:t>
      </w:r>
      <w:r>
        <w:t xml:space="preserve">”</w:t>
      </w:r>
      <w:r>
        <w:t xml:space="preserve"> </w:t>
      </w:r>
      <w:r>
        <w:t xml:space="preserve">[@Joyce1998]</w:t>
      </w:r>
      <w:r>
        <w:t xml:space="preserve">, or</w:t>
      </w:r>
      <w:r>
        <w:t xml:space="preserve"> </w:t>
      </w:r>
      <w:r>
        <w:t xml:space="preserve">“</w:t>
      </w:r>
      <w:r>
        <w:t xml:space="preserve">Conditionalizing on Knowledge</w:t>
      </w:r>
      <w:r>
        <w:t xml:space="preserve">”</w:t>
      </w:r>
      <w:r>
        <w:rPr>
          <w:rStyle w:val="FootnoteReference"/>
        </w:rPr>
        <w:footnoteReference w:id="28"/>
      </w:r>
      <w:r>
        <w:t xml:space="preserve"> </w:t>
      </w:r>
      <w:r>
        <w:t xml:space="preserve">[@Williamson1998]</w:t>
      </w:r>
      <w:r>
        <w:t xml:space="preserve">. Around this time the Formal</w:t>
      </w:r>
      <w:r>
        <w:t xml:space="preserve"> </w:t>
      </w:r>
      <w:r>
        <w:rPr>
          <w:bCs/>
          <w:b/>
        </w:rPr>
        <w:t xml:space="preserve">Epistemology</w:t>
      </w:r>
      <w:r>
        <w:t xml:space="preserve"> </w:t>
      </w:r>
      <w:r>
        <w:t xml:space="preserve">Workshop gets going, pushing the idea that work that was previously considered part of philosophy of science is now epistemology.</w:t>
      </w:r>
    </w:p>
    <w:p>
      <w:pPr>
        <w:pStyle w:val="BodyText"/>
      </w:pPr>
      <w:r>
        <w:t xml:space="preserve">Between these factors, both pull factors from the editorial changes, and push factors from the field, I think what we see is a move of epistemology from specialist journals into</w:t>
      </w:r>
      <w:r>
        <w:t xml:space="preserve"> </w:t>
      </w:r>
      <w:r>
        <w:t xml:space="preserve">‘</w:t>
      </w:r>
      <w:r>
        <w:t xml:space="preserve">generalist</w:t>
      </w:r>
      <w:r>
        <w:t xml:space="preserve">’</w:t>
      </w:r>
      <w:r>
        <w:t xml:space="preserve"> </w:t>
      </w:r>
      <w:r>
        <w:t xml:space="preserve">journals.</w:t>
      </w:r>
    </w:p>
    <w:p>
      <w:pPr>
        <w:pStyle w:val="BodyText"/>
      </w:pPr>
      <w:r>
        <w:t xml:space="preserve">It’s possible the reverse is happening in political philosophy; those journals are becoming less important to political philosophy than more specialist journals like</w:t>
      </w:r>
      <w:r>
        <w:t xml:space="preserve"> </w:t>
      </w:r>
      <w:r>
        <w:rPr>
          <w:iCs/>
          <w:i/>
        </w:rPr>
        <w:t xml:space="preserve">Ethics</w:t>
      </w:r>
      <w:r>
        <w:t xml:space="preserve"> </w:t>
      </w:r>
      <w:r>
        <w:t xml:space="preserve">and</w:t>
      </w:r>
      <w:r>
        <w:t xml:space="preserve"> </w:t>
      </w:r>
      <w:r>
        <w:rPr>
          <w:iCs/>
          <w:i/>
        </w:rPr>
        <w:t xml:space="preserve">Philosophy and Public Affairs</w:t>
      </w:r>
      <w:r>
        <w:t xml:space="preserve">. There is a discussion to be had here about whether the big five journals really deserve the name</w:t>
      </w:r>
      <w:r>
        <w:t xml:space="preserve"> </w:t>
      </w:r>
      <w:r>
        <w:t xml:space="preserve">‘</w:t>
      </w:r>
      <w:r>
        <w:t xml:space="preserve">generalist</w:t>
      </w:r>
      <w:r>
        <w:t xml:space="preserve">’</w:t>
      </w:r>
      <w:r>
        <w:t xml:space="preserve"> </w:t>
      </w:r>
      <w:r>
        <w:t xml:space="preserve">in this period, but I’ll leave that for another day.</w:t>
      </w:r>
    </w:p>
    <w:p>
      <w:pPr>
        <w:pStyle w:val="BodyText"/>
      </w:pPr>
      <w:r>
        <w:t xml:space="preserve">Because I want to end by sketching a little study I did that might suggest a different reason for the results in those two figures. I think they’re really telling us something about something strange happening in the late 1980s and early 1990s. There are a lot fewer</w:t>
      </w:r>
      <w:r>
        <w:t xml:space="preserve"> </w:t>
      </w:r>
      <w:r>
        <w:t xml:space="preserve">‘</w:t>
      </w:r>
      <w:r>
        <w:t xml:space="preserve">big</w:t>
      </w:r>
      <w:r>
        <w:t xml:space="preserve">’</w:t>
      </w:r>
      <w:r>
        <w:t xml:space="preserve"> </w:t>
      </w:r>
      <w:r>
        <w:t xml:space="preserve">articles from that time. By a big article I mean one that’s being</w:t>
      </w:r>
      <w:r>
        <w:t xml:space="preserve"> </w:t>
      </w:r>
      <w:r>
        <w:rPr>
          <w:iCs/>
          <w:i/>
        </w:rPr>
        <w:t xml:space="preserve">very</w:t>
      </w:r>
      <w:r>
        <w:t xml:space="preserve"> </w:t>
      </w:r>
      <w:r>
        <w:t xml:space="preserve">widely cited within a few years, and has a long tail of citations that persist over decades. Philosophy always has these; except, I think, for that period. Maybe what’s distinctive in the citations around 2000 is that there should be, but isn’t the long tail of articles from 10-15 years earlier (plus/minus a few) that would normally be setting the agenda.</w:t>
      </w:r>
    </w:p>
    <w:p>
      <w:pPr>
        <w:pStyle w:val="BodyText"/>
      </w:pPr>
      <w:r>
        <w:t xml:space="preserve">So far I’ve said a lot of things that are very vibes based, so let me give you some data. This is also based on a citation study, and one that I think complements Eugenio’s study. He looked at</w:t>
      </w:r>
      <w:r>
        <w:t xml:space="preserve"> </w:t>
      </w:r>
      <w:r>
        <w:rPr>
          <w:bCs/>
          <w:b/>
        </w:rPr>
        <w:t xml:space="preserve">all</w:t>
      </w:r>
      <w:r>
        <w:t xml:space="preserve"> </w:t>
      </w:r>
      <w:r>
        <w:t xml:space="preserve">the citations in a</w:t>
      </w:r>
      <w:r>
        <w:t xml:space="preserve"> </w:t>
      </w:r>
      <w:r>
        <w:rPr>
          <w:bCs/>
          <w:b/>
        </w:rPr>
        <w:t xml:space="preserve">few</w:t>
      </w:r>
      <w:r>
        <w:t xml:space="preserve"> </w:t>
      </w:r>
      <w:r>
        <w:t xml:space="preserve">journals. I’m working on a study that flips that around: I’m looking at a smaller selection of the citations in all the philosophy journals. The point is not that he did anything wrong and I’m doing it right. The point is rather, as he says in section 3.4, that what we’re doing here is building</w:t>
      </w:r>
      <w:r>
        <w:t xml:space="preserve"> </w:t>
      </w:r>
      <w:r>
        <w:rPr>
          <w:bCs/>
          <w:b/>
        </w:rPr>
        <w:t xml:space="preserve">models</w:t>
      </w:r>
      <w:r>
        <w:t xml:space="preserve"> </w:t>
      </w:r>
      <w:r>
        <w:t xml:space="preserve">of the field. All models have strengths and weaknesses; we should build several and see how they interact.</w:t>
      </w:r>
    </w:p>
    <w:p>
      <w:pPr>
        <w:pStyle w:val="BodyText"/>
      </w:pPr>
      <w:r>
        <w:t xml:space="preserve">So what I did was take the Web of Science data, and focus on 100 philosophy journals from 1956 onwards. For each year from 1956-2015 I made a list of one hundred widely cited articles, with a mix of articles that were widely cited immediately after publication, articles that have been widely cited in the last few years, and articles that are widely cited overall. That gave me 6000 articles. Then I repeated the kind of analysis Eugenio did, looking at more journals (100 rather than 5), but with many fewer cited sources (just those 6000 rather than everything).</w:t>
      </w:r>
    </w:p>
    <w:p>
      <w:pPr>
        <w:pStyle w:val="BodyText"/>
      </w:pPr>
      <w:hyperlink w:anchor="fig-matrix">
        <w:r>
          <w:rPr>
            <w:rStyle w:val="Hyperlink"/>
          </w:rPr>
          <w:t xml:space="preserve">Figure 3</w:t>
        </w:r>
      </w:hyperlink>
      <w:r>
        <w:t xml:space="preserve"> </w:t>
      </w:r>
      <w:r>
        <w:t xml:space="preserve">shows the year by year similarity.</w:t>
      </w:r>
    </w:p>
    <w:tbl>
      <w:tblPr>
        <w:tblStyle w:val="Table"/>
        <w:tblW w:type="pct" w:w="5000"/>
        <w:tblLook w:firstRow="0" w:lastRow="0" w:firstColumn="0" w:lastColumn="0" w:noHBand="0" w:noVBand="0" w:val="0000"/>
        <w:jc w:val="start"/>
        <w:tblLayout w:type="fixed"/>
      </w:tblPr>
      <w:tblGrid>
        <w:gridCol w:w="7920"/>
      </w:tblGrid>
      <w:tr>
        <w:tc>
          <w:tcPr/>
          <w:bookmarkStart w:id="32" w:name="fig-matrix"/>
          <w:p>
            <w:pPr>
              <w:pStyle w:val="Compact"/>
              <w:jc w:val="center"/>
            </w:pPr>
            <w:r>
              <w:drawing>
                <wp:inline>
                  <wp:extent cx="5334000" cy="4267200"/>
                  <wp:effectExtent b="0" l="0" r="0" t="0"/>
                  <wp:docPr descr="" title="" id="30" name="Picture"/>
                  <a:graphic>
                    <a:graphicData uri="http://schemas.openxmlformats.org/drawingml/2006/picture">
                      <pic:pic>
                        <pic:nvPicPr>
                          <pic:cNvPr descr="citation-break_files/figure-docx/fig-matrix-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Similarity between citations for different years.</w:t>
            </w:r>
          </w:p>
          <w:bookmarkEnd w:id="32"/>
        </w:tc>
      </w:tr>
    </w:tbl>
    <w:p>
      <w:pPr>
        <w:pStyle w:val="BodyText"/>
      </w:pPr>
      <w:r>
        <w:t xml:space="preserve">This starts in 1960 because before that, citations to articles published 1956 or later are few enough that it’s mostly just noise.</w:t>
      </w:r>
    </w:p>
    <w:p>
      <w:pPr>
        <w:pStyle w:val="BodyText"/>
      </w:pPr>
      <w:r>
        <w:t xml:space="preserve">There doesn’t seem to be any sharp break around 2000. To see if I was missing something, for each year I calculated the average of the similarity measure between it and the preceding five years, and the result is</w:t>
      </w:r>
      <w:r>
        <w:t xml:space="preserve"> </w:t>
      </w:r>
      <w:hyperlink w:anchor="fig-rolling-average">
        <w:r>
          <w:rPr>
            <w:rStyle w:val="Hyperlink"/>
          </w:rPr>
          <w:t xml:space="preserve">Figure 4</w:t>
        </w:r>
      </w:hyperlink>
      <w:r>
        <w:t xml:space="preserve">. Again, I’ve left out the very noisy years at the very start; the first year here is 1970, so the first year whose citations get used is 1965</w:t>
      </w:r>
    </w:p>
    <w:tbl>
      <w:tblPr>
        <w:tblStyle w:val="Table"/>
        <w:tblW w:type="pct" w:w="5000"/>
        <w:tblLook w:firstRow="0" w:lastRow="0" w:firstColumn="0" w:lastColumn="0" w:noHBand="0" w:noVBand="0" w:val="0000"/>
        <w:jc w:val="start"/>
        <w:tblLayout w:type="fixed"/>
      </w:tblPr>
      <w:tblGrid>
        <w:gridCol w:w="7920"/>
      </w:tblGrid>
      <w:tr>
        <w:tc>
          <w:tcPr/>
          <w:bookmarkStart w:id="36" w:name="fig-rolling-average"/>
          <w:p>
            <w:pPr>
              <w:pStyle w:val="Compact"/>
              <w:jc w:val="center"/>
            </w:pPr>
            <w:r>
              <w:drawing>
                <wp:inline>
                  <wp:extent cx="5334000" cy="4267200"/>
                  <wp:effectExtent b="0" l="0" r="0" t="0"/>
                  <wp:docPr descr="" title="" id="34" name="Picture"/>
                  <a:graphic>
                    <a:graphicData uri="http://schemas.openxmlformats.org/drawingml/2006/picture">
                      <pic:pic>
                        <pic:nvPicPr>
                          <pic:cNvPr descr="citation-break_files/figure-docx/fig-rolling-average-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Similarity between a year’s citations and the previous five years’ citations (1970-2022).</w:t>
            </w:r>
          </w:p>
          <w:bookmarkEnd w:id="36"/>
        </w:tc>
      </w:tr>
    </w:tbl>
    <w:p>
      <w:pPr>
        <w:pStyle w:val="BodyText"/>
      </w:pPr>
      <w:r>
        <w:t xml:space="preserve">The striking thing in</w:t>
      </w:r>
      <w:r>
        <w:t xml:space="preserve"> </w:t>
      </w:r>
      <w:hyperlink w:anchor="fig-rolling-average">
        <w:r>
          <w:rPr>
            <w:rStyle w:val="Hyperlink"/>
          </w:rPr>
          <w:t xml:space="preserve">Figure 4</w:t>
        </w:r>
      </w:hyperlink>
      <w:r>
        <w:t xml:space="preserve"> </w:t>
      </w:r>
      <w:r>
        <w:t xml:space="preserve">is the long pause between the late 1970s and early 2000s. The trend line even goes gently down for a while. Given the way I’ve set things up, that shouldn’t happen. Citations tend to go backwards in time, so each year a new hundred articles are getting added to the range of possible citations. That makes a small difference at the end; the new articles are only 2% of the universe. But it makes a big difference at the start. So graph, which measures how similar a year is to the previous 5 in how it treats these 4000 articles, should slope up. Indeed, if we run the exact same study starting in 1986 rather than 1956, we get</w:t>
      </w:r>
      <w:r>
        <w:t xml:space="preserve"> </w:t>
      </w:r>
      <w:hyperlink w:anchor="fig-rolling-average-late">
        <w:r>
          <w:rPr>
            <w:rStyle w:val="Hyperlink"/>
          </w:rPr>
          <w:t xml:space="preserve">Figure 5</w:t>
        </w:r>
      </w:hyperlink>
      <w:r>
        <w:t xml:space="preserve">, which is what I’d a priori expect.</w:t>
      </w:r>
    </w:p>
    <w:tbl>
      <w:tblPr>
        <w:tblStyle w:val="Table"/>
        <w:tblW w:type="pct" w:w="5000"/>
        <w:tblLook w:firstRow="0" w:lastRow="0" w:firstColumn="0" w:lastColumn="0" w:noHBand="0" w:noVBand="0" w:val="0000"/>
        <w:jc w:val="start"/>
        <w:tblLayout w:type="fixed"/>
      </w:tblPr>
      <w:tblGrid>
        <w:gridCol w:w="7920"/>
      </w:tblGrid>
      <w:tr>
        <w:tc>
          <w:tcPr/>
          <w:bookmarkStart w:id="40" w:name="fig-rolling-average-late"/>
          <w:p>
            <w:pPr>
              <w:pStyle w:val="Compact"/>
              <w:jc w:val="center"/>
            </w:pPr>
            <w:r>
              <w:drawing>
                <wp:inline>
                  <wp:extent cx="5334000" cy="4267200"/>
                  <wp:effectExtent b="0" l="0" r="0" t="0"/>
                  <wp:docPr descr="" title="" id="38" name="Picture"/>
                  <a:graphic>
                    <a:graphicData uri="http://schemas.openxmlformats.org/drawingml/2006/picture">
                      <pic:pic>
                        <pic:nvPicPr>
                          <pic:cNvPr descr="citation-break_files/figure-docx/fig-rolling-average-late-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Similarity between a year’s citations and the previous five years’ citations (1995-2022).</w:t>
            </w:r>
          </w:p>
          <w:bookmarkEnd w:id="40"/>
        </w:tc>
      </w:tr>
    </w:tbl>
    <w:p>
      <w:pPr>
        <w:pStyle w:val="BodyText"/>
      </w:pPr>
      <w:r>
        <w:t xml:space="preserve">Something odd is happening with the citations to articles from the 1980s and early 1990s. Here is my conjecture about why we see something like a break around 2000. There are three things going on at once.</w:t>
      </w:r>
    </w:p>
    <w:p>
      <w:pPr>
        <w:numPr>
          <w:ilvl w:val="0"/>
          <w:numId w:val="1002"/>
        </w:numPr>
        <w:pStyle w:val="Compact"/>
      </w:pPr>
      <w:r>
        <w:t xml:space="preserve">Every year there are a huge number of citations to recently published papers; lots of replies, and making small moves on top of recent work. These kind of citations keep appearing for a decade or more, but they gradually fade away.</w:t>
      </w:r>
    </w:p>
    <w:p>
      <w:pPr>
        <w:numPr>
          <w:ilvl w:val="0"/>
          <w:numId w:val="1002"/>
        </w:numPr>
        <w:pStyle w:val="Compact"/>
      </w:pPr>
      <w:r>
        <w:t xml:space="preserve">Typically, there are a handful of papers that really define a field, and while they aren’t always immediately recognised as such, they tend to keep being cited, in massive volumes, for many years after the fact.</w:t>
      </w:r>
    </w:p>
    <w:p>
      <w:pPr>
        <w:numPr>
          <w:ilvl w:val="0"/>
          <w:numId w:val="1002"/>
        </w:numPr>
        <w:pStyle w:val="Compact"/>
      </w:pPr>
      <w:r>
        <w:t xml:space="preserve">The 1980s saw fewer of these papers being produced, especially after 1983. So around 2000 the usual turnover of citations, the allure of the new, had a more dramatic effect because it wasn’t mixed with continued discussion of the field defining papers from 10-15 years earlier.</w:t>
      </w:r>
    </w:p>
    <w:p>
      <w:pPr>
        <w:pStyle w:val="FirstParagraph"/>
      </w:pPr>
      <w:r>
        <w:t xml:space="preserve">Note here that I’m only making a claim about journal articles. There were some field defining books published in this time, notably</w:t>
      </w:r>
      <w:r>
        <w:t xml:space="preserve"> </w:t>
      </w:r>
      <w:r>
        <w:rPr>
          <w:iCs/>
          <w:i/>
        </w:rPr>
        <w:t xml:space="preserve">On the Plurality of Worlds</w:t>
      </w:r>
      <w:r>
        <w:t xml:space="preserve">. And I haven’t done a study of chapters in edited volumes. But the journals stopped producing articles that had much staying power. Here’s one way to see this.</w:t>
      </w:r>
    </w:p>
    <w:p>
      <w:pPr>
        <w:pStyle w:val="BodyText"/>
      </w:pPr>
      <w:r>
        <w:t xml:space="preserve">Start by looking at articles published in the first half of the 2000s, i.e., 2000-2004. By the end of the 2000s, the 15 most cited articles from the first half of the decade were shown in</w:t>
      </w:r>
      <w:r>
        <w:t xml:space="preserve"> </w:t>
      </w:r>
      <w:hyperlink w:anchor="tbl-early-2000s">
        <w:r>
          <w:rPr>
            <w:rStyle w:val="Hyperlink"/>
          </w:rPr>
          <w:t xml:space="preserve">Table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tbl-early-2000s"/>
          <w:p>
            <w:pPr>
              <w:jc w:val="center"/>
            </w:pPr>
            <w:pPr>
              <w:jc w:val="start"/>
              <w:spacing w:before="200"/>
              <w:pStyle w:val="ImageCaption"/>
            </w:pPr>
            <w:r>
              <w:t xml:space="preserve">Table 1: Most cited 2000s articles by 2009.</w:t>
            </w:r>
          </w:p>
          <w:tbl>
            <w:tblPr>
              <w:tblStyle w:val="Table"/>
              <w:tblW w:type="pct" w:w="5000"/>
              <w:tblLook w:firstRow="1" w:lastRow="0" w:firstColumn="0" w:lastColumn="0" w:noHBand="0" w:noVBand="0" w:val="0020"/>
              <w:jc w:val="start"/>
              <w:tblLayout w:type="fixed"/>
            </w:tblPr>
            <w:tblGrid>
              <w:gridCol w:w="7402"/>
              <w:gridCol w:w="517"/>
            </w:tblGrid>
            <w:tr>
              <w:trPr>
                <w:tblHeader w:val="true"/>
              </w:trPr>
              <w:tc>
                <w:tcPr/>
                <w:p>
                  <w:pPr>
                    <w:pStyle w:val="Compact"/>
                    <w:jc w:val="left"/>
                    <w:jc w:val="center"/>
                  </w:pPr>
                  <w:r>
                    <w:t xml:space="preserve">Article</w:t>
                  </w:r>
                </w:p>
              </w:tc>
              <w:tc>
                <w:tcPr/>
                <w:p>
                  <w:pPr>
                    <w:pStyle w:val="Compact"/>
                    <w:jc w:val="right"/>
                    <w:jc w:val="center"/>
                  </w:pPr>
                  <w:r>
                    <w:t xml:space="preserve">Citations</w:t>
                  </w:r>
                </w:p>
              </w:tc>
            </w:tr>
            <w:tr>
              <w:tc>
                <w:tcPr/>
                <w:p>
                  <w:pPr>
                    <w:pStyle w:val="Compact"/>
                    <w:jc w:val="left"/>
                    <w:jc w:val="center"/>
                  </w:pPr>
                  <w:r>
                    <w:t xml:space="preserve">P Machamer, L Darden, and CF Craver (2000)</w:t>
                  </w:r>
                  <w:r>
                    <w:t xml:space="preserve"> </w:t>
                  </w:r>
                  <w:r>
                    <w:t xml:space="preserve">“</w:t>
                  </w:r>
                  <w:r>
                    <w:t xml:space="preserve">Thinking About Mechanisms,</w:t>
                  </w:r>
                  <w:r>
                    <w:t xml:space="preserve">”</w:t>
                  </w:r>
                  <w:r>
                    <w:t xml:space="preserve"> </w:t>
                  </w:r>
                  <w:r>
                    <w:rPr>
                      <w:iCs/>
                      <w:i/>
                    </w:rPr>
                    <w:t xml:space="preserve">Philosophy Of Science</w:t>
                  </w:r>
                  <w:r>
                    <w:t xml:space="preserve"> </w:t>
                  </w:r>
                  <w:r>
                    <w:t xml:space="preserve">67 (1): 1-25.</w:t>
                  </w:r>
                </w:p>
              </w:tc>
              <w:tc>
                <w:tcPr/>
                <w:p>
                  <w:pPr>
                    <w:pStyle w:val="Compact"/>
                    <w:jc w:val="right"/>
                    <w:jc w:val="center"/>
                  </w:pPr>
                  <w:r>
                    <w:t xml:space="preserve">86</w:t>
                  </w:r>
                </w:p>
              </w:tc>
            </w:tr>
            <w:tr>
              <w:tc>
                <w:tcPr/>
                <w:p>
                  <w:pPr>
                    <w:pStyle w:val="Compact"/>
                    <w:jc w:val="left"/>
                    <w:jc w:val="center"/>
                  </w:pPr>
                  <w:r>
                    <w:t xml:space="preserve">W Rabinowicz and T Ronnow-Rasmussen (2004)</w:t>
                  </w:r>
                  <w:r>
                    <w:t xml:space="preserve"> </w:t>
                  </w:r>
                  <w:r>
                    <w:t xml:space="preserve">“</w:t>
                  </w:r>
                  <w:r>
                    <w:t xml:space="preserve">The Strike of the Demon: On Fitting Pro-Attitudes and Value,</w:t>
                  </w:r>
                  <w:r>
                    <w:t xml:space="preserve">”</w:t>
                  </w:r>
                  <w:r>
                    <w:t xml:space="preserve"> </w:t>
                  </w:r>
                  <w:r>
                    <w:rPr>
                      <w:iCs/>
                      <w:i/>
                    </w:rPr>
                    <w:t xml:space="preserve">Ethics</w:t>
                  </w:r>
                  <w:r>
                    <w:t xml:space="preserve"> </w:t>
                  </w:r>
                  <w:r>
                    <w:t xml:space="preserve">114 (3): 391-423.</w:t>
                  </w:r>
                </w:p>
              </w:tc>
              <w:tc>
                <w:tcPr/>
                <w:p>
                  <w:pPr>
                    <w:pStyle w:val="Compact"/>
                    <w:jc w:val="right"/>
                    <w:jc w:val="center"/>
                  </w:pPr>
                  <w:r>
                    <w:t xml:space="preserve">71</w:t>
                  </w:r>
                </w:p>
              </w:tc>
            </w:tr>
            <w:tr>
              <w:tc>
                <w:tcPr/>
                <w:p>
                  <w:pPr>
                    <w:pStyle w:val="Compact"/>
                    <w:jc w:val="left"/>
                    <w:jc w:val="center"/>
                  </w:pPr>
                  <w:r>
                    <w:t xml:space="preserve">K DeRose (2003)</w:t>
                  </w:r>
                  <w:r>
                    <w:t xml:space="preserve"> </w:t>
                  </w:r>
                  <w:r>
                    <w:t xml:space="preserve">“</w:t>
                  </w:r>
                  <w:r>
                    <w:t xml:space="preserve">Assertion, Knowledge, and Context,</w:t>
                  </w:r>
                  <w:r>
                    <w:t xml:space="preserve">”</w:t>
                  </w:r>
                  <w:r>
                    <w:t xml:space="preserve"> </w:t>
                  </w:r>
                  <w:r>
                    <w:rPr>
                      <w:iCs/>
                      <w:i/>
                    </w:rPr>
                    <w:t xml:space="preserve">Philosophical Review</w:t>
                  </w:r>
                  <w:r>
                    <w:t xml:space="preserve"> </w:t>
                  </w:r>
                  <w:r>
                    <w:t xml:space="preserve">111 (2): 167-203.</w:t>
                  </w:r>
                </w:p>
              </w:tc>
              <w:tc>
                <w:tcPr/>
                <w:p>
                  <w:pPr>
                    <w:pStyle w:val="Compact"/>
                    <w:jc w:val="right"/>
                    <w:jc w:val="center"/>
                  </w:pPr>
                  <w:r>
                    <w:t xml:space="preserve">67</w:t>
                  </w:r>
                </w:p>
              </w:tc>
            </w:tr>
            <w:tr>
              <w:tc>
                <w:tcPr/>
                <w:p>
                  <w:pPr>
                    <w:pStyle w:val="Compact"/>
                    <w:jc w:val="left"/>
                    <w:jc w:val="center"/>
                  </w:pPr>
                  <w:r>
                    <w:t xml:space="preserve">J Knobe (2003)</w:t>
                  </w:r>
                  <w:r>
                    <w:t xml:space="preserve"> </w:t>
                  </w:r>
                  <w:r>
                    <w:t xml:space="preserve">“</w:t>
                  </w:r>
                  <w:r>
                    <w:t xml:space="preserve">Intentional Action and Side Effects in Ordinary Language,</w:t>
                  </w:r>
                  <w:r>
                    <w:t xml:space="preserve">”</w:t>
                  </w:r>
                  <w:r>
                    <w:t xml:space="preserve"> </w:t>
                  </w:r>
                  <w:r>
                    <w:rPr>
                      <w:iCs/>
                      <w:i/>
                    </w:rPr>
                    <w:t xml:space="preserve">Analysis</w:t>
                  </w:r>
                  <w:r>
                    <w:t xml:space="preserve"> </w:t>
                  </w:r>
                  <w:r>
                    <w:t xml:space="preserve">63 (3): 190-194.</w:t>
                  </w:r>
                </w:p>
              </w:tc>
              <w:tc>
                <w:tcPr/>
                <w:p>
                  <w:pPr>
                    <w:pStyle w:val="Compact"/>
                    <w:jc w:val="right"/>
                    <w:jc w:val="center"/>
                  </w:pPr>
                  <w:r>
                    <w:t xml:space="preserve">58</w:t>
                  </w:r>
                </w:p>
              </w:tc>
            </w:tr>
            <w:tr>
              <w:tc>
                <w:tcPr/>
                <w:p>
                  <w:pPr>
                    <w:pStyle w:val="Compact"/>
                    <w:jc w:val="left"/>
                    <w:jc w:val="center"/>
                  </w:pPr>
                  <w:r>
                    <w:t xml:space="preserve">D Lewis (2000)</w:t>
                  </w:r>
                  <w:r>
                    <w:t xml:space="preserve"> </w:t>
                  </w:r>
                  <w:r>
                    <w:t xml:space="preserve">“</w:t>
                  </w:r>
                  <w:r>
                    <w:t xml:space="preserve">Causation as Influence,</w:t>
                  </w:r>
                  <w:r>
                    <w:t xml:space="preserve">”</w:t>
                  </w:r>
                  <w:r>
                    <w:t xml:space="preserve"> </w:t>
                  </w:r>
                  <w:r>
                    <w:rPr>
                      <w:iCs/>
                      <w:i/>
                    </w:rPr>
                    <w:t xml:space="preserve">Journal Of Philosophy</w:t>
                  </w:r>
                  <w:r>
                    <w:t xml:space="preserve"> </w:t>
                  </w:r>
                  <w:r>
                    <w:t xml:space="preserve">97 (4): 182-197.</w:t>
                  </w:r>
                </w:p>
              </w:tc>
              <w:tc>
                <w:tcPr/>
                <w:p>
                  <w:pPr>
                    <w:pStyle w:val="Compact"/>
                    <w:jc w:val="right"/>
                    <w:jc w:val="center"/>
                  </w:pPr>
                  <w:r>
                    <w:t xml:space="preserve">57</w:t>
                  </w:r>
                </w:p>
              </w:tc>
            </w:tr>
            <w:tr>
              <w:tc>
                <w:tcPr/>
                <w:p>
                  <w:pPr>
                    <w:pStyle w:val="Compact"/>
                    <w:jc w:val="left"/>
                    <w:jc w:val="center"/>
                  </w:pPr>
                  <w:r>
                    <w:t xml:space="preserve">C Travis (2004)</w:t>
                  </w:r>
                  <w:r>
                    <w:t xml:space="preserve"> </w:t>
                  </w:r>
                  <w:r>
                    <w:t xml:space="preserve">“</w:t>
                  </w:r>
                  <w:r>
                    <w:t xml:space="preserve">The Silence of the Senses,</w:t>
                  </w:r>
                  <w:r>
                    <w:t xml:space="preserve">”</w:t>
                  </w:r>
                  <w:r>
                    <w:t xml:space="preserve"> </w:t>
                  </w:r>
                  <w:r>
                    <w:rPr>
                      <w:iCs/>
                      <w:i/>
                    </w:rPr>
                    <w:t xml:space="preserve">Mind</w:t>
                  </w:r>
                  <w:r>
                    <w:t xml:space="preserve"> </w:t>
                  </w:r>
                  <w:r>
                    <w:t xml:space="preserve">113 (449): 57-94.</w:t>
                  </w:r>
                </w:p>
              </w:tc>
              <w:tc>
                <w:tcPr/>
                <w:p>
                  <w:pPr>
                    <w:pStyle w:val="Compact"/>
                    <w:jc w:val="right"/>
                    <w:jc w:val="center"/>
                  </w:pPr>
                  <w:r>
                    <w:t xml:space="preserve">55</w:t>
                  </w:r>
                </w:p>
              </w:tc>
            </w:tr>
            <w:tr>
              <w:tc>
                <w:tcPr/>
                <w:p>
                  <w:pPr>
                    <w:pStyle w:val="Compact"/>
                    <w:jc w:val="left"/>
                    <w:jc w:val="center"/>
                  </w:pPr>
                  <w:r>
                    <w:t xml:space="preserve">DJ Chalmers and F Jackson (2001)</w:t>
                  </w:r>
                  <w:r>
                    <w:t xml:space="preserve"> </w:t>
                  </w:r>
                  <w:r>
                    <w:t xml:space="preserve">“</w:t>
                  </w:r>
                  <w:r>
                    <w:t xml:space="preserve">Conceptual Analysis and Reductive Explanation,</w:t>
                  </w:r>
                  <w:r>
                    <w:t xml:space="preserve">”</w:t>
                  </w:r>
                  <w:r>
                    <w:t xml:space="preserve"> </w:t>
                  </w:r>
                  <w:r>
                    <w:rPr>
                      <w:iCs/>
                      <w:i/>
                    </w:rPr>
                    <w:t xml:space="preserve">Philosophical Review</w:t>
                  </w:r>
                  <w:r>
                    <w:t xml:space="preserve"> </w:t>
                  </w:r>
                  <w:r>
                    <w:t xml:space="preserve">110 (3): 315-360.</w:t>
                  </w:r>
                </w:p>
              </w:tc>
              <w:tc>
                <w:tcPr/>
                <w:p>
                  <w:pPr>
                    <w:pStyle w:val="Compact"/>
                    <w:jc w:val="right"/>
                    <w:jc w:val="center"/>
                  </w:pPr>
                  <w:r>
                    <w:t xml:space="preserve">54</w:t>
                  </w:r>
                </w:p>
              </w:tc>
            </w:tr>
            <w:tr>
              <w:tc>
                <w:tcPr/>
                <w:p>
                  <w:pPr>
                    <w:pStyle w:val="Compact"/>
                    <w:jc w:val="left"/>
                    <w:jc w:val="center"/>
                  </w:pPr>
                  <w:r>
                    <w:t xml:space="preserve">J Stanley and T Williamson (2001)</w:t>
                  </w:r>
                  <w:r>
                    <w:t xml:space="preserve"> </w:t>
                  </w:r>
                  <w:r>
                    <w:t xml:space="preserve">“</w:t>
                  </w:r>
                  <w:r>
                    <w:t xml:space="preserve">Knowing How,</w:t>
                  </w:r>
                  <w:r>
                    <w:t xml:space="preserve">”</w:t>
                  </w:r>
                  <w:r>
                    <w:t xml:space="preserve"> </w:t>
                  </w:r>
                  <w:r>
                    <w:rPr>
                      <w:iCs/>
                      <w:i/>
                    </w:rPr>
                    <w:t xml:space="preserve">Journal Of Philosophy</w:t>
                  </w:r>
                  <w:r>
                    <w:t xml:space="preserve"> </w:t>
                  </w:r>
                  <w:r>
                    <w:t xml:space="preserve">98 (8): 411-444.</w:t>
                  </w:r>
                </w:p>
              </w:tc>
              <w:tc>
                <w:tcPr/>
                <w:p>
                  <w:pPr>
                    <w:pStyle w:val="Compact"/>
                    <w:jc w:val="right"/>
                    <w:jc w:val="center"/>
                  </w:pPr>
                  <w:r>
                    <w:t xml:space="preserve">53</w:t>
                  </w:r>
                </w:p>
              </w:tc>
            </w:tr>
            <w:tr>
              <w:tc>
                <w:tcPr/>
                <w:p>
                  <w:pPr>
                    <w:pStyle w:val="Compact"/>
                    <w:jc w:val="left"/>
                    <w:jc w:val="center"/>
                  </w:pPr>
                  <w:r>
                    <w:t xml:space="preserve">S Glennan (2002)</w:t>
                  </w:r>
                  <w:r>
                    <w:t xml:space="preserve"> </w:t>
                  </w:r>
                  <w:r>
                    <w:t xml:space="preserve">“</w:t>
                  </w:r>
                  <w:r>
                    <w:t xml:space="preserve">Rethinking Mechanistic Explanation,</w:t>
                  </w:r>
                  <w:r>
                    <w:t xml:space="preserve">”</w:t>
                  </w:r>
                  <w:r>
                    <w:t xml:space="preserve"> </w:t>
                  </w:r>
                  <w:r>
                    <w:rPr>
                      <w:iCs/>
                      <w:i/>
                    </w:rPr>
                    <w:t xml:space="preserve">Philosophy Of Science</w:t>
                  </w:r>
                  <w:r>
                    <w:t xml:space="preserve"> </w:t>
                  </w:r>
                  <w:r>
                    <w:t xml:space="preserve">69 (3): 342-353.</w:t>
                  </w:r>
                </w:p>
              </w:tc>
              <w:tc>
                <w:tcPr/>
                <w:p>
                  <w:pPr>
                    <w:pStyle w:val="Compact"/>
                    <w:jc w:val="right"/>
                    <w:jc w:val="center"/>
                  </w:pPr>
                  <w:r>
                    <w:t xml:space="preserve">46</w:t>
                  </w:r>
                </w:p>
              </w:tc>
            </w:tr>
            <w:tr>
              <w:tc>
                <w:tcPr/>
                <w:p>
                  <w:pPr>
                    <w:pStyle w:val="Compact"/>
                    <w:jc w:val="left"/>
                    <w:jc w:val="center"/>
                  </w:pPr>
                  <w:r>
                    <w:t xml:space="preserve">J Pryor (2000)</w:t>
                  </w:r>
                  <w:r>
                    <w:t xml:space="preserve"> </w:t>
                  </w:r>
                  <w:r>
                    <w:t xml:space="preserve">“</w:t>
                  </w:r>
                  <w:r>
                    <w:t xml:space="preserve">The Skeptic and the Dogmatist,</w:t>
                  </w:r>
                  <w:r>
                    <w:t xml:space="preserve">”</w:t>
                  </w:r>
                  <w:r>
                    <w:t xml:space="preserve"> </w:t>
                  </w:r>
                  <w:r>
                    <w:rPr>
                      <w:iCs/>
                      <w:i/>
                    </w:rPr>
                    <w:t xml:space="preserve">Noûs</w:t>
                  </w:r>
                  <w:r>
                    <w:t xml:space="preserve"> </w:t>
                  </w:r>
                  <w:r>
                    <w:t xml:space="preserve">34 (4): 517-549.</w:t>
                  </w:r>
                </w:p>
              </w:tc>
              <w:tc>
                <w:tcPr/>
                <w:p>
                  <w:pPr>
                    <w:pStyle w:val="Compact"/>
                    <w:jc w:val="right"/>
                    <w:jc w:val="center"/>
                  </w:pPr>
                  <w:r>
                    <w:t xml:space="preserve">45</w:t>
                  </w:r>
                </w:p>
              </w:tc>
            </w:tr>
            <w:tr>
              <w:tc>
                <w:tcPr/>
                <w:p>
                  <w:pPr>
                    <w:pStyle w:val="Compact"/>
                    <w:jc w:val="left"/>
                    <w:jc w:val="center"/>
                  </w:pPr>
                  <w:r>
                    <w:t xml:space="preserve">M Matthen and A Ariew (2002)</w:t>
                  </w:r>
                  <w:r>
                    <w:t xml:space="preserve"> </w:t>
                  </w:r>
                  <w:r>
                    <w:t xml:space="preserve">“</w:t>
                  </w:r>
                  <w:r>
                    <w:t xml:space="preserve">Two Ways of Thinking About Fitness and Natural Selection,</w:t>
                  </w:r>
                  <w:r>
                    <w:t xml:space="preserve">”</w:t>
                  </w:r>
                  <w:r>
                    <w:t xml:space="preserve"> </w:t>
                  </w:r>
                  <w:r>
                    <w:rPr>
                      <w:iCs/>
                      <w:i/>
                    </w:rPr>
                    <w:t xml:space="preserve">Journal Of Philosophy</w:t>
                  </w:r>
                  <w:r>
                    <w:t xml:space="preserve"> </w:t>
                  </w:r>
                  <w:r>
                    <w:t xml:space="preserve">99 (2): 55-83.</w:t>
                  </w:r>
                </w:p>
              </w:tc>
              <w:tc>
                <w:tcPr/>
                <w:p>
                  <w:pPr>
                    <w:pStyle w:val="Compact"/>
                    <w:jc w:val="right"/>
                    <w:jc w:val="center"/>
                  </w:pPr>
                  <w:r>
                    <w:t xml:space="preserve">43</w:t>
                  </w:r>
                </w:p>
              </w:tc>
            </w:tr>
            <w:tr>
              <w:tc>
                <w:tcPr/>
                <w:p>
                  <w:pPr>
                    <w:pStyle w:val="Compact"/>
                    <w:jc w:val="left"/>
                    <w:jc w:val="center"/>
                  </w:pPr>
                  <w:r>
                    <w:t xml:space="preserve">D Pitt (2004)</w:t>
                  </w:r>
                  <w:r>
                    <w:t xml:space="preserve"> </w:t>
                  </w:r>
                  <w:r>
                    <w:t xml:space="preserve">“</w:t>
                  </w:r>
                  <w:r>
                    <w:t xml:space="preserve">The Phenomenology of Cognition, Or, What is It Like To Think That P?,</w:t>
                  </w:r>
                  <w:r>
                    <w:t xml:space="preserve">”</w:t>
                  </w:r>
                  <w:r>
                    <w:t xml:space="preserve"> </w:t>
                  </w:r>
                  <w:r>
                    <w:rPr>
                      <w:iCs/>
                      <w:i/>
                    </w:rPr>
                    <w:t xml:space="preserve">Philosophy And Phenomenological Research</w:t>
                  </w:r>
                  <w:r>
                    <w:t xml:space="preserve"> </w:t>
                  </w:r>
                  <w:r>
                    <w:t xml:space="preserve">69 (1): 1-36.</w:t>
                  </w:r>
                </w:p>
              </w:tc>
              <w:tc>
                <w:tcPr/>
                <w:p>
                  <w:pPr>
                    <w:pStyle w:val="Compact"/>
                    <w:jc w:val="right"/>
                    <w:jc w:val="center"/>
                  </w:pPr>
                  <w:r>
                    <w:t xml:space="preserve">43</w:t>
                  </w:r>
                </w:p>
              </w:tc>
            </w:tr>
            <w:tr>
              <w:tc>
                <w:tcPr/>
                <w:p>
                  <w:pPr>
                    <w:pStyle w:val="Compact"/>
                    <w:jc w:val="left"/>
                    <w:jc w:val="center"/>
                  </w:pPr>
                  <w:r>
                    <w:t xml:space="preserve">J MacFarlane (2003)</w:t>
                  </w:r>
                  <w:r>
                    <w:t xml:space="preserve"> </w:t>
                  </w:r>
                  <w:r>
                    <w:t xml:space="preserve">“</w:t>
                  </w:r>
                  <w:r>
                    <w:t xml:space="preserve">Future Contingents and Relative Truth,</w:t>
                  </w:r>
                  <w:r>
                    <w:t xml:space="preserve">”</w:t>
                  </w:r>
                  <w:r>
                    <w:t xml:space="preserve"> </w:t>
                  </w:r>
                  <w:r>
                    <w:rPr>
                      <w:iCs/>
                      <w:i/>
                    </w:rPr>
                    <w:t xml:space="preserve">Philosophical Quarterly</w:t>
                  </w:r>
                  <w:r>
                    <w:t xml:space="preserve"> </w:t>
                  </w:r>
                  <w:r>
                    <w:t xml:space="preserve">53 (212): 321-336.</w:t>
                  </w:r>
                </w:p>
              </w:tc>
              <w:tc>
                <w:tcPr/>
                <w:p>
                  <w:pPr>
                    <w:pStyle w:val="Compact"/>
                    <w:jc w:val="right"/>
                    <w:jc w:val="center"/>
                  </w:pPr>
                  <w:r>
                    <w:t xml:space="preserve">41</w:t>
                  </w:r>
                </w:p>
              </w:tc>
            </w:tr>
            <w:tr>
              <w:tc>
                <w:tcPr/>
                <w:p>
                  <w:pPr>
                    <w:pStyle w:val="Compact"/>
                    <w:jc w:val="left"/>
                    <w:jc w:val="center"/>
                  </w:pPr>
                  <w:r>
                    <w:t xml:space="preserve">J Schaffer (2003)</w:t>
                  </w:r>
                  <w:r>
                    <w:t xml:space="preserve"> </w:t>
                  </w:r>
                  <w:r>
                    <w:t xml:space="preserve">“</w:t>
                  </w:r>
                  <w:r>
                    <w:t xml:space="preserve">Is There a Fundamental Level?,</w:t>
                  </w:r>
                  <w:r>
                    <w:t xml:space="preserve">”</w:t>
                  </w:r>
                  <w:r>
                    <w:t xml:space="preserve"> </w:t>
                  </w:r>
                  <w:r>
                    <w:rPr>
                      <w:iCs/>
                      <w:i/>
                    </w:rPr>
                    <w:t xml:space="preserve">Noûs</w:t>
                  </w:r>
                  <w:r>
                    <w:t xml:space="preserve"> </w:t>
                  </w:r>
                  <w:r>
                    <w:t xml:space="preserve">37 (3): 498-517.</w:t>
                  </w:r>
                </w:p>
              </w:tc>
              <w:tc>
                <w:tcPr/>
                <w:p>
                  <w:pPr>
                    <w:pStyle w:val="Compact"/>
                    <w:jc w:val="right"/>
                    <w:jc w:val="center"/>
                  </w:pPr>
                  <w:r>
                    <w:t xml:space="preserve">39</w:t>
                  </w:r>
                </w:p>
              </w:tc>
            </w:tr>
            <w:tr>
              <w:tc>
                <w:tcPr/>
                <w:p>
                  <w:pPr>
                    <w:pStyle w:val="Compact"/>
                    <w:jc w:val="left"/>
                    <w:jc w:val="center"/>
                  </w:pPr>
                  <w:r>
                    <w:t xml:space="preserve">A Hájek (2003)</w:t>
                  </w:r>
                  <w:r>
                    <w:t xml:space="preserve"> </w:t>
                  </w:r>
                  <w:r>
                    <w:t xml:space="preserve">“</w:t>
                  </w:r>
                  <w:r>
                    <w:t xml:space="preserve">What Conditional Probability Could Not Be,</w:t>
                  </w:r>
                  <w:r>
                    <w:t xml:space="preserve">”</w:t>
                  </w:r>
                  <w:r>
                    <w:t xml:space="preserve"> </w:t>
                  </w:r>
                  <w:r>
                    <w:rPr>
                      <w:iCs/>
                      <w:i/>
                    </w:rPr>
                    <w:t xml:space="preserve">Synthese</w:t>
                  </w:r>
                  <w:r>
                    <w:t xml:space="preserve"> </w:t>
                  </w:r>
                  <w:r>
                    <w:t xml:space="preserve">137 (3): 273-323.</w:t>
                  </w:r>
                </w:p>
              </w:tc>
              <w:tc>
                <w:tcPr/>
                <w:p>
                  <w:pPr>
                    <w:pStyle w:val="Compact"/>
                    <w:jc w:val="right"/>
                    <w:jc w:val="center"/>
                  </w:pPr>
                  <w:r>
                    <w:t xml:space="preserve">39</w:t>
                  </w:r>
                </w:p>
              </w:tc>
            </w:tr>
          </w:tbl>
          <w:bookmarkEnd w:id="41"/>
          <w:p/>
        </w:tc>
      </w:tr>
    </w:tbl>
    <w:p>
      <w:pPr>
        <w:pStyle w:val="BodyText"/>
      </w:pPr>
      <w:r>
        <w:t xml:space="preserve">In the most recent 5 years in the available data, 2018-2022,</w:t>
      </w:r>
      <w:r>
        <w:t xml:space="preserve"> </w:t>
      </w:r>
      <w:hyperlink w:anchor="tbl-late-2000s">
        <w:r>
          <w:rPr>
            <w:rStyle w:val="Hyperlink"/>
          </w:rPr>
          <w:t xml:space="preserve">Table 2</w:t>
        </w:r>
      </w:hyperlink>
      <w:r>
        <w:t xml:space="preserve"> </w:t>
      </w:r>
      <w:r>
        <w:t xml:space="preserve">are the most cited articles first published in 2000-2004.</w:t>
      </w:r>
    </w:p>
    <w:tbl>
      <w:tblPr>
        <w:tblStyle w:val="Table"/>
        <w:tblW w:type="pct" w:w="5000"/>
        <w:tblLook w:firstRow="0" w:lastRow="0" w:firstColumn="0" w:lastColumn="0" w:noHBand="0" w:noVBand="0" w:val="0000"/>
        <w:jc w:val="start"/>
        <w:tblLayout w:type="fixed"/>
      </w:tblPr>
      <w:tblGrid>
        <w:gridCol w:w="7920"/>
      </w:tblGrid>
      <w:tr>
        <w:tc>
          <w:tcPr/>
          <w:bookmarkStart w:id="42" w:name="tbl-late-2000s"/>
          <w:p>
            <w:pPr>
              <w:jc w:val="center"/>
            </w:pPr>
            <w:pPr>
              <w:jc w:val="start"/>
              <w:spacing w:before="200"/>
              <w:pStyle w:val="ImageCaption"/>
            </w:pPr>
            <w:r>
              <w:t xml:space="preserve">Table 2: Most cited 2000s articles since 2018.</w:t>
            </w:r>
          </w:p>
          <w:tbl>
            <w:tblPr>
              <w:tblStyle w:val="Table"/>
              <w:tblW w:type="pct" w:w="5000"/>
              <w:tblLook w:firstRow="1" w:lastRow="0" w:firstColumn="0" w:lastColumn="0" w:noHBand="0" w:noVBand="0" w:val="0020"/>
              <w:jc w:val="start"/>
              <w:tblLayout w:type="fixed"/>
            </w:tblPr>
            <w:tblGrid>
              <w:gridCol w:w="7434"/>
              <w:gridCol w:w="485"/>
            </w:tblGrid>
            <w:tr>
              <w:trPr>
                <w:tblHeader w:val="true"/>
              </w:trPr>
              <w:tc>
                <w:tcPr/>
                <w:p>
                  <w:pPr>
                    <w:pStyle w:val="Compact"/>
                    <w:jc w:val="left"/>
                    <w:jc w:val="center"/>
                  </w:pPr>
                  <w:r>
                    <w:t xml:space="preserve">Article</w:t>
                  </w:r>
                </w:p>
              </w:tc>
              <w:tc>
                <w:tcPr/>
                <w:p>
                  <w:pPr>
                    <w:pStyle w:val="Compact"/>
                    <w:jc w:val="right"/>
                    <w:jc w:val="center"/>
                  </w:pPr>
                  <w:r>
                    <w:t xml:space="preserve">Citations</w:t>
                  </w:r>
                </w:p>
              </w:tc>
            </w:tr>
            <w:tr>
              <w:tc>
                <w:tcPr/>
                <w:p>
                  <w:pPr>
                    <w:pStyle w:val="Compact"/>
                    <w:jc w:val="left"/>
                    <w:jc w:val="center"/>
                  </w:pPr>
                  <w:r>
                    <w:t xml:space="preserve">P Machamer, L Darden, and CF Craver (2000)</w:t>
                  </w:r>
                  <w:r>
                    <w:t xml:space="preserve"> </w:t>
                  </w:r>
                  <w:r>
                    <w:t xml:space="preserve">“</w:t>
                  </w:r>
                  <w:r>
                    <w:t xml:space="preserve">Thinking About Mechanisms,</w:t>
                  </w:r>
                  <w:r>
                    <w:t xml:space="preserve">”</w:t>
                  </w:r>
                  <w:r>
                    <w:t xml:space="preserve"> </w:t>
                  </w:r>
                  <w:r>
                    <w:rPr>
                      <w:iCs/>
                      <w:i/>
                    </w:rPr>
                    <w:t xml:space="preserve">Philosophy Of Science</w:t>
                  </w:r>
                  <w:r>
                    <w:t xml:space="preserve"> </w:t>
                  </w:r>
                  <w:r>
                    <w:t xml:space="preserve">67 (1): 1-25.</w:t>
                  </w:r>
                </w:p>
              </w:tc>
              <w:tc>
                <w:tcPr/>
                <w:p>
                  <w:pPr>
                    <w:pStyle w:val="Compact"/>
                    <w:jc w:val="right"/>
                    <w:jc w:val="center"/>
                  </w:pPr>
                  <w:r>
                    <w:t xml:space="preserve">192</w:t>
                  </w:r>
                </w:p>
              </w:tc>
            </w:tr>
            <w:tr>
              <w:tc>
                <w:tcPr/>
                <w:p>
                  <w:pPr>
                    <w:pStyle w:val="Compact"/>
                    <w:jc w:val="left"/>
                    <w:jc w:val="center"/>
                  </w:pPr>
                  <w:r>
                    <w:t xml:space="preserve">S Haslanger (2000)</w:t>
                  </w:r>
                  <w:r>
                    <w:t xml:space="preserve"> </w:t>
                  </w:r>
                  <w:r>
                    <w:t xml:space="preserve">“</w:t>
                  </w:r>
                  <w:r>
                    <w:t xml:space="preserve">Gender and Race: (What) Are They? (What) Do We Want Them To Be?,</w:t>
                  </w:r>
                  <w:r>
                    <w:t xml:space="preserve">”</w:t>
                  </w:r>
                  <w:r>
                    <w:t xml:space="preserve"> </w:t>
                  </w:r>
                  <w:r>
                    <w:rPr>
                      <w:iCs/>
                      <w:i/>
                    </w:rPr>
                    <w:t xml:space="preserve">Noûs</w:t>
                  </w:r>
                  <w:r>
                    <w:t xml:space="preserve"> </w:t>
                  </w:r>
                  <w:r>
                    <w:t xml:space="preserve">34 (1): 31-55.</w:t>
                  </w:r>
                </w:p>
              </w:tc>
              <w:tc>
                <w:tcPr/>
                <w:p>
                  <w:pPr>
                    <w:pStyle w:val="Compact"/>
                    <w:jc w:val="right"/>
                    <w:jc w:val="center"/>
                  </w:pPr>
                  <w:r>
                    <w:t xml:space="preserve">182</w:t>
                  </w:r>
                </w:p>
              </w:tc>
            </w:tr>
            <w:tr>
              <w:tc>
                <w:tcPr/>
                <w:p>
                  <w:pPr>
                    <w:pStyle w:val="Compact"/>
                    <w:jc w:val="left"/>
                    <w:jc w:val="center"/>
                  </w:pPr>
                  <w:r>
                    <w:t xml:space="preserve">J Pryor (2000)</w:t>
                  </w:r>
                  <w:r>
                    <w:t xml:space="preserve"> </w:t>
                  </w:r>
                  <w:r>
                    <w:t xml:space="preserve">“</w:t>
                  </w:r>
                  <w:r>
                    <w:t xml:space="preserve">The Skeptic and the Dogmatist,</w:t>
                  </w:r>
                  <w:r>
                    <w:t xml:space="preserve">”</w:t>
                  </w:r>
                  <w:r>
                    <w:t xml:space="preserve"> </w:t>
                  </w:r>
                  <w:r>
                    <w:rPr>
                      <w:iCs/>
                      <w:i/>
                    </w:rPr>
                    <w:t xml:space="preserve">Noûs</w:t>
                  </w:r>
                  <w:r>
                    <w:t xml:space="preserve"> </w:t>
                  </w:r>
                  <w:r>
                    <w:t xml:space="preserve">34 (4): 517-549.</w:t>
                  </w:r>
                </w:p>
              </w:tc>
              <w:tc>
                <w:tcPr/>
                <w:p>
                  <w:pPr>
                    <w:pStyle w:val="Compact"/>
                    <w:jc w:val="right"/>
                    <w:jc w:val="center"/>
                  </w:pPr>
                  <w:r>
                    <w:t xml:space="preserve">151</w:t>
                  </w:r>
                </w:p>
              </w:tc>
            </w:tr>
            <w:tr>
              <w:tc>
                <w:tcPr/>
                <w:p>
                  <w:pPr>
                    <w:pStyle w:val="Compact"/>
                    <w:jc w:val="left"/>
                    <w:jc w:val="center"/>
                  </w:pPr>
                  <w:r>
                    <w:t xml:space="preserve">J D’Arms and D Jacobson (2000)</w:t>
                  </w:r>
                  <w:r>
                    <w:t xml:space="preserve"> </w:t>
                  </w:r>
                  <w:r>
                    <w:t xml:space="preserve">“</w:t>
                  </w:r>
                  <w:r>
                    <w:t xml:space="preserve">The Moralistic Fallacy: On the</w:t>
                  </w:r>
                  <w:r>
                    <w:t xml:space="preserve"> </w:t>
                  </w:r>
                  <w:r>
                    <w:t xml:space="preserve">‘</w:t>
                  </w:r>
                  <w:r>
                    <w:t xml:space="preserve">Appropriateness</w:t>
                  </w:r>
                  <w:r>
                    <w:t xml:space="preserve">’</w:t>
                  </w:r>
                  <w:r>
                    <w:t xml:space="preserve"> </w:t>
                  </w:r>
                  <w:r>
                    <w:t xml:space="preserve">of Emotions,</w:t>
                  </w:r>
                  <w:r>
                    <w:t xml:space="preserve">”</w:t>
                  </w:r>
                  <w:r>
                    <w:t xml:space="preserve"> </w:t>
                  </w:r>
                  <w:r>
                    <w:rPr>
                      <w:iCs/>
                      <w:i/>
                    </w:rPr>
                    <w:t xml:space="preserve">Philosophy And Phenomenological Research</w:t>
                  </w:r>
                  <w:r>
                    <w:t xml:space="preserve"> </w:t>
                  </w:r>
                  <w:r>
                    <w:t xml:space="preserve">61 (1): 65-90.</w:t>
                  </w:r>
                </w:p>
              </w:tc>
              <w:tc>
                <w:tcPr/>
                <w:p>
                  <w:pPr>
                    <w:pStyle w:val="Compact"/>
                    <w:jc w:val="right"/>
                    <w:jc w:val="center"/>
                  </w:pPr>
                  <w:r>
                    <w:t xml:space="preserve">109</w:t>
                  </w:r>
                </w:p>
              </w:tc>
            </w:tr>
            <w:tr>
              <w:tc>
                <w:tcPr/>
                <w:p>
                  <w:pPr>
                    <w:pStyle w:val="Compact"/>
                    <w:jc w:val="left"/>
                    <w:jc w:val="center"/>
                  </w:pPr>
                  <w:r>
                    <w:t xml:space="preserve">J Stanley and T Williamson (2001)</w:t>
                  </w:r>
                  <w:r>
                    <w:t xml:space="preserve"> </w:t>
                  </w:r>
                  <w:r>
                    <w:t xml:space="preserve">“</w:t>
                  </w:r>
                  <w:r>
                    <w:t xml:space="preserve">Knowing How,</w:t>
                  </w:r>
                  <w:r>
                    <w:t xml:space="preserve">”</w:t>
                  </w:r>
                  <w:r>
                    <w:t xml:space="preserve"> </w:t>
                  </w:r>
                  <w:r>
                    <w:rPr>
                      <w:iCs/>
                      <w:i/>
                    </w:rPr>
                    <w:t xml:space="preserve">Journal Of Philosophy</w:t>
                  </w:r>
                  <w:r>
                    <w:t xml:space="preserve"> </w:t>
                  </w:r>
                  <w:r>
                    <w:t xml:space="preserve">98 (8): 411-444.</w:t>
                  </w:r>
                </w:p>
              </w:tc>
              <w:tc>
                <w:tcPr/>
                <w:p>
                  <w:pPr>
                    <w:pStyle w:val="Compact"/>
                    <w:jc w:val="right"/>
                    <w:jc w:val="center"/>
                  </w:pPr>
                  <w:r>
                    <w:t xml:space="preserve">109</w:t>
                  </w:r>
                </w:p>
              </w:tc>
            </w:tr>
            <w:tr>
              <w:tc>
                <w:tcPr/>
                <w:p>
                  <w:pPr>
                    <w:pStyle w:val="Compact"/>
                    <w:jc w:val="left"/>
                    <w:jc w:val="center"/>
                  </w:pPr>
                  <w:r>
                    <w:t xml:space="preserve">H Douglas (2000)</w:t>
                  </w:r>
                  <w:r>
                    <w:t xml:space="preserve"> </w:t>
                  </w:r>
                  <w:r>
                    <w:t xml:space="preserve">“</w:t>
                  </w:r>
                  <w:r>
                    <w:t xml:space="preserve">Inductive Risk and Values in Science,</w:t>
                  </w:r>
                  <w:r>
                    <w:t xml:space="preserve">”</w:t>
                  </w:r>
                  <w:r>
                    <w:t xml:space="preserve"> </w:t>
                  </w:r>
                  <w:r>
                    <w:rPr>
                      <w:iCs/>
                      <w:i/>
                    </w:rPr>
                    <w:t xml:space="preserve">Philosophy Of Science</w:t>
                  </w:r>
                  <w:r>
                    <w:t xml:space="preserve"> </w:t>
                  </w:r>
                  <w:r>
                    <w:t xml:space="preserve">67 (4): 559-579.</w:t>
                  </w:r>
                </w:p>
              </w:tc>
              <w:tc>
                <w:tcPr/>
                <w:p>
                  <w:pPr>
                    <w:pStyle w:val="Compact"/>
                    <w:jc w:val="right"/>
                    <w:jc w:val="center"/>
                  </w:pPr>
                  <w:r>
                    <w:t xml:space="preserve">96</w:t>
                  </w:r>
                </w:p>
              </w:tc>
            </w:tr>
            <w:tr>
              <w:tc>
                <w:tcPr/>
                <w:p>
                  <w:pPr>
                    <w:pStyle w:val="Compact"/>
                    <w:jc w:val="left"/>
                    <w:jc w:val="center"/>
                  </w:pPr>
                  <w:r>
                    <w:t xml:space="preserve">J Fantl and M McGrath (2002)</w:t>
                  </w:r>
                  <w:r>
                    <w:t xml:space="preserve"> </w:t>
                  </w:r>
                  <w:r>
                    <w:t xml:space="preserve">“</w:t>
                  </w:r>
                  <w:r>
                    <w:t xml:space="preserve">Evidence, Pragmatics, and Justification,</w:t>
                  </w:r>
                  <w:r>
                    <w:t xml:space="preserve">”</w:t>
                  </w:r>
                  <w:r>
                    <w:t xml:space="preserve"> </w:t>
                  </w:r>
                  <w:r>
                    <w:rPr>
                      <w:iCs/>
                      <w:i/>
                    </w:rPr>
                    <w:t xml:space="preserve">Philosophical Review</w:t>
                  </w:r>
                  <w:r>
                    <w:t xml:space="preserve"> </w:t>
                  </w:r>
                  <w:r>
                    <w:t xml:space="preserve">111 (1): 67-94.</w:t>
                  </w:r>
                </w:p>
              </w:tc>
              <w:tc>
                <w:tcPr/>
                <w:p>
                  <w:pPr>
                    <w:pStyle w:val="Compact"/>
                    <w:jc w:val="right"/>
                    <w:jc w:val="center"/>
                  </w:pPr>
                  <w:r>
                    <w:t xml:space="preserve">90</w:t>
                  </w:r>
                </w:p>
              </w:tc>
            </w:tr>
            <w:tr>
              <w:tc>
                <w:tcPr/>
                <w:p>
                  <w:pPr>
                    <w:pStyle w:val="Compact"/>
                    <w:jc w:val="left"/>
                    <w:jc w:val="center"/>
                  </w:pPr>
                  <w:r>
                    <w:t xml:space="preserve">AI Goldman (2001)</w:t>
                  </w:r>
                  <w:r>
                    <w:t xml:space="preserve"> </w:t>
                  </w:r>
                  <w:r>
                    <w:t xml:space="preserve">“</w:t>
                  </w:r>
                  <w:r>
                    <w:t xml:space="preserve">Experts: Which Ones Should You Trust?,</w:t>
                  </w:r>
                  <w:r>
                    <w:t xml:space="preserve">”</w:t>
                  </w:r>
                  <w:r>
                    <w:t xml:space="preserve"> </w:t>
                  </w:r>
                  <w:r>
                    <w:rPr>
                      <w:iCs/>
                      <w:i/>
                    </w:rPr>
                    <w:t xml:space="preserve">Philosophy And Phenomenological Research</w:t>
                  </w:r>
                  <w:r>
                    <w:t xml:space="preserve"> </w:t>
                  </w:r>
                  <w:r>
                    <w:t xml:space="preserve">63 (1): 85-110.</w:t>
                  </w:r>
                </w:p>
              </w:tc>
              <w:tc>
                <w:tcPr/>
                <w:p>
                  <w:pPr>
                    <w:pStyle w:val="Compact"/>
                    <w:jc w:val="right"/>
                    <w:jc w:val="center"/>
                  </w:pPr>
                  <w:r>
                    <w:t xml:space="preserve">89</w:t>
                  </w:r>
                </w:p>
              </w:tc>
            </w:tr>
            <w:tr>
              <w:tc>
                <w:tcPr/>
                <w:p>
                  <w:pPr>
                    <w:pStyle w:val="Compact"/>
                    <w:jc w:val="left"/>
                    <w:jc w:val="center"/>
                  </w:pPr>
                  <w:r>
                    <w:t xml:space="preserve">MGF Martin (2004)</w:t>
                  </w:r>
                  <w:r>
                    <w:t xml:space="preserve"> </w:t>
                  </w:r>
                  <w:r>
                    <w:t xml:space="preserve">“</w:t>
                  </w:r>
                  <w:r>
                    <w:t xml:space="preserve">The Limits of Self-Awareness,</w:t>
                  </w:r>
                  <w:r>
                    <w:t xml:space="preserve">”</w:t>
                  </w:r>
                  <w:r>
                    <w:t xml:space="preserve"> </w:t>
                  </w:r>
                  <w:r>
                    <w:rPr>
                      <w:iCs/>
                      <w:i/>
                    </w:rPr>
                    <w:t xml:space="preserve">Philosophical Studies</w:t>
                  </w:r>
                  <w:r>
                    <w:t xml:space="preserve"> </w:t>
                  </w:r>
                  <w:r>
                    <w:t xml:space="preserve">120 (1-3): 37-89.</w:t>
                  </w:r>
                </w:p>
              </w:tc>
              <w:tc>
                <w:tcPr/>
                <w:p>
                  <w:pPr>
                    <w:pStyle w:val="Compact"/>
                    <w:jc w:val="right"/>
                    <w:jc w:val="center"/>
                  </w:pPr>
                  <w:r>
                    <w:t xml:space="preserve">80</w:t>
                  </w:r>
                </w:p>
              </w:tc>
            </w:tr>
            <w:tr>
              <w:tc>
                <w:tcPr/>
                <w:p>
                  <w:pPr>
                    <w:pStyle w:val="Compact"/>
                    <w:jc w:val="left"/>
                    <w:jc w:val="center"/>
                  </w:pPr>
                  <w:r>
                    <w:t xml:space="preserve">K DeRose (2003)</w:t>
                  </w:r>
                  <w:r>
                    <w:t xml:space="preserve"> </w:t>
                  </w:r>
                  <w:r>
                    <w:t xml:space="preserve">“</w:t>
                  </w:r>
                  <w:r>
                    <w:t xml:space="preserve">Assertion, Knowledge, and Context,</w:t>
                  </w:r>
                  <w:r>
                    <w:t xml:space="preserve">”</w:t>
                  </w:r>
                  <w:r>
                    <w:t xml:space="preserve"> </w:t>
                  </w:r>
                  <w:r>
                    <w:rPr>
                      <w:iCs/>
                      <w:i/>
                    </w:rPr>
                    <w:t xml:space="preserve">Philosophical Review</w:t>
                  </w:r>
                  <w:r>
                    <w:t xml:space="preserve"> </w:t>
                  </w:r>
                  <w:r>
                    <w:t xml:space="preserve">111 (2): 167-203.</w:t>
                  </w:r>
                </w:p>
              </w:tc>
              <w:tc>
                <w:tcPr/>
                <w:p>
                  <w:pPr>
                    <w:pStyle w:val="Compact"/>
                    <w:jc w:val="right"/>
                    <w:jc w:val="center"/>
                  </w:pPr>
                  <w:r>
                    <w:t xml:space="preserve">75</w:t>
                  </w:r>
                </w:p>
              </w:tc>
            </w:tr>
            <w:tr>
              <w:tc>
                <w:tcPr/>
                <w:p>
                  <w:pPr>
                    <w:pStyle w:val="Compact"/>
                    <w:jc w:val="left"/>
                    <w:jc w:val="center"/>
                  </w:pPr>
                  <w:r>
                    <w:t xml:space="preserve">D Lewis (2000)</w:t>
                  </w:r>
                  <w:r>
                    <w:t xml:space="preserve"> </w:t>
                  </w:r>
                  <w:r>
                    <w:t xml:space="preserve">“</w:t>
                  </w:r>
                  <w:r>
                    <w:t xml:space="preserve">Causation as Influence,</w:t>
                  </w:r>
                  <w:r>
                    <w:t xml:space="preserve">”</w:t>
                  </w:r>
                  <w:r>
                    <w:t xml:space="preserve"> </w:t>
                  </w:r>
                  <w:r>
                    <w:rPr>
                      <w:iCs/>
                      <w:i/>
                    </w:rPr>
                    <w:t xml:space="preserve">Journal Of Philosophy</w:t>
                  </w:r>
                  <w:r>
                    <w:t xml:space="preserve"> </w:t>
                  </w:r>
                  <w:r>
                    <w:t xml:space="preserve">97 (4): 182-197.</w:t>
                  </w:r>
                </w:p>
              </w:tc>
              <w:tc>
                <w:tcPr/>
                <w:p>
                  <w:pPr>
                    <w:pStyle w:val="Compact"/>
                    <w:jc w:val="right"/>
                    <w:jc w:val="center"/>
                  </w:pPr>
                  <w:r>
                    <w:t xml:space="preserve">73</w:t>
                  </w:r>
                </w:p>
              </w:tc>
            </w:tr>
            <w:tr>
              <w:tc>
                <w:tcPr/>
                <w:p>
                  <w:pPr>
                    <w:pStyle w:val="Compact"/>
                    <w:jc w:val="left"/>
                    <w:jc w:val="center"/>
                  </w:pPr>
                  <w:r>
                    <w:t xml:space="preserve">T Kelly (2003)</w:t>
                  </w:r>
                  <w:r>
                    <w:t xml:space="preserve"> </w:t>
                  </w:r>
                  <w:r>
                    <w:t xml:space="preserve">“</w:t>
                  </w:r>
                  <w:r>
                    <w:t xml:space="preserve">Epistemic Rationality as Instrumental Rationality: A Critique,</w:t>
                  </w:r>
                  <w:r>
                    <w:t xml:space="preserve">”</w:t>
                  </w:r>
                  <w:r>
                    <w:t xml:space="preserve"> </w:t>
                  </w:r>
                  <w:r>
                    <w:rPr>
                      <w:iCs/>
                      <w:i/>
                    </w:rPr>
                    <w:t xml:space="preserve">Philosophy And Phenomenological Research</w:t>
                  </w:r>
                  <w:r>
                    <w:t xml:space="preserve"> </w:t>
                  </w:r>
                  <w:r>
                    <w:t xml:space="preserve">66 (3): 612-640.</w:t>
                  </w:r>
                </w:p>
              </w:tc>
              <w:tc>
                <w:tcPr/>
                <w:p>
                  <w:pPr>
                    <w:pStyle w:val="Compact"/>
                    <w:jc w:val="right"/>
                    <w:jc w:val="center"/>
                  </w:pPr>
                  <w:r>
                    <w:t xml:space="preserve">70</w:t>
                  </w:r>
                </w:p>
              </w:tc>
            </w:tr>
            <w:tr>
              <w:tc>
                <w:tcPr/>
                <w:p>
                  <w:pPr>
                    <w:pStyle w:val="Compact"/>
                    <w:jc w:val="left"/>
                    <w:jc w:val="center"/>
                  </w:pPr>
                  <w:r>
                    <w:t xml:space="preserve">R Feldman (2000)</w:t>
                  </w:r>
                  <w:r>
                    <w:t xml:space="preserve"> </w:t>
                  </w:r>
                  <w:r>
                    <w:t xml:space="preserve">“</w:t>
                  </w:r>
                  <w:r>
                    <w:t xml:space="preserve">The Ethics of Belief,</w:t>
                  </w:r>
                  <w:r>
                    <w:t xml:space="preserve">”</w:t>
                  </w:r>
                  <w:r>
                    <w:t xml:space="preserve"> </w:t>
                  </w:r>
                  <w:r>
                    <w:rPr>
                      <w:iCs/>
                      <w:i/>
                    </w:rPr>
                    <w:t xml:space="preserve">Philosophy And Phenomenological Research</w:t>
                  </w:r>
                  <w:r>
                    <w:t xml:space="preserve"> </w:t>
                  </w:r>
                  <w:r>
                    <w:t xml:space="preserve">60 (3): 667-695.</w:t>
                  </w:r>
                </w:p>
              </w:tc>
              <w:tc>
                <w:tcPr/>
                <w:p>
                  <w:pPr>
                    <w:pStyle w:val="Compact"/>
                    <w:jc w:val="right"/>
                    <w:jc w:val="center"/>
                  </w:pPr>
                  <w:r>
                    <w:t xml:space="preserve">69</w:t>
                  </w:r>
                </w:p>
              </w:tc>
            </w:tr>
            <w:tr>
              <w:tc>
                <w:tcPr/>
                <w:p>
                  <w:pPr>
                    <w:pStyle w:val="Compact"/>
                    <w:jc w:val="left"/>
                    <w:jc w:val="center"/>
                  </w:pPr>
                  <w:r>
                    <w:t xml:space="preserve">W Rabinowicz and T Ronnow-Rasmussen (2004)</w:t>
                  </w:r>
                  <w:r>
                    <w:t xml:space="preserve"> </w:t>
                  </w:r>
                  <w:r>
                    <w:t xml:space="preserve">“</w:t>
                  </w:r>
                  <w:r>
                    <w:t xml:space="preserve">The Strike of the Demon: On Fitting Pro-Attitudes and Value,</w:t>
                  </w:r>
                  <w:r>
                    <w:t xml:space="preserve">”</w:t>
                  </w:r>
                  <w:r>
                    <w:t xml:space="preserve"> </w:t>
                  </w:r>
                  <w:r>
                    <w:rPr>
                      <w:iCs/>
                      <w:i/>
                    </w:rPr>
                    <w:t xml:space="preserve">Ethics</w:t>
                  </w:r>
                  <w:r>
                    <w:t xml:space="preserve"> </w:t>
                  </w:r>
                  <w:r>
                    <w:t xml:space="preserve">114 (3): 391-423.</w:t>
                  </w:r>
                </w:p>
              </w:tc>
              <w:tc>
                <w:tcPr/>
                <w:p>
                  <w:pPr>
                    <w:pStyle w:val="Compact"/>
                    <w:jc w:val="right"/>
                    <w:jc w:val="center"/>
                  </w:pPr>
                  <w:r>
                    <w:t xml:space="preserve">69</w:t>
                  </w:r>
                </w:p>
              </w:tc>
            </w:tr>
            <w:tr>
              <w:tc>
                <w:tcPr/>
                <w:p>
                  <w:pPr>
                    <w:pStyle w:val="Compact"/>
                    <w:jc w:val="left"/>
                    <w:jc w:val="center"/>
                  </w:pPr>
                  <w:r>
                    <w:t xml:space="preserve">C Travis (2004)</w:t>
                  </w:r>
                  <w:r>
                    <w:t xml:space="preserve"> </w:t>
                  </w:r>
                  <w:r>
                    <w:t xml:space="preserve">“</w:t>
                  </w:r>
                  <w:r>
                    <w:t xml:space="preserve">The Silence of the Senses,</w:t>
                  </w:r>
                  <w:r>
                    <w:t xml:space="preserve">”</w:t>
                  </w:r>
                  <w:r>
                    <w:t xml:space="preserve"> </w:t>
                  </w:r>
                  <w:r>
                    <w:rPr>
                      <w:iCs/>
                      <w:i/>
                    </w:rPr>
                    <w:t xml:space="preserve">Mind</w:t>
                  </w:r>
                  <w:r>
                    <w:t xml:space="preserve"> </w:t>
                  </w:r>
                  <w:r>
                    <w:t xml:space="preserve">113 (449): 57-94.</w:t>
                  </w:r>
                </w:p>
              </w:tc>
              <w:tc>
                <w:tcPr/>
                <w:p>
                  <w:pPr>
                    <w:pStyle w:val="Compact"/>
                    <w:jc w:val="right"/>
                    <w:jc w:val="center"/>
                  </w:pPr>
                  <w:r>
                    <w:t xml:space="preserve">65</w:t>
                  </w:r>
                </w:p>
              </w:tc>
            </w:tr>
          </w:tbl>
          <w:bookmarkEnd w:id="42"/>
          <w:p/>
        </w:tc>
      </w:tr>
    </w:tbl>
    <w:p>
      <w:pPr>
        <w:pStyle w:val="BodyText"/>
      </w:pPr>
      <w:r>
        <w:t xml:space="preserve">There is a lot of overlap between</w:t>
      </w:r>
      <w:r>
        <w:t xml:space="preserve"> </w:t>
      </w:r>
      <w:hyperlink w:anchor="tbl-early-2000s">
        <w:r>
          <w:rPr>
            <w:rStyle w:val="Hyperlink"/>
          </w:rPr>
          <w:t xml:space="preserve">Table 1</w:t>
        </w:r>
      </w:hyperlink>
      <w:r>
        <w:t xml:space="preserve"> </w:t>
      </w:r>
      <w:r>
        <w:t xml:space="preserve">and</w:t>
      </w:r>
      <w:r>
        <w:t xml:space="preserve"> </w:t>
      </w:r>
      <w:hyperlink w:anchor="tbl-late-2000s">
        <w:r>
          <w:rPr>
            <w:rStyle w:val="Hyperlink"/>
          </w:rPr>
          <w:t xml:space="preserve">Table 2</w:t>
        </w:r>
      </w:hyperlink>
      <w:r>
        <w:t xml:space="preserve">. In particular, the articles by Machamer, Rabinowicz, Derose, Lewis, Travis, Stanley, and Pryor are in both lists. Having 7 articles in both lists like that isn’t particularly unusual.</w:t>
      </w:r>
    </w:p>
    <w:p>
      <w:pPr>
        <w:pStyle w:val="BodyText"/>
      </w:pPr>
      <w:r>
        <w:t xml:space="preserve">I’ve used decades to set this up, but really what I did was take some year</w:t>
      </w:r>
      <w:r>
        <w:t xml:space="preserve"> </w:t>
      </w:r>
      <w:r>
        <w:rPr>
          <w:iCs/>
          <w:i/>
        </w:rPr>
        <w:t xml:space="preserve">y</w:t>
      </w:r>
      <w:r>
        <w:t xml:space="preserve">, in this case 2000, focus on articles published between</w:t>
      </w:r>
      <w:r>
        <w:t xml:space="preserve"> </w:t>
      </w:r>
      <w:r>
        <w:rPr>
          <w:iCs/>
          <w:i/>
        </w:rPr>
        <w:t xml:space="preserve">y</w:t>
      </w:r>
      <w:r>
        <w:t xml:space="preserve"> </w:t>
      </w:r>
      <w:r>
        <w:t xml:space="preserve">and</w:t>
      </w:r>
      <w:r>
        <w:t xml:space="preserve"> </w:t>
      </w:r>
      <w:r>
        <w:rPr>
          <w:iCs/>
          <w:i/>
        </w:rPr>
        <w:t xml:space="preserve">y</w:t>
      </w:r>
      <w:r>
        <w:t xml:space="preserve">+4, and compare two lists: which of those articles were in the 15 most cited before</w:t>
      </w:r>
      <w:r>
        <w:t xml:space="preserve"> </w:t>
      </w:r>
      <w:r>
        <w:rPr>
          <w:iCs/>
          <w:i/>
        </w:rPr>
        <w:t xml:space="preserve">y</w:t>
      </w:r>
      <w:r>
        <w:t xml:space="preserve">+9, and which were in the 15 most cited between 2018 and 2022. If you do that for different values of</w:t>
      </w:r>
      <w:r>
        <w:t xml:space="preserve"> </w:t>
      </w:r>
      <w:r>
        <w:rPr>
          <w:iCs/>
          <w:i/>
        </w:rPr>
        <w:t xml:space="preserve">y</w:t>
      </w:r>
      <w:r>
        <w:t xml:space="preserve">, you often find 5-7 articles in both lists. But if you set</w:t>
      </w:r>
      <w:r>
        <w:t xml:space="preserve"> </w:t>
      </w:r>
      <w:r>
        <w:rPr>
          <w:iCs/>
          <w:i/>
        </w:rPr>
        <w:t xml:space="preserve">y</w:t>
      </w:r>
      <w:r>
        <w:t xml:space="preserve"> </w:t>
      </w:r>
      <w:r>
        <w:t xml:space="preserve">to 1984, so that it focuses on the mid-to-late 1980s, there is very little overlap.</w:t>
      </w:r>
      <w:r>
        <w:t xml:space="preserve"> </w:t>
      </w:r>
      <w:hyperlink w:anchor="tbl-early-1980s">
        <w:r>
          <w:rPr>
            <w:rStyle w:val="Hyperlink"/>
          </w:rPr>
          <w:t xml:space="preserve">Table 3</w:t>
        </w:r>
      </w:hyperlink>
      <w:r>
        <w:t xml:space="preserve"> </w:t>
      </w:r>
      <w:r>
        <w:t xml:space="preserve">lists the articles from 1984-1988 that were most cited by 1993.</w:t>
      </w:r>
    </w:p>
    <w:tbl>
      <w:tblPr>
        <w:tblStyle w:val="Table"/>
        <w:tblW w:type="pct" w:w="5000"/>
        <w:tblLook w:firstRow="0" w:lastRow="0" w:firstColumn="0" w:lastColumn="0" w:noHBand="0" w:noVBand="0" w:val="0000"/>
        <w:jc w:val="start"/>
        <w:tblLayout w:type="fixed"/>
      </w:tblPr>
      <w:tblGrid>
        <w:gridCol w:w="7920"/>
      </w:tblGrid>
      <w:tr>
        <w:tc>
          <w:tcPr/>
          <w:bookmarkStart w:id="43" w:name="tbl-early-1980s"/>
          <w:p>
            <w:pPr>
              <w:jc w:val="center"/>
            </w:pPr>
            <w:pPr>
              <w:jc w:val="start"/>
              <w:spacing w:before="200"/>
              <w:pStyle w:val="ImageCaption"/>
            </w:pPr>
            <w:r>
              <w:t xml:space="preserve">Table 3: Most cited 1984-1988 articles by 1993.</w:t>
            </w:r>
          </w:p>
          <w:tbl>
            <w:tblPr>
              <w:tblStyle w:val="Table"/>
              <w:tblW w:type="pct" w:w="5000"/>
              <w:tblLook w:firstRow="1" w:lastRow="0" w:firstColumn="0" w:lastColumn="0" w:noHBand="0" w:noVBand="0" w:val="0020"/>
              <w:jc w:val="start"/>
              <w:tblLayout w:type="fixed"/>
            </w:tblPr>
            <w:tblGrid>
              <w:gridCol w:w="7366"/>
              <w:gridCol w:w="553"/>
            </w:tblGrid>
            <w:tr>
              <w:trPr>
                <w:tblHeader w:val="true"/>
              </w:trPr>
              <w:tc>
                <w:tcPr/>
                <w:p>
                  <w:pPr>
                    <w:pStyle w:val="Compact"/>
                    <w:jc w:val="left"/>
                    <w:jc w:val="center"/>
                  </w:pPr>
                  <w:r>
                    <w:t xml:space="preserve">Article</w:t>
                  </w:r>
                </w:p>
              </w:tc>
              <w:tc>
                <w:tcPr/>
                <w:p>
                  <w:pPr>
                    <w:pStyle w:val="Compact"/>
                    <w:jc w:val="right"/>
                    <w:jc w:val="center"/>
                  </w:pPr>
                  <w:r>
                    <w:t xml:space="preserve">Citations</w:t>
                  </w:r>
                </w:p>
              </w:tc>
            </w:tr>
            <w:tr>
              <w:tc>
                <w:tcPr/>
                <w:p>
                  <w:pPr>
                    <w:pStyle w:val="Compact"/>
                    <w:jc w:val="left"/>
                    <w:jc w:val="center"/>
                  </w:pPr>
                  <w:r>
                    <w:t xml:space="preserve">T Burge (1986)</w:t>
                  </w:r>
                  <w:r>
                    <w:t xml:space="preserve"> </w:t>
                  </w:r>
                  <w:r>
                    <w:t xml:space="preserve">“</w:t>
                  </w:r>
                  <w:r>
                    <w:t xml:space="preserve">Individualism and Psychology,</w:t>
                  </w:r>
                  <w:r>
                    <w:t xml:space="preserve">”</w:t>
                  </w:r>
                  <w:r>
                    <w:t xml:space="preserve"> </w:t>
                  </w:r>
                  <w:r>
                    <w:rPr>
                      <w:iCs/>
                      <w:i/>
                    </w:rPr>
                    <w:t xml:space="preserve">Philosophical Review</w:t>
                  </w:r>
                  <w:r>
                    <w:t xml:space="preserve"> </w:t>
                  </w:r>
                  <w:r>
                    <w:t xml:space="preserve">95 (1): 3-45.</w:t>
                  </w:r>
                </w:p>
              </w:tc>
              <w:tc>
                <w:tcPr/>
                <w:p>
                  <w:pPr>
                    <w:pStyle w:val="Compact"/>
                    <w:jc w:val="right"/>
                    <w:jc w:val="center"/>
                  </w:pPr>
                  <w:r>
                    <w:t xml:space="preserve">47</w:t>
                  </w:r>
                </w:p>
              </w:tc>
            </w:tr>
            <w:tr>
              <w:tc>
                <w:tcPr/>
                <w:p>
                  <w:pPr>
                    <w:pStyle w:val="Compact"/>
                    <w:jc w:val="left"/>
                    <w:jc w:val="center"/>
                  </w:pPr>
                  <w:r>
                    <w:t xml:space="preserve">J Kim (1984)</w:t>
                  </w:r>
                  <w:r>
                    <w:t xml:space="preserve"> </w:t>
                  </w:r>
                  <w:r>
                    <w:t xml:space="preserve">“</w:t>
                  </w:r>
                  <w:r>
                    <w:t xml:space="preserve">Concepts of Supervenience,</w:t>
                  </w:r>
                  <w:r>
                    <w:t xml:space="preserve">”</w:t>
                  </w:r>
                  <w:r>
                    <w:t xml:space="preserve"> </w:t>
                  </w:r>
                  <w:r>
                    <w:rPr>
                      <w:iCs/>
                      <w:i/>
                    </w:rPr>
                    <w:t xml:space="preserve">Philosophy And Phenomenological Research</w:t>
                  </w:r>
                  <w:r>
                    <w:t xml:space="preserve"> </w:t>
                  </w:r>
                  <w:r>
                    <w:t xml:space="preserve">45 (2): 153-176.</w:t>
                  </w:r>
                </w:p>
              </w:tc>
              <w:tc>
                <w:tcPr/>
                <w:p>
                  <w:pPr>
                    <w:pStyle w:val="Compact"/>
                    <w:jc w:val="right"/>
                    <w:jc w:val="center"/>
                  </w:pPr>
                  <w:r>
                    <w:t xml:space="preserve">43</w:t>
                  </w:r>
                </w:p>
              </w:tc>
            </w:tr>
            <w:tr>
              <w:tc>
                <w:tcPr/>
                <w:p>
                  <w:pPr>
                    <w:pStyle w:val="Compact"/>
                    <w:jc w:val="left"/>
                    <w:jc w:val="center"/>
                  </w:pPr>
                  <w:r>
                    <w:t xml:space="preserve">J Rawls (1985)</w:t>
                  </w:r>
                  <w:r>
                    <w:t xml:space="preserve"> </w:t>
                  </w:r>
                  <w:r>
                    <w:t xml:space="preserve">“</w:t>
                  </w:r>
                  <w:r>
                    <w:t xml:space="preserve">Justice as Fairness: Political Not Metaphysical,</w:t>
                  </w:r>
                  <w:r>
                    <w:t xml:space="preserve">”</w:t>
                  </w:r>
                  <w:r>
                    <w:t xml:space="preserve"> </w:t>
                  </w:r>
                  <w:r>
                    <w:rPr>
                      <w:iCs/>
                      <w:i/>
                    </w:rPr>
                    <w:t xml:space="preserve">Philosophy &amp; Public Affairs</w:t>
                  </w:r>
                  <w:r>
                    <w:t xml:space="preserve"> </w:t>
                  </w:r>
                  <w:r>
                    <w:t xml:space="preserve">14 (3): 223-251.</w:t>
                  </w:r>
                </w:p>
              </w:tc>
              <w:tc>
                <w:tcPr/>
                <w:p>
                  <w:pPr>
                    <w:pStyle w:val="Compact"/>
                    <w:jc w:val="right"/>
                    <w:jc w:val="center"/>
                  </w:pPr>
                  <w:r>
                    <w:t xml:space="preserve">38</w:t>
                  </w:r>
                </w:p>
              </w:tc>
            </w:tr>
            <w:tr>
              <w:tc>
                <w:tcPr/>
                <w:p>
                  <w:pPr>
                    <w:pStyle w:val="Compact"/>
                    <w:jc w:val="left"/>
                    <w:jc w:val="center"/>
                  </w:pPr>
                  <w:r>
                    <w:t xml:space="preserve">P Railton (1986)</w:t>
                  </w:r>
                  <w:r>
                    <w:t xml:space="preserve"> </w:t>
                  </w:r>
                  <w:r>
                    <w:t xml:space="preserve">“</w:t>
                  </w:r>
                  <w:r>
                    <w:t xml:space="preserve">Moral Realism,</w:t>
                  </w:r>
                  <w:r>
                    <w:t xml:space="preserve">”</w:t>
                  </w:r>
                  <w:r>
                    <w:t xml:space="preserve"> </w:t>
                  </w:r>
                  <w:r>
                    <w:rPr>
                      <w:iCs/>
                      <w:i/>
                    </w:rPr>
                    <w:t xml:space="preserve">Philosophical Review</w:t>
                  </w:r>
                  <w:r>
                    <w:t xml:space="preserve"> </w:t>
                  </w:r>
                  <w:r>
                    <w:t xml:space="preserve">95 (2): 163-207.</w:t>
                  </w:r>
                </w:p>
              </w:tc>
              <w:tc>
                <w:tcPr/>
                <w:p>
                  <w:pPr>
                    <w:pStyle w:val="Compact"/>
                    <w:jc w:val="right"/>
                    <w:jc w:val="center"/>
                  </w:pPr>
                  <w:r>
                    <w:t xml:space="preserve">33</w:t>
                  </w:r>
                </w:p>
              </w:tc>
            </w:tr>
            <w:tr>
              <w:tc>
                <w:tcPr/>
                <w:p>
                  <w:pPr>
                    <w:pStyle w:val="Compact"/>
                    <w:jc w:val="left"/>
                    <w:jc w:val="center"/>
                  </w:pPr>
                  <w:r>
                    <w:t xml:space="preserve">F Jackson and P Pettit (1988)</w:t>
                  </w:r>
                  <w:r>
                    <w:t xml:space="preserve"> </w:t>
                  </w:r>
                  <w:r>
                    <w:t xml:space="preserve">“</w:t>
                  </w:r>
                  <w:r>
                    <w:t xml:space="preserve">Functionalism and Broad Content,</w:t>
                  </w:r>
                  <w:r>
                    <w:t xml:space="preserve">”</w:t>
                  </w:r>
                  <w:r>
                    <w:t xml:space="preserve"> </w:t>
                  </w:r>
                  <w:r>
                    <w:rPr>
                      <w:iCs/>
                      <w:i/>
                    </w:rPr>
                    <w:t xml:space="preserve">Mind</w:t>
                  </w:r>
                  <w:r>
                    <w:t xml:space="preserve"> </w:t>
                  </w:r>
                  <w:r>
                    <w:t xml:space="preserve">97 (387): 381-400.</w:t>
                  </w:r>
                </w:p>
              </w:tc>
              <w:tc>
                <w:tcPr/>
                <w:p>
                  <w:pPr>
                    <w:pStyle w:val="Compact"/>
                    <w:jc w:val="right"/>
                    <w:jc w:val="center"/>
                  </w:pPr>
                  <w:r>
                    <w:t xml:space="preserve">28</w:t>
                  </w:r>
                </w:p>
              </w:tc>
            </w:tr>
            <w:tr>
              <w:tc>
                <w:tcPr/>
                <w:p>
                  <w:pPr>
                    <w:pStyle w:val="Compact"/>
                    <w:jc w:val="left"/>
                    <w:jc w:val="center"/>
                  </w:pPr>
                  <w:r>
                    <w:t xml:space="preserve">L Laudan (1987)</w:t>
                  </w:r>
                  <w:r>
                    <w:t xml:space="preserve"> </w:t>
                  </w:r>
                  <w:r>
                    <w:t xml:space="preserve">“</w:t>
                  </w:r>
                  <w:r>
                    <w:t xml:space="preserve">Progress or Rationality: The Prospects for Normative Naturalism,</w:t>
                  </w:r>
                  <w:r>
                    <w:t xml:space="preserve">”</w:t>
                  </w:r>
                  <w:r>
                    <w:t xml:space="preserve"> </w:t>
                  </w:r>
                  <w:r>
                    <w:rPr>
                      <w:iCs/>
                      <w:i/>
                    </w:rPr>
                    <w:t xml:space="preserve">American Philosophical Quarterly</w:t>
                  </w:r>
                  <w:r>
                    <w:t xml:space="preserve"> </w:t>
                  </w:r>
                  <w:r>
                    <w:t xml:space="preserve">24 (1): 19-31.</w:t>
                  </w:r>
                </w:p>
              </w:tc>
              <w:tc>
                <w:tcPr/>
                <w:p>
                  <w:pPr>
                    <w:pStyle w:val="Compact"/>
                    <w:jc w:val="right"/>
                    <w:jc w:val="center"/>
                  </w:pPr>
                  <w:r>
                    <w:t xml:space="preserve">25</w:t>
                  </w:r>
                </w:p>
              </w:tc>
            </w:tr>
            <w:tr>
              <w:tc>
                <w:tcPr/>
                <w:p>
                  <w:pPr>
                    <w:pStyle w:val="Compact"/>
                    <w:jc w:val="left"/>
                    <w:jc w:val="center"/>
                  </w:pPr>
                  <w:r>
                    <w:t xml:space="preserve">A Baier (1986)</w:t>
                  </w:r>
                  <w:r>
                    <w:t xml:space="preserve"> </w:t>
                  </w:r>
                  <w:r>
                    <w:t xml:space="preserve">“</w:t>
                  </w:r>
                  <w:r>
                    <w:t xml:space="preserve">Trust and Antitrust,</w:t>
                  </w:r>
                  <w:r>
                    <w:t xml:space="preserve">”</w:t>
                  </w:r>
                  <w:r>
                    <w:t xml:space="preserve"> </w:t>
                  </w:r>
                  <w:r>
                    <w:rPr>
                      <w:iCs/>
                      <w:i/>
                    </w:rPr>
                    <w:t xml:space="preserve">Ethics</w:t>
                  </w:r>
                  <w:r>
                    <w:t xml:space="preserve"> </w:t>
                  </w:r>
                  <w:r>
                    <w:t xml:space="preserve">96 (2): 231-260.</w:t>
                  </w:r>
                </w:p>
              </w:tc>
              <w:tc>
                <w:tcPr/>
                <w:p>
                  <w:pPr>
                    <w:pStyle w:val="Compact"/>
                    <w:jc w:val="right"/>
                    <w:jc w:val="center"/>
                  </w:pPr>
                  <w:r>
                    <w:t xml:space="preserve">21</w:t>
                  </w:r>
                </w:p>
              </w:tc>
            </w:tr>
            <w:tr>
              <w:tc>
                <w:tcPr/>
                <w:p>
                  <w:pPr>
                    <w:pStyle w:val="Compact"/>
                    <w:jc w:val="left"/>
                    <w:jc w:val="center"/>
                  </w:pPr>
                  <w:r>
                    <w:t xml:space="preserve">J Rawls (1988)</w:t>
                  </w:r>
                  <w:r>
                    <w:t xml:space="preserve"> </w:t>
                  </w:r>
                  <w:r>
                    <w:t xml:space="preserve">“</w:t>
                  </w:r>
                  <w:r>
                    <w:t xml:space="preserve">The Priority of Right and Ideas of the Good,</w:t>
                  </w:r>
                  <w:r>
                    <w:t xml:space="preserve">”</w:t>
                  </w:r>
                  <w:r>
                    <w:t xml:space="preserve"> </w:t>
                  </w:r>
                  <w:r>
                    <w:rPr>
                      <w:iCs/>
                      <w:i/>
                    </w:rPr>
                    <w:t xml:space="preserve">Philosophy &amp; Public Affairs</w:t>
                  </w:r>
                  <w:r>
                    <w:t xml:space="preserve"> </w:t>
                  </w:r>
                  <w:r>
                    <w:t xml:space="preserve">17 (4): 251-276.</w:t>
                  </w:r>
                </w:p>
              </w:tc>
              <w:tc>
                <w:tcPr/>
                <w:p>
                  <w:pPr>
                    <w:pStyle w:val="Compact"/>
                    <w:jc w:val="right"/>
                    <w:jc w:val="center"/>
                  </w:pPr>
                  <w:r>
                    <w:t xml:space="preserve">21</w:t>
                  </w:r>
                </w:p>
              </w:tc>
            </w:tr>
            <w:tr>
              <w:tc>
                <w:tcPr/>
                <w:p>
                  <w:pPr>
                    <w:pStyle w:val="Compact"/>
                    <w:jc w:val="left"/>
                    <w:jc w:val="center"/>
                  </w:pPr>
                  <w:r>
                    <w:t xml:space="preserve">T Burge (1988)</w:t>
                  </w:r>
                  <w:r>
                    <w:t xml:space="preserve"> </w:t>
                  </w:r>
                  <w:r>
                    <w:t xml:space="preserve">“</w:t>
                  </w:r>
                  <w:r>
                    <w:t xml:space="preserve">Individualism and Self-Knowledge,</w:t>
                  </w:r>
                  <w:r>
                    <w:t xml:space="preserve">”</w:t>
                  </w:r>
                  <w:r>
                    <w:t xml:space="preserve"> </w:t>
                  </w:r>
                  <w:r>
                    <w:rPr>
                      <w:iCs/>
                      <w:i/>
                    </w:rPr>
                    <w:t xml:space="preserve">Journal Of Philosophy</w:t>
                  </w:r>
                  <w:r>
                    <w:t xml:space="preserve"> </w:t>
                  </w:r>
                  <w:r>
                    <w:t xml:space="preserve">85 (11): 649-663.</w:t>
                  </w:r>
                </w:p>
              </w:tc>
              <w:tc>
                <w:tcPr/>
                <w:p>
                  <w:pPr>
                    <w:pStyle w:val="Compact"/>
                    <w:jc w:val="right"/>
                    <w:jc w:val="center"/>
                  </w:pPr>
                  <w:r>
                    <w:t xml:space="preserve">21</w:t>
                  </w:r>
                </w:p>
              </w:tc>
            </w:tr>
            <w:tr>
              <w:tc>
                <w:tcPr/>
                <w:p>
                  <w:pPr>
                    <w:pStyle w:val="Compact"/>
                    <w:jc w:val="left"/>
                    <w:jc w:val="center"/>
                  </w:pPr>
                  <w:r>
                    <w:t xml:space="preserve">PM Churchland (1985)</w:t>
                  </w:r>
                  <w:r>
                    <w:t xml:space="preserve"> </w:t>
                  </w:r>
                  <w:r>
                    <w:t xml:space="preserve">“</w:t>
                  </w:r>
                  <w:r>
                    <w:t xml:space="preserve">Reduction, Qualia, and the Direct Introspection of Brain States,</w:t>
                  </w:r>
                  <w:r>
                    <w:t xml:space="preserve">”</w:t>
                  </w:r>
                  <w:r>
                    <w:t xml:space="preserve"> </w:t>
                  </w:r>
                  <w:r>
                    <w:rPr>
                      <w:iCs/>
                      <w:i/>
                    </w:rPr>
                    <w:t xml:space="preserve">Journal Of Philosophy</w:t>
                  </w:r>
                  <w:r>
                    <w:t xml:space="preserve"> </w:t>
                  </w:r>
                  <w:r>
                    <w:t xml:space="preserve">82 (1): 8-28.</w:t>
                  </w:r>
                </w:p>
              </w:tc>
              <w:tc>
                <w:tcPr/>
                <w:p>
                  <w:pPr>
                    <w:pStyle w:val="Compact"/>
                    <w:jc w:val="right"/>
                    <w:jc w:val="center"/>
                  </w:pPr>
                  <w:r>
                    <w:t xml:space="preserve">20</w:t>
                  </w:r>
                </w:p>
              </w:tc>
            </w:tr>
            <w:tr>
              <w:tc>
                <w:tcPr/>
                <w:p>
                  <w:pPr>
                    <w:pStyle w:val="Compact"/>
                    <w:jc w:val="left"/>
                    <w:jc w:val="center"/>
                  </w:pPr>
                  <w:r>
                    <w:t xml:space="preserve">RG Millikan (1986)</w:t>
                  </w:r>
                  <w:r>
                    <w:t xml:space="preserve"> </w:t>
                  </w:r>
                  <w:r>
                    <w:t xml:space="preserve">“</w:t>
                  </w:r>
                  <w:r>
                    <w:t xml:space="preserve">Thoughts Without Laws, Cognitive Science With Content,</w:t>
                  </w:r>
                  <w:r>
                    <w:t xml:space="preserve">”</w:t>
                  </w:r>
                  <w:r>
                    <w:t xml:space="preserve"> </w:t>
                  </w:r>
                  <w:r>
                    <w:rPr>
                      <w:iCs/>
                      <w:i/>
                    </w:rPr>
                    <w:t xml:space="preserve">Philosophical Review</w:t>
                  </w:r>
                  <w:r>
                    <w:t xml:space="preserve"> </w:t>
                  </w:r>
                  <w:r>
                    <w:t xml:space="preserve">95 (1): 47-80.</w:t>
                  </w:r>
                </w:p>
              </w:tc>
              <w:tc>
                <w:tcPr/>
                <w:p>
                  <w:pPr>
                    <w:pStyle w:val="Compact"/>
                    <w:jc w:val="right"/>
                    <w:jc w:val="center"/>
                  </w:pPr>
                  <w:r>
                    <w:t xml:space="preserve">20</w:t>
                  </w:r>
                </w:p>
              </w:tc>
            </w:tr>
            <w:tr>
              <w:tc>
                <w:tcPr/>
                <w:p>
                  <w:pPr>
                    <w:pStyle w:val="Compact"/>
                    <w:jc w:val="left"/>
                    <w:jc w:val="center"/>
                  </w:pPr>
                  <w:r>
                    <w:t xml:space="preserve">J Bigelow and R Pargetter (1987)</w:t>
                  </w:r>
                  <w:r>
                    <w:t xml:space="preserve"> </w:t>
                  </w:r>
                  <w:r>
                    <w:t xml:space="preserve">“</w:t>
                  </w:r>
                  <w:r>
                    <w:t xml:space="preserve">Functions,</w:t>
                  </w:r>
                  <w:r>
                    <w:t xml:space="preserve">”</w:t>
                  </w:r>
                  <w:r>
                    <w:t xml:space="preserve"> </w:t>
                  </w:r>
                  <w:r>
                    <w:rPr>
                      <w:iCs/>
                      <w:i/>
                    </w:rPr>
                    <w:t xml:space="preserve">Journal Of Philosophy</w:t>
                  </w:r>
                  <w:r>
                    <w:t xml:space="preserve"> </w:t>
                  </w:r>
                  <w:r>
                    <w:t xml:space="preserve">84 (4): 181-196.</w:t>
                  </w:r>
                </w:p>
              </w:tc>
              <w:tc>
                <w:tcPr/>
                <w:p>
                  <w:pPr>
                    <w:pStyle w:val="Compact"/>
                    <w:jc w:val="right"/>
                    <w:jc w:val="center"/>
                  </w:pPr>
                  <w:r>
                    <w:t xml:space="preserve">20</w:t>
                  </w:r>
                </w:p>
              </w:tc>
            </w:tr>
            <w:tr>
              <w:tc>
                <w:tcPr/>
                <w:p>
                  <w:pPr>
                    <w:pStyle w:val="Compact"/>
                    <w:jc w:val="left"/>
                    <w:jc w:val="center"/>
                  </w:pPr>
                  <w:r>
                    <w:t xml:space="preserve">P Railton (1984)</w:t>
                  </w:r>
                  <w:r>
                    <w:t xml:space="preserve"> </w:t>
                  </w:r>
                  <w:r>
                    <w:t xml:space="preserve">“</w:t>
                  </w:r>
                  <w:r>
                    <w:t xml:space="preserve">Alienation, Consequentialism, and the Demands of Morality,</w:t>
                  </w:r>
                  <w:r>
                    <w:t xml:space="preserve">”</w:t>
                  </w:r>
                  <w:r>
                    <w:t xml:space="preserve"> </w:t>
                  </w:r>
                  <w:r>
                    <w:rPr>
                      <w:iCs/>
                      <w:i/>
                    </w:rPr>
                    <w:t xml:space="preserve">Philosophy &amp; Public Affairs</w:t>
                  </w:r>
                  <w:r>
                    <w:t xml:space="preserve"> </w:t>
                  </w:r>
                  <w:r>
                    <w:t xml:space="preserve">13 (2): 134-171.</w:t>
                  </w:r>
                </w:p>
              </w:tc>
              <w:tc>
                <w:tcPr/>
                <w:p>
                  <w:pPr>
                    <w:pStyle w:val="Compact"/>
                    <w:jc w:val="right"/>
                    <w:jc w:val="center"/>
                  </w:pPr>
                  <w:r>
                    <w:t xml:space="preserve">19</w:t>
                  </w:r>
                </w:p>
              </w:tc>
            </w:tr>
            <w:tr>
              <w:tc>
                <w:tcPr/>
                <w:p>
                  <w:pPr>
                    <w:pStyle w:val="Compact"/>
                    <w:jc w:val="left"/>
                    <w:jc w:val="center"/>
                  </w:pPr>
                  <w:r>
                    <w:t xml:space="preserve">P Kitcher (1984)</w:t>
                  </w:r>
                  <w:r>
                    <w:t xml:space="preserve"> </w:t>
                  </w:r>
                  <w:r>
                    <w:t xml:space="preserve">“</w:t>
                  </w:r>
                  <w:r>
                    <w:t xml:space="preserve">Species,</w:t>
                  </w:r>
                  <w:r>
                    <w:t xml:space="preserve">”</w:t>
                  </w:r>
                  <w:r>
                    <w:t xml:space="preserve"> </w:t>
                  </w:r>
                  <w:r>
                    <w:rPr>
                      <w:iCs/>
                      <w:i/>
                    </w:rPr>
                    <w:t xml:space="preserve">Philosophy Of Science</w:t>
                  </w:r>
                  <w:r>
                    <w:t xml:space="preserve"> </w:t>
                  </w:r>
                  <w:r>
                    <w:t xml:space="preserve">51 (2): 308-333.</w:t>
                  </w:r>
                </w:p>
              </w:tc>
              <w:tc>
                <w:tcPr/>
                <w:p>
                  <w:pPr>
                    <w:pStyle w:val="Compact"/>
                    <w:jc w:val="right"/>
                    <w:jc w:val="center"/>
                  </w:pPr>
                  <w:r>
                    <w:t xml:space="preserve">19</w:t>
                  </w:r>
                </w:p>
              </w:tc>
            </w:tr>
            <w:tr>
              <w:tc>
                <w:tcPr/>
                <w:p>
                  <w:pPr>
                    <w:pStyle w:val="Compact"/>
                    <w:jc w:val="left"/>
                    <w:jc w:val="center"/>
                  </w:pPr>
                  <w:r>
                    <w:t xml:space="preserve">R Feldman (1985)</w:t>
                  </w:r>
                  <w:r>
                    <w:t xml:space="preserve"> </w:t>
                  </w:r>
                  <w:r>
                    <w:t xml:space="preserve">“</w:t>
                  </w:r>
                  <w:r>
                    <w:t xml:space="preserve">Reliability and Justification,</w:t>
                  </w:r>
                  <w:r>
                    <w:t xml:space="preserve">”</w:t>
                  </w:r>
                  <w:r>
                    <w:t xml:space="preserve"> </w:t>
                  </w:r>
                  <w:r>
                    <w:rPr>
                      <w:iCs/>
                      <w:i/>
                    </w:rPr>
                    <w:t xml:space="preserve">Monist</w:t>
                  </w:r>
                  <w:r>
                    <w:t xml:space="preserve"> </w:t>
                  </w:r>
                  <w:r>
                    <w:t xml:space="preserve">68 (2): 159-174.</w:t>
                  </w:r>
                </w:p>
              </w:tc>
              <w:tc>
                <w:tcPr/>
                <w:p>
                  <w:pPr>
                    <w:pStyle w:val="Compact"/>
                    <w:jc w:val="right"/>
                    <w:jc w:val="center"/>
                  </w:pPr>
                  <w:r>
                    <w:t xml:space="preserve">19</w:t>
                  </w:r>
                </w:p>
              </w:tc>
            </w:tr>
          </w:tbl>
          <w:bookmarkEnd w:id="43"/>
          <w:p/>
        </w:tc>
      </w:tr>
    </w:tbl>
    <w:p>
      <w:pPr>
        <w:pStyle w:val="BodyText"/>
      </w:pPr>
      <w:r>
        <w:t xml:space="preserve">And</w:t>
      </w:r>
      <w:r>
        <w:t xml:space="preserve"> </w:t>
      </w:r>
      <w:hyperlink w:anchor="tbl-late-1980s">
        <w:r>
          <w:rPr>
            <w:rStyle w:val="Hyperlink"/>
          </w:rPr>
          <w:t xml:space="preserve">Table 4</w:t>
        </w:r>
      </w:hyperlink>
      <w:r>
        <w:t xml:space="preserve"> </w:t>
      </w:r>
      <w:r>
        <w:t xml:space="preserve">shows the almost completely distinct list of articles from 1984 to 1988 that have been widely cited in the last 5 years of the data set.</w:t>
      </w:r>
    </w:p>
    <w:tbl>
      <w:tblPr>
        <w:tblStyle w:val="Table"/>
        <w:tblW w:type="pct" w:w="5000"/>
        <w:tblLook w:firstRow="0" w:lastRow="0" w:firstColumn="0" w:lastColumn="0" w:noHBand="0" w:noVBand="0" w:val="0000"/>
        <w:jc w:val="start"/>
        <w:tblLayout w:type="fixed"/>
      </w:tblPr>
      <w:tblGrid>
        <w:gridCol w:w="7920"/>
      </w:tblGrid>
      <w:tr>
        <w:tc>
          <w:tcPr/>
          <w:bookmarkStart w:id="44" w:name="tbl-late-1980s"/>
          <w:p>
            <w:pPr>
              <w:jc w:val="center"/>
            </w:pPr>
            <w:pPr>
              <w:jc w:val="start"/>
              <w:spacing w:before="200"/>
              <w:pStyle w:val="ImageCaption"/>
            </w:pPr>
            <w:r>
              <w:t xml:space="preserve">Table 4: Most cited 1984-1988 articles since 2018.</w:t>
            </w:r>
          </w:p>
          <w:tbl>
            <w:tblPr>
              <w:tblStyle w:val="Table"/>
              <w:tblW w:type="pct" w:w="5000"/>
              <w:tblLook w:firstRow="1" w:lastRow="0" w:firstColumn="0" w:lastColumn="0" w:noHBand="0" w:noVBand="0" w:val="0020"/>
              <w:jc w:val="start"/>
              <w:tblLayout w:type="fixed"/>
            </w:tblPr>
            <w:tblGrid>
              <w:gridCol w:w="7384"/>
              <w:gridCol w:w="535"/>
            </w:tblGrid>
            <w:tr>
              <w:trPr>
                <w:tblHeader w:val="true"/>
              </w:trPr>
              <w:tc>
                <w:tcPr/>
                <w:p>
                  <w:pPr>
                    <w:pStyle w:val="Compact"/>
                    <w:jc w:val="left"/>
                    <w:jc w:val="center"/>
                  </w:pPr>
                  <w:r>
                    <w:t xml:space="preserve">Article</w:t>
                  </w:r>
                </w:p>
              </w:tc>
              <w:tc>
                <w:tcPr/>
                <w:p>
                  <w:pPr>
                    <w:pStyle w:val="Compact"/>
                    <w:jc w:val="right"/>
                    <w:jc w:val="center"/>
                  </w:pPr>
                  <w:r>
                    <w:t xml:space="preserve">Citations</w:t>
                  </w:r>
                </w:p>
              </w:tc>
            </w:tr>
            <w:tr>
              <w:tc>
                <w:tcPr/>
                <w:p>
                  <w:pPr>
                    <w:pStyle w:val="Compact"/>
                    <w:jc w:val="left"/>
                    <w:jc w:val="center"/>
                  </w:pPr>
                  <w:r>
                    <w:t xml:space="preserve">D Lewis (1984)</w:t>
                  </w:r>
                  <w:r>
                    <w:t xml:space="preserve"> </w:t>
                  </w:r>
                  <w:r>
                    <w:t xml:space="preserve">“</w:t>
                  </w:r>
                  <w:r>
                    <w:t xml:space="preserve">Putnam’s Paradox,</w:t>
                  </w:r>
                  <w:r>
                    <w:t xml:space="preserve">”</w:t>
                  </w:r>
                  <w:r>
                    <w:t xml:space="preserve"> </w:t>
                  </w:r>
                  <w:r>
                    <w:rPr>
                      <w:iCs/>
                      <w:i/>
                    </w:rPr>
                    <w:t xml:space="preserve">Australasian Journal Of Philosophy</w:t>
                  </w:r>
                  <w:r>
                    <w:t xml:space="preserve"> </w:t>
                  </w:r>
                  <w:r>
                    <w:t xml:space="preserve">62 (3): 221-236.</w:t>
                  </w:r>
                </w:p>
              </w:tc>
              <w:tc>
                <w:tcPr/>
                <w:p>
                  <w:pPr>
                    <w:pStyle w:val="Compact"/>
                    <w:jc w:val="right"/>
                    <w:jc w:val="center"/>
                  </w:pPr>
                  <w:r>
                    <w:t xml:space="preserve">80</w:t>
                  </w:r>
                </w:p>
              </w:tc>
            </w:tr>
            <w:tr>
              <w:tc>
                <w:tcPr/>
                <w:p>
                  <w:pPr>
                    <w:pStyle w:val="Compact"/>
                    <w:jc w:val="left"/>
                    <w:jc w:val="center"/>
                  </w:pPr>
                  <w:r>
                    <w:t xml:space="preserve">P Railton (1984)</w:t>
                  </w:r>
                  <w:r>
                    <w:t xml:space="preserve"> </w:t>
                  </w:r>
                  <w:r>
                    <w:t xml:space="preserve">“</w:t>
                  </w:r>
                  <w:r>
                    <w:t xml:space="preserve">Alienation, Consequentialism, and the Demands of Morality,</w:t>
                  </w:r>
                  <w:r>
                    <w:t xml:space="preserve">”</w:t>
                  </w:r>
                  <w:r>
                    <w:t xml:space="preserve"> </w:t>
                  </w:r>
                  <w:r>
                    <w:rPr>
                      <w:iCs/>
                      <w:i/>
                    </w:rPr>
                    <w:t xml:space="preserve">Philosophy &amp; Public Affairs</w:t>
                  </w:r>
                  <w:r>
                    <w:t xml:space="preserve"> </w:t>
                  </w:r>
                  <w:r>
                    <w:t xml:space="preserve">13 (2): 134-171.</w:t>
                  </w:r>
                </w:p>
              </w:tc>
              <w:tc>
                <w:tcPr/>
                <w:p>
                  <w:pPr>
                    <w:pStyle w:val="Compact"/>
                    <w:jc w:val="right"/>
                    <w:jc w:val="center"/>
                  </w:pPr>
                  <w:r>
                    <w:t xml:space="preserve">73</w:t>
                  </w:r>
                </w:p>
              </w:tc>
            </w:tr>
            <w:tr>
              <w:tc>
                <w:tcPr/>
                <w:p>
                  <w:pPr>
                    <w:pStyle w:val="Compact"/>
                    <w:jc w:val="left"/>
                    <w:jc w:val="center"/>
                  </w:pPr>
                  <w:r>
                    <w:t xml:space="preserve">R Feldman and E Conee (1985)</w:t>
                  </w:r>
                  <w:r>
                    <w:t xml:space="preserve"> </w:t>
                  </w:r>
                  <w:r>
                    <w:t xml:space="preserve">“</w:t>
                  </w:r>
                  <w:r>
                    <w:t xml:space="preserve">Evidentialism,</w:t>
                  </w:r>
                  <w:r>
                    <w:t xml:space="preserve">”</w:t>
                  </w:r>
                  <w:r>
                    <w:t xml:space="preserve"> </w:t>
                  </w:r>
                  <w:r>
                    <w:rPr>
                      <w:iCs/>
                      <w:i/>
                    </w:rPr>
                    <w:t xml:space="preserve">Philosophical Studies</w:t>
                  </w:r>
                  <w:r>
                    <w:t xml:space="preserve"> </w:t>
                  </w:r>
                  <w:r>
                    <w:t xml:space="preserve">48 (1): 15-34.</w:t>
                  </w:r>
                </w:p>
              </w:tc>
              <w:tc>
                <w:tcPr/>
                <w:p>
                  <w:pPr>
                    <w:pStyle w:val="Compact"/>
                    <w:jc w:val="right"/>
                    <w:jc w:val="center"/>
                  </w:pPr>
                  <w:r>
                    <w:t xml:space="preserve">70</w:t>
                  </w:r>
                </w:p>
              </w:tc>
            </w:tr>
            <w:tr>
              <w:tc>
                <w:tcPr/>
                <w:p>
                  <w:pPr>
                    <w:pStyle w:val="Compact"/>
                    <w:jc w:val="left"/>
                    <w:jc w:val="center"/>
                  </w:pPr>
                  <w:r>
                    <w:t xml:space="preserve">A Baier (1986)</w:t>
                  </w:r>
                  <w:r>
                    <w:t xml:space="preserve"> </w:t>
                  </w:r>
                  <w:r>
                    <w:t xml:space="preserve">“</w:t>
                  </w:r>
                  <w:r>
                    <w:t xml:space="preserve">Trust and Antitrust,</w:t>
                  </w:r>
                  <w:r>
                    <w:t xml:space="preserve">”</w:t>
                  </w:r>
                  <w:r>
                    <w:t xml:space="preserve"> </w:t>
                  </w:r>
                  <w:r>
                    <w:rPr>
                      <w:iCs/>
                      <w:i/>
                    </w:rPr>
                    <w:t xml:space="preserve">Ethics</w:t>
                  </w:r>
                  <w:r>
                    <w:t xml:space="preserve"> </w:t>
                  </w:r>
                  <w:r>
                    <w:t xml:space="preserve">96 (2): 231-260.</w:t>
                  </w:r>
                </w:p>
              </w:tc>
              <w:tc>
                <w:tcPr/>
                <w:p>
                  <w:pPr>
                    <w:pStyle w:val="Compact"/>
                    <w:jc w:val="right"/>
                    <w:jc w:val="center"/>
                  </w:pPr>
                  <w:r>
                    <w:t xml:space="preserve">68</w:t>
                  </w:r>
                </w:p>
              </w:tc>
            </w:tr>
            <w:tr>
              <w:tc>
                <w:tcPr/>
                <w:p>
                  <w:pPr>
                    <w:pStyle w:val="Compact"/>
                    <w:jc w:val="left"/>
                    <w:jc w:val="center"/>
                  </w:pPr>
                  <w:r>
                    <w:t xml:space="preserve">G Boolos (1984)</w:t>
                  </w:r>
                  <w:r>
                    <w:t xml:space="preserve"> </w:t>
                  </w:r>
                  <w:r>
                    <w:t xml:space="preserve">“</w:t>
                  </w:r>
                  <w:r>
                    <w:t xml:space="preserve">To Be is To Be a Value of a Variable (Or To Be Some Values of Some Variables),</w:t>
                  </w:r>
                  <w:r>
                    <w:t xml:space="preserve">”</w:t>
                  </w:r>
                  <w:r>
                    <w:t xml:space="preserve"> </w:t>
                  </w:r>
                  <w:r>
                    <w:rPr>
                      <w:iCs/>
                      <w:i/>
                    </w:rPr>
                    <w:t xml:space="preserve">Journal Of Philosophy</w:t>
                  </w:r>
                  <w:r>
                    <w:t xml:space="preserve"> </w:t>
                  </w:r>
                  <w:r>
                    <w:t xml:space="preserve">81 (8): 430-449.</w:t>
                  </w:r>
                </w:p>
              </w:tc>
              <w:tc>
                <w:tcPr/>
                <w:p>
                  <w:pPr>
                    <w:pStyle w:val="Compact"/>
                    <w:jc w:val="right"/>
                    <w:jc w:val="center"/>
                  </w:pPr>
                  <w:r>
                    <w:t xml:space="preserve">60</w:t>
                  </w:r>
                </w:p>
              </w:tc>
            </w:tr>
            <w:tr>
              <w:tc>
                <w:tcPr/>
                <w:p>
                  <w:pPr>
                    <w:pStyle w:val="Compact"/>
                    <w:jc w:val="left"/>
                    <w:jc w:val="center"/>
                  </w:pPr>
                  <w:r>
                    <w:t xml:space="preserve">E McMullin (1985)</w:t>
                  </w:r>
                  <w:r>
                    <w:t xml:space="preserve"> </w:t>
                  </w:r>
                  <w:r>
                    <w:t xml:space="preserve">“</w:t>
                  </w:r>
                  <w:r>
                    <w:t xml:space="preserve">Galilean Idealization,</w:t>
                  </w:r>
                  <w:r>
                    <w:t xml:space="preserve">”</w:t>
                  </w:r>
                  <w:r>
                    <w:t xml:space="preserve"> </w:t>
                  </w:r>
                  <w:r>
                    <w:rPr>
                      <w:iCs/>
                      <w:i/>
                    </w:rPr>
                    <w:t xml:space="preserve">Studies In History And Philosophy Of Science</w:t>
                  </w:r>
                  <w:r>
                    <w:t xml:space="preserve"> </w:t>
                  </w:r>
                  <w:r>
                    <w:t xml:space="preserve">16 (3): 247-273.</w:t>
                  </w:r>
                </w:p>
              </w:tc>
              <w:tc>
                <w:tcPr/>
                <w:p>
                  <w:pPr>
                    <w:pStyle w:val="Compact"/>
                    <w:jc w:val="right"/>
                    <w:jc w:val="center"/>
                  </w:pPr>
                  <w:r>
                    <w:t xml:space="preserve">59</w:t>
                  </w:r>
                </w:p>
              </w:tc>
            </w:tr>
            <w:tr>
              <w:tc>
                <w:tcPr/>
                <w:p>
                  <w:pPr>
                    <w:pStyle w:val="Compact"/>
                    <w:jc w:val="left"/>
                    <w:jc w:val="center"/>
                  </w:pPr>
                  <w:r>
                    <w:t xml:space="preserve">P Railton (1986)</w:t>
                  </w:r>
                  <w:r>
                    <w:t xml:space="preserve"> </w:t>
                  </w:r>
                  <w:r>
                    <w:t xml:space="preserve">“</w:t>
                  </w:r>
                  <w:r>
                    <w:t xml:space="preserve">Moral Realism,</w:t>
                  </w:r>
                  <w:r>
                    <w:t xml:space="preserve">”</w:t>
                  </w:r>
                  <w:r>
                    <w:t xml:space="preserve"> </w:t>
                  </w:r>
                  <w:r>
                    <w:rPr>
                      <w:iCs/>
                      <w:i/>
                    </w:rPr>
                    <w:t xml:space="preserve">Philosophical Review</w:t>
                  </w:r>
                  <w:r>
                    <w:t xml:space="preserve"> </w:t>
                  </w:r>
                  <w:r>
                    <w:t xml:space="preserve">95 (2): 163-207.</w:t>
                  </w:r>
                </w:p>
              </w:tc>
              <w:tc>
                <w:tcPr/>
                <w:p>
                  <w:pPr>
                    <w:pStyle w:val="Compact"/>
                    <w:jc w:val="right"/>
                    <w:jc w:val="center"/>
                  </w:pPr>
                  <w:r>
                    <w:t xml:space="preserve">58</w:t>
                  </w:r>
                </w:p>
              </w:tc>
            </w:tr>
            <w:tr>
              <w:tc>
                <w:tcPr/>
                <w:p>
                  <w:pPr>
                    <w:pStyle w:val="Compact"/>
                    <w:jc w:val="left"/>
                    <w:jc w:val="center"/>
                  </w:pPr>
                  <w:r>
                    <w:t xml:space="preserve">J Bogen and J Woodward (1988)</w:t>
                  </w:r>
                  <w:r>
                    <w:t xml:space="preserve"> </w:t>
                  </w:r>
                  <w:r>
                    <w:t xml:space="preserve">“</w:t>
                  </w:r>
                  <w:r>
                    <w:t xml:space="preserve">Saving the Phenomena,</w:t>
                  </w:r>
                  <w:r>
                    <w:t xml:space="preserve">”</w:t>
                  </w:r>
                  <w:r>
                    <w:t xml:space="preserve"> </w:t>
                  </w:r>
                  <w:r>
                    <w:rPr>
                      <w:iCs/>
                      <w:i/>
                    </w:rPr>
                    <w:t xml:space="preserve">Philosophical Review</w:t>
                  </w:r>
                  <w:r>
                    <w:t xml:space="preserve"> </w:t>
                  </w:r>
                  <w:r>
                    <w:t xml:space="preserve">97 (3): 303-352.</w:t>
                  </w:r>
                </w:p>
              </w:tc>
              <w:tc>
                <w:tcPr/>
                <w:p>
                  <w:pPr>
                    <w:pStyle w:val="Compact"/>
                    <w:jc w:val="right"/>
                    <w:jc w:val="center"/>
                  </w:pPr>
                  <w:r>
                    <w:t xml:space="preserve">57</w:t>
                  </w:r>
                </w:p>
              </w:tc>
            </w:tr>
            <w:tr>
              <w:tc>
                <w:tcPr/>
                <w:p>
                  <w:pPr>
                    <w:pStyle w:val="Compact"/>
                    <w:jc w:val="left"/>
                    <w:jc w:val="center"/>
                  </w:pPr>
                  <w:r>
                    <w:t xml:space="preserve">V McGee (1985)</w:t>
                  </w:r>
                  <w:r>
                    <w:t xml:space="preserve"> </w:t>
                  </w:r>
                  <w:r>
                    <w:t xml:space="preserve">“</w:t>
                  </w:r>
                  <w:r>
                    <w:t xml:space="preserve">A Counterexample To Modus Ponens,</w:t>
                  </w:r>
                  <w:r>
                    <w:t xml:space="preserve">”</w:t>
                  </w:r>
                  <w:r>
                    <w:t xml:space="preserve"> </w:t>
                  </w:r>
                  <w:r>
                    <w:rPr>
                      <w:iCs/>
                      <w:i/>
                    </w:rPr>
                    <w:t xml:space="preserve">Journal Of Philosophy</w:t>
                  </w:r>
                  <w:r>
                    <w:t xml:space="preserve"> </w:t>
                  </w:r>
                  <w:r>
                    <w:t xml:space="preserve">82 (9): 462-471.</w:t>
                  </w:r>
                </w:p>
              </w:tc>
              <w:tc>
                <w:tcPr/>
                <w:p>
                  <w:pPr>
                    <w:pStyle w:val="Compact"/>
                    <w:jc w:val="right"/>
                    <w:jc w:val="center"/>
                  </w:pPr>
                  <w:r>
                    <w:t xml:space="preserve">56</w:t>
                  </w:r>
                </w:p>
              </w:tc>
            </w:tr>
            <w:tr>
              <w:tc>
                <w:tcPr/>
                <w:p>
                  <w:pPr>
                    <w:pStyle w:val="Compact"/>
                    <w:jc w:val="left"/>
                    <w:jc w:val="center"/>
                  </w:pPr>
                  <w:r>
                    <w:t xml:space="preserve">S Cohen (1984)</w:t>
                  </w:r>
                  <w:r>
                    <w:t xml:space="preserve"> </w:t>
                  </w:r>
                  <w:r>
                    <w:t xml:space="preserve">“</w:t>
                  </w:r>
                  <w:r>
                    <w:t xml:space="preserve">Justification and Truth,</w:t>
                  </w:r>
                  <w:r>
                    <w:t xml:space="preserve">”</w:t>
                  </w:r>
                  <w:r>
                    <w:t xml:space="preserve"> </w:t>
                  </w:r>
                  <w:r>
                    <w:rPr>
                      <w:iCs/>
                      <w:i/>
                    </w:rPr>
                    <w:t xml:space="preserve">Philosophical Studies</w:t>
                  </w:r>
                  <w:r>
                    <w:t xml:space="preserve"> </w:t>
                  </w:r>
                  <w:r>
                    <w:t xml:space="preserve">46 (3): 279-295.</w:t>
                  </w:r>
                </w:p>
              </w:tc>
              <w:tc>
                <w:tcPr/>
                <w:p>
                  <w:pPr>
                    <w:pStyle w:val="Compact"/>
                    <w:jc w:val="right"/>
                    <w:jc w:val="center"/>
                  </w:pPr>
                  <w:r>
                    <w:t xml:space="preserve">53</w:t>
                  </w:r>
                </w:p>
              </w:tc>
            </w:tr>
            <w:tr>
              <w:tc>
                <w:tcPr/>
                <w:p>
                  <w:pPr>
                    <w:pStyle w:val="Compact"/>
                    <w:jc w:val="left"/>
                    <w:jc w:val="center"/>
                  </w:pPr>
                  <w:r>
                    <w:t xml:space="preserve">J Hardwig (1985)</w:t>
                  </w:r>
                  <w:r>
                    <w:t xml:space="preserve"> </w:t>
                  </w:r>
                  <w:r>
                    <w:t xml:space="preserve">“</w:t>
                  </w:r>
                  <w:r>
                    <w:t xml:space="preserve">Epistemic Dependence,</w:t>
                  </w:r>
                  <w:r>
                    <w:t xml:space="preserve">”</w:t>
                  </w:r>
                  <w:r>
                    <w:t xml:space="preserve"> </w:t>
                  </w:r>
                  <w:r>
                    <w:rPr>
                      <w:iCs/>
                      <w:i/>
                    </w:rPr>
                    <w:t xml:space="preserve">Journal Of Philosophy</w:t>
                  </w:r>
                  <w:r>
                    <w:t xml:space="preserve"> </w:t>
                  </w:r>
                  <w:r>
                    <w:t xml:space="preserve">82 (7): 335-349.</w:t>
                  </w:r>
                </w:p>
              </w:tc>
              <w:tc>
                <w:tcPr/>
                <w:p>
                  <w:pPr>
                    <w:pStyle w:val="Compact"/>
                    <w:jc w:val="right"/>
                    <w:jc w:val="center"/>
                  </w:pPr>
                  <w:r>
                    <w:t xml:space="preserve">53</w:t>
                  </w:r>
                </w:p>
              </w:tc>
            </w:tr>
            <w:tr>
              <w:tc>
                <w:tcPr/>
                <w:p>
                  <w:pPr>
                    <w:pStyle w:val="Compact"/>
                    <w:jc w:val="left"/>
                    <w:jc w:val="center"/>
                  </w:pPr>
                  <w:r>
                    <w:t xml:space="preserve">BC van Fraassen (1984)</w:t>
                  </w:r>
                  <w:r>
                    <w:t xml:space="preserve"> </w:t>
                  </w:r>
                  <w:r>
                    <w:t xml:space="preserve">“</w:t>
                  </w:r>
                  <w:r>
                    <w:t xml:space="preserve">Belief and the Will,</w:t>
                  </w:r>
                  <w:r>
                    <w:t xml:space="preserve">”</w:t>
                  </w:r>
                  <w:r>
                    <w:t xml:space="preserve"> </w:t>
                  </w:r>
                  <w:r>
                    <w:rPr>
                      <w:iCs/>
                      <w:i/>
                    </w:rPr>
                    <w:t xml:space="preserve">Journal Of Philosophy</w:t>
                  </w:r>
                  <w:r>
                    <w:t xml:space="preserve"> </w:t>
                  </w:r>
                  <w:r>
                    <w:t xml:space="preserve">81 (5): 235-256.</w:t>
                  </w:r>
                </w:p>
              </w:tc>
              <w:tc>
                <w:tcPr/>
                <w:p>
                  <w:pPr>
                    <w:pStyle w:val="Compact"/>
                    <w:jc w:val="right"/>
                    <w:jc w:val="center"/>
                  </w:pPr>
                  <w:r>
                    <w:t xml:space="preserve">51</w:t>
                  </w:r>
                </w:p>
              </w:tc>
            </w:tr>
            <w:tr>
              <w:tc>
                <w:tcPr/>
                <w:p>
                  <w:pPr>
                    <w:pStyle w:val="Compact"/>
                    <w:jc w:val="left"/>
                    <w:jc w:val="center"/>
                  </w:pPr>
                  <w:r>
                    <w:t xml:space="preserve">H Frankfurt (1987)</w:t>
                  </w:r>
                  <w:r>
                    <w:t xml:space="preserve"> </w:t>
                  </w:r>
                  <w:r>
                    <w:t xml:space="preserve">“</w:t>
                  </w:r>
                  <w:r>
                    <w:t xml:space="preserve">Equality as a Moral Ideal,</w:t>
                  </w:r>
                  <w:r>
                    <w:t xml:space="preserve">”</w:t>
                  </w:r>
                  <w:r>
                    <w:t xml:space="preserve"> </w:t>
                  </w:r>
                  <w:r>
                    <w:rPr>
                      <w:iCs/>
                      <w:i/>
                    </w:rPr>
                    <w:t xml:space="preserve">Ethics</w:t>
                  </w:r>
                  <w:r>
                    <w:t xml:space="preserve"> </w:t>
                  </w:r>
                  <w:r>
                    <w:t xml:space="preserve">98 (1): 21-43.</w:t>
                  </w:r>
                </w:p>
              </w:tc>
              <w:tc>
                <w:tcPr/>
                <w:p>
                  <w:pPr>
                    <w:pStyle w:val="Compact"/>
                    <w:jc w:val="right"/>
                    <w:jc w:val="center"/>
                  </w:pPr>
                  <w:r>
                    <w:t xml:space="preserve">37</w:t>
                  </w:r>
                </w:p>
              </w:tc>
            </w:tr>
            <w:tr>
              <w:tc>
                <w:tcPr/>
                <w:p>
                  <w:pPr>
                    <w:pStyle w:val="Compact"/>
                    <w:jc w:val="left"/>
                    <w:jc w:val="center"/>
                  </w:pPr>
                  <w:r>
                    <w:t xml:space="preserve">W Sinnottarmstrong (1984)</w:t>
                  </w:r>
                  <w:r>
                    <w:t xml:space="preserve"> </w:t>
                  </w:r>
                  <w:r>
                    <w:t xml:space="preserve">“</w:t>
                  </w:r>
                  <w:r>
                    <w:t xml:space="preserve">Ought Conversationally Implies Can,</w:t>
                  </w:r>
                  <w:r>
                    <w:t xml:space="preserve">”</w:t>
                  </w:r>
                  <w:r>
                    <w:t xml:space="preserve"> </w:t>
                  </w:r>
                  <w:r>
                    <w:rPr>
                      <w:iCs/>
                      <w:i/>
                    </w:rPr>
                    <w:t xml:space="preserve">Philosophical Review</w:t>
                  </w:r>
                  <w:r>
                    <w:t xml:space="preserve"> </w:t>
                  </w:r>
                  <w:r>
                    <w:t xml:space="preserve">93 (2): 249-261.</w:t>
                  </w:r>
                </w:p>
              </w:tc>
              <w:tc>
                <w:tcPr/>
                <w:p>
                  <w:pPr>
                    <w:pStyle w:val="Compact"/>
                    <w:jc w:val="right"/>
                    <w:jc w:val="center"/>
                  </w:pPr>
                  <w:r>
                    <w:t xml:space="preserve">33</w:t>
                  </w:r>
                </w:p>
              </w:tc>
            </w:tr>
            <w:tr>
              <w:tc>
                <w:tcPr/>
                <w:p>
                  <w:pPr>
                    <w:pStyle w:val="Compact"/>
                    <w:jc w:val="left"/>
                    <w:jc w:val="center"/>
                  </w:pPr>
                  <w:r>
                    <w:t xml:space="preserve">F Jackson and R Pargetter (1986)</w:t>
                  </w:r>
                  <w:r>
                    <w:t xml:space="preserve"> </w:t>
                  </w:r>
                  <w:r>
                    <w:t xml:space="preserve">“</w:t>
                  </w:r>
                  <w:r>
                    <w:t xml:space="preserve">Oughts, Options, and Actualism,</w:t>
                  </w:r>
                  <w:r>
                    <w:t xml:space="preserve">”</w:t>
                  </w:r>
                  <w:r>
                    <w:t xml:space="preserve"> </w:t>
                  </w:r>
                  <w:r>
                    <w:rPr>
                      <w:iCs/>
                      <w:i/>
                    </w:rPr>
                    <w:t xml:space="preserve">Philosophical Review</w:t>
                  </w:r>
                  <w:r>
                    <w:t xml:space="preserve"> </w:t>
                  </w:r>
                  <w:r>
                    <w:t xml:space="preserve">95 (2): 233-255.</w:t>
                  </w:r>
                </w:p>
              </w:tc>
              <w:tc>
                <w:tcPr/>
                <w:p>
                  <w:pPr>
                    <w:pStyle w:val="Compact"/>
                    <w:jc w:val="right"/>
                    <w:jc w:val="center"/>
                  </w:pPr>
                  <w:r>
                    <w:t xml:space="preserve">33</w:t>
                  </w:r>
                </w:p>
              </w:tc>
            </w:tr>
          </w:tbl>
          <w:bookmarkEnd w:id="44"/>
          <w:p/>
        </w:tc>
      </w:tr>
    </w:tbl>
    <w:p>
      <w:pPr>
        <w:pStyle w:val="BodyText"/>
      </w:pPr>
      <w:r>
        <w:t xml:space="preserve">Articles from the 1980s that made a big impact at the time were, for the most part, not sticking around. In part I think that’s because the 1980s, or at least the parts that were impactful at the time, were more</w:t>
      </w:r>
      <w:r>
        <w:t xml:space="preserve"> </w:t>
      </w:r>
      <w:r>
        <w:t xml:space="preserve">‘</w:t>
      </w:r>
      <w:r>
        <w:t xml:space="preserve">normal science</w:t>
      </w:r>
      <w:r>
        <w:t xml:space="preserve">’</w:t>
      </w:r>
      <w:r>
        <w:t xml:space="preserve">. There were a lot of articles that tried to make small improvements, especially on questions surrounding supervenience and physicalism, and there just wasn’t much reason to cite those 15 or so years late. Maybe the absence of the articles from a decade or so ago that would normally be cited is part of why there’s a break around the 2000s. But this is all speculative, and I think the whole question is both really interesting, and in need of further study.</w:t>
      </w:r>
    </w:p>
    <w:p>
      <w:pPr>
        <w:pStyle w:val="BodyText"/>
      </w:pPr>
      <w:r>
        <w:t xml:space="preserve">So I’ll end where I started by saying how grateful I am to the organisers for putting this on, and to Eugenio for the book. What I’ve done here is look at a few things inspired by one section of the book - it is full of so many insights and observations and it both makes you rethink what you thought about recent philosophy, and raises many fascinating questions like the one I’ve been discussing. I hope it gets very widely read.</w:t>
      </w:r>
    </w:p>
    <w:bookmarkStart w:id="45" w:name="references"/>
    <w:p>
      <w:pPr>
        <w:pStyle w:val="Heading2"/>
      </w:pPr>
      <w:r>
        <w:t xml:space="preserve">References</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This doesn’t have a ton of citations, but it is reprinted as a key chapter of</w:t>
      </w:r>
      <w:r>
        <w:t xml:space="preserve"> </w:t>
      </w:r>
      <w:r>
        <w:rPr>
          <w:iCs/>
          <w:i/>
        </w:rPr>
        <w:t xml:space="preserve">Knowledge and Its Limits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Break in the Citation Patterns</dc:title>
  <dc:creator>Brian Weatherson</dc:creator>
  <cp:keywords/>
  <dcterms:created xsi:type="dcterms:W3CDTF">2024-07-26T12:33:34Z</dcterms:created>
  <dcterms:modified xsi:type="dcterms:W3CDTF">2024-07-26T12:33:34Z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Comments on Eugenio Petrovich’s book A Quantitative Portrait of Analytic Philosophy: Looking Through the Margins, for the Quantitative Studies of Philosophy workshop at Tiburg, August 21-22 2024.</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2024-08-21</vt:lpwstr>
  </property>
  <property fmtid="{D5CDD505-2E9C-101B-9397-08002B2CF9AE}" pid="10" name="draft">
    <vt:lpwstr>False</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