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Anon</w:t>
      </w:r>
    </w:p>
    <w:p>
      <w:pPr>
        <w:pStyle w:val="Date"/>
      </w:pPr>
      <w:r>
        <w:t xml:space="preserve">2023-08-07</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(1981b)</w:t>
      </w:r>
      <w:r>
        <w:t xml:space="preserve"> </w:t>
      </w:r>
      <w:r>
        <w:t xml:space="preserve">called the</w:t>
      </w:r>
      <w:r>
        <w:t xml:space="preserve"> </w:t>
      </w:r>
      <w:r>
        <w:t xml:space="preserve">“</w:t>
      </w:r>
      <w:r>
        <w:t xml:space="preserve">Why Ain’cha Rich</w:t>
      </w:r>
      <w:r>
        <w:t xml:space="preserve">”</w:t>
      </w:r>
      <w:r>
        <w:t xml:space="preserve"> </w:t>
      </w:r>
      <w:r>
        <w:t xml:space="preserve">argument, and what following</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The example I’ll use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bookmarkStart w:id="21" w:name="tbl-payoffs-demon-coin"/>
    <w:p>
      <w:pPr>
        <w:pStyle w:val="TableCaption"/>
      </w:pPr>
      <w:r>
        <w:t xml:space="preserve">Table 1: Payouts for the coins and signals game</w:t>
      </w:r>
    </w:p>
    <w:tbl>
      <w:tblPr>
        <w:tblStyle w:val="Table"/>
        <w:tblW w:type="auto" w:w="0"/>
        <w:tblLook w:firstRow="1" w:lastRow="0" w:firstColumn="0" w:lastColumn="0" w:noHBand="0" w:noVBand="0" w:val="0020"/>
        <w:jc w:val="start"/>
        <w:tblCaption w:val="Table 1: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21"/>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25" w:name="fig-second-anti-war"/>
          <w:p>
            <w:pPr>
              <w:jc w:val="center"/>
            </w:pPr>
            <w:r>
              <w:drawing>
                <wp:inline>
                  <wp:extent cx="2250830" cy="3208045"/>
                  <wp:effectExtent b="0" l="0" r="0" t="0"/>
                  <wp:docPr descr="" title="" id="23" name="Picture"/>
                  <a:graphic>
                    <a:graphicData uri="http://schemas.openxmlformats.org/drawingml/2006/picture">
                      <pic:pic>
                        <pic:nvPicPr>
                          <pic:cNvPr descr="war-on-war-3_files/figure-docx/fig-second-anti-war-1.png" id="24" name="Picture"/>
                          <pic:cNvPicPr>
                            <a:picLocks noChangeArrowheads="1" noChangeAspect="1"/>
                          </pic:cNvPicPr>
                        </pic:nvPicPr>
                        <pic:blipFill>
                          <a:blip r:embed="rId22"/>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decision-theory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ε, where ε is small enough that it doesn’t make a difference to what happens.</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bookmarkStart w:id="27" w:name="tbl-payout-if-tails"/>
    <w:p>
      <w:pPr>
        <w:pStyle w:val="TableCaption"/>
      </w:pPr>
      <w:r>
        <w:t xml:space="preserve">Table 2: The expected payout to Chooser in four cases if the coin lands Tails</w:t>
      </w:r>
    </w:p>
    <w:tbl>
      <w:tblPr>
        <w:tblStyle w:val="Table"/>
        <w:tblW w:type="auto" w:w="0"/>
        <w:tblLook w:firstRow="1" w:lastRow="0" w:firstColumn="0" w:lastColumn="0" w:noHBand="0" w:noVBand="0" w:val="0020"/>
        <w:jc w:val="start"/>
        <w:tblCaption w:val="Table 2: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27"/>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 ε 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3"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is a dizzying array of versions of CDT. To see the variation, it helps to consider a very abstract decision problem. Chooser has to choose Up or Down, arbitrarily accurate Demon has predicted that, and the payoffs are a function of the choice and the prediction. Here’s the abstract form of that problem.</w:t>
      </w:r>
    </w:p>
    <w:bookmarkStart w:id="29" w:name="tbl-abstract"/>
    <w:p>
      <w:pPr>
        <w:pStyle w:val="TableCaption"/>
      </w:pPr>
      <w:r>
        <w:t xml:space="preserve">Table 3: An abstract decision problem</w:t>
      </w:r>
    </w:p>
    <w:tbl>
      <w:tblPr>
        <w:tblStyle w:val="Table"/>
        <w:tblW w:type="auto" w:w="0"/>
        <w:tblLook w:firstRow="1" w:lastRow="0" w:firstColumn="0" w:lastColumn="0" w:noHBand="0" w:noVBand="0" w:val="0020"/>
        <w:jc w:val="start"/>
        <w:tblCaption w:val="Table 3: An abstract decision problem"/>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center"/>
            </w:pPr>
            <w:r>
              <w:rPr>
                <w:bCs/>
                <w:b/>
              </w:rPr>
              <w:t xml:space="preserve">Down</w:t>
            </w:r>
          </w:p>
        </w:tc>
        <w:tc>
          <w:tcPr/>
          <w:p>
            <w:pPr>
              <w:pStyle w:val="Compact"/>
              <w:jc w:val="center"/>
            </w:pPr>
            <w:r>
              <w:rPr>
                <w:iCs/>
                <w:i/>
              </w:rPr>
              <w:t xml:space="preserve">c</w:t>
            </w:r>
          </w:p>
        </w:tc>
        <w:tc>
          <w:tcPr/>
          <w:p>
            <w:pPr>
              <w:pStyle w:val="Compact"/>
              <w:jc w:val="center"/>
            </w:pPr>
            <w:r>
              <w:rPr>
                <w:iCs/>
                <w:i/>
              </w:rPr>
              <w:t xml:space="preserve">d</w:t>
            </w:r>
          </w:p>
        </w:tc>
      </w:tr>
    </w:tbl>
    <w:bookmarkEnd w:id="29"/>
    <w:p>
      <w:pPr>
        <w:pStyle w:val="BodyText"/>
      </w:pPr>
      <w:r>
        <w:t xml:space="preserve">As noted in</w:t>
      </w:r>
      <w:r>
        <w:t xml:space="preserve"> </w:t>
      </w:r>
      <w:hyperlink w:anchor="sec-coinssignals">
        <w:r>
          <w:rPr>
            <w:rStyle w:val="Hyperlink"/>
          </w:rPr>
          <w:t xml:space="preserve">Section 1</w:t>
        </w:r>
      </w:hyperlink>
      <w:r>
        <w:t xml:space="preserve">,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w:t>
      </w:r>
      <w:r>
        <w:t xml:space="preserve">&gt;</w:t>
      </w:r>
      <w:r>
        <w:t xml:space="preserve"> </w:t>
      </w:r>
      <w:r>
        <w:rPr>
          <w:iCs/>
          <w:i/>
        </w:rPr>
        <w:t xml:space="preserve">c</w:t>
      </w:r>
      <w:r>
        <w:t xml:space="preserve">, and</w:t>
      </w:r>
      <w:r>
        <w:t xml:space="preserve"> </w:t>
      </w:r>
      <w:r>
        <w:rPr>
          <w:iCs/>
          <w:i/>
        </w:rPr>
        <w:t xml:space="preserve">b</w:t>
      </w:r>
      <w:r>
        <w:t xml:space="preserve"> </w:t>
      </w:r>
      <w:r>
        <w:t xml:space="preserve">&gt;</w:t>
      </w:r>
      <w:r>
        <w:t xml:space="preserve"> </w:t>
      </w:r>
      <w:r>
        <w:rPr>
          <w:iCs/>
          <w:i/>
        </w:rPr>
        <w:t xml:space="preserve">d</w:t>
      </w:r>
      <w:r>
        <w:t xml:space="preserve">, then Up is the right choice. But what if only one of those inequalities hold? In particular, if</w:t>
      </w:r>
      <w:r>
        <w:t xml:space="preserve"> </w:t>
      </w:r>
      <w:r>
        <w:rPr>
          <w:iCs/>
          <w:i/>
        </w:rPr>
        <w:t xml:space="preserve">a</w:t>
      </w:r>
      <w:r>
        <w:t xml:space="preserve"> </w:t>
      </w:r>
      <w:r>
        <w:t xml:space="preserve">&gt;</w:t>
      </w:r>
      <w:r>
        <w:t xml:space="preserve"> </w:t>
      </w:r>
      <w:r>
        <w:rPr>
          <w:iCs/>
          <w:i/>
        </w:rPr>
        <w:t xml:space="preserve">c</w:t>
      </w:r>
      <w:r>
        <w:t xml:space="preserve">, and</w:t>
      </w:r>
      <w:r>
        <w:t xml:space="preserve"> </w:t>
      </w:r>
      <w:r>
        <w:rPr>
          <w:iCs/>
          <w:i/>
        </w:rPr>
        <w:t xml:space="preserve">d</w:t>
      </w:r>
      <w:r>
        <w:t xml:space="preserve"> </w:t>
      </w:r>
      <w:r>
        <w:t xml:space="preserve">&gt;</w:t>
      </w:r>
      <w:r>
        <w:t xml:space="preserve"> </w:t>
      </w:r>
      <w:r>
        <w:rPr>
          <w:iCs/>
          <w:i/>
        </w:rPr>
        <w:t xml:space="preserve">b</w:t>
      </w:r>
      <w:r>
        <w:t xml:space="preserve">, what is to be done?</w:t>
      </w:r>
      <w:r>
        <w:rPr>
          <w:rStyle w:val="FootnoteReference"/>
        </w:rPr>
        <w:footnoteReference w:id="30"/>
      </w:r>
      <w:r>
        <w:t xml:space="preserve"> </w:t>
      </w:r>
      <w:r>
        <w:t xml:space="preserve">There are, in the current literature, four different verdicts on this among people who agree with the fundamental claim that CDT makes.</w:t>
      </w:r>
    </w:p>
    <w:p>
      <w:pPr>
        <w:numPr>
          <w:ilvl w:val="0"/>
          <w:numId w:val="1003"/>
        </w:numPr>
        <w:pStyle w:val="Compact"/>
      </w:pPr>
      <w:r>
        <w:t xml:space="preserve">Frank</w:t>
      </w:r>
      <w:r>
        <w:t xml:space="preserve"> </w:t>
      </w:r>
      <w:r>
        <w:t xml:space="preserve">Arntzenius (2008)</w:t>
      </w:r>
      <w:r>
        <w:t xml:space="preserve"> </w:t>
      </w:r>
      <w:r>
        <w:t xml:space="preserve">says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 In</w:t>
      </w:r>
      <w:r>
        <w:t xml:space="preserve"> </w:t>
      </w:r>
      <w:hyperlink w:anchor="tbl-payout-if-tails">
        <w:r>
          <w:rPr>
            <w:rStyle w:val="Hyperlink"/>
          </w:rPr>
          <w:t xml:space="preserve">Table 2</w:t>
        </w:r>
      </w:hyperlink>
      <w:r>
        <w:t xml:space="preserve"> </w:t>
      </w:r>
      <w:r>
        <w:t xml:space="preserve">he recommends Down, since 44 &gt; 34.</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 In</w:t>
      </w:r>
      <w:r>
        <w:t xml:space="preserve"> </w:t>
      </w:r>
      <w:hyperlink w:anchor="tbl-payout-if-tails">
        <w:r>
          <w:rPr>
            <w:rStyle w:val="Hyperlink"/>
          </w:rPr>
          <w:t xml:space="preserve">Table 2</w:t>
        </w:r>
      </w:hyperlink>
      <w:r>
        <w:t xml:space="preserve"> </w:t>
      </w:r>
      <w:r>
        <w:t xml:space="preserve">they recommend Up, since 34 + 40 &gt; 18 + 44.</w:t>
      </w:r>
    </w:p>
    <w:p>
      <w:pPr>
        <w:numPr>
          <w:ilvl w:val="0"/>
          <w:numId w:val="1003"/>
        </w:numPr>
        <w:pStyle w:val="Compact"/>
      </w:pPr>
      <w:r>
        <w:t xml:space="preserve">Jack</w:t>
      </w:r>
      <w:r>
        <w:t xml:space="preserve"> </w:t>
      </w:r>
      <w:r>
        <w:t xml:space="preserve">Spencer (2023)</w:t>
      </w:r>
      <w:r>
        <w:t xml:space="preserve"> </w:t>
      </w:r>
      <w:r>
        <w:t xml:space="preserve">says that in any such case,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here should be a function of how likely they think it is at the start of deliberation that they will choose Up or Down.</w:t>
      </w:r>
    </w:p>
    <w:p>
      <w:pPr>
        <w:pStyle w:val="FirstParagraph"/>
      </w:pPr>
      <w:r>
        <w:t xml:space="preserve">So these four families of theories differ on what to say about cases like</w:t>
      </w:r>
      <w:r>
        <w:t xml:space="preserve"> </w:t>
      </w:r>
      <w:hyperlink w:anchor="tbl-payout-if-tails">
        <w:r>
          <w:rPr>
            <w:rStyle w:val="Hyperlink"/>
          </w:rPr>
          <w:t xml:space="preserve">Table 2</w:t>
        </w:r>
      </w:hyperlink>
      <w:r>
        <w:t xml:space="preserve">. And further cases can, for some of them, reveal yet further differences.</w:t>
      </w:r>
      <w:r>
        <w:rPr>
          <w:rStyle w:val="FootnoteReference"/>
        </w:rPr>
        <w:footnoteReference w:id="31"/>
      </w:r>
      <w:r>
        <w:t xml:space="preserve"> </w:t>
      </w:r>
      <w:r>
        <w:t xml:space="preserve">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these four views,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(2014)</w:t>
      </w:r>
      <w:r>
        <w:t xml:space="preserve">. But CDT is a family of theories. So we shouldn’t compare EDT to CDT as such, we should compare it to a particular causal theory. And for this paper, I’ll focus on the theories listed in point 2 above, and especially the version defended by Gallow.</w:t>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18 + 44. So Chooser will always play Up. So Demon will always flip a coin to decide what to do. So all of the top four outcomes in</w:t>
      </w:r>
      <w:r>
        <w:t xml:space="preserve"> </w:t>
      </w:r>
      <w:hyperlink w:anchor="fig-second-anti-war">
        <w:r>
          <w:rPr>
            <w:rStyle w:val="Hyperlink"/>
          </w:rPr>
          <w:t xml:space="preserve">Figure 1</w:t>
        </w:r>
      </w:hyperlink>
      <w:r>
        <w:t xml:space="preserve"> </w:t>
      </w:r>
      <w:r>
        <w:t xml:space="preserve">are equally likely, and Chooser will on average get a return of 127. Since 127 &gt; 42, that means that on average if Chooser follows Gallow’s theory, they will on average be much richer than if they follow EDT. So if WAR arguments work, they show that EDT should be rejected in favor of Gallow’s theory.</w:t>
      </w:r>
      <w:r>
        <w:rPr>
          <w:rStyle w:val="FootnoteReference"/>
        </w:rPr>
        <w:footnoteReference w:id="32"/>
      </w:r>
    </w:p>
    <w:bookmarkEnd w:id="33"/>
    <w:bookmarkStart w:id="34"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bookmarkEnd w:id="34"/>
    <w:bookmarkStart w:id="36"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Cs/>
          <w:i/>
        </w:rPr>
        <w:t xml:space="preserve">x</w:t>
      </w:r>
      <w:r>
        <w:t xml:space="preserve">. As long as</w:t>
      </w:r>
      <w:r>
        <w:t xml:space="preserve"> </w:t>
      </w:r>
      <w:r>
        <w:rPr>
          <w:iCs/>
          <w:i/>
        </w:rPr>
        <w:t xml:space="preserve">x</w:t>
      </w:r>
      <w:r>
        <w:t xml:space="preserve"> </w:t>
      </w:r>
      <w:r>
        <w:t xml:space="preserve">&gt; 0, Gallow-style CDT will still say to choose Up however the coin lands. The value of</w:t>
      </w:r>
      <w:r>
        <w:t xml:space="preserve"> </w:t>
      </w:r>
      <w:r>
        <w:rPr>
          <w:iCs/>
          <w:i/>
        </w:rPr>
        <w:t xml:space="preserve">x</w:t>
      </w:r>
      <w:r>
        <w:t xml:space="preserve"> </w:t>
      </w:r>
      <w:r>
        <w:t xml:space="preserve">is irrelevant to what to do if Tails, and as long as</w:t>
      </w:r>
      <w:r>
        <w:t xml:space="preserve"> </w:t>
      </w:r>
      <w:r>
        <w:rPr>
          <w:iCs/>
          <w:i/>
        </w:rPr>
        <w:t xml:space="preserve">x</w:t>
      </w:r>
      <w:r>
        <w:t xml:space="preserve"> </w:t>
      </w:r>
      <w:r>
        <w:t xml:space="preserve">&gt; 0, Up is guaranteed to do better than Down if the coin lands Heads. But if</w:t>
      </w:r>
      <w:r>
        <w:t xml:space="preserve"> </w:t>
      </w:r>
      <w:r>
        <w:rPr>
          <w:iCs/>
          <w:i/>
        </w:rPr>
        <w:t xml:space="preserve">x</w:t>
      </w:r>
      <w:r>
        <w:t xml:space="preserve"> </w:t>
      </w:r>
      <w:r>
        <w:t xml:space="preserve">&lt; 60, the average payoff to EDT, which is 42 whatever the value of</w:t>
      </w:r>
      <w:r>
        <w:t xml:space="preserve"> </w:t>
      </w:r>
      <w:r>
        <w:rPr>
          <w:iCs/>
          <w:i/>
        </w:rPr>
        <w:t xml:space="preserve">x</w:t>
      </w:r>
      <w:r>
        <w:t xml:space="preserve"> </w:t>
      </w:r>
      <w:r>
        <w:t xml:space="preserve">is, will be greater than the average payoff to Gallow-style CDT, which is (108 + </w:t>
      </w:r>
      <w:r>
        <w:rPr>
          <w:iCs/>
          <w:i/>
        </w:rPr>
        <w:t xml:space="preserve">x</w:t>
      </w:r>
      <w:r>
        <w:t xml:space="preserve">)/4.</w:t>
      </w:r>
    </w:p>
    <w:p>
      <w:pPr>
        <w:pStyle w:val="BodyText"/>
      </w:pPr>
      <w:r>
        <w:t xml:space="preserve">So which of these two theories is favored by WAR considerations turns on a factor, namely the value of</w:t>
      </w:r>
      <w:r>
        <w:t xml:space="preserve"> </w:t>
      </w:r>
      <w:r>
        <w:rPr>
          <w:iCs/>
          <w:i/>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 the example reveals is that those strange things actually happen in some specifiable cases.</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35"/>
      </w:r>
    </w:p>
    <w:bookmarkEnd w:id="36"/>
    <w:bookmarkStart w:id="72" w:name="references"/>
    <w:p>
      <w:pPr>
        <w:pStyle w:val="Heading1"/>
      </w:pPr>
      <w:r>
        <w:t xml:space="preserve">References</w:t>
      </w:r>
    </w:p>
    <w:bookmarkStart w:id="71" w:name="refs"/>
    <w:bookmarkStart w:id="37" w:name="ref-Ahmed2014"/>
    <w:p>
      <w:pPr>
        <w:pStyle w:val="Bibliography"/>
      </w:pPr>
      <w:r>
        <w:t xml:space="preserve">Ahmed, Arif. 2014.</w:t>
      </w:r>
      <w:r>
        <w:t xml:space="preserve"> </w:t>
      </w:r>
      <w:r>
        <w:rPr>
          <w:iCs/>
          <w:i/>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7"/>
    <w:bookmarkStart w:id="39"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38">
        <w:r>
          <w:rPr>
            <w:rStyle w:val="Hyperlink"/>
          </w:rPr>
          <w:t xml:space="preserve">https://doi.org/10.1093/mind/fzz073</w:t>
        </w:r>
      </w:hyperlink>
      <w:r>
        <w:t xml:space="preserve">.</w:t>
      </w:r>
    </w:p>
    <w:bookmarkEnd w:id="39"/>
    <w:bookmarkStart w:id="41"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w:t>
      </w:r>
      <w:r>
        <w:t xml:space="preserve"> </w:t>
      </w:r>
      <w:hyperlink r:id="rId40">
        <w:r>
          <w:rPr>
            <w:rStyle w:val="Hyperlink"/>
          </w:rPr>
          <w:t xml:space="preserve">https://doi.org/10.1007/s10670-011-9355-2</w:t>
        </w:r>
      </w:hyperlink>
      <w:r>
        <w:t xml:space="preserve">.</w:t>
      </w:r>
    </w:p>
    <w:bookmarkEnd w:id="41"/>
    <w:bookmarkStart w:id="43"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42">
        <w:r>
          <w:rPr>
            <w:rStyle w:val="Hyperlink"/>
          </w:rPr>
          <w:t xml:space="preserve">https://doi.org/10.1007/s10670-007-9084-8</w:t>
        </w:r>
      </w:hyperlink>
      <w:r>
        <w:t xml:space="preserve">.</w:t>
      </w:r>
    </w:p>
    <w:bookmarkEnd w:id="43"/>
    <w:bookmarkStart w:id="45"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w:t>
      </w:r>
      <w:r>
        <w:t xml:space="preserve"> </w:t>
      </w:r>
      <w:hyperlink r:id="rId44">
        <w:r>
          <w:rPr>
            <w:rStyle w:val="Hyperlink"/>
          </w:rPr>
          <w:t xml:space="preserve">https://doi.org/10.1007/s11229-016-1214-x</w:t>
        </w:r>
      </w:hyperlink>
      <w:r>
        <w:t xml:space="preserve">.</w:t>
      </w:r>
    </w:p>
    <w:bookmarkEnd w:id="45"/>
    <w:bookmarkStart w:id="47"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46">
        <w:r>
          <w:rPr>
            <w:rStyle w:val="Hyperlink"/>
          </w:rPr>
          <w:t xml:space="preserve">https://doi.org/10.5840/jphil202211925</w:t>
        </w:r>
      </w:hyperlink>
      <w:r>
        <w:t xml:space="preserve">.</w:t>
      </w:r>
    </w:p>
    <w:bookmarkEnd w:id="47"/>
    <w:bookmarkStart w:id="49"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48">
        <w:r>
          <w:rPr>
            <w:rStyle w:val="Hyperlink"/>
          </w:rPr>
          <w:t xml:space="preserve">https://doi.org/10.2307/1885060</w:t>
        </w:r>
      </w:hyperlink>
      <w:r>
        <w:t xml:space="preserve">.</w:t>
      </w:r>
    </w:p>
    <w:bookmarkEnd w:id="49"/>
    <w:bookmarkStart w:id="51"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50">
        <w:r>
          <w:rPr>
            <w:rStyle w:val="Hyperlink"/>
          </w:rPr>
          <w:t xml:space="preserve">https://doi.org/10.5840/jphil202011739</w:t>
        </w:r>
      </w:hyperlink>
      <w:r>
        <w:t xml:space="preserve">.</w:t>
      </w:r>
    </w:p>
    <w:bookmarkEnd w:id="51"/>
    <w:bookmarkStart w:id="53"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52">
        <w:r>
          <w:rPr>
            <w:rStyle w:val="Hyperlink"/>
          </w:rPr>
          <w:t xml:space="preserve">https://doi.org/10.1007/BF00129168</w:t>
        </w:r>
      </w:hyperlink>
      <w:r>
        <w:t xml:space="preserve">.</w:t>
      </w:r>
    </w:p>
    <w:bookmarkEnd w:id="53"/>
    <w:bookmarkStart w:id="55"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54">
        <w:r>
          <w:rPr>
            <w:rStyle w:val="Hyperlink"/>
          </w:rPr>
          <w:t xml:space="preserve">https://doi.org/10.1007/s11229-011-0022-6</w:t>
        </w:r>
      </w:hyperlink>
      <w:r>
        <w:t xml:space="preserve">.</w:t>
      </w:r>
    </w:p>
    <w:bookmarkEnd w:id="55"/>
    <w:bookmarkStart w:id="5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56">
        <w:r>
          <w:rPr>
            <w:rStyle w:val="Hyperlink"/>
          </w:rPr>
          <w:t xml:space="preserve">https://doi.org/10.5840/jphil2020117516</w:t>
        </w:r>
      </w:hyperlink>
      <w:r>
        <w:t xml:space="preserve">.</w:t>
      </w:r>
    </w:p>
    <w:bookmarkEnd w:id="57"/>
    <w:bookmarkStart w:id="5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58"/>
    <w:bookmarkStart w:id="60" w:name="ref-Lewis1981b"/>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w:t>
      </w:r>
      <w:r>
        <w:t xml:space="preserve"> </w:t>
      </w:r>
      <w:hyperlink r:id="rId59">
        <w:r>
          <w:rPr>
            <w:rStyle w:val="Hyperlink"/>
          </w:rPr>
          <w:t xml:space="preserve">https://doi.org/10.1080/00048408112340011</w:t>
        </w:r>
      </w:hyperlink>
      <w:r>
        <w:t xml:space="preserve">.</w:t>
      </w:r>
    </w:p>
    <w:bookmarkEnd w:id="60"/>
    <w:bookmarkStart w:id="62" w:name="ref-Lewis1981e"/>
    <w:p>
      <w:pPr>
        <w:pStyle w:val="Bibliography"/>
      </w:pPr>
      <w:r>
        <w:t xml:space="preserve">———. 1981b.</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61">
        <w:r>
          <w:rPr>
            <w:rStyle w:val="Hyperlink"/>
          </w:rPr>
          <w:t xml:space="preserve">https://doi.org/10.2307/2215439</w:t>
        </w:r>
      </w:hyperlink>
      <w:r>
        <w:t xml:space="preserve">.</w:t>
      </w:r>
    </w:p>
    <w:bookmarkEnd w:id="62"/>
    <w:bookmarkStart w:id="64"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63">
        <w:r>
          <w:rPr>
            <w:rStyle w:val="Hyperlink"/>
          </w:rPr>
          <w:t xml:space="preserve">https://doi.org/10.1111/nous.12353</w:t>
        </w:r>
      </w:hyperlink>
      <w:r>
        <w:t xml:space="preserve">.</w:t>
      </w:r>
    </w:p>
    <w:bookmarkEnd w:id="64"/>
    <w:bookmarkStart w:id="66"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65">
        <w:r>
          <w:rPr>
            <w:rStyle w:val="Hyperlink"/>
          </w:rPr>
          <w:t xml:space="preserve">https://doi.org/10.1080/00048402.2021.1958880</w:t>
        </w:r>
      </w:hyperlink>
      <w:r>
        <w:t xml:space="preserve">.</w:t>
      </w:r>
    </w:p>
    <w:bookmarkEnd w:id="66"/>
    <w:bookmarkStart w:id="68"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67">
        <w:r>
          <w:rPr>
            <w:rStyle w:val="Hyperlink"/>
          </w:rPr>
          <w:t xml:space="preserve">https://doi.org/10.1007/s11229-011-9900-1</w:t>
        </w:r>
      </w:hyperlink>
      <w:r>
        <w:t xml:space="preserve">.</w:t>
      </w:r>
    </w:p>
    <w:bookmarkEnd w:id="68"/>
    <w:bookmarkStart w:id="70"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69">
        <w:r>
          <w:rPr>
            <w:rStyle w:val="Hyperlink"/>
          </w:rPr>
          <w:t xml:space="preserve">https://doi.org/10.1093/mind/fzx018</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sone versions of CDT. I think his case successfully shows that WAR arguments are no good, but not everyone is convinced, and one aim of this paper is to develop an anti-WAR argument that uses slightly fewer assumptions than Wells does.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sone cases we can say substantuve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30">
    <w:p>
      <w:pPr>
        <w:pStyle w:val="FootnoteText"/>
      </w:pPr>
      <w:r>
        <w:rPr>
          <w:rStyle w:val="FootnoteReference"/>
        </w:rPr>
        <w:footnoteRef/>
      </w:r>
      <w:r>
        <w:t xml:space="preserve"> </w:t>
      </w:r>
      <w:r>
        <w:t xml:space="preserve">I’m setting aside here questions about what to do if one or other of these is an equality, as well as the case where both these inequalities are reversed. Including these cases just leads to there being even more versions of CDT to consider.</w:t>
      </w:r>
    </w:p>
  </w:footnote>
  <w:footnote w:id="31">
    <w:p>
      <w:pPr>
        <w:pStyle w:val="FootnoteText"/>
      </w:pPr>
      <w:r>
        <w:rPr>
          <w:rStyle w:val="FootnoteReference"/>
        </w:rPr>
        <w:footnoteRef/>
      </w:r>
      <w:r>
        <w:t xml:space="preserve"> </w:t>
      </w:r>
      <w:r>
        <w:t xml:space="preserve">Personally I prefer a causal theory that resembles both Spencer and Joyce’s theories, without being the same as either. The theorists mentioned in line 2 do not emphasise the comparison between</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but rather the comparison between</w:t>
      </w:r>
      <w:r>
        <w:t xml:space="preserve"> </w:t>
      </w:r>
      <w:r>
        <w:rPr>
          <w:iCs/>
          <w:i/>
        </w:rPr>
        <w:t xml:space="preserve">a</w:t>
      </w:r>
      <w:r>
        <w:t xml:space="preserve"> </w:t>
      </w:r>
      <w:r>
        <w:t xml:space="preserve">-</w:t>
      </w:r>
      <w:r>
        <w:t xml:space="preserve"> </w:t>
      </w:r>
      <w:r>
        <w:rPr>
          <w:iCs/>
          <w:i/>
        </w:rPr>
        <w:t xml:space="preserve">c</w:t>
      </w:r>
      <w:r>
        <w:t xml:space="preserve"> </w:t>
      </w:r>
      <w:r>
        <w:t xml:space="preserve">and</w:t>
      </w:r>
      <w:r>
        <w:t xml:space="preserve"> </w:t>
      </w:r>
      <w:r>
        <w:rPr>
          <w:iCs/>
          <w:i/>
        </w:rPr>
        <w:t xml:space="preserve">d</w:t>
      </w:r>
      <w:r>
        <w:t xml:space="preserve"> </w:t>
      </w:r>
      <w:r>
        <w:t xml:space="preserve">-</w:t>
      </w:r>
      <w:r>
        <w:t xml:space="preserve"> </w:t>
      </w:r>
      <w:r>
        <w:rPr>
          <w:iCs/>
          <w:i/>
        </w:rPr>
        <w:t xml:space="preserve">b</w:t>
      </w:r>
      <w:r>
        <w:t xml:space="preserve">. This is just a notational variation, and I find my variant easier to use, if a little removed from the underlying philosophical motivation. Note too that while these four theories agree about what to do in two-option cases, disagreements between them open up as soon as Chooser gets a third option. There really isn’t any one theory with a best claim to the name CDT these days.</w:t>
      </w:r>
    </w:p>
  </w:footnote>
  <w:footnote w:id="32">
    <w:p>
      <w:pPr>
        <w:pStyle w:val="FootnoteText"/>
      </w:pPr>
      <w:r>
        <w:rPr>
          <w:rStyle w:val="FootnoteReference"/>
        </w:rPr>
        <w:footnoteRef/>
      </w:r>
      <w:r>
        <w:t xml:space="preserve"> </w:t>
      </w:r>
      <w:r>
        <w:t xml:space="preserve">I suspect similar reasoning could be used to show that Spencer and Joyce’s views should be preferred to EDT on WAR grounds, but this would take some more work to show, because one has to deal with the complications arising from these views not being as decisive. Since I think WAR arguments fail, it’s not worth really going through these complications.</w:t>
      </w:r>
    </w:p>
  </w:footnote>
  <w:footnote w:id="35">
    <w:p>
      <w:pPr>
        <w:pStyle w:val="FootnoteText"/>
      </w:pPr>
      <w:r>
        <w:rPr>
          <w:rStyle w:val="FootnoteReference"/>
        </w:rPr>
        <w:footnoteRef/>
      </w:r>
      <w:r>
        <w:t xml:space="preserve"> </w:t>
      </w:r>
      <w:r>
        <w:t xml:space="preserve">Thanks to two very helpful reviewers for</w:t>
      </w:r>
      <w:r>
        <w:t xml:space="preserve"> </w:t>
      </w:r>
      <w:r>
        <w:rPr>
          <w:iCs/>
          <w:i/>
        </w:rPr>
        <w:t xml:space="preserve">Analysis</w:t>
      </w:r>
      <w:r>
        <w:t xml:space="preserve">, who corrected several mistakes in an earlier version of this paper, pushed me to clarify things that I’d rushed by (and at least in one case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2" Target="https://doi.org/10.1007/BF00129168" TargetMode="External" /><Relationship Type="http://schemas.openxmlformats.org/officeDocument/2006/relationships/hyperlink" Id="rId42" Target="https://doi.org/10.1007/s10670-007-9084-8" TargetMode="External" /><Relationship Type="http://schemas.openxmlformats.org/officeDocument/2006/relationships/hyperlink" Id="rId40" Target="https://doi.org/10.1007/s10670-011-9355-2" TargetMode="External" /><Relationship Type="http://schemas.openxmlformats.org/officeDocument/2006/relationships/hyperlink" Id="rId54" Target="https://doi.org/10.1007/s11229-011-0022-6" TargetMode="External" /><Relationship Type="http://schemas.openxmlformats.org/officeDocument/2006/relationships/hyperlink" Id="rId67" Target="https://doi.org/10.1007/s11229-011-9900-1" TargetMode="External" /><Relationship Type="http://schemas.openxmlformats.org/officeDocument/2006/relationships/hyperlink" Id="rId44" Target="https://doi.org/10.1007/s11229-016-1214-x" TargetMode="External" /><Relationship Type="http://schemas.openxmlformats.org/officeDocument/2006/relationships/hyperlink" Id="rId65" Target="https://doi.org/10.1080/00048402.2021.1958880" TargetMode="External" /><Relationship Type="http://schemas.openxmlformats.org/officeDocument/2006/relationships/hyperlink" Id="rId59" Target="https://doi.org/10.1080/00048408112340011" TargetMode="External" /><Relationship Type="http://schemas.openxmlformats.org/officeDocument/2006/relationships/hyperlink" Id="rId69" Target="https://doi.org/10.1093/mind/fzx018" TargetMode="External" /><Relationship Type="http://schemas.openxmlformats.org/officeDocument/2006/relationships/hyperlink" Id="rId38" Target="https://doi.org/10.1093/mind/fzz073" TargetMode="External" /><Relationship Type="http://schemas.openxmlformats.org/officeDocument/2006/relationships/hyperlink" Id="rId63" Target="https://doi.org/10.1111/nous.12353" TargetMode="External" /><Relationship Type="http://schemas.openxmlformats.org/officeDocument/2006/relationships/hyperlink" Id="rId48" Target="https://doi.org/10.2307/1885060" TargetMode="External" /><Relationship Type="http://schemas.openxmlformats.org/officeDocument/2006/relationships/hyperlink" Id="rId61" Target="https://doi.org/10.2307/2215439" TargetMode="External" /><Relationship Type="http://schemas.openxmlformats.org/officeDocument/2006/relationships/hyperlink" Id="rId50" Target="https://doi.org/10.5840/jphil202011739" TargetMode="External" /><Relationship Type="http://schemas.openxmlformats.org/officeDocument/2006/relationships/hyperlink" Id="rId56" Target="https://doi.org/10.5840/jphil2020117516" TargetMode="External" /><Relationship Type="http://schemas.openxmlformats.org/officeDocument/2006/relationships/hyperlink" Id="rId46"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BF00129168" TargetMode="External" /><Relationship Type="http://schemas.openxmlformats.org/officeDocument/2006/relationships/hyperlink" Id="rId42" Target="https://doi.org/10.1007/s10670-007-9084-8" TargetMode="External" /><Relationship Type="http://schemas.openxmlformats.org/officeDocument/2006/relationships/hyperlink" Id="rId40" Target="https://doi.org/10.1007/s10670-011-9355-2" TargetMode="External" /><Relationship Type="http://schemas.openxmlformats.org/officeDocument/2006/relationships/hyperlink" Id="rId54" Target="https://doi.org/10.1007/s11229-011-0022-6" TargetMode="External" /><Relationship Type="http://schemas.openxmlformats.org/officeDocument/2006/relationships/hyperlink" Id="rId67" Target="https://doi.org/10.1007/s11229-011-9900-1" TargetMode="External" /><Relationship Type="http://schemas.openxmlformats.org/officeDocument/2006/relationships/hyperlink" Id="rId44" Target="https://doi.org/10.1007/s11229-016-1214-x" TargetMode="External" /><Relationship Type="http://schemas.openxmlformats.org/officeDocument/2006/relationships/hyperlink" Id="rId65" Target="https://doi.org/10.1080/00048402.2021.1958880" TargetMode="External" /><Relationship Type="http://schemas.openxmlformats.org/officeDocument/2006/relationships/hyperlink" Id="rId59" Target="https://doi.org/10.1080/00048408112340011" TargetMode="External" /><Relationship Type="http://schemas.openxmlformats.org/officeDocument/2006/relationships/hyperlink" Id="rId69" Target="https://doi.org/10.1093/mind/fzx018" TargetMode="External" /><Relationship Type="http://schemas.openxmlformats.org/officeDocument/2006/relationships/hyperlink" Id="rId38" Target="https://doi.org/10.1093/mind/fzz073" TargetMode="External" /><Relationship Type="http://schemas.openxmlformats.org/officeDocument/2006/relationships/hyperlink" Id="rId63" Target="https://doi.org/10.1111/nous.12353" TargetMode="External" /><Relationship Type="http://schemas.openxmlformats.org/officeDocument/2006/relationships/hyperlink" Id="rId48" Target="https://doi.org/10.2307/1885060" TargetMode="External" /><Relationship Type="http://schemas.openxmlformats.org/officeDocument/2006/relationships/hyperlink" Id="rId61" Target="https://doi.org/10.2307/2215439" TargetMode="External" /><Relationship Type="http://schemas.openxmlformats.org/officeDocument/2006/relationships/hyperlink" Id="rId50" Target="https://doi.org/10.5840/jphil202011739" TargetMode="External" /><Relationship Type="http://schemas.openxmlformats.org/officeDocument/2006/relationships/hyperlink" Id="rId56" Target="https://doi.org/10.5840/jphil2020117516" TargetMode="External" /><Relationship Type="http://schemas.openxmlformats.org/officeDocument/2006/relationships/hyperlink" Id="rId46"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dcterms:created xsi:type="dcterms:W3CDTF">2023-08-07T20:04:21Z</dcterms:created>
  <dcterms:modified xsi:type="dcterms:W3CDTF">2023-08-07T20:04:21Z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