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Brian</w:t>
      </w:r>
      <w:r>
        <w:t xml:space="preserve"> </w:t>
      </w:r>
      <w:r>
        <w:t xml:space="preserve">Weatherson</w:t>
      </w:r>
    </w:p>
    <w:p>
      <w:pPr>
        <w:pStyle w:val="Date"/>
      </w:pPr>
      <w:r>
        <w:t xml:space="preserve">2024-10-31</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pStyle w:val="Compact"/>
        <w:numPr>
          <w:ilvl w:val="0"/>
          <w:numId w:val="1001"/>
        </w:numPr>
      </w:pPr>
      <w:r>
        <w:t xml:space="preserve">In Newcomb problems, the average returns to one-boxing exceed that to two-boxing.</w:t>
      </w:r>
    </w:p>
    <w:p>
      <w:pPr>
        <w:pStyle w:val="Compact"/>
        <w:numPr>
          <w:ilvl w:val="0"/>
          <w:numId w:val="1001"/>
        </w:numPr>
      </w:pPr>
      <w:r>
        <w:t xml:space="preserve">Everyone can see that (1) is true.</w:t>
      </w:r>
    </w:p>
    <w:p>
      <w:pPr>
        <w:pStyle w:val="Compact"/>
        <w:numPr>
          <w:ilvl w:val="0"/>
          <w:numId w:val="1001"/>
        </w:numPr>
      </w:pPr>
      <w:r>
        <w:t xml:space="preserve">Therefore one-boxing foreseeably does better than two-boxing. (by 1, 2)</w:t>
      </w:r>
    </w:p>
    <w:p>
      <w:pPr>
        <w:pStyle w:val="Compact"/>
        <w:numPr>
          <w:ilvl w:val="0"/>
          <w:numId w:val="1001"/>
        </w:numPr>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 Ahmed</w:t>
      </w:r>
      <w:r>
        <w:t xml:space="preserve"> </w:t>
      </w:r>
      <w:r>
        <w:t xml:space="preserve">(2014, 182)</w:t>
      </w:r>
      <w:r>
        <w:t xml:space="preserve"> </w:t>
      </w:r>
      <w:r>
        <w:t xml:space="preserve">and</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 of signalling game that is central to the plot of</w:t>
      </w:r>
      <w:r>
        <w:t xml:space="preserve"> </w:t>
      </w:r>
      <w:r>
        <w:t xml:space="preserve">Cho and Kreps (1987)</w:t>
      </w:r>
      <w:r>
        <w:t xml:space="preserve">. It will involve a human Chooser, and a Demon who is excellent at predictions.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tbl>
      <w:tblPr>
        <w:tblStyle w:val="Table"/>
        <w:tblW w:type="pct" w:w="5000"/>
        <w:tblLayout w:type="fixed"/>
        <w:tblLook w:firstRow="0" w:lastRow="0" w:firstColumn="0" w:lastColumn="0" w:noHBand="0" w:noVBand="0" w:val="0000"/>
      </w:tblPr>
      <w:tblGrid>
        <w:gridCol w:w="7920"/>
      </w:tblGrid>
      <w:tr>
        <w:tc>
          <w:tcPr/>
          <w:bookmarkStart w:id="21" w:name="tbl-payoffs-demon-coin"/>
          <w:p>
            <w:pPr>
              <w:jc w:val="center"/>
            </w:pPr>
            <w:pPr>
              <w:jc w:val="start"/>
              <w:spacing w:before="200"/>
              <w:pStyle w:val="ImageCaption"/>
            </w:pPr>
            <w:r>
              <w:t xml:space="preserve">Table 1: Payouts for the coins and signals game</w:t>
            </w:r>
          </w:p>
          <w:tbl>
            <w:tblPr>
              <w:tblStyle w:val="Table"/>
              <w:tblW w:type="pct" w:w="5000"/>
              <w:tblLayout w:type="fixed"/>
              <w:tblLook w:firstRow="1" w:lastRow="0" w:firstColumn="0" w:lastColumn="0" w:noHBand="0" w:noVBand="0" w:val="0020"/>
            </w:tblPr>
            <w:tblGrid>
              <w:gridCol w:w="1100"/>
              <w:gridCol w:w="1430"/>
              <w:gridCol w:w="1210"/>
              <w:gridCol w:w="2200"/>
              <w:gridCol w:w="1980"/>
            </w:tblGrid>
            <w:tr>
              <w:trPr>
                <w:tblHeader w:val="on"/>
              </w:trPr>
              <w:tc>
                <w:tcPr/>
                <w:p>
                  <w:pPr>
                    <w:pStyle w:val="Compact"/>
                    <w:jc w:val="center"/>
                    <w:jc w:val="center"/>
                  </w:pPr>
                  <w:r>
                    <w:rPr>
                      <w:b/>
                      <w:bCs/>
                    </w:rPr>
                    <w:t xml:space="preserve">Coin</w:t>
                  </w:r>
                </w:p>
              </w:tc>
              <w:tc>
                <w:tcPr/>
                <w:p>
                  <w:pPr>
                    <w:pStyle w:val="Compact"/>
                    <w:jc w:val="center"/>
                    <w:jc w:val="center"/>
                  </w:pPr>
                  <w:r>
                    <w:rPr>
                      <w:b/>
                      <w:bCs/>
                    </w:rPr>
                    <w:t xml:space="preserve">Chooser</w:t>
                  </w:r>
                </w:p>
              </w:tc>
              <w:tc>
                <w:tcPr/>
                <w:p>
                  <w:pPr>
                    <w:pStyle w:val="Compact"/>
                    <w:jc w:val="center"/>
                    <w:jc w:val="center"/>
                  </w:pPr>
                  <w:r>
                    <w:rPr>
                      <w:b/>
                      <w:bCs/>
                    </w:rPr>
                    <w:t xml:space="preserve">Demon</w:t>
                  </w:r>
                </w:p>
              </w:tc>
              <w:tc>
                <w:tcPr/>
                <w:p>
                  <w:pPr>
                    <w:pStyle w:val="Compact"/>
                    <w:jc w:val="center"/>
                    <w:jc w:val="center"/>
                  </w:pPr>
                  <w:r>
                    <w:rPr>
                      <w:b/>
                      <w:bCs/>
                    </w:rPr>
                    <w:t xml:space="preserve">Chooser Payoff</w:t>
                  </w:r>
                </w:p>
              </w:tc>
              <w:tc>
                <w:tcPr/>
                <w:p>
                  <w:pPr>
                    <w:pStyle w:val="Compact"/>
                    <w:jc w:val="center"/>
                    <w:jc w:val="center"/>
                  </w:pPr>
                  <w:r>
                    <w:rPr>
                      <w:b/>
                      <w:bCs/>
                    </w:rP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21"/>
          <w:p/>
        </w:tc>
      </w:tr>
    </w:tbl>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ayout w:type="fixed"/>
        <w:tblLook w:firstRow="0" w:lastRow="0" w:firstColumn="0" w:lastColumn="0" w:noHBand="0" w:noVBand="0" w:val="0000"/>
      </w:tblPr>
      <w:tblGrid>
        <w:gridCol w:w="7920"/>
      </w:tblGrid>
      <w:tr>
        <w:tc>
          <w:tcPr/>
          <w:bookmarkStart w:id="25" w:name="fig-second-anti-war"/>
          <w:p>
            <w:pPr>
              <w:pStyle w:val="Compact"/>
              <w:jc w:val="center"/>
            </w:pPr>
            <w:r>
              <w:drawing>
                <wp:inline>
                  <wp:extent cx="2316480" cy="3218688"/>
                  <wp:effectExtent b="0" l="0" r="0" t="0"/>
                  <wp:docPr descr="" title="" id="23" name="Picture"/>
                  <a:graphic>
                    <a:graphicData uri="http://schemas.openxmlformats.org/drawingml/2006/picture">
                      <pic:pic>
                        <pic:nvPicPr>
                          <pic:cNvPr descr="war-on-war-final_files/figure-docx/fig-second-anti-war-1.jpg" id="24" name="Picture"/>
                          <pic:cNvPicPr>
                            <a:picLocks noChangeArrowheads="1" noChangeAspect="1"/>
                          </pic:cNvPicPr>
                        </pic:nvPicPr>
                        <pic:blipFill>
                          <a:blip r:embed="rId22"/>
                          <a:stretch>
                            <a:fillRect/>
                          </a:stretch>
                        </pic:blipFill>
                        <pic:spPr bwMode="auto">
                          <a:xfrm>
                            <a:off x="0" y="0"/>
                            <a:ext cx="2316480" cy="32186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decision-theoretic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m:t>ε</m:t>
        </m:r>
      </m:oMath>
      <w:r>
        <w:t xml:space="preserve">, where</w:t>
      </w:r>
      <w:r>
        <w:t xml:space="preserve"> </w:t>
      </w:r>
      <m:oMath>
        <m:r>
          <m:t>ε</m:t>
        </m:r>
      </m:oMath>
      <w:r>
        <w:t xml:space="preserve"> </w:t>
      </w:r>
      <w:r>
        <w:t xml:space="preserve">is small enough that it doesn’t make a difference to what is rational for Chooser to do.</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playing Up if the coin lands Heads is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payout-if-tails"/>
          <w:p>
            <w:pPr>
              <w:jc w:val="center"/>
            </w:pPr>
            <w:pPr>
              <w:jc w:val="start"/>
              <w:spacing w:before="200"/>
              <w:pStyle w:val="ImageCaption"/>
            </w:pPr>
            <w:r>
              <w:t xml:space="preserve">Table 2: The expected payout to Chooser in four cases if the coin lands Tails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rPr>
                      <w:b/>
                      <w:bCs/>
                    </w:rPr>
                    <w:t xml:space="preserve">Predict Up</w:t>
                  </w:r>
                </w:p>
              </w:tc>
              <w:tc>
                <w:tcPr/>
                <w:p>
                  <w:pPr>
                    <w:pStyle w:val="Compact"/>
                    <w:jc w:val="center"/>
                    <w:jc w:val="center"/>
                  </w:pPr>
                  <w:r>
                    <w:rPr>
                      <w:b/>
                      <w:bCs/>
                    </w:rPr>
                    <w:t xml:space="preserve">Predict Down</w:t>
                  </w:r>
                </w:p>
              </w:tc>
            </w:tr>
            <w:tr>
              <w:tc>
                <w:tcPr/>
                <w:p>
                  <w:pPr>
                    <w:pStyle w:val="Compact"/>
                    <w:jc w:val="center"/>
                    <w:jc w:val="center"/>
                  </w:pPr>
                  <w:r>
                    <w:rPr>
                      <w:b/>
                      <w:bCs/>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
                      <w:bCs/>
                    </w:rPr>
                    <w:t xml:space="preserve">Down</w:t>
                  </w:r>
                </w:p>
              </w:tc>
              <w:tc>
                <w:tcPr/>
                <w:p>
                  <w:pPr>
                    <w:pStyle w:val="Compact"/>
                    <w:jc w:val="center"/>
                    <w:jc w:val="center"/>
                  </w:pPr>
                  <w:r>
                    <w:t xml:space="preserve">22</w:t>
                  </w:r>
                </w:p>
              </w:tc>
              <w:tc>
                <w:tcPr/>
                <w:p>
                  <w:pPr>
                    <w:pStyle w:val="Compact"/>
                    <w:jc w:val="center"/>
                    <w:jc w:val="center"/>
                  </w:pPr>
                  <w:r>
                    <w:t xml:space="preserve">44</w:t>
                  </w:r>
                </w:p>
              </w:tc>
            </w:tr>
          </w:tbl>
          <w:bookmarkEnd w:id="27"/>
          <w:p/>
        </w:tc>
      </w:tr>
    </w:tbl>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pStyle w:val="Compact"/>
        <w:numPr>
          <w:ilvl w:val="0"/>
          <w:numId w:val="1002"/>
        </w:numPr>
      </w:pPr>
      <w:r>
        <w:t xml:space="preserve">If Demon predicts Up if Tails, Demon will flip a coin if the coin lands Tails,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pStyle w:val="Compact"/>
        <w:numPr>
          <w:ilvl w:val="0"/>
          <w:numId w:val="1002"/>
        </w:numPr>
      </w:pPr>
      <w:r>
        <w:t xml:space="preserve">If Demon predicts Down if Tails,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pStyle w:val="Compact"/>
        <w:numPr>
          <w:ilvl w:val="0"/>
          <w:numId w:val="1002"/>
        </w:numPr>
      </w:pPr>
      <w:r>
        <w:t xml:space="preserve">If Demon predicts Down if Tails,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if Demon is sufficiently likely to be accurate, all that matters is which of the top-left and bottom-right cells is largest. In this case, it’s the bottom-right, so EDT says to play Down. That isn’t absurd in</w:t>
      </w:r>
      <w:r>
        <w:t xml:space="preserve"> </w:t>
      </w:r>
      <w:hyperlink w:anchor="tbl-payout-if-tails">
        <w:r>
          <w:rPr>
            <w:rStyle w:val="Hyperlink"/>
          </w:rPr>
          <w:t xml:space="preserve">Table 2</w:t>
        </w:r>
      </w:hyperlink>
      <w:r>
        <w:t xml:space="preserve"> </w:t>
      </w:r>
      <w:r>
        <w:t xml:space="preserve">itself; it almost certainly results in Chooser getting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5"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are now many broadly causal decision theories, i.e., theories that say one should take two boxes in Newcomb’s Problem because it is the causally dominant option, on the philosophical market. To see the available variety, it helps to consider a very abstract decision problem. Chooser has to choose Up or Down, arbitrarily accurate Demon has predicted what Chooser will select, and the payoffs are a function of the choice and the prediction.</w:t>
      </w:r>
      <w:r>
        <w:t xml:space="preserve"> </w:t>
      </w:r>
      <w:hyperlink w:anchor="tbl-abstract">
        <w:r>
          <w:rPr>
            <w:rStyle w:val="Hyperlink"/>
          </w:rPr>
          <w:t xml:space="preserve">Table 3</w:t>
        </w:r>
      </w:hyperlink>
      <w:r>
        <w:t xml:space="preserve"> </w:t>
      </w:r>
      <w:r>
        <w:t xml:space="preserve">presents the abstract form of that problem.</w:t>
      </w:r>
    </w:p>
    <w:tbl>
      <w:tblPr>
        <w:tblStyle w:val="Table"/>
        <w:tblW w:type="pct" w:w="5000"/>
        <w:tblLayout w:type="fixed"/>
        <w:tblLook w:firstRow="0" w:lastRow="0" w:firstColumn="0" w:lastColumn="0" w:noHBand="0" w:noVBand="0" w:val="0000"/>
      </w:tblPr>
      <w:tblGrid>
        <w:gridCol w:w="7920"/>
      </w:tblGrid>
      <w:tr>
        <w:tc>
          <w:tcPr/>
          <w:bookmarkStart w:id="29" w:name="tbl-abstract"/>
          <w:p>
            <w:pPr>
              <w:jc w:val="center"/>
            </w:pPr>
            <w:pPr>
              <w:jc w:val="start"/>
              <w:spacing w:before="200"/>
              <w:pStyle w:val="ImageCaption"/>
            </w:pPr>
            <w:r>
              <w:t xml:space="preserve">Table 3: An abstract decision problem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rPr>
                      <w:b/>
                      <w:bCs/>
                    </w:rPr>
                    <w:t xml:space="preserve">Predict Up</w:t>
                  </w:r>
                </w:p>
              </w:tc>
              <w:tc>
                <w:tcPr/>
                <w:p>
                  <w:pPr>
                    <w:pStyle w:val="Compact"/>
                    <w:jc w:val="center"/>
                    <w:jc w:val="center"/>
                  </w:pPr>
                  <w:r>
                    <w:rPr>
                      <w:b/>
                      <w:bCs/>
                    </w:rPr>
                    <w:t xml:space="preserve">Predict Down</w:t>
                  </w:r>
                </w:p>
              </w:tc>
            </w:tr>
            <w:tr>
              <w:tc>
                <w:tcPr/>
                <w:p>
                  <w:pPr>
                    <w:pStyle w:val="Compact"/>
                    <w:jc w:val="center"/>
                    <w:jc w:val="center"/>
                  </w:pPr>
                  <w:r>
                    <w:rPr>
                      <w:b/>
                      <w:bCs/>
                    </w:rPr>
                    <w:t xml:space="preserve">Up</w:t>
                  </w:r>
                </w:p>
              </w:tc>
              <w:tc>
                <w:tcPr/>
                <w:p>
                  <w:pPr>
                    <w:pStyle w:val="Compact"/>
                    <w:jc w:val="center"/>
                    <w:jc w:val="center"/>
                  </w:pPr>
                  <w:r>
                    <w:rPr>
                      <w:i/>
                      <w:iCs/>
                    </w:rPr>
                    <w:t xml:space="preserve">a</w:t>
                  </w:r>
                </w:p>
              </w:tc>
              <w:tc>
                <w:tcPr/>
                <w:p>
                  <w:pPr>
                    <w:pStyle w:val="Compact"/>
                    <w:jc w:val="center"/>
                    <w:jc w:val="center"/>
                  </w:pPr>
                  <w:r>
                    <w:rPr>
                      <w:i/>
                      <w:iCs/>
                    </w:rPr>
                    <w:t xml:space="preserve">b</w:t>
                  </w:r>
                </w:p>
              </w:tc>
            </w:tr>
            <w:tr>
              <w:tc>
                <w:tcPr/>
                <w:p>
                  <w:pPr>
                    <w:pStyle w:val="Compact"/>
                    <w:jc w:val="center"/>
                    <w:jc w:val="center"/>
                  </w:pPr>
                  <w:r>
                    <w:rPr>
                      <w:b/>
                      <w:bCs/>
                    </w:rPr>
                    <w:t xml:space="preserve">Down</w:t>
                  </w:r>
                </w:p>
              </w:tc>
              <w:tc>
                <w:tcPr/>
                <w:p>
                  <w:pPr>
                    <w:pStyle w:val="Compact"/>
                    <w:jc w:val="center"/>
                    <w:jc w:val="center"/>
                  </w:pPr>
                  <w:r>
                    <w:rPr>
                      <w:i/>
                      <w:iCs/>
                    </w:rPr>
                    <w:t xml:space="preserve">c</w:t>
                  </w:r>
                </w:p>
              </w:tc>
              <w:tc>
                <w:tcPr/>
                <w:p>
                  <w:pPr>
                    <w:pStyle w:val="Compact"/>
                    <w:jc w:val="center"/>
                    <w:jc w:val="center"/>
                  </w:pPr>
                  <w:r>
                    <w:rPr>
                      <w:i/>
                      <w:iCs/>
                    </w:rPr>
                    <w:t xml:space="preserve">d</w:t>
                  </w:r>
                </w:p>
              </w:tc>
            </w:tr>
          </w:tbl>
          <w:bookmarkEnd w:id="29"/>
          <w:p/>
        </w:tc>
      </w:tr>
    </w:tbl>
    <w:p>
      <w:pPr>
        <w:pStyle w:val="BodyText"/>
      </w:pPr>
      <w:r>
        <w:t xml:space="preserve">To make the analysis a little easier, I’m going to assume all four of these values are distinct. We could get to the same conclusions as I reach below without this assumption, but we’d have to spent a lot of time checking edge cases. And I’ve set up the puzzles in this paper so that questions about what to do if any of these values are equal don’t come up.</w:t>
      </w:r>
    </w:p>
    <w:p>
      <w:pPr>
        <w:pStyle w:val="BodyText"/>
      </w:pPr>
      <w:r>
        <w:t xml:space="preserve">As noted in</w:t>
      </w:r>
      <w:r>
        <w:t xml:space="preserve"> </w:t>
      </w:r>
      <w:hyperlink w:anchor="sec-coinssignals">
        <w:r>
          <w:rPr>
            <w:rStyle w:val="Hyperlink"/>
          </w:rPr>
          <w:t xml:space="preserve">Section 1</w:t>
        </w:r>
      </w:hyperlink>
      <w:r>
        <w:t xml:space="preserve">, if Demon is accurate enough, EDT just cares about whether</w:t>
      </w:r>
      <w:r>
        <w:t xml:space="preserve"> </w:t>
      </w:r>
      <w:r>
        <w:rPr>
          <w:i/>
          <w:iCs/>
        </w:rPr>
        <w:t xml:space="preserve">a</w:t>
      </w:r>
      <w:r>
        <w:t xml:space="preserve"> </w:t>
      </w:r>
      <w:r>
        <w:t xml:space="preserve">or</w:t>
      </w:r>
      <w:r>
        <w:t xml:space="preserve"> </w:t>
      </w:r>
      <w:r>
        <w:rPr>
          <w:i/>
          <w:iCs/>
        </w:rPr>
        <w:t xml:space="preserve">d</w:t>
      </w:r>
      <w:r>
        <w:t xml:space="preserve"> </w:t>
      </w:r>
      <w:r>
        <w:t xml:space="preserve">is larger. What’s definitional of CDT is that if the prediction is causally independent of the choice, and</w:t>
      </w:r>
      <w:r>
        <w:t xml:space="preserve"> </w:t>
      </w:r>
      <w:r>
        <w:rPr>
          <w:i/>
          <w:iCs/>
        </w:rPr>
        <w:t xml:space="preserve">a</w:t>
      </w:r>
      <w:r>
        <w:t xml:space="preserve"> &gt; </w:t>
      </w:r>
      <w:r>
        <w:rPr>
          <w:i/>
          <w:iCs/>
        </w:rPr>
        <w:t xml:space="preserve">c</w:t>
      </w:r>
      <w:r>
        <w:t xml:space="preserve">, and</w:t>
      </w:r>
      <w:r>
        <w:t xml:space="preserve"> </w:t>
      </w:r>
      <w:r>
        <w:rPr>
          <w:i/>
          <w:iCs/>
        </w:rPr>
        <w:t xml:space="preserve">b</w:t>
      </w:r>
      <w:r>
        <w:t xml:space="preserve"> &gt; </w:t>
      </w:r>
      <w:r>
        <w:rPr>
          <w:i/>
          <w:iCs/>
        </w:rPr>
        <w:t xml:space="preserve">d</w:t>
      </w:r>
      <w:r>
        <w:t xml:space="preserve">, then Up is the right choice.</w:t>
      </w:r>
      <w:r>
        <w:rPr>
          <w:rStyle w:val="FootnoteReference"/>
        </w:rPr>
        <w:footnoteReference w:id="30"/>
      </w:r>
      <w:r>
        <w:t xml:space="preserve"> </w:t>
      </w:r>
      <w:r>
        <w:t xml:space="preserve">But what if only one of those inequalities hold? In particular, if</w:t>
      </w:r>
      <w:r>
        <w:t xml:space="preserve"> </w:t>
      </w:r>
      <w:r>
        <w:rPr>
          <w:i/>
          <w:iCs/>
        </w:rPr>
        <w:t xml:space="preserve">a</w:t>
      </w:r>
      <w:r>
        <w:t xml:space="preserve"> &gt; </w:t>
      </w:r>
      <w:r>
        <w:rPr>
          <w:i/>
          <w:iCs/>
        </w:rPr>
        <w:t xml:space="preserve">c</w:t>
      </w:r>
      <w:r>
        <w:t xml:space="preserve">, and</w:t>
      </w:r>
      <w:r>
        <w:t xml:space="preserve"> </w:t>
      </w:r>
      <w:r>
        <w:rPr>
          <w:i/>
          <w:iCs/>
        </w:rPr>
        <w:t xml:space="preserve">d</w:t>
      </w:r>
      <w:r>
        <w:t xml:space="preserve"> &gt; </w:t>
      </w:r>
      <w:r>
        <w:rPr>
          <w:i/>
          <w:iCs/>
        </w:rPr>
        <w:t xml:space="preserve">b</w:t>
      </w:r>
      <w:r>
        <w:t xml:space="preserve">, what is to be done? There are, in the current literature, four different verdicts on this among people who agree with the fundamental claim that CDT makes about Newcomb-like problems.</w:t>
      </w:r>
    </w:p>
    <w:p>
      <w:pPr>
        <w:pStyle w:val="Compact"/>
        <w:numPr>
          <w:ilvl w:val="0"/>
          <w:numId w:val="1003"/>
        </w:numPr>
      </w:pPr>
      <w:r>
        <w:t xml:space="preserve">Frank</w:t>
      </w:r>
      <w:r>
        <w:t xml:space="preserve"> </w:t>
      </w:r>
      <w:r>
        <w:t xml:space="preserve">Arntzenius (2008)</w:t>
      </w:r>
      <w:r>
        <w:t xml:space="preserve"> </w:t>
      </w:r>
      <w:r>
        <w:t xml:space="preserve">and Johan</w:t>
      </w:r>
      <w:r>
        <w:t xml:space="preserve"> </w:t>
      </w:r>
      <w:r>
        <w:t xml:space="preserve">Gustafsson (2011)</w:t>
      </w:r>
      <w:r>
        <w:t xml:space="preserve"> </w:t>
      </w:r>
      <w:r>
        <w:t xml:space="preserve">say that in this case CDT should follow EDT, and use the values of</w:t>
      </w:r>
      <w:r>
        <w:t xml:space="preserve"> </w:t>
      </w:r>
      <w:r>
        <w:rPr>
          <w:i/>
          <w:iCs/>
        </w:rPr>
        <w:t xml:space="preserve">a</w:t>
      </w:r>
      <w:r>
        <w:t xml:space="preserve"> </w:t>
      </w:r>
      <w:r>
        <w:t xml:space="preserve">and</w:t>
      </w:r>
      <w:r>
        <w:t xml:space="preserve"> </w:t>
      </w:r>
      <w:r>
        <w:rPr>
          <w:i/>
          <w:iCs/>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that means playing Down, since 44 &gt; 34.</w:t>
      </w:r>
    </w:p>
    <w:p>
      <w:pPr>
        <w:pStyle w:val="Compact"/>
        <w:numPr>
          <w:ilvl w:val="0"/>
          <w:numId w:val="1003"/>
        </w:numPr>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
          <w:iCs/>
        </w:rPr>
        <w:t xml:space="preserve">a</w:t>
      </w:r>
      <w:r>
        <w:t xml:space="preserve"> </w:t>
      </w:r>
      <w:r>
        <w:t xml:space="preserve">+</w:t>
      </w:r>
      <w:r>
        <w:t xml:space="preserve"> </w:t>
      </w:r>
      <w:r>
        <w:rPr>
          <w:i/>
          <w:iCs/>
        </w:rPr>
        <w:t xml:space="preserve">b</w:t>
      </w:r>
      <w:r>
        <w:t xml:space="preserve"> </w:t>
      </w:r>
      <w:r>
        <w:t xml:space="preserve">and</w:t>
      </w:r>
      <w:r>
        <w:t xml:space="preserve"> </w:t>
      </w:r>
      <w:r>
        <w:rPr>
          <w:i/>
          <w:iCs/>
        </w:rPr>
        <w:t xml:space="preserve">c</w:t>
      </w:r>
      <w:r>
        <w:t xml:space="preserve"> </w:t>
      </w:r>
      <w:r>
        <w:t xml:space="preserve">+</w:t>
      </w:r>
      <w:r>
        <w:t xml:space="preserve"> </w:t>
      </w:r>
      <w:r>
        <w:rPr>
          <w:i/>
          <w:iCs/>
        </w:rPr>
        <w:t xml:space="preserve">d</w:t>
      </w:r>
      <w:r>
        <w:t xml:space="preserve"> </w:t>
      </w:r>
      <w:r>
        <w:t xml:space="preserve">is larger.</w:t>
      </w:r>
      <w:r>
        <w:rPr>
          <w:rStyle w:val="FootnoteReference"/>
        </w:rPr>
        <w:footnoteReference w:id="31"/>
      </w:r>
      <w:r>
        <w:t xml:space="preserve"> </w:t>
      </w:r>
      <w:r>
        <w:t xml:space="preserve">In</w:t>
      </w:r>
      <w:r>
        <w:t xml:space="preserve"> </w:t>
      </w:r>
      <w:hyperlink w:anchor="tbl-payout-if-tails">
        <w:r>
          <w:rPr>
            <w:rStyle w:val="Hyperlink"/>
          </w:rPr>
          <w:t xml:space="preserve">Table 2</w:t>
        </w:r>
      </w:hyperlink>
      <w:r>
        <w:t xml:space="preserve"> </w:t>
      </w:r>
      <w:r>
        <w:t xml:space="preserve">they recommend Up, since 34 + 40 &gt; 22 + 44.</w:t>
      </w:r>
    </w:p>
    <w:p>
      <w:pPr>
        <w:pStyle w:val="Compact"/>
        <w:numPr>
          <w:ilvl w:val="0"/>
          <w:numId w:val="1003"/>
        </w:numPr>
      </w:pPr>
      <w:r>
        <w:t xml:space="preserve">Jack</w:t>
      </w:r>
      <w:r>
        <w:t xml:space="preserve"> </w:t>
      </w:r>
      <w:r>
        <w:t xml:space="preserve">Spencer (2023)</w:t>
      </w:r>
      <w:r>
        <w:t xml:space="preserve"> </w:t>
      </w:r>
      <w:r>
        <w:t xml:space="preserve">and Melissa</w:t>
      </w:r>
      <w:r>
        <w:t xml:space="preserve"> </w:t>
      </w:r>
      <w:r>
        <w:t xml:space="preserve">Fusco (n.d.)</w:t>
      </w:r>
      <w:r>
        <w:t xml:space="preserve"> </w:t>
      </w:r>
      <w:r>
        <w:t xml:space="preserve">say that if</w:t>
      </w:r>
      <w:r>
        <w:t xml:space="preserve"> </w:t>
      </w:r>
      <w:r>
        <w:rPr>
          <w:i/>
          <w:iCs/>
        </w:rPr>
        <w:t xml:space="preserve">a</w:t>
      </w:r>
      <w:r>
        <w:t xml:space="preserve"> &gt; </w:t>
      </w:r>
      <w:r>
        <w:rPr>
          <w:i/>
          <w:iCs/>
        </w:rPr>
        <w:t xml:space="preserve">c</w:t>
      </w:r>
      <w:r>
        <w:t xml:space="preserve">, and</w:t>
      </w:r>
      <w:r>
        <w:t xml:space="preserve"> </w:t>
      </w:r>
      <w:r>
        <w:rPr>
          <w:i/>
          <w:iCs/>
        </w:rPr>
        <w:t xml:space="preserve">d</w:t>
      </w:r>
      <w:r>
        <w:t xml:space="preserve"> &gt; </w:t>
      </w:r>
      <w:r>
        <w:rPr>
          <w:i/>
          <w:iCs/>
        </w:rPr>
        <w:t xml:space="preserve">b</w:t>
      </w:r>
      <w:r>
        <w:t xml:space="preserve">, either Up or Down is rationally permissible.</w:t>
      </w:r>
    </w:p>
    <w:p>
      <w:pPr>
        <w:pStyle w:val="Compact"/>
        <w:numPr>
          <w:ilvl w:val="0"/>
          <w:numId w:val="1003"/>
        </w:numPr>
      </w:pPr>
      <w:r>
        <w:t xml:space="preserve">James</w:t>
      </w:r>
      <w:r>
        <w:t xml:space="preserve"> </w:t>
      </w:r>
      <w:r>
        <w:t xml:space="preserve">Joyce (2012)</w:t>
      </w:r>
      <w:r>
        <w:t xml:space="preserve"> </w:t>
      </w:r>
      <w:r>
        <w:t xml:space="preserve">says that what Chooser does if</w:t>
      </w:r>
      <w:r>
        <w:t xml:space="preserve"> </w:t>
      </w:r>
      <w:r>
        <w:rPr>
          <w:i/>
          <w:iCs/>
        </w:rPr>
        <w:t xml:space="preserve">a</w:t>
      </w:r>
      <w:r>
        <w:t xml:space="preserve"> &gt; </w:t>
      </w:r>
      <w:r>
        <w:rPr>
          <w:i/>
          <w:iCs/>
        </w:rPr>
        <w:t xml:space="preserve">c</w:t>
      </w:r>
      <w:r>
        <w:t xml:space="preserve">, and</w:t>
      </w:r>
      <w:r>
        <w:t xml:space="preserve"> </w:t>
      </w:r>
      <w:r>
        <w:rPr>
          <w:i/>
          <w:iCs/>
        </w:rPr>
        <w:t xml:space="preserve">d</w:t>
      </w:r>
      <w:r>
        <w:t xml:space="preserve"> &gt; </w:t>
      </w:r>
      <w:r>
        <w:rPr>
          <w:i/>
          <w:iCs/>
        </w:rPr>
        <w:t xml:space="preserve">b</w:t>
      </w:r>
      <w:r>
        <w:t xml:space="preserve"> </w:t>
      </w:r>
      <w:r>
        <w:t xml:space="preserve">should be a function of how likely they think it is at the start of deliberation that they will choose Up or Down.</w:t>
      </w:r>
    </w:p>
    <w:p>
      <w:pPr>
        <w:pStyle w:val="FirstParagraph"/>
      </w:pPr>
      <w:r>
        <w:t xml:space="preserve">So these four families of theories say different things about cases like</w:t>
      </w:r>
      <w:r>
        <w:t xml:space="preserve"> </w:t>
      </w:r>
      <w:hyperlink w:anchor="tbl-payout-if-tails">
        <w:r>
          <w:rPr>
            <w:rStyle w:val="Hyperlink"/>
          </w:rPr>
          <w:t xml:space="preserve">Table 2</w:t>
        </w:r>
      </w:hyperlink>
      <w:r>
        <w:t xml:space="preserve">. And within each family (except possibly the last), it isn’t hard to find other cases where the theories disagree. The best conclusion, I think, is that there are Causal Decision</w:t>
      </w:r>
      <w:r>
        <w:t xml:space="preserve"> </w:t>
      </w:r>
      <w:r>
        <w:rPr>
          <w:i/>
          <w:iCs/>
        </w:rPr>
        <w:t xml:space="preserve">Theories</w:t>
      </w:r>
      <w:r>
        <w:t xml:space="preserve">, but no one Causal Decision</w:t>
      </w:r>
      <w:r>
        <w:t xml:space="preserve"> </w:t>
      </w:r>
      <w:r>
        <w:rPr>
          <w:i/>
          <w:iCs/>
        </w:rPr>
        <w:t xml:space="preserve">Theory</w:t>
      </w:r>
      <w:r>
        <w:t xml:space="preserve">. CDT is a name for a family of views, not a particular view. There are some people in the literature who try to use the term for one particular one of the nine views I just described</w:t>
      </w:r>
      <w:r>
        <w:rPr>
          <w:rStyle w:val="FootnoteReference"/>
        </w:rPr>
        <w:footnoteReference w:id="32"/>
      </w:r>
      <w:r>
        <w:t xml:space="preserve">,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22 + 44. So Chooser will always play Up in</w:t>
      </w:r>
      <w:r>
        <w:t xml:space="preserve"> </w:t>
      </w:r>
      <w:hyperlink w:anchor="fig-second-anti-war">
        <w:r>
          <w:rPr>
            <w:rStyle w:val="Hyperlink"/>
          </w:rPr>
          <w:t xml:space="preserve">Figure 1</w:t>
        </w:r>
      </w:hyperlink>
      <w:r>
        <w:t xml:space="preserve">. So Demon will always flip a coin to decide what to do. So all of the outcomes where Chooser plays Up are equally likely.</w:t>
      </w:r>
      <w:r>
        <w:rPr>
          <w:rStyle w:val="FootnoteReference"/>
        </w:rPr>
        <w:footnoteReference w:id="33"/>
      </w:r>
      <w:r>
        <w:t xml:space="preserve"> </w:t>
      </w:r>
      <w:r>
        <w:t xml:space="preserve">That means Chooser will on average get a return of 127. Since 127 &gt; 42, on average if Chooser follows Gallow’s theory they will get a better return than if they follow EDT. So if WAR arguments work, they show that EDT should be rejected since it does worse than Gallow’s theory in cases like</w:t>
      </w:r>
      <w:r>
        <w:t xml:space="preserve"> </w:t>
      </w:r>
      <w:hyperlink w:anchor="fig-second-anti-war">
        <w:r>
          <w:rPr>
            <w:rStyle w:val="Hyperlink"/>
          </w:rPr>
          <w:t xml:space="preserve">Figure 1</w:t>
        </w:r>
      </w:hyperlink>
      <w:r>
        <w:t xml:space="preserve">.</w:t>
      </w:r>
      <w:r>
        <w:rPr>
          <w:rStyle w:val="FootnoteReference"/>
        </w:rPr>
        <w:footnoteReference w:id="34"/>
      </w:r>
    </w:p>
    <w:bookmarkEnd w:id="35"/>
    <w:bookmarkStart w:id="36"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
          <w:iCs/>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36"/>
    <w:bookmarkStart w:id="79"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favour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
          <w:iCs/>
        </w:rPr>
        <w:t xml:space="preserve">x</w:t>
      </w:r>
      <w:r>
        <w:t xml:space="preserve">. As long as</w:t>
      </w:r>
      <w:r>
        <w:t xml:space="preserve"> </w:t>
      </w:r>
      <w:r>
        <w:rPr>
          <w:i/>
          <w:iCs/>
        </w:rPr>
        <w:t xml:space="preserve">x</w:t>
      </w:r>
      <w:r>
        <w:t xml:space="preserve"> &gt; 0, Gallow-style CDT will still say to choose Up however the coin lands. The value of</w:t>
      </w:r>
      <w:r>
        <w:t xml:space="preserve"> </w:t>
      </w:r>
      <w:r>
        <w:rPr>
          <w:i/>
          <w:iCs/>
        </w:rPr>
        <w:t xml:space="preserve">x</w:t>
      </w:r>
      <w:r>
        <w:t xml:space="preserve"> </w:t>
      </w:r>
      <w:r>
        <w:t xml:space="preserve">is irrelevant to what to do if Tails, and as long as</w:t>
      </w:r>
      <w:r>
        <w:t xml:space="preserve"> </w:t>
      </w:r>
      <w:r>
        <w:rPr>
          <w:i/>
          <w:iCs/>
        </w:rPr>
        <w:t xml:space="preserve">x</w:t>
      </w:r>
      <w:r>
        <w:t xml:space="preserve"> &gt; 0, Up is guaranteed to do better than Down if the coin lands Heads. But if</w:t>
      </w:r>
      <w:r>
        <w:t xml:space="preserve"> </w:t>
      </w:r>
      <w:r>
        <w:rPr>
          <w:i/>
          <w:iCs/>
        </w:rPr>
        <w:t xml:space="preserve">x</w:t>
      </w:r>
      <w:r>
        <w:t xml:space="preserve"> </w:t>
      </w:r>
      <w:r>
        <w:t xml:space="preserve">&lt; 60, the average payoff to EDT, which is 42 whatever the value of</w:t>
      </w:r>
      <w:r>
        <w:t xml:space="preserve"> </w:t>
      </w:r>
      <w:r>
        <w:rPr>
          <w:i/>
          <w:iCs/>
        </w:rPr>
        <w:t xml:space="preserve">x</w:t>
      </w:r>
      <w:r>
        <w:t xml:space="preserve"> </w:t>
      </w:r>
      <w:r>
        <w:t xml:space="preserve">is, will be greater than the average payoff to Gallow-style CDT, which is (108 + </w:t>
      </w:r>
      <w:r>
        <w:rPr>
          <w:i/>
          <w:iCs/>
        </w:rPr>
        <w:t xml:space="preserve">x</w:t>
      </w:r>
      <w:r>
        <w:t xml:space="preserve">)/4.</w:t>
      </w:r>
    </w:p>
    <w:p>
      <w:pPr>
        <w:pStyle w:val="BodyText"/>
      </w:pPr>
      <w:r>
        <w:t xml:space="preserve">So which of these two theories is favoured by WAR considerations turns on a factor, namely the value of</w:t>
      </w:r>
      <w:r>
        <w:t xml:space="preserve"> </w:t>
      </w:r>
      <w:r>
        <w:rPr>
          <w:i/>
          <w:iCs/>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favoured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7"/>
      </w:r>
    </w:p>
    <w:bookmarkStart w:id="38" w:name="references"/>
    <w:p>
      <w:pPr>
        <w:pStyle w:val="Heading2"/>
      </w:pPr>
      <w:r>
        <w:t xml:space="preserve">References</w:t>
      </w:r>
    </w:p>
    <w:bookmarkEnd w:id="38"/>
    <w:bookmarkStart w:id="78" w:name="refs"/>
    <w:bookmarkStart w:id="39" w:name="ref-Ahmed2014"/>
    <w:p>
      <w:pPr>
        <w:pStyle w:val="Bibliography"/>
      </w:pPr>
      <w:r>
        <w:t xml:space="preserve">Ahmed, Arif. 2014.</w:t>
      </w:r>
      <w:r>
        <w:t xml:space="preserve"> </w:t>
      </w:r>
      <w:r>
        <w:rPr>
          <w:i/>
          <w:iCs/>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9"/>
    <w:bookmarkStart w:id="41" w:name="ref-Ahmed2020"/>
    <w:p>
      <w:pPr>
        <w:pStyle w:val="Bibliography"/>
      </w:pPr>
      <w:r>
        <w:t xml:space="preserve">———. 2020.</w:t>
      </w:r>
      <w:r>
        <w:t xml:space="preserve"> </w:t>
      </w:r>
      <w:r>
        <w:t xml:space="preserve">“Equal Opportunities in Newcomb’s Problem and Elsewhere.”</w:t>
      </w:r>
      <w:r>
        <w:t xml:space="preserve"> </w:t>
      </w:r>
      <w:r>
        <w:rPr>
          <w:i/>
          <w:iCs/>
        </w:rPr>
        <w:t xml:space="preserve">Mind</w:t>
      </w:r>
      <w:r>
        <w:t xml:space="preserve"> </w:t>
      </w:r>
      <w:r>
        <w:t xml:space="preserve">129 (515): 867–86. doi:</w:t>
      </w:r>
      <w:r>
        <w:t xml:space="preserve"> </w:t>
      </w:r>
      <w:hyperlink r:id="rId40">
        <w:r>
          <w:rPr>
            <w:rStyle w:val="Hyperlink"/>
          </w:rPr>
          <w:t xml:space="preserve">10.1093/mind/fzz073</w:t>
        </w:r>
      </w:hyperlink>
      <w:r>
        <w:t xml:space="preserve">.</w:t>
      </w:r>
    </w:p>
    <w:bookmarkEnd w:id="41"/>
    <w:bookmarkStart w:id="43" w:name="ref-AhmedPrice2012"/>
    <w:p>
      <w:pPr>
        <w:pStyle w:val="Bibliography"/>
      </w:pPr>
      <w:r>
        <w:t xml:space="preserve">Ahmed, Arif, and Huw Price. 2012.</w:t>
      </w:r>
      <w:r>
        <w:t xml:space="preserve"> </w:t>
      </w:r>
      <w:r>
        <w:t xml:space="preserve">“Arntzenius on ‘Why Ain’cha Rich?’.”</w:t>
      </w:r>
      <w:r>
        <w:t xml:space="preserve"> </w:t>
      </w:r>
      <w:r>
        <w:rPr>
          <w:i/>
          <w:iCs/>
        </w:rPr>
        <w:t xml:space="preserve">Erkenntnis</w:t>
      </w:r>
      <w:r>
        <w:t xml:space="preserve"> </w:t>
      </w:r>
      <w:r>
        <w:t xml:space="preserve">77 (1): 15–30. doi:</w:t>
      </w:r>
      <w:r>
        <w:t xml:space="preserve"> </w:t>
      </w:r>
      <w:hyperlink r:id="rId42">
        <w:r>
          <w:rPr>
            <w:rStyle w:val="Hyperlink"/>
          </w:rPr>
          <w:t xml:space="preserve">10.1007/s10670-011-9355-2</w:t>
        </w:r>
      </w:hyperlink>
      <w:r>
        <w:t xml:space="preserve">.</w:t>
      </w:r>
    </w:p>
    <w:bookmarkEnd w:id="43"/>
    <w:bookmarkStart w:id="45" w:name="ref-Arntzenius2008"/>
    <w:p>
      <w:pPr>
        <w:pStyle w:val="Bibliography"/>
      </w:pPr>
      <w:r>
        <w:t xml:space="preserve">Arntzenius, Frank. 2008.</w:t>
      </w:r>
      <w:r>
        <w:t xml:space="preserve"> </w:t>
      </w:r>
      <w:r>
        <w:t xml:space="preserve">“No Regrets; or, Edith Piaf Revamps Decision Theory.”</w:t>
      </w:r>
      <w:r>
        <w:t xml:space="preserve"> </w:t>
      </w:r>
      <w:r>
        <w:rPr>
          <w:i/>
          <w:iCs/>
        </w:rPr>
        <w:t xml:space="preserve">Erkenntnis</w:t>
      </w:r>
      <w:r>
        <w:t xml:space="preserve"> </w:t>
      </w:r>
      <w:r>
        <w:t xml:space="preserve">68 (2): 277–97. doi:</w:t>
      </w:r>
      <w:r>
        <w:t xml:space="preserve"> </w:t>
      </w:r>
      <w:hyperlink r:id="rId44">
        <w:r>
          <w:rPr>
            <w:rStyle w:val="Hyperlink"/>
          </w:rPr>
          <w:t xml:space="preserve">10.1007/s10670-007-9084-8</w:t>
        </w:r>
      </w:hyperlink>
      <w:r>
        <w:t xml:space="preserve">.</w:t>
      </w:r>
    </w:p>
    <w:bookmarkEnd w:id="45"/>
    <w:bookmarkStart w:id="47" w:name="ref-Bales2018"/>
    <w:p>
      <w:pPr>
        <w:pStyle w:val="Bibliography"/>
      </w:pPr>
      <w:r>
        <w:t xml:space="preserve">Bales, Adam. 2018.</w:t>
      </w:r>
      <w:r>
        <w:t xml:space="preserve"> </w:t>
      </w:r>
      <w:r>
        <w:t xml:space="preserve">“Richness and Rationality: Causal Decision Theory and the WAR Argument.”</w:t>
      </w:r>
      <w:r>
        <w:t xml:space="preserve"> </w:t>
      </w:r>
      <w:r>
        <w:rPr>
          <w:i/>
          <w:iCs/>
        </w:rPr>
        <w:t xml:space="preserve">Synthese</w:t>
      </w:r>
      <w:r>
        <w:t xml:space="preserve"> </w:t>
      </w:r>
      <w:r>
        <w:t xml:space="preserve">195 (1): 259–67. doi:</w:t>
      </w:r>
      <w:r>
        <w:t xml:space="preserve"> </w:t>
      </w:r>
      <w:hyperlink r:id="rId46">
        <w:r>
          <w:rPr>
            <w:rStyle w:val="Hyperlink"/>
          </w:rPr>
          <w:t xml:space="preserve">10.1007/s11229-016-1214-x</w:t>
        </w:r>
      </w:hyperlink>
      <w:r>
        <w:t xml:space="preserve">.</w:t>
      </w:r>
    </w:p>
    <w:bookmarkEnd w:id="47"/>
    <w:bookmarkStart w:id="49" w:name="ref-Barnett2022"/>
    <w:p>
      <w:pPr>
        <w:pStyle w:val="Bibliography"/>
      </w:pPr>
      <w:r>
        <w:t xml:space="preserve">Barnett, David James. 2022.</w:t>
      </w:r>
      <w:r>
        <w:t xml:space="preserve"> </w:t>
      </w:r>
      <w:r>
        <w:t xml:space="preserve">“Graded Ratifiability.”</w:t>
      </w:r>
      <w:r>
        <w:t xml:space="preserve"> </w:t>
      </w:r>
      <w:r>
        <w:rPr>
          <w:i/>
          <w:iCs/>
        </w:rPr>
        <w:t xml:space="preserve">Journal of Philosophy</w:t>
      </w:r>
      <w:r>
        <w:t xml:space="preserve"> </w:t>
      </w:r>
      <w:r>
        <w:t xml:space="preserve">119 (2): 57–88. doi:</w:t>
      </w:r>
      <w:r>
        <w:t xml:space="preserve"> </w:t>
      </w:r>
      <w:hyperlink r:id="rId48">
        <w:r>
          <w:rPr>
            <w:rStyle w:val="Hyperlink"/>
          </w:rPr>
          <w:t xml:space="preserve">10.5840/jphil202211925</w:t>
        </w:r>
      </w:hyperlink>
      <w:r>
        <w:t xml:space="preserve">.</w:t>
      </w:r>
    </w:p>
    <w:bookmarkEnd w:id="49"/>
    <w:bookmarkStart w:id="51" w:name="ref-ChoKreps1987"/>
    <w:p>
      <w:pPr>
        <w:pStyle w:val="Bibliography"/>
      </w:pPr>
      <w:r>
        <w:t xml:space="preserve">Cho, In-Koo, and David M. Kreps. 1987.</w:t>
      </w:r>
      <w:r>
        <w:t xml:space="preserve"> </w:t>
      </w:r>
      <w:r>
        <w:t xml:space="preserve">“Signalling Games and Stable Equilibria.”</w:t>
      </w:r>
      <w:r>
        <w:t xml:space="preserve"> </w:t>
      </w:r>
      <w:r>
        <w:rPr>
          <w:i/>
          <w:iCs/>
        </w:rPr>
        <w:t xml:space="preserve">The Quarterly Journal of Economics</w:t>
      </w:r>
      <w:r>
        <w:t xml:space="preserve"> </w:t>
      </w:r>
      <w:r>
        <w:t xml:space="preserve">102 (2): 179–221. doi:</w:t>
      </w:r>
      <w:r>
        <w:t xml:space="preserve"> </w:t>
      </w:r>
      <w:hyperlink r:id="rId50">
        <w:r>
          <w:rPr>
            <w:rStyle w:val="Hyperlink"/>
          </w:rPr>
          <w:t xml:space="preserve">10.2307/1885060</w:t>
        </w:r>
      </w:hyperlink>
      <w:r>
        <w:t xml:space="preserve">.</w:t>
      </w:r>
    </w:p>
    <w:bookmarkEnd w:id="51"/>
    <w:bookmarkStart w:id="53" w:name="ref-Fuscond"/>
    <w:p>
      <w:pPr>
        <w:pStyle w:val="Bibliography"/>
      </w:pPr>
      <w:r>
        <w:t xml:space="preserve">Fusco, Melissa. n.d.</w:t>
      </w:r>
      <w:r>
        <w:t xml:space="preserve"> </w:t>
      </w:r>
      <w:r>
        <w:t xml:space="preserve">“Absolution of a Causal Decision Theorist.”</w:t>
      </w:r>
      <w:r>
        <w:t xml:space="preserve"> </w:t>
      </w:r>
      <w:r>
        <w:rPr>
          <w:i/>
          <w:iCs/>
        </w:rPr>
        <w:t xml:space="preserve">No</w:t>
      </w:r>
      <w:r>
        <w:rPr>
          <w:i/>
          <w:iCs/>
        </w:rPr>
        <w:t xml:space="preserve">û</w:t>
      </w:r>
      <w:r>
        <w:rPr>
          <w:i/>
          <w:iCs/>
        </w:rPr>
        <w:t xml:space="preserve">s</w:t>
      </w:r>
      <w:r>
        <w:t xml:space="preserve">. doi:</w:t>
      </w:r>
      <w:r>
        <w:t xml:space="preserve"> </w:t>
      </w:r>
      <w:hyperlink r:id="rId52">
        <w:r>
          <w:rPr>
            <w:rStyle w:val="Hyperlink"/>
          </w:rPr>
          <w:t xml:space="preserve">10.1111/nous.12459</w:t>
        </w:r>
      </w:hyperlink>
      <w:r>
        <w:t xml:space="preserve">. Early view.</w:t>
      </w:r>
    </w:p>
    <w:bookmarkEnd w:id="53"/>
    <w:bookmarkStart w:id="55" w:name="ref-Gallow2020"/>
    <w:p>
      <w:pPr>
        <w:pStyle w:val="Bibliography"/>
      </w:pPr>
      <w:r>
        <w:t xml:space="preserve">Gallow, J. Dmitri. 2020.</w:t>
      </w:r>
      <w:r>
        <w:t xml:space="preserve"> </w:t>
      </w:r>
      <w:r>
        <w:t xml:space="preserve">“The Causal Decision Theorist’s Guide to Managing the News.”</w:t>
      </w:r>
      <w:r>
        <w:t xml:space="preserve"> </w:t>
      </w:r>
      <w:r>
        <w:rPr>
          <w:i/>
          <w:iCs/>
        </w:rPr>
        <w:t xml:space="preserve">The Journal of Philosophy</w:t>
      </w:r>
      <w:r>
        <w:t xml:space="preserve"> </w:t>
      </w:r>
      <w:r>
        <w:t xml:space="preserve">117 (3): 117–49. doi:</w:t>
      </w:r>
      <w:r>
        <w:t xml:space="preserve"> </w:t>
      </w:r>
      <w:hyperlink r:id="rId54">
        <w:r>
          <w:rPr>
            <w:rStyle w:val="Hyperlink"/>
          </w:rPr>
          <w:t xml:space="preserve">10.5840/jphil202011739</w:t>
        </w:r>
      </w:hyperlink>
      <w:r>
        <w:t xml:space="preserve">.</w:t>
      </w:r>
    </w:p>
    <w:bookmarkEnd w:id="55"/>
    <w:bookmarkStart w:id="56"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 125–62.</w:t>
      </w:r>
    </w:p>
    <w:bookmarkEnd w:id="56"/>
    <w:bookmarkStart w:id="58" w:name="ref-Gustafsson2011"/>
    <w:p>
      <w:pPr>
        <w:pStyle w:val="Bibliography"/>
      </w:pPr>
      <w:r>
        <w:t xml:space="preserve">Gustafsson, Johan E. 2011.</w:t>
      </w:r>
      <w:r>
        <w:t xml:space="preserve"> </w:t>
      </w:r>
      <w:r>
        <w:t xml:space="preserve">“A Note in Defence of Ratificationism.”</w:t>
      </w:r>
      <w:r>
        <w:t xml:space="preserve"> </w:t>
      </w:r>
      <w:r>
        <w:rPr>
          <w:i/>
          <w:iCs/>
        </w:rPr>
        <w:t xml:space="preserve">Erkenntnis</w:t>
      </w:r>
      <w:r>
        <w:t xml:space="preserve"> </w:t>
      </w:r>
      <w:r>
        <w:t xml:space="preserve">75 (1): 147–50. doi:</w:t>
      </w:r>
      <w:r>
        <w:t xml:space="preserve"> </w:t>
      </w:r>
      <w:hyperlink r:id="rId57">
        <w:r>
          <w:rPr>
            <w:rStyle w:val="Hyperlink"/>
          </w:rPr>
          <w:t xml:space="preserve">10.1007/s10670-010-9267-6</w:t>
        </w:r>
      </w:hyperlink>
      <w:r>
        <w:t xml:space="preserve">.</w:t>
      </w:r>
    </w:p>
    <w:bookmarkEnd w:id="58"/>
    <w:bookmarkStart w:id="60" w:name="ref-Hammond1988"/>
    <w:p>
      <w:pPr>
        <w:pStyle w:val="Bibliography"/>
      </w:pPr>
      <w:r>
        <w:t xml:space="preserve">Hammond, Peter J. 1988.</w:t>
      </w:r>
      <w:r>
        <w:t xml:space="preserve"> </w:t>
      </w:r>
      <w:r>
        <w:t xml:space="preserve">“Consequentialist Foundations for Expected Utility.”</w:t>
      </w:r>
      <w:r>
        <w:t xml:space="preserve"> </w:t>
      </w:r>
      <w:r>
        <w:rPr>
          <w:i/>
          <w:iCs/>
        </w:rPr>
        <w:t xml:space="preserve">Theory and Decision</w:t>
      </w:r>
      <w:r>
        <w:t xml:space="preserve"> </w:t>
      </w:r>
      <w:r>
        <w:t xml:space="preserve">25 (1): 25–78. doi:</w:t>
      </w:r>
      <w:r>
        <w:t xml:space="preserve"> </w:t>
      </w:r>
      <w:hyperlink r:id="rId59">
        <w:r>
          <w:rPr>
            <w:rStyle w:val="Hyperlink"/>
          </w:rPr>
          <w:t xml:space="preserve">10.1007/BF00129168</w:t>
        </w:r>
      </w:hyperlink>
      <w:r>
        <w:t xml:space="preserve">.</w:t>
      </w:r>
    </w:p>
    <w:bookmarkEnd w:id="60"/>
    <w:bookmarkStart w:id="62" w:name="ref-Joyce2012"/>
    <w:p>
      <w:pPr>
        <w:pStyle w:val="Bibliography"/>
      </w:pPr>
      <w:r>
        <w:t xml:space="preserve">Joyce, James M. 2012.</w:t>
      </w:r>
      <w:r>
        <w:t xml:space="preserve"> </w:t>
      </w:r>
      <w:r>
        <w:t xml:space="preserve">“Regret and Instability in Causal Decision Theory.”</w:t>
      </w:r>
      <w:r>
        <w:t xml:space="preserve"> </w:t>
      </w:r>
      <w:r>
        <w:rPr>
          <w:i/>
          <w:iCs/>
        </w:rPr>
        <w:t xml:space="preserve">Synthese</w:t>
      </w:r>
      <w:r>
        <w:t xml:space="preserve"> </w:t>
      </w:r>
      <w:r>
        <w:t xml:space="preserve">187 (1): 123–45. doi:</w:t>
      </w:r>
      <w:r>
        <w:t xml:space="preserve"> </w:t>
      </w:r>
      <w:hyperlink r:id="rId61">
        <w:r>
          <w:rPr>
            <w:rStyle w:val="Hyperlink"/>
          </w:rPr>
          <w:t xml:space="preserve">10.1007/s11229-011-0022-6</w:t>
        </w:r>
      </w:hyperlink>
      <w:r>
        <w:t xml:space="preserve">.</w:t>
      </w:r>
    </w:p>
    <w:bookmarkEnd w:id="62"/>
    <w:bookmarkStart w:id="64" w:name="ref-LevinsteinSoares2020"/>
    <w:p>
      <w:pPr>
        <w:pStyle w:val="Bibliography"/>
      </w:pPr>
      <w:r>
        <w:t xml:space="preserve">Levinstein, Benjamin Anders, and Nate Soares. 2020.</w:t>
      </w:r>
      <w:r>
        <w:t xml:space="preserve"> </w:t>
      </w:r>
      <w:r>
        <w:t xml:space="preserve">“Cheating Death in Damascus.”</w:t>
      </w:r>
      <w:r>
        <w:t xml:space="preserve"> </w:t>
      </w:r>
      <w:r>
        <w:rPr>
          <w:i/>
          <w:iCs/>
        </w:rPr>
        <w:t xml:space="preserve">Journal of Philosophy</w:t>
      </w:r>
      <w:r>
        <w:t xml:space="preserve"> </w:t>
      </w:r>
      <w:r>
        <w:t xml:space="preserve">117 (5): 237–66. doi:</w:t>
      </w:r>
      <w:r>
        <w:t xml:space="preserve"> </w:t>
      </w:r>
      <w:hyperlink r:id="rId63">
        <w:r>
          <w:rPr>
            <w:rStyle w:val="Hyperlink"/>
          </w:rPr>
          <w:t xml:space="preserve">10.5840/jphil2020117516</w:t>
        </w:r>
      </w:hyperlink>
      <w:r>
        <w:t xml:space="preserve">.</w:t>
      </w:r>
    </w:p>
    <w:bookmarkEnd w:id="64"/>
    <w:bookmarkStart w:id="65" w:name="ref-Lewis1969a"/>
    <w:p>
      <w:pPr>
        <w:pStyle w:val="Bibliography"/>
      </w:pPr>
      <w:r>
        <w:t xml:space="preserve">Lewis, David. 1969.</w:t>
      </w:r>
      <w:r>
        <w:t xml:space="preserve"> </w:t>
      </w:r>
      <w:r>
        <w:rPr>
          <w:i/>
          <w:iCs/>
        </w:rPr>
        <w:t xml:space="preserve">Convention: A Philosophical Study</w:t>
      </w:r>
      <w:r>
        <w:t xml:space="preserve">. Cambridge: Harvard University Press.</w:t>
      </w:r>
    </w:p>
    <w:bookmarkEnd w:id="65"/>
    <w:bookmarkStart w:id="67" w:name="ref-Lewis1981bn"/>
    <w:p>
      <w:pPr>
        <w:pStyle w:val="Bibliography"/>
      </w:pPr>
      <w:r>
        <w:t xml:space="preserve">———. 1981a.</w:t>
      </w:r>
      <w:r>
        <w:t xml:space="preserve"> </w:t>
      </w:r>
      <w:r>
        <w:t xml:space="preserve">“Causal Decision Theory.”</w:t>
      </w:r>
      <w:r>
        <w:t xml:space="preserve"> </w:t>
      </w:r>
      <w:r>
        <w:rPr>
          <w:i/>
          <w:iCs/>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w:t>
      </w:r>
    </w:p>
    <w:bookmarkEnd w:id="67"/>
    <w:bookmarkStart w:id="69" w:name="ref-Lewis1981en"/>
    <w:p>
      <w:pPr>
        <w:pStyle w:val="Bibliography"/>
      </w:pPr>
      <w:r>
        <w:t xml:space="preserve">———. 1981b.</w:t>
      </w:r>
      <w:r>
        <w:t xml:space="preserve"> </w:t>
      </w:r>
      <w:r>
        <w:t xml:space="preserve">“Why Ain’cha Rich?”</w:t>
      </w:r>
      <w:r>
        <w:t xml:space="preserve"> </w:t>
      </w:r>
      <w:r>
        <w:rPr>
          <w:i/>
          <w:iCs/>
        </w:rPr>
        <w:t xml:space="preserve">No</w:t>
      </w:r>
      <w:r>
        <w:rPr>
          <w:i/>
          <w:iCs/>
        </w:rPr>
        <w:t xml:space="preserve">û</w:t>
      </w:r>
      <w:r>
        <w:rPr>
          <w:i/>
          <w:iCs/>
        </w:rPr>
        <w:t xml:space="preserve">s</w:t>
      </w:r>
      <w:r>
        <w:t xml:space="preserve"> </w:t>
      </w:r>
      <w:r>
        <w:t xml:space="preserve">15 (3): 377–80. doi:</w:t>
      </w:r>
      <w:r>
        <w:t xml:space="preserve"> </w:t>
      </w:r>
      <w:hyperlink r:id="rId68">
        <w:r>
          <w:rPr>
            <w:rStyle w:val="Hyperlink"/>
          </w:rPr>
          <w:t xml:space="preserve">10.2307/2215439</w:t>
        </w:r>
      </w:hyperlink>
      <w:r>
        <w:t xml:space="preserve">.</w:t>
      </w:r>
    </w:p>
    <w:bookmarkEnd w:id="69"/>
    <w:bookmarkStart w:id="71" w:name="ref-Podgorski2022"/>
    <w:p>
      <w:pPr>
        <w:pStyle w:val="Bibliography"/>
      </w:pPr>
      <w:r>
        <w:t xml:space="preserve">Podgorski, Aberlard. 2022.</w:t>
      </w:r>
      <w:r>
        <w:t xml:space="preserve"> </w:t>
      </w:r>
      <w:r>
        <w:t xml:space="preserve">“Tournament Decision Theory.”</w:t>
      </w:r>
      <w:r>
        <w:t xml:space="preserve"> </w:t>
      </w:r>
      <w:r>
        <w:rPr>
          <w:i/>
          <w:iCs/>
        </w:rPr>
        <w:t xml:space="preserve">No</w:t>
      </w:r>
      <w:r>
        <w:rPr>
          <w:i/>
          <w:iCs/>
        </w:rPr>
        <w:t xml:space="preserve">û</w:t>
      </w:r>
      <w:r>
        <w:rPr>
          <w:i/>
          <w:iCs/>
        </w:rPr>
        <w:t xml:space="preserve">s</w:t>
      </w:r>
      <w:r>
        <w:t xml:space="preserve"> </w:t>
      </w:r>
      <w:r>
        <w:t xml:space="preserve">56 (1): 176–203. doi:</w:t>
      </w:r>
      <w:r>
        <w:t xml:space="preserve"> </w:t>
      </w:r>
      <w:hyperlink r:id="rId70">
        <w:r>
          <w:rPr>
            <w:rStyle w:val="Hyperlink"/>
          </w:rPr>
          <w:t xml:space="preserve">10.1111/nous.12353</w:t>
        </w:r>
      </w:hyperlink>
      <w:r>
        <w:t xml:space="preserve">.</w:t>
      </w:r>
    </w:p>
    <w:bookmarkEnd w:id="71"/>
    <w:bookmarkStart w:id="73" w:name="ref-Spencer2023"/>
    <w:p>
      <w:pPr>
        <w:pStyle w:val="Bibliography"/>
      </w:pPr>
      <w:r>
        <w:t xml:space="preserve">Spencer, Jack. 2023.</w:t>
      </w:r>
      <w:r>
        <w:t xml:space="preserve"> </w:t>
      </w:r>
      <w:r>
        <w:t xml:space="preserve">“Can It Be Irrational to Knowingly Choose the Best?”</w:t>
      </w:r>
      <w:r>
        <w:t xml:space="preserve"> </w:t>
      </w:r>
      <w:r>
        <w:rPr>
          <w:i/>
          <w:iCs/>
        </w:rPr>
        <w:t xml:space="preserve">Australasian Journal of Philosophy</w:t>
      </w:r>
      <w:r>
        <w:t xml:space="preserve"> </w:t>
      </w:r>
      <w:r>
        <w:t xml:space="preserve">101 (1): 128–39. doi:</w:t>
      </w:r>
      <w:r>
        <w:t xml:space="preserve"> </w:t>
      </w:r>
      <w:hyperlink r:id="rId72">
        <w:r>
          <w:rPr>
            <w:rStyle w:val="Hyperlink"/>
          </w:rPr>
          <w:t xml:space="preserve">10.1080/00048402.2021.1958880</w:t>
        </w:r>
      </w:hyperlink>
      <w:r>
        <w:t xml:space="preserve">.</w:t>
      </w:r>
    </w:p>
    <w:bookmarkEnd w:id="73"/>
    <w:bookmarkStart w:id="75" w:name="ref-Wedgwood2013a"/>
    <w:p>
      <w:pPr>
        <w:pStyle w:val="Bibliography"/>
      </w:pPr>
      <w:r>
        <w:t xml:space="preserve">Wedgwood, Ralph. 2013.</w:t>
      </w:r>
      <w:r>
        <w:t xml:space="preserve"> </w:t>
      </w:r>
      <w:r>
        <w:t xml:space="preserve">“Gandalf’s Solution to the Newcomb Problem.”</w:t>
      </w:r>
      <w:r>
        <w:t xml:space="preserve"> </w:t>
      </w:r>
      <w:r>
        <w:rPr>
          <w:i/>
          <w:iCs/>
        </w:rPr>
        <w:t xml:space="preserve">Synthese</w:t>
      </w:r>
      <w:r>
        <w:t xml:space="preserve"> </w:t>
      </w:r>
      <w:r>
        <w:t xml:space="preserve">190 (14): 2643–75. doi:</w:t>
      </w:r>
      <w:r>
        <w:t xml:space="preserve"> </w:t>
      </w:r>
      <w:hyperlink r:id="rId74">
        <w:r>
          <w:rPr>
            <w:rStyle w:val="Hyperlink"/>
          </w:rPr>
          <w:t xml:space="preserve">10.1007/s11229-011-9900-1</w:t>
        </w:r>
      </w:hyperlink>
      <w:r>
        <w:t xml:space="preserve">.</w:t>
      </w:r>
    </w:p>
    <w:bookmarkEnd w:id="75"/>
    <w:bookmarkStart w:id="77" w:name="ref-Wells2019"/>
    <w:p>
      <w:pPr>
        <w:pStyle w:val="Bibliography"/>
      </w:pPr>
      <w:r>
        <w:t xml:space="preserve">Wells, Ian. 2019.</w:t>
      </w:r>
      <w:r>
        <w:t xml:space="preserve"> </w:t>
      </w:r>
      <w:r>
        <w:t xml:space="preserve">“Equal Opportunity and Newcomb’s Problem.”</w:t>
      </w:r>
      <w:r>
        <w:t xml:space="preserve"> </w:t>
      </w:r>
      <w:r>
        <w:rPr>
          <w:i/>
          <w:iCs/>
        </w:rPr>
        <w:t xml:space="preserve">Mind</w:t>
      </w:r>
      <w:r>
        <w:t xml:space="preserve"> </w:t>
      </w:r>
      <w:r>
        <w:t xml:space="preserve">128 (510): 429–57. doi:</w:t>
      </w:r>
      <w:r>
        <w:t xml:space="preserve"> </w:t>
      </w:r>
      <w:hyperlink r:id="rId76">
        <w:r>
          <w:rPr>
            <w:rStyle w:val="Hyperlink"/>
          </w:rPr>
          <w:t xml:space="preserve">10.1093/mind/fzx018</w:t>
        </w:r>
      </w:hyperlink>
      <w:r>
        <w:t xml:space="preserve">.</w:t>
      </w:r>
    </w:p>
    <w:bookmarkEnd w:id="77"/>
    <w:bookmarkEnd w:id="78"/>
    <w:bookmarkEnd w:id="79"/>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some versions of CDT. I think his case successfully shows that WAR arguments are no good, but not everyone is convinced.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move</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To be clear,</w:t>
      </w:r>
      <w:r>
        <w:t xml:space="preserve"> </w:t>
      </w:r>
      <w:r>
        <w:rPr>
          <w:i/>
          <w:iCs/>
        </w:rPr>
        <w:t xml:space="preserve">I</w:t>
      </w:r>
      <w:r>
        <w:t xml:space="preserve"> </w:t>
      </w:r>
      <w:r>
        <w:t xml:space="preserve">am taking this to be definitional of being a causal decision theory. I think this is a fairly standard usage outside of decision theory, but not all decision theorists go along with it.</w:t>
      </w:r>
    </w:p>
  </w:footnote>
  <w:footnote w:id="31">
    <w:p>
      <w:pPr>
        <w:pStyle w:val="FootnoteText"/>
      </w:pPr>
      <w:r>
        <w:rPr>
          <w:rStyle w:val="FootnoteReference"/>
        </w:rPr>
        <w:footnoteRef/>
      </w:r>
      <w:r>
        <w:t xml:space="preserve"> </w:t>
      </w:r>
      <w:r>
        <w:t xml:space="preserve">My description these four theories may seem surprising since they do not emphasise the comparison between</w:t>
      </w:r>
      <w:r>
        <w:t xml:space="preserve"> </w:t>
      </w:r>
      <w:r>
        <w:rPr>
          <w:i/>
          <w:iCs/>
        </w:rPr>
        <w:t xml:space="preserve">a</w:t>
      </w:r>
      <w:r>
        <w:t xml:space="preserve"> </w:t>
      </w:r>
      <w:r>
        <w:t xml:space="preserve">+ </w:t>
      </w:r>
      <w:r>
        <w:rPr>
          <w:i/>
          <w:iCs/>
        </w:rPr>
        <w:t xml:space="preserve">b</w:t>
      </w:r>
      <w:r>
        <w:t xml:space="preserve"> </w:t>
      </w:r>
      <w:r>
        <w:t xml:space="preserve">and</w:t>
      </w:r>
      <w:r>
        <w:t xml:space="preserve"> </w:t>
      </w:r>
      <w:r>
        <w:rPr>
          <w:i/>
          <w:iCs/>
        </w:rPr>
        <w:t xml:space="preserve">c</w:t>
      </w:r>
      <w:r>
        <w:t xml:space="preserve"> </w:t>
      </w:r>
      <w:r>
        <w:t xml:space="preserve">+ </w:t>
      </w:r>
      <w:r>
        <w:rPr>
          <w:i/>
          <w:iCs/>
        </w:rPr>
        <w:t xml:space="preserve">d</w:t>
      </w:r>
      <w:r>
        <w:t xml:space="preserve">, but rather the comparison between</w:t>
      </w:r>
      <w:r>
        <w:t xml:space="preserve"> </w:t>
      </w:r>
      <w:r>
        <w:rPr>
          <w:i/>
          <w:iCs/>
        </w:rPr>
        <w:t xml:space="preserve">a</w:t>
      </w:r>
      <w:r>
        <w:t xml:space="preserve"> </w:t>
      </w:r>
      <w:r>
        <w:t xml:space="preserve">- </w:t>
      </w:r>
      <w:r>
        <w:rPr>
          <w:i/>
          <w:iCs/>
        </w:rPr>
        <w:t xml:space="preserve">c</w:t>
      </w:r>
      <w:r>
        <w:t xml:space="preserve"> </w:t>
      </w:r>
      <w:r>
        <w:t xml:space="preserve">and</w:t>
      </w:r>
      <w:r>
        <w:t xml:space="preserve"> </w:t>
      </w:r>
      <w:r>
        <w:rPr>
          <w:i/>
          <w:iCs/>
        </w:rPr>
        <w:t xml:space="preserve">d</w:t>
      </w:r>
      <w:r>
        <w:t xml:space="preserve"> </w:t>
      </w:r>
      <w:r>
        <w:t xml:space="preserve">- </w:t>
      </w:r>
      <w:r>
        <w:rPr>
          <w:i/>
          <w:iCs/>
        </w:rPr>
        <w:t xml:space="preserve">b</w:t>
      </w:r>
      <w:r>
        <w:t xml:space="preserve">. This is just a notational variation, and I find my variant easier to use, if a little removed from the underlying philosophical motivation.</w:t>
      </w:r>
    </w:p>
  </w:footnote>
  <w:footnote w:id="32">
    <w:p>
      <w:pPr>
        <w:pStyle w:val="FootnoteText"/>
      </w:pPr>
      <w:r>
        <w:rPr>
          <w:rStyle w:val="FootnoteReference"/>
        </w:rPr>
        <w:footnoteRef/>
      </w:r>
      <w:r>
        <w:t xml:space="preserve"> </w:t>
      </w:r>
      <w:r>
        <w:t xml:space="preserve">Or possibly for an older theory like the one defended by</w:t>
      </w:r>
      <w:r>
        <w:t xml:space="preserve"> </w:t>
      </w:r>
      <w:r>
        <w:t xml:space="preserve">Gibbard and Harper (1978)</w:t>
      </w:r>
      <w:r>
        <w:t xml:space="preserve"> </w:t>
      </w:r>
      <w:r>
        <w:t xml:space="preserve">or the one defended by</w:t>
      </w:r>
      <w:r>
        <w:t xml:space="preserve"> </w:t>
      </w:r>
      <w:r>
        <w:t xml:space="preserve">Lewis (1981a)</w:t>
      </w:r>
    </w:p>
  </w:footnote>
  <w:footnote w:id="33">
    <w:p>
      <w:pPr>
        <w:pStyle w:val="FootnoteText"/>
      </w:pPr>
      <w:r>
        <w:rPr>
          <w:rStyle w:val="FootnoteReference"/>
        </w:rPr>
        <w:footnoteRef/>
      </w:r>
      <w:r>
        <w:t xml:space="preserve"> </w:t>
      </w:r>
      <w:r>
        <w:t xml:space="preserve">That is, the four outcomes at the top of</w:t>
      </w:r>
      <w:r>
        <w:t xml:space="preserve"> </w:t>
      </w:r>
      <w:hyperlink w:anchor="fig-second-anti-war">
        <w:r>
          <w:rPr>
            <w:rStyle w:val="Hyperlink"/>
          </w:rPr>
          <w:t xml:space="preserve">Figure 1</w:t>
        </w:r>
      </w:hyperlink>
      <w:r>
        <w:t xml:space="preserve">, or options 1, 2, 5, and 6 in</w:t>
      </w:r>
      <w:r>
        <w:t xml:space="preserve"> </w:t>
      </w:r>
      <w:hyperlink w:anchor="tbl-payoffs-demon-coin">
        <w:r>
          <w:rPr>
            <w:rStyle w:val="Hyperlink"/>
          </w:rPr>
          <w:t xml:space="preserve">Table 1</w:t>
        </w:r>
      </w:hyperlink>
      <w:r>
        <w:t xml:space="preserve">.</w:t>
      </w:r>
    </w:p>
  </w:footnote>
  <w:footnote w:id="34">
    <w:p>
      <w:pPr>
        <w:pStyle w:val="FootnoteText"/>
      </w:pPr>
      <w:r>
        <w:rPr>
          <w:rStyle w:val="FootnoteReference"/>
        </w:rPr>
        <w:footnoteRef/>
      </w:r>
      <w:r>
        <w:t xml:space="preserve"> </w:t>
      </w:r>
      <w:r>
        <w:t xml:space="preserve">As a referee points out, this doesn’t show that WAR arguments would give one a reason to</w:t>
      </w:r>
      <w:r>
        <w:t xml:space="preserve"> </w:t>
      </w:r>
      <w:r>
        <w:rPr>
          <w:i/>
          <w:iCs/>
        </w:rPr>
        <w:t xml:space="preserve">endorse</w:t>
      </w:r>
      <w:r>
        <w:t xml:space="preserve"> </w:t>
      </w:r>
      <w:r>
        <w:t xml:space="preserve">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37">
    <w:p>
      <w:pPr>
        <w:pStyle w:val="FootnoteText"/>
      </w:pPr>
      <w:r>
        <w:rPr>
          <w:rStyle w:val="FootnoteReference"/>
        </w:rPr>
        <w:footnoteRef/>
      </w:r>
      <w:r>
        <w:t xml:space="preserve"> </w:t>
      </w:r>
      <w:r>
        <w:t xml:space="preserve">Thanks to two very helpful reviewers for</w:t>
      </w:r>
      <w:r>
        <w:t xml:space="preserve"> </w:t>
      </w:r>
      <w:r>
        <w:rPr>
          <w:i/>
          <w:iCs/>
        </w:rPr>
        <w:t xml:space="preserve">Analysis</w:t>
      </w:r>
      <w:r>
        <w:t xml:space="preserve">,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4" w:val="fullPage"/>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A4323"/>
    <w:rsid w:val="000B4C7E"/>
    <w:rsid w:val="000C139D"/>
    <w:rsid w:val="000F28BE"/>
    <w:rsid w:val="001403B9"/>
    <w:rsid w:val="001D619D"/>
    <w:rsid w:val="00282616"/>
    <w:rsid w:val="002A2E48"/>
    <w:rsid w:val="002C0803"/>
    <w:rsid w:val="002D50BA"/>
    <w:rsid w:val="002F66ED"/>
    <w:rsid w:val="004213E1"/>
    <w:rsid w:val="00430106"/>
    <w:rsid w:val="00431377"/>
    <w:rsid w:val="00467CAE"/>
    <w:rsid w:val="00485C1D"/>
    <w:rsid w:val="004E29B3"/>
    <w:rsid w:val="00530EF5"/>
    <w:rsid w:val="00590D07"/>
    <w:rsid w:val="005A1531"/>
    <w:rsid w:val="006A097A"/>
    <w:rsid w:val="006C373E"/>
    <w:rsid w:val="007017E4"/>
    <w:rsid w:val="007030B0"/>
    <w:rsid w:val="00784D58"/>
    <w:rsid w:val="008D6863"/>
    <w:rsid w:val="00913774"/>
    <w:rsid w:val="00953943"/>
    <w:rsid w:val="00962B98"/>
    <w:rsid w:val="00965D42"/>
    <w:rsid w:val="00A43160"/>
    <w:rsid w:val="00B35687"/>
    <w:rsid w:val="00B86B75"/>
    <w:rsid w:val="00BB2056"/>
    <w:rsid w:val="00BC48D5"/>
    <w:rsid w:val="00C36279"/>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jpg" /><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4"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2"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6"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0"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8"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4"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2"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6"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0"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8"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Brian Weatherson</dc:creator>
  <cp:keywords/>
  <dcterms:created xsi:type="dcterms:W3CDTF">2024-10-31T17:23:52Z</dcterms:created>
  <dcterms:modified xsi:type="dcterms:W3CDTF">2024-10-31T17:23:52Z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war-on-war.bib</vt:lpwstr>
  </property>
  <property fmtid="{D5CDD505-2E9C-101B-9397-08002B2CF9AE}" pid="5" name="by-author">
    <vt:lpwstr/>
  </property>
  <property fmtid="{D5CDD505-2E9C-101B-9397-08002B2CF9AE}" pid="6" name="csl">
    <vt:lpwstr>../../quarto-articles/chicago-with-note.csl</vt:lpwstr>
  </property>
  <property fmtid="{D5CDD505-2E9C-101B-9397-08002B2CF9AE}" pid="7" name="date">
    <vt:lpwstr>2024-10-31</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