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Subtitle"/>
      </w:pPr>
      <w:r>
        <w:t xml:space="preserve">Fall 2026</w:t>
      </w:r>
    </w:p>
    <w:p>
      <w:pPr>
        <w:pStyle w:val="Author"/>
      </w:pPr>
      <w:r>
        <w:t xml:space="preserve">Brian Weatherson</w:t>
      </w:r>
    </w:p>
    <w:p>
      <w:pPr>
        <w:pStyle w:val="FirstParagraph"/>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Tuesday, 1.45-3.45pm, 2207 Angell Hall</w:t>
      </w:r>
      <w:r>
        <w:br/>
      </w:r>
      <w:r>
        <w:rPr>
          <w:b/>
          <w:bCs/>
        </w:rPr>
        <w:t xml:space="preserve">Lectures</w:t>
      </w:r>
      <w:r>
        <w:t xml:space="preserve">: Tuesday and Thursday, 9:00–9:50, Angell Hall, Auditorium C</w:t>
      </w:r>
      <w:r>
        <w:br/>
      </w:r>
      <w:r>
        <w:rPr>
          <w:b/>
          <w:bCs/>
        </w:rPr>
        <w:t xml:space="preserve">Discussion sections</w:t>
      </w:r>
      <w:r>
        <w:t xml:space="preserve">: Twice weekly, 50 minutes, times and rooms vary</w:t>
      </w:r>
      <w:r>
        <w:br/>
      </w:r>
      <w:r>
        <w:rPr>
          <w:b/>
          <w:bCs/>
        </w:rPr>
        <w:t xml:space="preserve">Web</w:t>
      </w:r>
      <w:r>
        <w:t xml:space="preserve">:</w:t>
      </w:r>
      <w:r>
        <w:t xml:space="preserve"> </w:t>
      </w:r>
      <w:hyperlink r:id="rId9">
        <w:r>
          <w:rPr>
            <w:rStyle w:val="Hyperlink"/>
          </w:rPr>
          <w:t xml:space="preserve">https://canvas.umich.edu</w:t>
        </w:r>
      </w:hyperlink>
      <w:r>
        <w:t xml:space="preserve"> </w:t>
      </w:r>
      <w:r>
        <w:t xml:space="preserve">and</w:t>
      </w:r>
      <w:r>
        <w:t xml:space="preserve"> </w:t>
      </w:r>
      <w:hyperlink r:id="rId10">
        <w:r>
          <w:rPr>
            <w:rStyle w:val="Hyperlink"/>
          </w:rPr>
          <w:t xml:space="preserve">https://bweatherson.github.io/F26-Phil101-site/</w:t>
        </w:r>
      </w:hyperlink>
    </w:p>
    <w:p>
      <w:pPr>
        <w:pStyle w:val="BodyText"/>
      </w:pPr>
      <w:r>
        <w:t xml:space="preserve"> </w:t>
      </w:r>
    </w:p>
    <w:bookmarkStart w:id="11"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is due before the sixth week.</w:t>
      </w:r>
    </w:p>
    <w:p>
      <w:pPr>
        <w:pStyle w:val="Compact"/>
        <w:numPr>
          <w:ilvl w:val="0"/>
          <w:numId w:val="1001"/>
        </w:numPr>
      </w:pPr>
      <w:r>
        <w:t xml:space="preserve">There is one essay, worth 25%, and it comes at the end of a sequence designed to teach you how to write it.</w:t>
      </w:r>
    </w:p>
    <w:bookmarkEnd w:id="11"/>
    <w:bookmarkStart w:id="12"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should not be made,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2"/>
    <w:bookmarkStart w:id="13"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3"/>
    <w:bookmarkStart w:id="14"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this is Short Answer 1, described below, and there will be other assessment tasks that your GSIs will discuss with you.</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you turn in.</w:t>
      </w:r>
    </w:p>
    <w:p>
      <w:pPr>
        <w:pStyle w:val="BodyText"/>
      </w:pPr>
      <w:r>
        <w:rPr>
          <w:b/>
          <w:bCs/>
        </w:rPr>
        <w:t xml:space="preserve">Short Answer 2.</w:t>
      </w:r>
      <w:r>
        <w:t xml:space="preserve"> </w:t>
      </w:r>
      <w:r>
        <w:t xml:space="preserve">Five questions on Lectures 10 to 12, done outside class time, and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4"/>
    <w:bookmarkStart w:id="15"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5"/>
    <w:bookmarkStart w:id="16" w:name="canvas"/>
    <w:p>
      <w:pPr>
        <w:pStyle w:val="Heading1"/>
      </w:pPr>
      <w:r>
        <w:t xml:space="preserve">Canvas</w:t>
      </w:r>
    </w:p>
    <w:p>
      <w:pPr>
        <w:pStyle w:val="FirstParagraph"/>
      </w:pPr>
      <w:r>
        <w:t xml:space="preserve">There is a Canvas site for this course at</w:t>
      </w:r>
      <w:r>
        <w:t xml:space="preserve"> </w:t>
      </w:r>
      <w:hyperlink r:id="rId9">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0">
        <w:r>
          <w:rPr>
            <w:rStyle w:val="Hyperlink"/>
          </w:rPr>
          <w:t xml:space="preserve">https://bweatherson.github.io/F26-Phil101-site/</w:t>
        </w:r>
      </w:hyperlink>
      <w:r>
        <w:t xml:space="preserve"> </w:t>
      </w:r>
      <w:r>
        <w:t xml:space="preserve">with the slides and other material.</w:t>
      </w:r>
    </w:p>
    <w:p>
      <w:r>
        <w:br w:type="page"/>
      </w:r>
    </w:p>
    <w:bookmarkEnd w:id="16"/>
    <w:bookmarkStart w:id="118"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19" w:name="week-1-getting-started"/>
    <w:p>
      <w:pPr>
        <w:pStyle w:val="Heading2"/>
      </w:pPr>
      <w:r>
        <w:t xml:space="preserve">Week 1: Getting Started</w:t>
      </w:r>
    </w:p>
    <w:bookmarkStart w:id="17"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17"/>
    <w:bookmarkStart w:id="18"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18"/>
    <w:bookmarkEnd w:id="19"/>
    <w:bookmarkStart w:id="25" w:name="week-2-risky-inference"/>
    <w:p>
      <w:pPr>
        <w:pStyle w:val="Heading2"/>
      </w:pPr>
      <w:r>
        <w:t xml:space="preserve">Week 2: Risky Inference</w:t>
      </w:r>
    </w:p>
    <w:bookmarkStart w:id="21" w:name="Xe8dbac2ce6f09e0f8f3df630dd51abf92cbc919"/>
    <w:p>
      <w:pPr>
        <w:pStyle w:val="Heading3"/>
      </w:pPr>
      <w:r>
        <w:t xml:space="preserve">Tuesday, September 08 (Lecture 3) — Two models of learning</w:t>
      </w:r>
    </w:p>
    <w:p>
      <w:pPr>
        <w:pStyle w:val="FirstParagraph"/>
      </w:pPr>
      <w:r>
        <w:rPr>
          <w:b/>
          <w:bCs/>
        </w:rPr>
        <w:t xml:space="preserve">Required</w:t>
      </w:r>
      <w:r>
        <w:t xml:space="preserve">: Arthur Conan Doyle,</w:t>
      </w:r>
      <w:r>
        <w:t xml:space="preserve"> </w:t>
      </w:r>
      <w:hyperlink r:id="rId20">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0">
        <w:r>
          <w:rPr>
            <w:rStyle w:val="Hyperlink"/>
          </w:rPr>
          <w:t xml:space="preserve">The rest of the story</w:t>
        </w:r>
      </w:hyperlink>
      <w:r>
        <w:t xml:space="preserve">.</w:t>
      </w:r>
    </w:p>
    <w:bookmarkEnd w:id="21"/>
    <w:bookmarkStart w:id="24"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2">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3">
        <w:r>
          <w:rPr>
            <w:rStyle w:val="Hyperlink"/>
          </w:rPr>
          <w:t xml:space="preserve">“Goodman’s New Riddle of Induction Explained in Words of One Syllable.”</w:t>
        </w:r>
      </w:hyperlink>
    </w:p>
    <w:bookmarkEnd w:id="24"/>
    <w:bookmarkEnd w:id="25"/>
    <w:bookmarkStart w:id="34" w:name="week-3-when-is-a-belief-rational"/>
    <w:p>
      <w:pPr>
        <w:pStyle w:val="Heading2"/>
      </w:pPr>
      <w:r>
        <w:t xml:space="preserve">Week 3: When Is a Belief Rational?</w:t>
      </w:r>
    </w:p>
    <w:bookmarkStart w:id="29" w:name="X8bf9754b4454d9a25c526a3257606ca9cd8773d"/>
    <w:p>
      <w:pPr>
        <w:pStyle w:val="Heading3"/>
      </w:pPr>
      <w:r>
        <w:t xml:space="preserve">Tuesday, September 15 (Lecture 5) — Epistemic foundations</w:t>
      </w:r>
    </w:p>
    <w:p>
      <w:pPr>
        <w:pStyle w:val="FirstParagraph"/>
      </w:pPr>
      <w:r>
        <w:rPr>
          <w:b/>
          <w:bCs/>
        </w:rPr>
        <w:t xml:space="preserve">Required</w:t>
      </w:r>
      <w:r>
        <w:t xml:space="preserve">: Todd R. Long,</w:t>
      </w:r>
      <w:r>
        <w:t xml:space="preserve"> </w:t>
      </w:r>
      <w:hyperlink r:id="rId26">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w:t>
      </w:r>
      <w:r>
        <w:t xml:space="preserve"> </w:t>
      </w:r>
      <w:hyperlink r:id="rId27">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28">
        <w:r>
          <w:rPr>
            <w:rStyle w:val="Hyperlink"/>
          </w:rPr>
          <w:t xml:space="preserve">“Foundationalism”</w:t>
        </w:r>
      </w:hyperlink>
      <w:r>
        <w:t xml:space="preserve">, IEP,</w:t>
      </w:r>
      <w:r>
        <w:t xml:space="preserve"> </w:t>
      </w:r>
      <w:r>
        <w:rPr>
          <w:b/>
          <w:bCs/>
        </w:rPr>
        <w:t xml:space="preserve">§§1–2</w:t>
      </w:r>
      <w:r>
        <w:t xml:space="preserve">.</w:t>
      </w:r>
    </w:p>
    <w:bookmarkEnd w:id="29"/>
    <w:bookmarkStart w:id="33"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0">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1">
        <w:r>
          <w:rPr>
            <w:rStyle w:val="Hyperlink"/>
          </w:rPr>
          <w:t xml:space="preserve">“Knowledge Does Not Protect Against Illusory Truth.”</w:t>
        </w:r>
      </w:hyperlink>
      <w:r>
        <w:t xml:space="preserve">, Nilanjan Das,</w:t>
      </w:r>
      <w:r>
        <w:t xml:space="preserve"> </w:t>
      </w:r>
      <w:hyperlink r:id="rId32">
        <w:r>
          <w:rPr>
            <w:rStyle w:val="Hyperlink"/>
          </w:rPr>
          <w:t xml:space="preserve">“Udayana on Learning through Memory,”</w:t>
        </w:r>
      </w:hyperlink>
      <w:r>
        <w:t xml:space="preserve"> </w:t>
      </w:r>
      <w:r>
        <w:rPr>
          <w:i/>
          <w:iCs/>
        </w:rPr>
        <w:t xml:space="preserve">Philosophy and Phenomenological Research</w:t>
      </w:r>
      <w:r>
        <w:t xml:space="preserve">. (Note you need to be on campus, or logged in through the library, for this one.)</w:t>
      </w:r>
    </w:p>
    <w:bookmarkEnd w:id="33"/>
    <w:bookmarkEnd w:id="34"/>
    <w:bookmarkStart w:id="41" w:name="week-4-believing-other-people"/>
    <w:p>
      <w:pPr>
        <w:pStyle w:val="Heading2"/>
      </w:pPr>
      <w:r>
        <w:t xml:space="preserve">Week 4: Believing Other People</w:t>
      </w:r>
    </w:p>
    <w:bookmarkStart w:id="37" w:name="X813e23e5bef85f722d5b7502a13816626449bf5"/>
    <w:p>
      <w:pPr>
        <w:pStyle w:val="Heading3"/>
      </w:pPr>
      <w:r>
        <w:t xml:space="preserve">Tuesday, September 22 (Lecture 7) — Is testimony a separate source?</w:t>
      </w:r>
    </w:p>
    <w:p>
      <w:pPr>
        <w:pStyle w:val="FirstParagraph"/>
      </w:pPr>
      <w:r>
        <w:rPr>
          <w:b/>
          <w:bCs/>
        </w:rPr>
        <w:t xml:space="preserve">Required</w:t>
      </w:r>
      <w:r>
        <w:t xml:space="preserve">: Dhirendra Mohan Datta,</w:t>
      </w:r>
      <w:r>
        <w:t xml:space="preserve"> </w:t>
      </w:r>
      <w:hyperlink r:id="rId35">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6">
        <w:r>
          <w:rPr>
            <w:rStyle w:val="Hyperlink"/>
          </w:rPr>
          <w:t xml:space="preserve">“Epistemic Vigilance,”</w:t>
        </w:r>
      </w:hyperlink>
      <w:r>
        <w:t xml:space="preserve"> </w:t>
      </w:r>
      <w:r>
        <w:rPr>
          <w:i/>
          <w:iCs/>
        </w:rPr>
        <w:t xml:space="preserve">Mind &amp; Language</w:t>
      </w:r>
      <w:r>
        <w:t xml:space="preserve"> </w:t>
      </w:r>
      <w:r>
        <w:t xml:space="preserve">25 (2010).</w:t>
      </w:r>
    </w:p>
    <w:bookmarkEnd w:id="37"/>
    <w:bookmarkStart w:id="40"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38">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39">
        <w:r>
          <w:rPr>
            <w:rStyle w:val="Hyperlink"/>
          </w:rPr>
          <w:t xml:space="preserve">“The Social Dimensions of Scientific Knowledge”</w:t>
        </w:r>
      </w:hyperlink>
      <w:r>
        <w:t xml:space="preserve">, SEP,</w:t>
      </w:r>
      <w:r>
        <w:t xml:space="preserve"> </w:t>
      </w:r>
      <w:r>
        <w:rPr>
          <w:b/>
          <w:bCs/>
        </w:rPr>
        <w:t xml:space="preserve">§2</w:t>
      </w:r>
      <w:r>
        <w:t xml:space="preserve">.</w:t>
      </w:r>
    </w:p>
    <w:bookmarkEnd w:id="40"/>
    <w:bookmarkEnd w:id="41"/>
    <w:bookmarkStart w:id="49" w:name="week-5-science-and-the-mind"/>
    <w:p>
      <w:pPr>
        <w:pStyle w:val="Heading2"/>
      </w:pPr>
      <w:r>
        <w:t xml:space="preserve">Week 5: Science, and the Mind</w:t>
      </w:r>
    </w:p>
    <w:bookmarkStart w:id="44" w:name="Xf44765c1fcea86a2394376c21e048eae4d225b4"/>
    <w:p>
      <w:pPr>
        <w:pStyle w:val="Heading3"/>
      </w:pPr>
      <w:r>
        <w:t xml:space="preserve">Tuesday, September 29 (Lecture 9) — Social trust</w:t>
      </w:r>
    </w:p>
    <w:p>
      <w:pPr>
        <w:pStyle w:val="FirstParagraph"/>
      </w:pPr>
      <w:r>
        <w:rPr>
          <w:b/>
          <w:bCs/>
        </w:rPr>
        <w:t xml:space="preserve">Required</w:t>
      </w:r>
      <w:r>
        <w:t xml:space="preserve">: C. Thi Nguyen,</w:t>
      </w:r>
      <w:r>
        <w:t xml:space="preserve"> </w:t>
      </w:r>
      <w:hyperlink r:id="rId42">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3">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r>
        <w:t xml:space="preserve"> </w:t>
      </w:r>
      <w:r>
        <w:t xml:space="preserve">(NOTE FOR GSIs; should I just post the questions earlier?)</w:t>
      </w:r>
    </w:p>
    <w:bookmarkEnd w:id="44"/>
    <w:bookmarkStart w:id="48"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5">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6">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7">
        <w:r>
          <w:rPr>
            <w:rStyle w:val="Hyperlink"/>
          </w:rPr>
          <w:t xml:space="preserve">“Sense-Data”</w:t>
        </w:r>
      </w:hyperlink>
      <w:r>
        <w:t xml:space="preserve">, IEP.</w:t>
      </w:r>
    </w:p>
    <w:bookmarkEnd w:id="48"/>
    <w:bookmarkEnd w:id="49"/>
    <w:bookmarkStart w:id="55" w:name="week-6-consciousness"/>
    <w:p>
      <w:pPr>
        <w:pStyle w:val="Heading2"/>
      </w:pPr>
      <w:r>
        <w:t xml:space="preserve">Week 6: Consciousness</w:t>
      </w:r>
    </w:p>
    <w:p>
      <w:pPr>
        <w:pStyle w:val="FirstParagraph"/>
      </w:pPr>
      <w:r>
        <w:rPr>
          <w:i/>
          <w:iCs/>
        </w:rPr>
        <w:t xml:space="preserve">Short Answer 1 is written in section this week.</w:t>
      </w:r>
    </w:p>
    <w:bookmarkStart w:id="51"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50">
        <w:r>
          <w:rPr>
            <w:rStyle w:val="Hyperlink"/>
          </w:rPr>
          <w:t xml:space="preserve">“What Is It Like to Be a Bat?”</w:t>
        </w:r>
      </w:hyperlink>
      <w:r>
        <w:t xml:space="preserve">. Note this is slightly more reading than most days in class.</w:t>
      </w:r>
    </w:p>
    <w:bookmarkEnd w:id="51"/>
    <w:bookmarkStart w:id="54"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2">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3">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4"/>
    <w:bookmarkEnd w:id="55"/>
    <w:bookmarkStart w:id="64" w:name="week-7-dualism"/>
    <w:p>
      <w:pPr>
        <w:pStyle w:val="Heading2"/>
      </w:pPr>
      <w:r>
        <w:t xml:space="preserve">Week 7: Dualism</w:t>
      </w:r>
    </w:p>
    <w:bookmarkStart w:id="60"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6">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7">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58">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59">
        <w:r>
          <w:rPr>
            <w:rStyle w:val="Hyperlink"/>
          </w:rPr>
          <w:t xml:space="preserve">Meditation VI</w:t>
        </w:r>
      </w:hyperlink>
      <w:r>
        <w:t xml:space="preserve">, translated by Jonathan Bennett.</w:t>
      </w:r>
    </w:p>
    <w:bookmarkEnd w:id="60"/>
    <w:bookmarkStart w:id="63"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58">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1">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2">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3"/>
    <w:bookmarkEnd w:id="64"/>
    <w:bookmarkStart w:id="70" w:name="week-8-consequentialism"/>
    <w:p>
      <w:pPr>
        <w:pStyle w:val="Heading2"/>
      </w:pPr>
      <w:r>
        <w:t xml:space="preserve">Week 8: Consequentialism</w:t>
      </w:r>
    </w:p>
    <w:p>
      <w:pPr>
        <w:pStyle w:val="FirstParagraph"/>
      </w:pPr>
      <w:r>
        <w:rPr>
          <w:i/>
          <w:iCs/>
        </w:rPr>
        <w:t xml:space="preserve">Short Answer 2 due Friday, October 23.</w:t>
      </w:r>
    </w:p>
    <w:bookmarkStart w:id="65" w:name="X96837ae1114282219fbf9d652d877050467c741"/>
    <w:p>
      <w:pPr>
        <w:pStyle w:val="Heading3"/>
      </w:pPr>
      <w:r>
        <w:t xml:space="preserve">Tuesday, October 20 — Fall Study Break, no class</w:t>
      </w:r>
    </w:p>
    <w:bookmarkEnd w:id="65"/>
    <w:bookmarkStart w:id="69"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6">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7">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68">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69"/>
    <w:bookmarkEnd w:id="70"/>
    <w:bookmarkStart w:id="78" w:name="week-9-deontology-and-trolleys"/>
    <w:p>
      <w:pPr>
        <w:pStyle w:val="Heading2"/>
      </w:pPr>
      <w:r>
        <w:t xml:space="preserve">Week 9: Deontology and Trolleys</w:t>
      </w:r>
    </w:p>
    <w:bookmarkStart w:id="74"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1">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2">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3">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4"/>
    <w:bookmarkStart w:id="77"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5">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6">
        <w:r>
          <w:rPr>
            <w:rStyle w:val="Hyperlink"/>
          </w:rPr>
          <w:t xml:space="preserve">“The Trolley Problem”</w:t>
        </w:r>
      </w:hyperlink>
      <w:r>
        <w:t xml:space="preserve">, sections I and II.</w:t>
      </w:r>
    </w:p>
    <w:bookmarkEnd w:id="77"/>
    <w:bookmarkEnd w:id="78"/>
    <w:bookmarkStart w:id="85" w:name="week-10-what-makes-a-life-go-well"/>
    <w:p>
      <w:pPr>
        <w:pStyle w:val="Heading2"/>
      </w:pPr>
      <w:r>
        <w:t xml:space="preserve">Week 10: What Makes a Life Go Well</w:t>
      </w:r>
    </w:p>
    <w:bookmarkStart w:id="81"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79">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80">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1"/>
    <w:bookmarkStart w:id="84"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3">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4"/>
    <w:bookmarkEnd w:id="85"/>
    <w:bookmarkStart w:id="92" w:name="week-11-desire-and-the-objective-list"/>
    <w:p>
      <w:pPr>
        <w:pStyle w:val="Heading2"/>
      </w:pPr>
      <w:r>
        <w:t xml:space="preserve">Week 11: Desire, and the Objective List</w:t>
      </w:r>
    </w:p>
    <w:bookmarkStart w:id="87"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6">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79">
        <w:r>
          <w:rPr>
            <w:rStyle w:val="Hyperlink"/>
          </w:rPr>
          <w:t xml:space="preserve">“Theories of Well-Being”</w:t>
        </w:r>
      </w:hyperlink>
      <w:r>
        <w:t xml:space="preserve">, the desire-theory section.</w:t>
      </w:r>
    </w:p>
    <w:bookmarkEnd w:id="87"/>
    <w:bookmarkStart w:id="91"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80">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88">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89">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90">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1"/>
    <w:bookmarkEnd w:id="92"/>
    <w:bookmarkStart w:id="101" w:name="week-12-the-self"/>
    <w:p>
      <w:pPr>
        <w:pStyle w:val="Heading2"/>
      </w:pPr>
      <w:r>
        <w:t xml:space="preserve">Week 12: The Self</w:t>
      </w:r>
    </w:p>
    <w:bookmarkStart w:id="96"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3">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4">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5">
        <w:r>
          <w:rPr>
            <w:rStyle w:val="Hyperlink"/>
          </w:rPr>
          <w:t xml:space="preserve">“Personal Identity: How We Exist Over Time”</w:t>
        </w:r>
      </w:hyperlink>
      <w:r>
        <w:t xml:space="preserve"> </w:t>
      </w:r>
      <w:r>
        <w:t xml:space="preserve">(1000-Word Philosophy).</w:t>
      </w:r>
    </w:p>
    <w:bookmarkEnd w:id="96"/>
    <w:bookmarkStart w:id="100"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7">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98">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99">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7">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100"/>
    <w:bookmarkEnd w:id="101"/>
    <w:bookmarkStart w:id="106" w:name="week-13-law"/>
    <w:p>
      <w:pPr>
        <w:pStyle w:val="Heading2"/>
      </w:pPr>
      <w:r>
        <w:t xml:space="preserve">Week 13: Law</w:t>
      </w:r>
    </w:p>
    <w:p>
      <w:pPr>
        <w:pStyle w:val="FirstParagraph"/>
      </w:pPr>
      <w:r>
        <w:rPr>
          <w:i/>
          <w:iCs/>
        </w:rPr>
        <w:t xml:space="preserve">Essay due Monday, November 23.</w:t>
      </w:r>
    </w:p>
    <w:bookmarkStart w:id="104"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2">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3">
        <w:r>
          <w:rPr>
            <w:rStyle w:val="Hyperlink"/>
            <w:i/>
            <w:iCs/>
          </w:rPr>
          <w:t xml:space="preserve">Crito</w:t>
        </w:r>
      </w:hyperlink>
      <w:r>
        <w:t xml:space="preserve">. (Jowett translation, Project Gutenberg)</w:t>
      </w:r>
    </w:p>
    <w:bookmarkEnd w:id="104"/>
    <w:bookmarkStart w:id="105" w:name="X1409287e655faaa706d560809809ecb7d412b48"/>
    <w:p>
      <w:pPr>
        <w:pStyle w:val="Heading3"/>
      </w:pPr>
      <w:r>
        <w:t xml:space="preserve">Thursday, November 26 — Thanksgiving recess, no class</w:t>
      </w:r>
    </w:p>
    <w:bookmarkEnd w:id="105"/>
    <w:bookmarkEnd w:id="106"/>
    <w:bookmarkStart w:id="113" w:name="week-14-punishment-and-speech"/>
    <w:p>
      <w:pPr>
        <w:pStyle w:val="Heading2"/>
      </w:pPr>
      <w:r>
        <w:t xml:space="preserve">Week 14: Punishment and Speech</w:t>
      </w:r>
    </w:p>
    <w:bookmarkStart w:id="109"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7">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08">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09"/>
    <w:bookmarkStart w:id="112"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10">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1">
        <w:r>
          <w:rPr>
            <w:rStyle w:val="Hyperlink"/>
            <w:i/>
            <w:iCs/>
          </w:rPr>
          <w:t xml:space="preserve">On Liberty</w:t>
        </w:r>
      </w:hyperlink>
      <w:r>
        <w:t xml:space="preserve">, extract from Chapter 2 on Canvas.</w:t>
      </w:r>
    </w:p>
    <w:bookmarkEnd w:id="112"/>
    <w:bookmarkEnd w:id="113"/>
    <w:bookmarkStart w:id="117" w:name="week-15-ending"/>
    <w:p>
      <w:pPr>
        <w:pStyle w:val="Heading2"/>
      </w:pPr>
      <w:r>
        <w:t xml:space="preserve">Week 15: Ending</w:t>
      </w:r>
    </w:p>
    <w:bookmarkStart w:id="115"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4">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5"/>
    <w:bookmarkStart w:id="116"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s://1000wordphilosophy.com/2014/02/10/personal-identity/" TargetMode="External" /><Relationship Type="http://schemas.openxmlformats.org/officeDocument/2006/relationships/hyperlink" Id="rId66" Target="https://1000wordphilosophy.com/2014/05/15/consequentialism/" TargetMode="External" /><Relationship Type="http://schemas.openxmlformats.org/officeDocument/2006/relationships/hyperlink" Id="rId71" Target="https://1000wordphilosophy.com/2014/06/09/introduction-to-deontology-kantian-ethics/" TargetMode="External" /><Relationship Type="http://schemas.openxmlformats.org/officeDocument/2006/relationships/hyperlink" Id="rId57" Target="https://1000wordphilosophy.com/2018/08/05/descartes-meditations-4-6/" TargetMode="External" /><Relationship Type="http://schemas.openxmlformats.org/officeDocument/2006/relationships/hyperlink" Id="rId107" Target="https://1000wordphilosophy.com/2019/02/05/theories-of-punishment/" TargetMode="External" /><Relationship Type="http://schemas.openxmlformats.org/officeDocument/2006/relationships/hyperlink" Id="rId52" Target="https://1000wordphilosophy.com/2019/10/05/the-knowledge-argument-against-physicalism/" TargetMode="External" /><Relationship Type="http://schemas.openxmlformats.org/officeDocument/2006/relationships/hyperlink" Id="rId110" Target="https://1000wordphilosophy.com/2021/02/04/free-speech/" TargetMode="External" /><Relationship Type="http://schemas.openxmlformats.org/officeDocument/2006/relationships/hyperlink" Id="rId93" Target="https://1000wordphilosophy.com/2022/02/03/psychological-approaches-to-personal-identity/" TargetMode="External" /><Relationship Type="http://schemas.openxmlformats.org/officeDocument/2006/relationships/hyperlink" Id="rId98" Target="https://1000wordphilosophy.com/2023/02/25/no-self/" TargetMode="External" /><Relationship Type="http://schemas.openxmlformats.org/officeDocument/2006/relationships/hyperlink" Id="rId75"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8" Target="https://1000wordphilosophy.com/2024/02/03/mind-body-problem/" TargetMode="External" /><Relationship Type="http://schemas.openxmlformats.org/officeDocument/2006/relationships/hyperlink" Id="rId89"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4" Target="https://aeon.co/ideas/how-do-we-pry-apart-the-true-and-compelling-from-the-false-and-toxic" TargetMode="External" /><Relationship Type="http://schemas.openxmlformats.org/officeDocument/2006/relationships/hyperlink" Id="rId56"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3"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1" Target="https://iep.utm.edu/identity/" TargetMode="External" /><Relationship Type="http://schemas.openxmlformats.org/officeDocument/2006/relationships/hyperlink" Id="rId47"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6"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8"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2" Target="https://plato.stanford.edu/entries/ethics-deontological/" TargetMode="External" /><Relationship Type="http://schemas.openxmlformats.org/officeDocument/2006/relationships/hyperlink" Id="rId108" Target="https://plato.stanford.edu/entries/legal-punishment/" TargetMode="External" /><Relationship Type="http://schemas.openxmlformats.org/officeDocument/2006/relationships/hyperlink" Id="rId99"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8" Target="https://plato.stanford.edu/entries/moral-animal/#MorConAni" TargetMode="External" /><Relationship Type="http://schemas.openxmlformats.org/officeDocument/2006/relationships/hyperlink" Id="rId46"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80" Target="https://plato.stanford.edu/entries/well-being/" TargetMode="External" /><Relationship Type="http://schemas.openxmlformats.org/officeDocument/2006/relationships/hyperlink" Id="rId86" Target="https://plato.stanford.edu/entries/well-being/#DesThe" TargetMode="External" /><Relationship Type="http://schemas.openxmlformats.org/officeDocument/2006/relationships/hyperlink" Id="rId82" Target="https://plato.stanford.edu/entries/well-being/#Hed" TargetMode="External" /><Relationship Type="http://schemas.openxmlformats.org/officeDocument/2006/relationships/hyperlink" Id="rId50" Target="https://rintintin.colorado.edu/~vancecd/phil201/Nagel.pdf" TargetMode="External" /><Relationship Type="http://schemas.openxmlformats.org/officeDocument/2006/relationships/hyperlink" Id="rId83" Target="https://rintintin.colorado.edu/~vancecd/phil3160/Nozick1.pdf" TargetMode="External" /><Relationship Type="http://schemas.openxmlformats.org/officeDocument/2006/relationships/hyperlink" Id="rId94" Target="https://rintintin.colorado.edu/~vancecd/phil375/Parfit.pdf" TargetMode="External" /><Relationship Type="http://schemas.openxmlformats.org/officeDocument/2006/relationships/hyperlink" Id="rId67"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90"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9" Target="https://www.earlymoderntexts.com/assets/pdfs/descartes1641.pdf" TargetMode="External" /><Relationship Type="http://schemas.openxmlformats.org/officeDocument/2006/relationships/hyperlink" Id="rId62" Target="https://www.earlymoderntexts.com/assets/pdfs/descartes1643_1.pdf" TargetMode="External" /><Relationship Type="http://schemas.openxmlformats.org/officeDocument/2006/relationships/hyperlink" Id="rId73" Target="https://www.earlymoderntexts.com/assets/pdfs/kant1785.pdf" TargetMode="External" /><Relationship Type="http://schemas.openxmlformats.org/officeDocument/2006/relationships/hyperlink" Id="rId97"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3" Target="https://www.gutenberg.org/files/1657/1657-h/1657-h.htm" TargetMode="External" /><Relationship Type="http://schemas.openxmlformats.org/officeDocument/2006/relationships/hyperlink" Id="rId111" Target="https://www.gutenberg.org/files/34901/34901-h/34901-h.htm" TargetMode="External" /><Relationship Type="http://schemas.openxmlformats.org/officeDocument/2006/relationships/hyperlink" Id="rId45"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2" Target="https://www.protevi.com/john/FH/PDF/Crito.pdf" TargetMode="External" /><Relationship Type="http://schemas.openxmlformats.org/officeDocument/2006/relationships/hyperlink" Id="rId79"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5" Target="https://1000wordphilosophy.com/2014/02/10/personal-identity/" TargetMode="External" /><Relationship Type="http://schemas.openxmlformats.org/officeDocument/2006/relationships/hyperlink" Id="rId66" Target="https://1000wordphilosophy.com/2014/05/15/consequentialism/" TargetMode="External" /><Relationship Type="http://schemas.openxmlformats.org/officeDocument/2006/relationships/hyperlink" Id="rId71" Target="https://1000wordphilosophy.com/2014/06/09/introduction-to-deontology-kantian-ethics/" TargetMode="External" /><Relationship Type="http://schemas.openxmlformats.org/officeDocument/2006/relationships/hyperlink" Id="rId57" Target="https://1000wordphilosophy.com/2018/08/05/descartes-meditations-4-6/" TargetMode="External" /><Relationship Type="http://schemas.openxmlformats.org/officeDocument/2006/relationships/hyperlink" Id="rId107" Target="https://1000wordphilosophy.com/2019/02/05/theories-of-punishment/" TargetMode="External" /><Relationship Type="http://schemas.openxmlformats.org/officeDocument/2006/relationships/hyperlink" Id="rId52" Target="https://1000wordphilosophy.com/2019/10/05/the-knowledge-argument-against-physicalism/" TargetMode="External" /><Relationship Type="http://schemas.openxmlformats.org/officeDocument/2006/relationships/hyperlink" Id="rId110" Target="https://1000wordphilosophy.com/2021/02/04/free-speech/" TargetMode="External" /><Relationship Type="http://schemas.openxmlformats.org/officeDocument/2006/relationships/hyperlink" Id="rId93" Target="https://1000wordphilosophy.com/2022/02/03/psychological-approaches-to-personal-identity/" TargetMode="External" /><Relationship Type="http://schemas.openxmlformats.org/officeDocument/2006/relationships/hyperlink" Id="rId98" Target="https://1000wordphilosophy.com/2023/02/25/no-self/" TargetMode="External" /><Relationship Type="http://schemas.openxmlformats.org/officeDocument/2006/relationships/hyperlink" Id="rId75"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8" Target="https://1000wordphilosophy.com/2024/02/03/mind-body-problem/" TargetMode="External" /><Relationship Type="http://schemas.openxmlformats.org/officeDocument/2006/relationships/hyperlink" Id="rId89"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4" Target="https://aeon.co/ideas/how-do-we-pry-apart-the-true-and-compelling-from-the-false-and-toxic" TargetMode="External" /><Relationship Type="http://schemas.openxmlformats.org/officeDocument/2006/relationships/hyperlink" Id="rId56"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3"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1" Target="https://iep.utm.edu/identity/" TargetMode="External" /><Relationship Type="http://schemas.openxmlformats.org/officeDocument/2006/relationships/hyperlink" Id="rId47"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6"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8"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2" Target="https://plato.stanford.edu/entries/ethics-deontological/" TargetMode="External" /><Relationship Type="http://schemas.openxmlformats.org/officeDocument/2006/relationships/hyperlink" Id="rId108" Target="https://plato.stanford.edu/entries/legal-punishment/" TargetMode="External" /><Relationship Type="http://schemas.openxmlformats.org/officeDocument/2006/relationships/hyperlink" Id="rId99"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8" Target="https://plato.stanford.edu/entries/moral-animal/#MorConAni" TargetMode="External" /><Relationship Type="http://schemas.openxmlformats.org/officeDocument/2006/relationships/hyperlink" Id="rId46"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80" Target="https://plato.stanford.edu/entries/well-being/" TargetMode="External" /><Relationship Type="http://schemas.openxmlformats.org/officeDocument/2006/relationships/hyperlink" Id="rId86" Target="https://plato.stanford.edu/entries/well-being/#DesThe" TargetMode="External" /><Relationship Type="http://schemas.openxmlformats.org/officeDocument/2006/relationships/hyperlink" Id="rId82" Target="https://plato.stanford.edu/entries/well-being/#Hed" TargetMode="External" /><Relationship Type="http://schemas.openxmlformats.org/officeDocument/2006/relationships/hyperlink" Id="rId50" Target="https://rintintin.colorado.edu/~vancecd/phil201/Nagel.pdf" TargetMode="External" /><Relationship Type="http://schemas.openxmlformats.org/officeDocument/2006/relationships/hyperlink" Id="rId83" Target="https://rintintin.colorado.edu/~vancecd/phil3160/Nozick1.pdf" TargetMode="External" /><Relationship Type="http://schemas.openxmlformats.org/officeDocument/2006/relationships/hyperlink" Id="rId94" Target="https://rintintin.colorado.edu/~vancecd/phil375/Parfit.pdf" TargetMode="External" /><Relationship Type="http://schemas.openxmlformats.org/officeDocument/2006/relationships/hyperlink" Id="rId67"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90"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9" Target="https://www.earlymoderntexts.com/assets/pdfs/descartes1641.pdf" TargetMode="External" /><Relationship Type="http://schemas.openxmlformats.org/officeDocument/2006/relationships/hyperlink" Id="rId62" Target="https://www.earlymoderntexts.com/assets/pdfs/descartes1643_1.pdf" TargetMode="External" /><Relationship Type="http://schemas.openxmlformats.org/officeDocument/2006/relationships/hyperlink" Id="rId73" Target="https://www.earlymoderntexts.com/assets/pdfs/kant1785.pdf" TargetMode="External" /><Relationship Type="http://schemas.openxmlformats.org/officeDocument/2006/relationships/hyperlink" Id="rId97"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3" Target="https://www.gutenberg.org/files/1657/1657-h/1657-h.htm" TargetMode="External" /><Relationship Type="http://schemas.openxmlformats.org/officeDocument/2006/relationships/hyperlink" Id="rId111" Target="https://www.gutenberg.org/files/34901/34901-h/34901-h.htm" TargetMode="External" /><Relationship Type="http://schemas.openxmlformats.org/officeDocument/2006/relationships/hyperlink" Id="rId45"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2" Target="https://www.protevi.com/john/FH/PDF/Crito.pdf" TargetMode="External" /><Relationship Type="http://schemas.openxmlformats.org/officeDocument/2006/relationships/hyperlink" Id="rId79"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2026-09-06T19:02:56Z</dcterms:created>
  <dcterms:modified xsi:type="dcterms:W3CDTF">2026-09-06T19:02:56Z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Fall 2026</vt:lpwstr>
  </property>
  <property fmtid="{D5CDD505-2E9C-101B-9397-08002B2CF9AE}" pid="10" name="toc-title">
    <vt:lpwstr>Table of contents</vt:lpwstr>
  </property>
</Properties>
</file>