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Subtitle"/>
      </w:pPr>
      <w:r>
        <w:t xml:space="preserve">Fall 2026</w:t>
      </w:r>
    </w:p>
    <w:p>
      <w:pPr>
        <w:pStyle w:val="Author"/>
      </w:pPr>
      <w:r>
        <w:t xml:space="preserve">Brian Weatherson</w:t>
      </w:r>
    </w:p>
    <w:p>
      <w:pPr>
        <w:pStyle w:val="FirstParagraph"/>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Tuesday, 1.45-3.45pm, 2207 Angell Hall</w:t>
      </w:r>
      <w:r>
        <w:br/>
      </w:r>
      <w:r>
        <w:rPr>
          <w:b/>
          <w:bCs/>
        </w:rPr>
        <w:t xml:space="preserve">Lectures</w:t>
      </w:r>
      <w:r>
        <w:t xml:space="preserve">: Tuesday and Thursday, 9:00–9:50, Angell Hall, Auditorium C</w:t>
      </w:r>
      <w:r>
        <w:br/>
      </w:r>
      <w:r>
        <w:rPr>
          <w:b/>
          <w:bCs/>
        </w:rPr>
        <w:t xml:space="preserve">Discussion sections</w:t>
      </w:r>
      <w:r>
        <w:t xml:space="preserve">: Twice weekly, 50 minutes, times and rooms vary</w:t>
      </w:r>
      <w:r>
        <w:br/>
      </w:r>
      <w:r>
        <w:rPr>
          <w:b/>
          <w:bCs/>
        </w:rPr>
        <w:t xml:space="preserve">Web</w:t>
      </w:r>
      <w:r>
        <w:t xml:space="preserve">:</w:t>
      </w:r>
      <w:r>
        <w:t xml:space="preserve"> </w:t>
      </w:r>
      <w:hyperlink r:id="rId9">
        <w:r>
          <w:rPr>
            <w:rStyle w:val="Hyperlink"/>
          </w:rPr>
          <w:t xml:space="preserve">https://canvas.umich.edu</w:t>
        </w:r>
      </w:hyperlink>
      <w:r>
        <w:t xml:space="preserve"> </w:t>
      </w:r>
      <w:r>
        <w:t xml:space="preserve">and</w:t>
      </w:r>
      <w:r>
        <w:t xml:space="preserve"> </w:t>
      </w:r>
      <w:hyperlink r:id="rId10">
        <w:r>
          <w:rPr>
            <w:rStyle w:val="Hyperlink"/>
          </w:rPr>
          <w:t xml:space="preserve">https://bweatherson.github.io/F26-Phil101-site/</w:t>
        </w:r>
      </w:hyperlink>
    </w:p>
    <w:p>
      <w:pPr>
        <w:pStyle w:val="BodyText"/>
      </w:pPr>
      <w:r>
        <w:t xml:space="preserve"> </w:t>
      </w:r>
    </w:p>
    <w:bookmarkStart w:id="11"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is due before the sixth week.</w:t>
      </w:r>
    </w:p>
    <w:p>
      <w:pPr>
        <w:pStyle w:val="Compact"/>
        <w:numPr>
          <w:ilvl w:val="0"/>
          <w:numId w:val="1001"/>
        </w:numPr>
      </w:pPr>
      <w:r>
        <w:t xml:space="preserve">There is one essay, worth 25%, and it comes at the end of a sequence designed to teach you how to write it.</w:t>
      </w:r>
    </w:p>
    <w:bookmarkEnd w:id="11"/>
    <w:bookmarkStart w:id="12"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should not be made,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2"/>
    <w:bookmarkStart w:id="13"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(about 10-15 pages of a normal book), though there are a couple of heavier days.</w:t>
      </w:r>
    </w:p>
    <w:p>
      <w:pPr>
        <w:pStyle w:val="BodyText"/>
      </w:pPr>
      <w:r>
        <w:t xml:space="preserve">You will need an iClicker or the iClicker app for this course, since reading quizzes are answered in lecture. Details will be on Canvas before the first class.</w:t>
      </w:r>
    </w:p>
    <w:bookmarkEnd w:id="13"/>
    <w:bookmarkStart w:id="14"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this is Short Answer 1, described below, and there will be other assessment tasks that your GSIs will discuss with you.</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you turn in.</w:t>
      </w:r>
    </w:p>
    <w:p>
      <w:pPr>
        <w:pStyle w:val="BodyText"/>
      </w:pPr>
      <w:r>
        <w:rPr>
          <w:b/>
          <w:bCs/>
        </w:rPr>
        <w:t xml:space="preserve">Short Answer 2.</w:t>
      </w:r>
      <w:r>
        <w:t xml:space="preserve"> </w:t>
      </w:r>
      <w:r>
        <w:t xml:space="preserve">Five questions on Lectures 10 to 12, done outside class time, and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should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be on the last part of the course, since there is no work to turn in from that part. It will be a mix of short-answer and multiple-choice.</w:t>
      </w:r>
    </w:p>
    <w:bookmarkEnd w:id="14"/>
    <w:bookmarkStart w:id="15"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in)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5"/>
    <w:bookmarkStart w:id="16" w:name="canvas"/>
    <w:p>
      <w:pPr>
        <w:pStyle w:val="Heading1"/>
      </w:pPr>
      <w:r>
        <w:t xml:space="preserve">Canvas</w:t>
      </w:r>
    </w:p>
    <w:p>
      <w:pPr>
        <w:pStyle w:val="FirstParagraph"/>
      </w:pPr>
      <w:r>
        <w:t xml:space="preserve">There is a Canvas site for this course at</w:t>
      </w:r>
      <w:r>
        <w:t xml:space="preserve"> </w:t>
      </w:r>
      <w:hyperlink r:id="rId9">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0">
        <w:r>
          <w:rPr>
            <w:rStyle w:val="Hyperlink"/>
          </w:rPr>
          <w:t xml:space="preserve">https://bweatherson.github.io/F26-Phil101-site/</w:t>
        </w:r>
      </w:hyperlink>
      <w:r>
        <w:t xml:space="preserve"> </w:t>
      </w:r>
      <w:r>
        <w:t xml:space="preserve">with the slides and other material.</w:t>
      </w:r>
    </w:p>
    <w:p>
      <w:r>
        <w:br w:type="page"/>
      </w:r>
    </w:p>
    <w:bookmarkEnd w:id="16"/>
    <w:bookmarkStart w:id="117"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19" w:name="week-1-getting-started"/>
    <w:p>
      <w:pPr>
        <w:pStyle w:val="Heading2"/>
      </w:pPr>
      <w:r>
        <w:t xml:space="preserve">Week 1: Getting Started</w:t>
      </w:r>
    </w:p>
    <w:bookmarkStart w:id="17"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17"/>
    <w:bookmarkStart w:id="18"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18"/>
    <w:bookmarkEnd w:id="19"/>
    <w:bookmarkStart w:id="25" w:name="week-2-risky-inference"/>
    <w:p>
      <w:pPr>
        <w:pStyle w:val="Heading2"/>
      </w:pPr>
      <w:r>
        <w:t xml:space="preserve">Week 2: Risky Inference</w:t>
      </w:r>
    </w:p>
    <w:bookmarkStart w:id="21" w:name="Xe8dbac2ce6f09e0f8f3df630dd51abf92cbc919"/>
    <w:p>
      <w:pPr>
        <w:pStyle w:val="Heading3"/>
      </w:pPr>
      <w:r>
        <w:t xml:space="preserve">Tuesday, September 08 (Lecture 3) — Two models of learning</w:t>
      </w:r>
    </w:p>
    <w:p>
      <w:pPr>
        <w:pStyle w:val="FirstParagraph"/>
      </w:pPr>
      <w:r>
        <w:rPr>
          <w:b/>
          <w:bCs/>
        </w:rPr>
        <w:t xml:space="preserve">Required</w:t>
      </w:r>
      <w:r>
        <w:t xml:space="preserve">: Arthur Conan Doyle,</w:t>
      </w:r>
      <w:r>
        <w:t xml:space="preserve"> </w:t>
      </w:r>
      <w:hyperlink r:id="rId20">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r>
        <w:br/>
      </w:r>
      <w:r>
        <w:rPr>
          <w:b/>
          <w:bCs/>
        </w:rPr>
        <w:t xml:space="preserve">Recommended</w:t>
      </w:r>
      <w:r>
        <w:t xml:space="preserve">:</w:t>
      </w:r>
      <w:r>
        <w:t xml:space="preserve"> </w:t>
      </w:r>
      <w:hyperlink r:id="rId20">
        <w:r>
          <w:rPr>
            <w:rStyle w:val="Hyperlink"/>
          </w:rPr>
          <w:t xml:space="preserve">The rest of the story</w:t>
        </w:r>
      </w:hyperlink>
      <w:r>
        <w:t xml:space="preserve">.</w:t>
      </w:r>
    </w:p>
    <w:bookmarkEnd w:id="21"/>
    <w:bookmarkStart w:id="24"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2">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r>
        <w:br/>
      </w:r>
      <w:r>
        <w:rPr>
          <w:b/>
          <w:bCs/>
        </w:rPr>
        <w:t xml:space="preserve">Recommended</w:t>
      </w:r>
      <w:r>
        <w:t xml:space="preserve">: Sven Neth,</w:t>
      </w:r>
      <w:r>
        <w:t xml:space="preserve"> </w:t>
      </w:r>
      <w:hyperlink r:id="rId23">
        <w:r>
          <w:rPr>
            <w:rStyle w:val="Hyperlink"/>
          </w:rPr>
          <w:t xml:space="preserve">“Goodman’s New Riddle of Induction Explained in Words of One Syllable.”</w:t>
        </w:r>
      </w:hyperlink>
    </w:p>
    <w:bookmarkEnd w:id="24"/>
    <w:bookmarkEnd w:id="25"/>
    <w:bookmarkStart w:id="34" w:name="week-3-when-is-a-belief-rational"/>
    <w:p>
      <w:pPr>
        <w:pStyle w:val="Heading2"/>
      </w:pPr>
      <w:r>
        <w:t xml:space="preserve">Week 3: When Is a Belief Rational?</w:t>
      </w:r>
    </w:p>
    <w:bookmarkStart w:id="29" w:name="X8bf9754b4454d9a25c526a3257606ca9cd8773d"/>
    <w:p>
      <w:pPr>
        <w:pStyle w:val="Heading3"/>
      </w:pPr>
      <w:r>
        <w:t xml:space="preserve">Tuesday, September 15 (Lecture 5) — Epistemic foundations</w:t>
      </w:r>
    </w:p>
    <w:p>
      <w:pPr>
        <w:pStyle w:val="FirstParagraph"/>
      </w:pPr>
      <w:r>
        <w:rPr>
          <w:b/>
          <w:bCs/>
        </w:rPr>
        <w:t xml:space="preserve">Required</w:t>
      </w:r>
      <w:r>
        <w:t xml:space="preserve">: Todd R. Long,</w:t>
      </w:r>
      <w:r>
        <w:t xml:space="preserve"> </w:t>
      </w:r>
      <w:hyperlink r:id="rId26">
        <w:r>
          <w:rPr>
            <w:rStyle w:val="Hyperlink"/>
          </w:rPr>
          <w:t xml:space="preserve">“Epistemic Justification: What is Rational Belief?”</w:t>
        </w:r>
      </w:hyperlink>
      <w:r>
        <w:t xml:space="preserve"> </w:t>
      </w:r>
      <w:r>
        <w:t xml:space="preserve">(1000-Word Philosophy).</w:t>
      </w:r>
      <w:r>
        <w:br/>
      </w:r>
      <w:r>
        <w:rPr>
          <w:b/>
          <w:bCs/>
        </w:rPr>
        <w:t xml:space="preserve">Required</w:t>
      </w:r>
      <w:r>
        <w:t xml:space="preserve">: Stephen Phillips and Anand Vaidya,</w:t>
      </w:r>
      <w:r>
        <w:t xml:space="preserve"> </w:t>
      </w:r>
      <w:hyperlink r:id="rId27">
        <w:r>
          <w:rPr>
            <w:rStyle w:val="Hyperlink"/>
          </w:rPr>
          <w:t xml:space="preserve">“Epistemology in Classical Indian Philosophy”</w:t>
        </w:r>
      </w:hyperlink>
      <w:r>
        <w:t xml:space="preserve">, SEP,</w:t>
      </w:r>
      <w:r>
        <w:t xml:space="preserve"> </w:t>
      </w:r>
      <w:r>
        <w:rPr>
          <w:b/>
          <w:bCs/>
        </w:rPr>
        <w:t xml:space="preserve">§1.1</w:t>
      </w:r>
      <w:r>
        <w:t xml:space="preserve">.</w:t>
      </w:r>
      <w:r>
        <w:br/>
      </w:r>
      <w:r>
        <w:rPr>
          <w:b/>
          <w:bCs/>
        </w:rPr>
        <w:t xml:space="preserve">Recommended</w:t>
      </w:r>
      <w:r>
        <w:t xml:space="preserve">: Ted Poston,</w:t>
      </w:r>
      <w:r>
        <w:t xml:space="preserve"> </w:t>
      </w:r>
      <w:hyperlink r:id="rId28">
        <w:r>
          <w:rPr>
            <w:rStyle w:val="Hyperlink"/>
          </w:rPr>
          <w:t xml:space="preserve">“Foundationalism”</w:t>
        </w:r>
      </w:hyperlink>
      <w:r>
        <w:t xml:space="preserve">, IEP,</w:t>
      </w:r>
      <w:r>
        <w:t xml:space="preserve"> </w:t>
      </w:r>
      <w:r>
        <w:rPr>
          <w:b/>
          <w:bCs/>
        </w:rPr>
        <w:t xml:space="preserve">§§1–2</w:t>
      </w:r>
      <w:r>
        <w:t xml:space="preserve">.</w:t>
      </w:r>
    </w:p>
    <w:bookmarkEnd w:id="29"/>
    <w:bookmarkStart w:id="33"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Matthew Frise,</w:t>
      </w:r>
      <w:r>
        <w:t xml:space="preserve"> </w:t>
      </w:r>
      <w:hyperlink r:id="rId30">
        <w:r>
          <w:rPr>
            <w:rStyle w:val="Hyperlink"/>
          </w:rPr>
          <w:t xml:space="preserve">“Epistemological Problems of Memory”</w:t>
        </w:r>
      </w:hyperlink>
      <w:r>
        <w:t xml:space="preserve">, SEP,</w:t>
      </w:r>
      <w:r>
        <w:t xml:space="preserve"> </w:t>
      </w:r>
      <w:r>
        <w:rPr>
          <w:b/>
          <w:bCs/>
        </w:rPr>
        <w:t xml:space="preserve">§2.4</w:t>
      </w:r>
      <w:r>
        <w:t xml:space="preserve">.</w:t>
      </w:r>
      <w:r>
        <w:br/>
      </w:r>
      <w:r>
        <w:rPr>
          <w:b/>
          <w:bCs/>
        </w:rPr>
        <w:t xml:space="preserve">Recommended</w:t>
      </w:r>
      <w:r>
        <w:t xml:space="preserve">: Lisa K. Fazio et al.,</w:t>
      </w:r>
      <w:r>
        <w:t xml:space="preserve"> </w:t>
      </w:r>
      <w:hyperlink r:id="rId31">
        <w:r>
          <w:rPr>
            <w:rStyle w:val="Hyperlink"/>
          </w:rPr>
          <w:t xml:space="preserve">“Knowledge Does Not Protect Against Illusory Truth.”</w:t>
        </w:r>
      </w:hyperlink>
      <w:r>
        <w:t xml:space="preserve">, Nilanjan Das,</w:t>
      </w:r>
      <w:r>
        <w:t xml:space="preserve"> </w:t>
      </w:r>
      <w:hyperlink r:id="rId32">
        <w:r>
          <w:rPr>
            <w:rStyle w:val="Hyperlink"/>
          </w:rPr>
          <w:t xml:space="preserve">“Udayana on Learning through Memory,”</w:t>
        </w:r>
      </w:hyperlink>
      <w:r>
        <w:t xml:space="preserve"> </w:t>
      </w:r>
      <w:r>
        <w:rPr>
          <w:i/>
          <w:iCs/>
        </w:rPr>
        <w:t xml:space="preserve">Philosophy and Phenomenological Research</w:t>
      </w:r>
      <w:r>
        <w:t xml:space="preserve">. (Note you need to be on campus, or logged in through the library, for this one.)</w:t>
      </w:r>
    </w:p>
    <w:bookmarkEnd w:id="33"/>
    <w:bookmarkEnd w:id="34"/>
    <w:bookmarkStart w:id="41" w:name="week-4-believing-other-people"/>
    <w:p>
      <w:pPr>
        <w:pStyle w:val="Heading2"/>
      </w:pPr>
      <w:r>
        <w:t xml:space="preserve">Week 4: Believing Other People</w:t>
      </w:r>
    </w:p>
    <w:bookmarkStart w:id="37" w:name="X813e23e5bef85f722d5b7502a13816626449bf5"/>
    <w:p>
      <w:pPr>
        <w:pStyle w:val="Heading3"/>
      </w:pPr>
      <w:r>
        <w:t xml:space="preserve">Tuesday, September 22 (Lecture 7) — Is testimony a separate source?</w:t>
      </w:r>
    </w:p>
    <w:p>
      <w:pPr>
        <w:pStyle w:val="FirstParagraph"/>
      </w:pPr>
      <w:r>
        <w:rPr>
          <w:b/>
          <w:bCs/>
        </w:rPr>
        <w:t xml:space="preserve">Required</w:t>
      </w:r>
      <w:r>
        <w:t xml:space="preserve">: Dhirendra Mohan Datta,</w:t>
      </w:r>
      <w:r>
        <w:t xml:space="preserve"> </w:t>
      </w:r>
      <w:hyperlink r:id="rId35">
        <w:r>
          <w:rPr>
            <w:rStyle w:val="Hyperlink"/>
          </w:rPr>
          <w:t xml:space="preserve">“Testimony as a Method of Knowledge,”</w:t>
        </w:r>
      </w:hyperlink>
      <w:r>
        <w:t xml:space="preserve"> </w:t>
      </w:r>
      <w:r>
        <w:rPr>
          <w:i/>
          <w:iCs/>
        </w:rPr>
        <w:t xml:space="preserve">Mind</w:t>
      </w:r>
      <w:r>
        <w:t xml:space="preserve"> </w:t>
      </w:r>
      <w:r>
        <w:t xml:space="preserve">36 (1927): 354–358. (Note you need to be on campus, or have a JSTOR account, for this one.)</w:t>
      </w:r>
      <w:r>
        <w:br/>
      </w:r>
      <w:r>
        <w:rPr>
          <w:b/>
          <w:bCs/>
        </w:rPr>
        <w:t xml:space="preserve">Recommended</w:t>
      </w:r>
      <w:r>
        <w:t xml:space="preserve">: Dan Sperber et al.,</w:t>
      </w:r>
      <w:r>
        <w:t xml:space="preserve"> </w:t>
      </w:r>
      <w:hyperlink r:id="rId36">
        <w:r>
          <w:rPr>
            <w:rStyle w:val="Hyperlink"/>
          </w:rPr>
          <w:t xml:space="preserve">“Epistemic Vigilance,”</w:t>
        </w:r>
      </w:hyperlink>
      <w:r>
        <w:t xml:space="preserve"> </w:t>
      </w:r>
      <w:r>
        <w:rPr>
          <w:i/>
          <w:iCs/>
        </w:rPr>
        <w:t xml:space="preserve">Mind &amp; Language</w:t>
      </w:r>
      <w:r>
        <w:t xml:space="preserve"> </w:t>
      </w:r>
      <w:r>
        <w:t xml:space="preserve">25 (2010).</w:t>
      </w:r>
    </w:p>
    <w:bookmarkEnd w:id="37"/>
    <w:bookmarkStart w:id="40"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38">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r>
        <w:br/>
      </w:r>
      <w:r>
        <w:rPr>
          <w:b/>
          <w:bCs/>
        </w:rPr>
        <w:t xml:space="preserve">Recommended</w:t>
      </w:r>
      <w:r>
        <w:t xml:space="preserve">: Helen Longino,</w:t>
      </w:r>
      <w:r>
        <w:t xml:space="preserve"> </w:t>
      </w:r>
      <w:hyperlink r:id="rId39">
        <w:r>
          <w:rPr>
            <w:rStyle w:val="Hyperlink"/>
          </w:rPr>
          <w:t xml:space="preserve">“The Social Dimensions of Scientific Knowledge”</w:t>
        </w:r>
      </w:hyperlink>
      <w:r>
        <w:t xml:space="preserve">, SEP,</w:t>
      </w:r>
      <w:r>
        <w:t xml:space="preserve"> </w:t>
      </w:r>
      <w:r>
        <w:rPr>
          <w:b/>
          <w:bCs/>
        </w:rPr>
        <w:t xml:space="preserve">§2</w:t>
      </w:r>
      <w:r>
        <w:t xml:space="preserve">.</w:t>
      </w:r>
    </w:p>
    <w:bookmarkEnd w:id="40"/>
    <w:bookmarkEnd w:id="41"/>
    <w:bookmarkStart w:id="48" w:name="week-5-science-and-the-mind"/>
    <w:p>
      <w:pPr>
        <w:pStyle w:val="Heading2"/>
      </w:pPr>
      <w:r>
        <w:t xml:space="preserve">Week 5: Science, and the Mind</w:t>
      </w:r>
    </w:p>
    <w:bookmarkStart w:id="47" w:name="Xf44765c1fcea86a2394376c21e048eae4d225b4"/>
    <w:p>
      <w:pPr>
        <w:pStyle w:val="Heading3"/>
      </w:pPr>
      <w:r>
        <w:t xml:space="preserve">Tuesday, September 29 (Lecture 9) — Social trust</w:t>
      </w:r>
    </w:p>
    <w:p>
      <w:pPr>
        <w:pStyle w:val="FirstParagraph"/>
      </w:pPr>
      <w:r>
        <w:rPr>
          <w:b/>
          <w:bCs/>
        </w:rPr>
        <w:t xml:space="preserve">Required</w:t>
      </w:r>
      <w:r>
        <w:t xml:space="preserve">: C. Thi Nguyen,</w:t>
      </w:r>
      <w:r>
        <w:t xml:space="preserve"> </w:t>
      </w:r>
      <w:hyperlink r:id="rId42">
        <w:r>
          <w:rPr>
            <w:rStyle w:val="Hyperlink"/>
          </w:rPr>
          <w:t xml:space="preserve">“Escape the Echo Chamber”</w:t>
        </w:r>
      </w:hyperlink>
      <w:r>
        <w:t xml:space="preserve">,</w:t>
      </w:r>
      <w:r>
        <w:t xml:space="preserve"> </w:t>
      </w:r>
      <w:r>
        <w:rPr>
          <w:i/>
          <w:iCs/>
        </w:rPr>
        <w:t xml:space="preserve">Aeon</w:t>
      </w:r>
      <w:r>
        <w:t xml:space="preserve">.</w:t>
      </w:r>
      <w:r>
        <w:br/>
      </w:r>
      <w:r>
        <w:rPr>
          <w:b/>
          <w:bCs/>
        </w:rPr>
        <w:t xml:space="preserve">Required</w:t>
      </w:r>
      <w:r>
        <w:t xml:space="preserve">: Naomi Oreskes,</w:t>
      </w:r>
      <w:r>
        <w:t xml:space="preserve"> </w:t>
      </w:r>
      <w:hyperlink r:id="rId43">
        <w:r>
          <w:rPr>
            <w:rStyle w:val="Hyperlink"/>
          </w:rPr>
          <w:t xml:space="preserve">“Defending science in a post-fact era”</w:t>
        </w:r>
      </w:hyperlink>
      <w:r>
        <w:t xml:space="preserve">,</w:t>
      </w:r>
      <w:r>
        <w:t xml:space="preserve"> </w:t>
      </w:r>
      <w:r>
        <w:rPr>
          <w:i/>
          <w:iCs/>
        </w:rPr>
        <w:t xml:space="preserve">Harvard Gazette</w:t>
      </w:r>
      <w:r>
        <w:t xml:space="preserve">, 2019. (The important part is the third question, about the</w:t>
      </w:r>
      <w:r>
        <w:t xml:space="preserve"> </w:t>
      </w:r>
      <w:r>
        <w:t xml:space="preserve">‘five pillars’</w:t>
      </w:r>
      <w:r>
        <w:t xml:space="preserve">. The rest of the interview is</w:t>
      </w:r>
      <w:r>
        <w:t xml:space="preserve"> </w:t>
      </w:r>
      <w:r>
        <w:rPr>
          <w:b/>
          <w:bCs/>
        </w:rPr>
        <w:t xml:space="preserve">Recommended</w:t>
      </w:r>
      <w:r>
        <w:t xml:space="preserve">.)</w:t>
      </w:r>
    </w:p>
    <w:p>
      <w:pPr>
        <w:pStyle w:val="BodyText"/>
      </w:pPr>
      <w:r>
        <w:rPr>
          <w:i/>
          <w:iCs/>
        </w:rPr>
        <w:t xml:space="preserve">Module Quiz 1 (Lectures 1–9) opens after class, due Sunday.</w:t>
      </w:r>
      <w:r>
        <w:t xml:space="preserve"> </w:t>
      </w:r>
      <w:r>
        <w:t xml:space="preserve">### Thursday, October 01 (Lecture 10) — Perception reconsidered</w:t>
      </w:r>
    </w:p>
    <w:p>
      <w:pPr>
        <w:pStyle w:val="BodyText"/>
      </w:pPr>
      <w:r>
        <w:rPr>
          <w:b/>
          <w:bCs/>
        </w:rPr>
        <w:t xml:space="preserve">Required</w:t>
      </w:r>
      <w:r>
        <w:t xml:space="preserve">: Bertrand Russell,</w:t>
      </w:r>
      <w:r>
        <w:t xml:space="preserve"> </w:t>
      </w:r>
      <w:hyperlink r:id="rId44">
        <w:r>
          <w:rPr>
            <w:rStyle w:val="Hyperlink"/>
            <w:i/>
            <w:iCs/>
          </w:rPr>
          <w:t xml:space="preserve">The Problems of Philosophy</w:t>
        </w:r>
      </w:hyperlink>
      <w:r>
        <w:t xml:space="preserve">, ch. 1,</w:t>
      </w:r>
      <w:r>
        <w:t xml:space="preserve"> </w:t>
      </w:r>
      <w:r>
        <w:t xml:space="preserve">“Appearance and Reality.”</w:t>
      </w:r>
      <w:r>
        <w:br/>
      </w:r>
      <w:r>
        <w:rPr>
          <w:b/>
          <w:bCs/>
        </w:rPr>
        <w:t xml:space="preserve">Recommended</w:t>
      </w:r>
      <w:r>
        <w:t xml:space="preserve">: Tim Crane and Craig French,</w:t>
      </w:r>
      <w:r>
        <w:t xml:space="preserve"> </w:t>
      </w:r>
      <w:hyperlink r:id="rId45">
        <w:r>
          <w:rPr>
            <w:rStyle w:val="Hyperlink"/>
          </w:rPr>
          <w:t xml:space="preserve">“The Problem of Perception”</w:t>
        </w:r>
      </w:hyperlink>
      <w:r>
        <w:t xml:space="preserve">, SEP,</w:t>
      </w:r>
      <w:r>
        <w:t xml:space="preserve"> </w:t>
      </w:r>
      <w:r>
        <w:t xml:space="preserve">“The Argument from Illusion”</w:t>
      </w:r>
      <w:r>
        <w:t xml:space="preserve">,</w:t>
      </w:r>
      <w:r>
        <w:t xml:space="preserve"> </w:t>
      </w:r>
      <w:r>
        <w:rPr>
          <w:b/>
          <w:bCs/>
        </w:rPr>
        <w:t xml:space="preserve">§2</w:t>
      </w:r>
      <w:r>
        <w:t xml:space="preserve">.</w:t>
      </w:r>
      <w:r>
        <w:br/>
      </w:r>
      <w:r>
        <w:rPr>
          <w:b/>
          <w:bCs/>
        </w:rPr>
        <w:t xml:space="preserve">Recommended</w:t>
      </w:r>
      <w:r>
        <w:t xml:space="preserve">: Paul Coates,</w:t>
      </w:r>
      <w:r>
        <w:t xml:space="preserve"> </w:t>
      </w:r>
      <w:hyperlink r:id="rId46">
        <w:r>
          <w:rPr>
            <w:rStyle w:val="Hyperlink"/>
          </w:rPr>
          <w:t xml:space="preserve">“Sense-Data”</w:t>
        </w:r>
      </w:hyperlink>
      <w:r>
        <w:t xml:space="preserve">, IEP.</w:t>
      </w:r>
    </w:p>
    <w:bookmarkEnd w:id="47"/>
    <w:bookmarkEnd w:id="48"/>
    <w:bookmarkStart w:id="54" w:name="week-6-consciousness"/>
    <w:p>
      <w:pPr>
        <w:pStyle w:val="Heading2"/>
      </w:pPr>
      <w:r>
        <w:t xml:space="preserve">Week 6: Consciousness</w:t>
      </w:r>
    </w:p>
    <w:p>
      <w:pPr>
        <w:pStyle w:val="FirstParagraph"/>
      </w:pPr>
      <w:r>
        <w:rPr>
          <w:i/>
          <w:iCs/>
        </w:rPr>
        <w:t xml:space="preserve">Short Answer 1 is written in section this week.</w:t>
      </w:r>
    </w:p>
    <w:bookmarkStart w:id="50"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49">
        <w:r>
          <w:rPr>
            <w:rStyle w:val="Hyperlink"/>
          </w:rPr>
          <w:t xml:space="preserve">“What Is It Like to Be a Bat?”</w:t>
        </w:r>
      </w:hyperlink>
      <w:r>
        <w:t xml:space="preserve">. Note this is slightly more reading than most days in class.</w:t>
      </w:r>
    </w:p>
    <w:bookmarkEnd w:id="50"/>
    <w:bookmarkStart w:id="53"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1">
        <w:r>
          <w:rPr>
            <w:rStyle w:val="Hyperlink"/>
          </w:rPr>
          <w:t xml:space="preserve">“The Knowledge Argument Against Physicalism”</w:t>
        </w:r>
      </w:hyperlink>
      <w:r>
        <w:t xml:space="preserve"> </w:t>
      </w:r>
      <w:r>
        <w:t xml:space="preserve">(1000-Word Philosophy).</w:t>
      </w:r>
      <w:r>
        <w:br/>
      </w:r>
      <w:r>
        <w:rPr>
          <w:b/>
          <w:bCs/>
        </w:rPr>
        <w:t xml:space="preserve">Required</w:t>
      </w:r>
      <w:r>
        <w:t xml:space="preserve">: Frank Jackson,</w:t>
      </w:r>
      <w:r>
        <w:t xml:space="preserve"> </w:t>
      </w:r>
      <w:hyperlink r:id="rId52">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3"/>
    <w:bookmarkEnd w:id="54"/>
    <w:bookmarkStart w:id="63" w:name="week-7-dualism"/>
    <w:p>
      <w:pPr>
        <w:pStyle w:val="Heading2"/>
      </w:pPr>
      <w:r>
        <w:t xml:space="preserve">Week 7: Dualism</w:t>
      </w:r>
    </w:p>
    <w:bookmarkStart w:id="59" w:name="X28f07e07b0ed06b9de4ffbf5e0d4c03242e17c1"/>
    <w:p>
      <w:pPr>
        <w:pStyle w:val="Heading3"/>
      </w:pPr>
      <w:r>
        <w:t xml:space="preserve">Tuesday, October 13 (Lecture 13) — The case for Dualism</w:t>
      </w:r>
    </w:p>
    <w:p>
      <w:pPr>
        <w:pStyle w:val="FirstParagraph"/>
      </w:pPr>
      <w:r>
        <w:rPr>
          <w:b/>
          <w:bCs/>
        </w:rPr>
        <w:t xml:space="preserve">Required</w:t>
      </w:r>
      <w:r>
        <w:t xml:space="preserve">: Peter Adamson,</w:t>
      </w:r>
      <w:r>
        <w:t xml:space="preserve"> </w:t>
      </w:r>
      <w:hyperlink r:id="rId55">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r>
        <w:br/>
      </w:r>
      <w:r>
        <w:rPr>
          <w:b/>
          <w:bCs/>
        </w:rPr>
        <w:t xml:space="preserve">Required</w:t>
      </w:r>
      <w:r>
        <w:t xml:space="preserve">: Marc Bobro,</w:t>
      </w:r>
      <w:r>
        <w:t xml:space="preserve"> </w:t>
      </w:r>
      <w:hyperlink r:id="rId56">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r>
        <w:br/>
      </w:r>
      <w:r>
        <w:rPr>
          <w:b/>
          <w:bCs/>
        </w:rPr>
        <w:t xml:space="preserve">Recommended</w:t>
      </w:r>
      <w:r>
        <w:t xml:space="preserve">: Jacob Berger,</w:t>
      </w:r>
      <w:r>
        <w:t xml:space="preserve"> </w:t>
      </w:r>
      <w:hyperlink r:id="rId57">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w:t>
      </w:r>
      <w:r>
        <w:br/>
      </w:r>
      <w:r>
        <w:rPr>
          <w:b/>
          <w:bCs/>
        </w:rPr>
        <w:t xml:space="preserve">Recommended</w:t>
      </w:r>
      <w:r>
        <w:t xml:space="preserve">: René Descartes</w:t>
      </w:r>
      <w:r>
        <w:t xml:space="preserve"> </w:t>
      </w:r>
      <w:hyperlink r:id="rId58">
        <w:r>
          <w:rPr>
            <w:rStyle w:val="Hyperlink"/>
          </w:rPr>
          <w:t xml:space="preserve">Meditation VI</w:t>
        </w:r>
      </w:hyperlink>
      <w:r>
        <w:t xml:space="preserve">, translated by Jonathan Bennett.</w:t>
      </w:r>
    </w:p>
    <w:bookmarkEnd w:id="59"/>
    <w:bookmarkStart w:id="62" w:name="X0071eb8764b9615fa532bae8d3896a626f200f7"/>
    <w:p>
      <w:pPr>
        <w:pStyle w:val="Heading3"/>
      </w:pPr>
      <w:r>
        <w:t xml:space="preserve">Thursday, October 15 (Lecture 14) — The case against Dualism</w:t>
      </w:r>
    </w:p>
    <w:p>
      <w:pPr>
        <w:pStyle w:val="FirstParagraph"/>
      </w:pPr>
      <w:r>
        <w:rPr>
          <w:b/>
          <w:bCs/>
        </w:rPr>
        <w:t xml:space="preserve">Required</w:t>
      </w:r>
      <w:r>
        <w:t xml:space="preserve">: Jacob Berger,</w:t>
      </w:r>
      <w:r>
        <w:t xml:space="preserve"> </w:t>
      </w:r>
      <w:hyperlink r:id="rId57">
        <w:r>
          <w:rPr>
            <w:rStyle w:val="Hyperlink"/>
          </w:rPr>
          <w:t xml:space="preserve">“The Mind-Body Problem: What Are Minds?”</w:t>
        </w:r>
        <w:r>
          <w:rPr>
            <w:rStyle w:val="Hyperlink"/>
          </w:rPr>
          <w:t xml:space="preserve"> </w:t>
        </w:r>
        <w:r>
          <w:rPr>
            <w:rStyle w:val="Hyperlink"/>
          </w:rPr>
          <w:t xml:space="preserve">(1000-Word Philosophy)</w:t>
        </w:r>
      </w:hyperlink>
      <w:r>
        <w:t xml:space="preserve">.</w:t>
      </w:r>
      <w:r>
        <w:br/>
      </w:r>
      <w:r>
        <w:rPr>
          <w:b/>
          <w:bCs/>
        </w:rPr>
        <w:t xml:space="preserve">Recommended</w:t>
      </w:r>
      <w:r>
        <w:t xml:space="preserve">: Steven Schneider,</w:t>
      </w:r>
      <w:r>
        <w:t xml:space="preserve"> </w:t>
      </w:r>
      <w:hyperlink r:id="rId60">
        <w:r>
          <w:rPr>
            <w:rStyle w:val="Hyperlink"/>
          </w:rPr>
          <w:t xml:space="preserve">“Identity Theory”</w:t>
        </w:r>
      </w:hyperlink>
      <w:r>
        <w:t xml:space="preserve">, IEP, introduction.</w:t>
      </w:r>
      <w:r>
        <w:br/>
      </w:r>
      <w:r>
        <w:rPr>
          <w:b/>
          <w:bCs/>
        </w:rPr>
        <w:t xml:space="preserve">Recommended</w:t>
      </w:r>
      <w:r>
        <w:t xml:space="preserve">: Princess Elisabeth of Bohemia and René Descartes,</w:t>
      </w:r>
      <w:r>
        <w:t xml:space="preserve"> </w:t>
      </w:r>
      <w:hyperlink r:id="rId61">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2"/>
    <w:bookmarkEnd w:id="63"/>
    <w:bookmarkStart w:id="69" w:name="week-8-consequentialism"/>
    <w:p>
      <w:pPr>
        <w:pStyle w:val="Heading2"/>
      </w:pPr>
      <w:r>
        <w:t xml:space="preserve">Week 8: Consequentialism</w:t>
      </w:r>
    </w:p>
    <w:p>
      <w:pPr>
        <w:pStyle w:val="FirstParagraph"/>
      </w:pPr>
      <w:r>
        <w:rPr>
          <w:i/>
          <w:iCs/>
        </w:rPr>
        <w:t xml:space="preserve">Short Answer 2 due Friday, October 23.</w:t>
      </w:r>
    </w:p>
    <w:bookmarkStart w:id="64" w:name="X96837ae1114282219fbf9d652d877050467c741"/>
    <w:p>
      <w:pPr>
        <w:pStyle w:val="Heading3"/>
      </w:pPr>
      <w:r>
        <w:t xml:space="preserve">Tuesday, October 20 — Fall Study Break, no class</w:t>
      </w:r>
    </w:p>
    <w:bookmarkEnd w:id="64"/>
    <w:bookmarkStart w:id="68"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5">
        <w:r>
          <w:rPr>
            <w:rStyle w:val="Hyperlink"/>
          </w:rPr>
          <w:t xml:space="preserve">“Consequentialism and Utilitarianism”</w:t>
        </w:r>
      </w:hyperlink>
      <w:r>
        <w:t xml:space="preserve"> </w:t>
      </w:r>
      <w:r>
        <w:t xml:space="preserve">(1000-Word Philosophy).</w:t>
      </w:r>
      <w:r>
        <w:br/>
      </w:r>
      <w:r>
        <w:rPr>
          <w:b/>
          <w:bCs/>
        </w:rPr>
        <w:t xml:space="preserve">Required</w:t>
      </w:r>
      <w:r>
        <w:t xml:space="preserve">: J. S. Mill,</w:t>
      </w:r>
      <w:r>
        <w:t xml:space="preserve"> </w:t>
      </w:r>
      <w:hyperlink r:id="rId66">
        <w:r>
          <w:rPr>
            <w:rStyle w:val="Hyperlink"/>
            <w:i/>
            <w:iCs/>
          </w:rPr>
          <w:t xml:space="preserve">Utilitarianism</w:t>
        </w:r>
      </w:hyperlink>
      <w:r>
        <w:t xml:space="preserve"> </w:t>
      </w:r>
      <w:r>
        <w:t xml:space="preserve">ch. 2, first five paragraphs (extract posted to Canvas).</w:t>
      </w:r>
      <w:r>
        <w:br/>
      </w:r>
      <w:r>
        <w:rPr>
          <w:b/>
          <w:bCs/>
        </w:rPr>
        <w:t xml:space="preserve">Recommended</w:t>
      </w:r>
      <w:r>
        <w:t xml:space="preserve">: Walter Sinnott-Armstrong ,</w:t>
      </w:r>
      <w:r>
        <w:t xml:space="preserve"> </w:t>
      </w:r>
      <w:hyperlink r:id="rId67">
        <w:r>
          <w:rPr>
            <w:rStyle w:val="Hyperlink"/>
          </w:rPr>
          <w:t xml:space="preserve">“Consequentialism”</w:t>
        </w:r>
      </w:hyperlink>
      <w:r>
        <w:t xml:space="preserve">, SEP,</w:t>
      </w:r>
      <w:r>
        <w:t xml:space="preserve"> </w:t>
      </w:r>
      <w:r>
        <w:rPr>
          <w:b/>
          <w:bCs/>
        </w:rPr>
        <w:t xml:space="preserve">§1</w:t>
      </w:r>
      <w:r>
        <w:t xml:space="preserve">,</w:t>
      </w:r>
      <w:r>
        <w:t xml:space="preserve"> </w:t>
      </w:r>
      <w:r>
        <w:t xml:space="preserve">“Classic Utilitarianism.”</w:t>
      </w:r>
    </w:p>
    <w:bookmarkEnd w:id="68"/>
    <w:bookmarkEnd w:id="69"/>
    <w:bookmarkStart w:id="77" w:name="week-9-deontology-and-trolleys"/>
    <w:p>
      <w:pPr>
        <w:pStyle w:val="Heading2"/>
      </w:pPr>
      <w:r>
        <w:t xml:space="preserve">Week 9: Deontology and Trolleys</w:t>
      </w:r>
    </w:p>
    <w:bookmarkStart w:id="73"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0">
        <w:r>
          <w:rPr>
            <w:rStyle w:val="Hyperlink"/>
          </w:rPr>
          <w:t xml:space="preserve">“Deontology: Kantian Ethics”</w:t>
        </w:r>
      </w:hyperlink>
      <w:r>
        <w:t xml:space="preserve"> </w:t>
      </w:r>
      <w:r>
        <w:t xml:space="preserve">(1000-Word Philosophy).</w:t>
      </w:r>
      <w:r>
        <w:br/>
      </w:r>
      <w:r>
        <w:rPr>
          <w:b/>
          <w:bCs/>
        </w:rPr>
        <w:t xml:space="preserve">Recommended</w:t>
      </w:r>
      <w:r>
        <w:t xml:space="preserve">: Larry Alexander and Michael Moore,</w:t>
      </w:r>
      <w:r>
        <w:t xml:space="preserve"> </w:t>
      </w:r>
      <w:hyperlink r:id="rId71">
        <w:r>
          <w:rPr>
            <w:rStyle w:val="Hyperlink"/>
          </w:rPr>
          <w:t xml:space="preserve">“Deontological Ethics,”</w:t>
        </w:r>
      </w:hyperlink>
      <w:r>
        <w:t xml:space="preserve">, SEP,</w:t>
      </w:r>
      <w:r>
        <w:t xml:space="preserve"> </w:t>
      </w:r>
      <w:r>
        <w:rPr>
          <w:b/>
          <w:bCs/>
        </w:rPr>
        <w:t xml:space="preserve">§1</w:t>
      </w:r>
      <w:r>
        <w:t xml:space="preserve">,</w:t>
      </w:r>
      <w:r>
        <w:t xml:space="preserve"> </w:t>
      </w:r>
      <w:r>
        <w:t xml:space="preserve">“Deontology’s Foil: Consequentialism”</w:t>
      </w:r>
      <w:r>
        <w:t xml:space="preserve">.</w:t>
      </w:r>
      <w:r>
        <w:br/>
      </w:r>
      <w:r>
        <w:rPr>
          <w:b/>
          <w:bCs/>
        </w:rPr>
        <w:t xml:space="preserve">Recommended</w:t>
      </w:r>
      <w:r>
        <w:t xml:space="preserve">: Immanuel Kant,</w:t>
      </w:r>
      <w:r>
        <w:t xml:space="preserve"> </w:t>
      </w:r>
      <w:hyperlink r:id="rId72">
        <w:r>
          <w:rPr>
            <w:rStyle w:val="Hyperlink"/>
            <w:i/>
            <w:iCs/>
          </w:rPr>
          <w:t xml:space="preserve">Groundwork for the Metaphysic of Morals</w:t>
        </w:r>
      </w:hyperlink>
      <w:r>
        <w:t xml:space="preserve">, translated by Jonathan Bennett, Chapter 1, especially the opening on the good will and the passages on universal law.</w:t>
      </w:r>
    </w:p>
    <w:bookmarkEnd w:id="73"/>
    <w:bookmarkStart w:id="76"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4">
        <w:r>
          <w:rPr>
            <w:rStyle w:val="Hyperlink"/>
          </w:rPr>
          <w:t xml:space="preserve">“The Doctrine of Double Effect”</w:t>
        </w:r>
      </w:hyperlink>
      <w:r>
        <w:t xml:space="preserve"> </w:t>
      </w:r>
      <w:r>
        <w:t xml:space="preserve">(1000-Word Philosophy).</w:t>
      </w:r>
      <w:r>
        <w:br/>
      </w:r>
      <w:r>
        <w:rPr>
          <w:b/>
          <w:bCs/>
        </w:rPr>
        <w:t xml:space="preserve">Required</w:t>
      </w:r>
      <w:r>
        <w:t xml:space="preserve">: Judith Jarvis Thomson,</w:t>
      </w:r>
      <w:r>
        <w:t xml:space="preserve"> </w:t>
      </w:r>
      <w:hyperlink r:id="rId75">
        <w:r>
          <w:rPr>
            <w:rStyle w:val="Hyperlink"/>
          </w:rPr>
          <w:t xml:space="preserve">“The Trolley Problem”</w:t>
        </w:r>
      </w:hyperlink>
      <w:r>
        <w:t xml:space="preserve">, sections I and II.</w:t>
      </w:r>
    </w:p>
    <w:bookmarkEnd w:id="76"/>
    <w:bookmarkEnd w:id="77"/>
    <w:bookmarkStart w:id="84" w:name="week-10-what-makes-a-life-go-well"/>
    <w:p>
      <w:pPr>
        <w:pStyle w:val="Heading2"/>
      </w:pPr>
      <w:r>
        <w:t xml:space="preserve">Week 10: What Makes a Life Go Well</w:t>
      </w:r>
    </w:p>
    <w:bookmarkStart w:id="80"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78">
        <w:r>
          <w:rPr>
            <w:rStyle w:val="Hyperlink"/>
          </w:rPr>
          <w:t xml:space="preserve">“Theories of Well-Being”</w:t>
        </w:r>
      </w:hyperlink>
      <w:r>
        <w:t xml:space="preserve">, the introduction.</w:t>
      </w:r>
      <w:r>
        <w:br/>
      </w:r>
      <w:r>
        <w:rPr>
          <w:b/>
          <w:bCs/>
        </w:rPr>
        <w:t xml:space="preserve">Required</w:t>
      </w:r>
      <w:r>
        <w:t xml:space="preserve">: Roger Crisp,</w:t>
      </w:r>
      <w:r>
        <w:t xml:space="preserve"> </w:t>
      </w:r>
      <w:hyperlink r:id="rId79">
        <w:r>
          <w:rPr>
            <w:rStyle w:val="Hyperlink"/>
          </w:rPr>
          <w:t xml:space="preserve">“Well-Being”</w:t>
        </w:r>
      </w:hyperlink>
      <w:r>
        <w:t xml:space="preserve">, SEP,</w:t>
      </w:r>
      <w:r>
        <w:t xml:space="preserve"> </w:t>
      </w:r>
      <w:r>
        <w:rPr>
          <w:b/>
          <w:bCs/>
        </w:rPr>
        <w:t xml:space="preserve">§1</w:t>
      </w:r>
      <w:r>
        <w:t xml:space="preserve">,</w:t>
      </w:r>
      <w:r>
        <w:t xml:space="preserve"> </w:t>
      </w:r>
      <w:r>
        <w:t xml:space="preserve">“The Concept.”</w:t>
      </w:r>
    </w:p>
    <w:bookmarkEnd w:id="80"/>
    <w:bookmarkStart w:id="83" w:name="thursday-november-05-lecture-19-hedonism"/>
    <w:p>
      <w:pPr>
        <w:pStyle w:val="Heading3"/>
      </w:pPr>
      <w:r>
        <w:t xml:space="preserve">Thursday, November 05 (Lecture 19) — Hedonism</w:t>
      </w:r>
    </w:p>
    <w:p>
      <w:pPr>
        <w:pStyle w:val="FirstParagraph"/>
      </w:pPr>
      <w:r>
        <w:rPr>
          <w:b/>
          <w:bCs/>
        </w:rPr>
        <w:t xml:space="preserve">Required</w:t>
      </w:r>
      <w:r>
        <w:t xml:space="preserve">: Roger Crisp,</w:t>
      </w:r>
      <w:r>
        <w:t xml:space="preserve"> </w:t>
      </w:r>
      <w:hyperlink r:id="rId81">
        <w:r>
          <w:rPr>
            <w:rStyle w:val="Hyperlink"/>
          </w:rPr>
          <w:t xml:space="preserve">“Well-Being”</w:t>
        </w:r>
      </w:hyperlink>
      <w:r>
        <w:t xml:space="preserve">, SEP,</w:t>
      </w:r>
      <w:r>
        <w:t xml:space="preserve"> </w:t>
      </w:r>
      <w:r>
        <w:rPr>
          <w:b/>
          <w:bCs/>
        </w:rPr>
        <w:t xml:space="preserve">§4.1</w:t>
      </w:r>
      <w:r>
        <w:t xml:space="preserve">,</w:t>
      </w:r>
      <w:r>
        <w:t xml:space="preserve"> </w:t>
      </w:r>
      <w:r>
        <w:t xml:space="preserve">“Hedonism.”</w:t>
      </w:r>
      <w:r>
        <w:br/>
      </w:r>
      <w:r>
        <w:rPr>
          <w:b/>
          <w:bCs/>
        </w:rPr>
        <w:t xml:space="preserve">Required</w:t>
      </w:r>
      <w:r>
        <w:t xml:space="preserve">: Robert Nozick,</w:t>
      </w:r>
      <w:r>
        <w:t xml:space="preserve"> </w:t>
      </w:r>
      <w:hyperlink r:id="rId82">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3"/>
    <w:bookmarkEnd w:id="84"/>
    <w:bookmarkStart w:id="91" w:name="week-11-desire-and-the-objective-list"/>
    <w:p>
      <w:pPr>
        <w:pStyle w:val="Heading2"/>
      </w:pPr>
      <w:r>
        <w:t xml:space="preserve">Week 11: Desire, and the Objective List</w:t>
      </w:r>
    </w:p>
    <w:bookmarkStart w:id="86"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Roger Crisp,</w:t>
      </w:r>
      <w:r>
        <w:t xml:space="preserve"> </w:t>
      </w:r>
      <w:hyperlink r:id="rId85">
        <w:r>
          <w:rPr>
            <w:rStyle w:val="Hyperlink"/>
          </w:rPr>
          <w:t xml:space="preserve">“Well-Being”</w:t>
        </w:r>
      </w:hyperlink>
      <w:r>
        <w:t xml:space="preserve">, SEP,</w:t>
      </w:r>
      <w:r>
        <w:t xml:space="preserve"> </w:t>
      </w:r>
      <w:r>
        <w:rPr>
          <w:b/>
          <w:bCs/>
        </w:rPr>
        <w:t xml:space="preserve">§4.2</w:t>
      </w:r>
      <w:r>
        <w:t xml:space="preserve">,</w:t>
      </w:r>
      <w:r>
        <w:t xml:space="preserve"> </w:t>
      </w:r>
      <w:r>
        <w:t xml:space="preserve">“Desire Theories”</w:t>
      </w:r>
      <w:r>
        <w:t xml:space="preserve">.</w:t>
      </w:r>
      <w:r>
        <w:br/>
      </w:r>
      <w:r>
        <w:rPr>
          <w:b/>
          <w:bCs/>
        </w:rPr>
        <w:t xml:space="preserve">Recommended</w:t>
      </w:r>
      <w:r>
        <w:t xml:space="preserve">: Richard Y. Chappell and Darius Meissner,</w:t>
      </w:r>
      <w:r>
        <w:t xml:space="preserve"> </w:t>
      </w:r>
      <w:hyperlink r:id="rId78">
        <w:r>
          <w:rPr>
            <w:rStyle w:val="Hyperlink"/>
          </w:rPr>
          <w:t xml:space="preserve">“Theories of Well-Being”</w:t>
        </w:r>
      </w:hyperlink>
      <w:r>
        <w:t xml:space="preserve">, the desire-theory section.</w:t>
      </w:r>
    </w:p>
    <w:bookmarkEnd w:id="86"/>
    <w:bookmarkStart w:id="90"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Roger Crisp,</w:t>
      </w:r>
      <w:r>
        <w:t xml:space="preserve"> </w:t>
      </w:r>
      <w:hyperlink r:id="rId79">
        <w:r>
          <w:rPr>
            <w:rStyle w:val="Hyperlink"/>
          </w:rPr>
          <w:t xml:space="preserve">“Well-Being”</w:t>
        </w:r>
      </w:hyperlink>
      <w:r>
        <w:t xml:space="preserve">, SEP,</w:t>
      </w:r>
      <w:r>
        <w:t xml:space="preserve"> </w:t>
      </w:r>
      <w:r>
        <w:rPr>
          <w:b/>
          <w:bCs/>
        </w:rPr>
        <w:t xml:space="preserve">§4.3</w:t>
      </w:r>
      <w:r>
        <w:t xml:space="preserve">,</w:t>
      </w:r>
      <w:r>
        <w:t xml:space="preserve"> </w:t>
      </w:r>
      <w:r>
        <w:t xml:space="preserve">“Objective List Theories.”</w:t>
      </w:r>
      <w:r>
        <w:br/>
      </w:r>
      <w:r>
        <w:rPr>
          <w:b/>
          <w:bCs/>
        </w:rPr>
        <w:t xml:space="preserve">Required</w:t>
      </w:r>
      <w:r>
        <w:t xml:space="preserve">: Lori Gruen and Susana Monsó,</w:t>
      </w:r>
      <w:r>
        <w:t xml:space="preserve"> </w:t>
      </w:r>
      <w:hyperlink r:id="rId87">
        <w:r>
          <w:rPr>
            <w:rStyle w:val="Hyperlink"/>
          </w:rPr>
          <w:t xml:space="preserve">“The Moral Status of Animals”</w:t>
        </w:r>
      </w:hyperlink>
      <w:r>
        <w:t xml:space="preserve">, SEP,</w:t>
      </w:r>
      <w:r>
        <w:t xml:space="preserve"> </w:t>
      </w:r>
      <w:r>
        <w:rPr>
          <w:b/>
          <w:bCs/>
        </w:rPr>
        <w:t xml:space="preserve">§1.1</w:t>
      </w:r>
      <w:r>
        <w:t xml:space="preserve">,</w:t>
      </w:r>
      <w:r>
        <w:t xml:space="preserve"> </w:t>
      </w:r>
      <w:r>
        <w:t xml:space="preserve">“Speciesism”</w:t>
      </w:r>
      <w:r>
        <w:t xml:space="preserve"> </w:t>
      </w:r>
      <w:r>
        <w:t xml:space="preserve">and</w:t>
      </w:r>
      <w:r>
        <w:t xml:space="preserve"> </w:t>
      </w:r>
      <w:r>
        <w:rPr>
          <w:b/>
          <w:bCs/>
        </w:rPr>
        <w:t xml:space="preserve">§1.4</w:t>
      </w:r>
      <w:r>
        <w:t xml:space="preserve">,</w:t>
      </w:r>
      <w:r>
        <w:t xml:space="preserve"> </w:t>
      </w:r>
      <w:r>
        <w:t xml:space="preserve">“Sentience”</w:t>
      </w:r>
      <w:r>
        <w:t xml:space="preserve">.</w:t>
      </w:r>
      <w:r>
        <w:br/>
      </w:r>
      <w:r>
        <w:rPr>
          <w:b/>
          <w:bCs/>
        </w:rPr>
        <w:t xml:space="preserve">Recommended</w:t>
      </w:r>
      <w:r>
        <w:t xml:space="preserve">: Conor Purcell,</w:t>
      </w:r>
      <w:r>
        <w:t xml:space="preserve"> </w:t>
      </w:r>
      <w:hyperlink r:id="rId88">
        <w:r>
          <w:rPr>
            <w:rStyle w:val="Hyperlink"/>
          </w:rPr>
          <w:t xml:space="preserve">“If AIs Can Feel Pain, What Is Our Responsibility Towards Them?”</w:t>
        </w:r>
      </w:hyperlink>
      <w:r>
        <w:t xml:space="preserve">,</w:t>
      </w:r>
      <w:r>
        <w:t xml:space="preserve"> </w:t>
      </w:r>
      <w:r>
        <w:rPr>
          <w:i/>
          <w:iCs/>
        </w:rPr>
        <w:t xml:space="preserve">Aeon</w:t>
      </w:r>
      <w:r>
        <w:t xml:space="preserve">.</w:t>
      </w:r>
      <w:r>
        <w:br/>
      </w:r>
      <w:r>
        <w:rPr>
          <w:b/>
          <w:bCs/>
        </w:rPr>
        <w:t xml:space="preserve">Recommended</w:t>
      </w:r>
      <w:r>
        <w:t xml:space="preserve">: Walter Sinnott-Armstrong and Vincent Conitzer,</w:t>
      </w:r>
      <w:r>
        <w:t xml:space="preserve"> </w:t>
      </w:r>
      <w:hyperlink r:id="rId89">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0"/>
    <w:bookmarkEnd w:id="91"/>
    <w:bookmarkStart w:id="100" w:name="week-12-the-self"/>
    <w:p>
      <w:pPr>
        <w:pStyle w:val="Heading2"/>
      </w:pPr>
      <w:r>
        <w:t xml:space="preserve">Week 12: The Self</w:t>
      </w:r>
    </w:p>
    <w:bookmarkStart w:id="95"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2">
        <w:r>
          <w:rPr>
            <w:rStyle w:val="Hyperlink"/>
          </w:rPr>
          <w:t xml:space="preserve">“Psychological Approaches to Personal Identity”</w:t>
        </w:r>
      </w:hyperlink>
      <w:r>
        <w:t xml:space="preserve"> </w:t>
      </w:r>
      <w:r>
        <w:t xml:space="preserve">(1000-Word Philosophy).</w:t>
      </w:r>
      <w:r>
        <w:br/>
      </w:r>
      <w:r>
        <w:rPr>
          <w:b/>
          <w:bCs/>
        </w:rPr>
        <w:t xml:space="preserve">Required</w:t>
      </w:r>
      <w:r>
        <w:t xml:space="preserve">: Derek Parfit,</w:t>
      </w:r>
      <w:r>
        <w:t xml:space="preserve"> </w:t>
      </w:r>
      <w:hyperlink r:id="rId93">
        <w:r>
          <w:rPr>
            <w:rStyle w:val="Hyperlink"/>
          </w:rPr>
          <w:t xml:space="preserve">“Divided Minds and the Nature of Persons”</w:t>
        </w:r>
      </w:hyperlink>
      <w:r>
        <w:t xml:space="preserve">.</w:t>
      </w:r>
      <w:r>
        <w:br/>
      </w:r>
      <w:r>
        <w:rPr>
          <w:b/>
          <w:bCs/>
        </w:rPr>
        <w:t xml:space="preserve">Recommended</w:t>
      </w:r>
      <w:r>
        <w:t xml:space="preserve">: Chad Vance,</w:t>
      </w:r>
      <w:r>
        <w:t xml:space="preserve"> </w:t>
      </w:r>
      <w:hyperlink r:id="rId94">
        <w:r>
          <w:rPr>
            <w:rStyle w:val="Hyperlink"/>
          </w:rPr>
          <w:t xml:space="preserve">“Personal Identity: How We Exist Over Time”</w:t>
        </w:r>
      </w:hyperlink>
      <w:r>
        <w:t xml:space="preserve"> </w:t>
      </w:r>
      <w:r>
        <w:t xml:space="preserve">(1000-Word Philosophy).</w:t>
      </w:r>
    </w:p>
    <w:bookmarkEnd w:id="95"/>
    <w:bookmarkStart w:id="99"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6">
        <w:r>
          <w:rPr>
            <w:rStyle w:val="Hyperlink"/>
            <w:i/>
            <w:iCs/>
          </w:rPr>
          <w:t xml:space="preserve">An Essay Concerning Human Understanding</w:t>
        </w:r>
        <w:r>
          <w:rPr>
            <w:rStyle w:val="Hyperlink"/>
          </w:rPr>
          <w:t xml:space="preserve">, Book II: Ideas</w:t>
        </w:r>
      </w:hyperlink>
      <w:r>
        <w:t xml:space="preserve">, Chapter xxvii, §§9, 14, and 26. (Those are on pages 115, 117, and 120.)</w:t>
      </w:r>
      <w:r>
        <w:br/>
      </w:r>
      <w:r>
        <w:rPr>
          <w:b/>
          <w:bCs/>
        </w:rPr>
        <w:t xml:space="preserve">Required</w:t>
      </w:r>
      <w:r>
        <w:t xml:space="preserve">: Daniel Weltman,</w:t>
      </w:r>
      <w:r>
        <w:t xml:space="preserve"> </w:t>
      </w:r>
      <w:hyperlink r:id="rId97">
        <w:r>
          <w:rPr>
            <w:rStyle w:val="Hyperlink"/>
          </w:rPr>
          <w:t xml:space="preserve">“The Buddhist Theory of No-Self”</w:t>
        </w:r>
      </w:hyperlink>
      <w:r>
        <w:t xml:space="preserve"> </w:t>
      </w:r>
      <w:r>
        <w:t xml:space="preserve">(1000-Word Philosophy).</w:t>
      </w:r>
      <w:r>
        <w:br/>
      </w:r>
      <w:r>
        <w:rPr>
          <w:b/>
          <w:bCs/>
        </w:rPr>
        <w:t xml:space="preserve">Required</w:t>
      </w:r>
      <w:r>
        <w:t xml:space="preserve">: Jessica Gordon-Roth,</w:t>
      </w:r>
      <w:r>
        <w:t xml:space="preserve"> </w:t>
      </w:r>
      <w:hyperlink r:id="rId98">
        <w:r>
          <w:rPr>
            <w:rStyle w:val="Hyperlink"/>
          </w:rPr>
          <w:t xml:space="preserve">“Locke on Personal Identity”</w:t>
        </w:r>
      </w:hyperlink>
      <w:r>
        <w:t xml:space="preserve">,</w:t>
      </w:r>
      <w:r>
        <w:t xml:space="preserve"> </w:t>
      </w:r>
      <w:r>
        <w:rPr>
          <w:i/>
          <w:iCs/>
        </w:rPr>
        <w:t xml:space="preserve">Stanford Encyclopedia of Philosophy</w:t>
      </w:r>
      <w:r>
        <w:t xml:space="preserve">,</w:t>
      </w:r>
      <w:r>
        <w:t xml:space="preserve"> </w:t>
      </w:r>
      <w:r>
        <w:rPr>
          <w:b/>
          <w:bCs/>
        </w:rPr>
        <w:t xml:space="preserve">§1</w:t>
      </w:r>
      <w:r>
        <w:t xml:space="preserve">,</w:t>
      </w:r>
      <w:r>
        <w:t xml:space="preserve"> </w:t>
      </w:r>
      <w:r>
        <w:t xml:space="preserve">“Locke on Persons and Personal Identity: The Basics.”</w:t>
      </w:r>
      <w:r>
        <w:br/>
      </w:r>
      <w:r>
        <w:rPr>
          <w:b/>
          <w:bCs/>
        </w:rPr>
        <w:t xml:space="preserve">Recommended</w:t>
      </w:r>
      <w:r>
        <w:t xml:space="preserve">:</w:t>
      </w:r>
      <w:r>
        <w:t xml:space="preserve"> </w:t>
      </w:r>
      <w:hyperlink r:id="rId96">
        <w:r>
          <w:rPr>
            <w:rStyle w:val="Hyperlink"/>
            <w:i/>
            <w:iCs/>
          </w:rPr>
          <w:t xml:space="preserve">An Essay Concerning Human Understanding</w:t>
        </w:r>
        <w:r>
          <w:rPr>
            <w:rStyle w:val="Hyperlink"/>
          </w:rPr>
          <w:t xml:space="preserve">, Book II: Ideas</w:t>
        </w:r>
      </w:hyperlink>
      <w:r>
        <w:t xml:space="preserve">, all of Chapter xxvii, for anyone who wants to see the details of Locke’s view in a more original form.</w:t>
      </w:r>
    </w:p>
    <w:bookmarkEnd w:id="99"/>
    <w:bookmarkEnd w:id="100"/>
    <w:bookmarkStart w:id="105" w:name="week-13-law"/>
    <w:p>
      <w:pPr>
        <w:pStyle w:val="Heading2"/>
      </w:pPr>
      <w:r>
        <w:t xml:space="preserve">Week 13: Law</w:t>
      </w:r>
    </w:p>
    <w:p>
      <w:pPr>
        <w:pStyle w:val="FirstParagraph"/>
      </w:pPr>
      <w:r>
        <w:rPr>
          <w:i/>
          <w:iCs/>
        </w:rPr>
        <w:t xml:space="preserve">Essay due Monday, November 23.</w:t>
      </w:r>
    </w:p>
    <w:bookmarkStart w:id="103"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Protevi,</w:t>
      </w:r>
      <w:r>
        <w:t xml:space="preserve"> </w:t>
      </w:r>
      <w:hyperlink r:id="rId101">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r>
        <w:br/>
      </w:r>
      <w:r>
        <w:rPr>
          <w:b/>
          <w:bCs/>
        </w:rPr>
        <w:t xml:space="preserve">Required</w:t>
      </w:r>
      <w:r>
        <w:t xml:space="preserve">: Plato,</w:t>
      </w:r>
      <w:r>
        <w:t xml:space="preserve"> </w:t>
      </w:r>
      <w:hyperlink r:id="rId102">
        <w:r>
          <w:rPr>
            <w:rStyle w:val="Hyperlink"/>
            <w:i/>
            <w:iCs/>
          </w:rPr>
          <w:t xml:space="preserve">Crito</w:t>
        </w:r>
      </w:hyperlink>
      <w:r>
        <w:t xml:space="preserve">. (Jowett translation, Project Gutenberg)</w:t>
      </w:r>
    </w:p>
    <w:bookmarkEnd w:id="103"/>
    <w:bookmarkStart w:id="104" w:name="X1409287e655faaa706d560809809ecb7d412b48"/>
    <w:p>
      <w:pPr>
        <w:pStyle w:val="Heading3"/>
      </w:pPr>
      <w:r>
        <w:t xml:space="preserve">Thursday, November 26 — Thanksgiving recess, no class</w:t>
      </w:r>
    </w:p>
    <w:bookmarkEnd w:id="104"/>
    <w:bookmarkEnd w:id="105"/>
    <w:bookmarkStart w:id="112" w:name="week-14-punishment-and-speech"/>
    <w:p>
      <w:pPr>
        <w:pStyle w:val="Heading2"/>
      </w:pPr>
      <w:r>
        <w:t xml:space="preserve">Week 14: Punishment and Speech</w:t>
      </w:r>
    </w:p>
    <w:bookmarkStart w:id="108"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6">
        <w:r>
          <w:rPr>
            <w:rStyle w:val="Hyperlink"/>
          </w:rPr>
          <w:t xml:space="preserve">“Theories of Punishment”</w:t>
        </w:r>
      </w:hyperlink>
      <w:r>
        <w:t xml:space="preserve"> </w:t>
      </w:r>
      <w:r>
        <w:t xml:space="preserve">(1000-Word Philosophy).</w:t>
      </w:r>
      <w:r>
        <w:br/>
      </w:r>
      <w:r>
        <w:rPr>
          <w:b/>
          <w:bCs/>
        </w:rPr>
        <w:t xml:space="preserve">Recommended</w:t>
      </w:r>
      <w:r>
        <w:t xml:space="preserve">: Zachary Hoskins and Anthony Duff,</w:t>
      </w:r>
      <w:r>
        <w:t xml:space="preserve"> </w:t>
      </w:r>
      <w:hyperlink r:id="rId107">
        <w:r>
          <w:rPr>
            <w:rStyle w:val="Hyperlink"/>
          </w:rPr>
          <w:t xml:space="preserve">“Legal Punishment”</w:t>
        </w:r>
      </w:hyperlink>
      <w:r>
        <w:t xml:space="preserve">, SEP,</w:t>
      </w:r>
      <w:r>
        <w:t xml:space="preserve"> </w:t>
      </w:r>
      <w:r>
        <w:rPr>
          <w:b/>
          <w:bCs/>
        </w:rPr>
        <w:t xml:space="preserve">§3-4</w:t>
      </w:r>
      <w:r>
        <w:t xml:space="preserve">,</w:t>
      </w:r>
      <w:r>
        <w:t xml:space="preserve"> </w:t>
      </w:r>
      <w:r>
        <w:t xml:space="preserve">“Consequentialist Accounts”</w:t>
      </w:r>
      <w:r>
        <w:t xml:space="preserve"> </w:t>
      </w:r>
      <w:r>
        <w:t xml:space="preserve">and</w:t>
      </w:r>
      <w:r>
        <w:t xml:space="preserve"> </w:t>
      </w:r>
      <w:r>
        <w:t xml:space="preserve">“Retributivist Accounts”</w:t>
      </w:r>
      <w:r>
        <w:t xml:space="preserve">.</w:t>
      </w:r>
    </w:p>
    <w:bookmarkEnd w:id="108"/>
    <w:bookmarkStart w:id="111"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09">
        <w:r>
          <w:rPr>
            <w:rStyle w:val="Hyperlink"/>
          </w:rPr>
          <w:t xml:space="preserve">“Free Speech”</w:t>
        </w:r>
      </w:hyperlink>
      <w:r>
        <w:t xml:space="preserve"> </w:t>
      </w:r>
      <w:r>
        <w:t xml:space="preserve">(1000-Word Philosophy)</w:t>
      </w:r>
      <w:r>
        <w:br/>
      </w:r>
      <w:r>
        <w:rPr>
          <w:b/>
          <w:bCs/>
        </w:rPr>
        <w:t xml:space="preserve">Required</w:t>
      </w:r>
      <w:r>
        <w:t xml:space="preserve">: J. S. Mill and H. T. Mill,</w:t>
      </w:r>
      <w:r>
        <w:t xml:space="preserve"> </w:t>
      </w:r>
      <w:hyperlink r:id="rId110">
        <w:r>
          <w:rPr>
            <w:rStyle w:val="Hyperlink"/>
            <w:i/>
            <w:iCs/>
          </w:rPr>
          <w:t xml:space="preserve">On Liberty</w:t>
        </w:r>
      </w:hyperlink>
      <w:r>
        <w:t xml:space="preserve">, extract from Chapter 2 on Canvas.</w:t>
      </w:r>
    </w:p>
    <w:bookmarkEnd w:id="111"/>
    <w:bookmarkEnd w:id="112"/>
    <w:bookmarkStart w:id="116" w:name="week-15-ending"/>
    <w:p>
      <w:pPr>
        <w:pStyle w:val="Heading2"/>
      </w:pPr>
      <w:r>
        <w:t xml:space="preserve">Week 15: Ending</w:t>
      </w:r>
    </w:p>
    <w:bookmarkStart w:id="114"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3">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4"/>
    <w:bookmarkStart w:id="115"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4" Target="https://1000wordphilosophy.com/2014/02/10/personal-identity/" TargetMode="External" /><Relationship Type="http://schemas.openxmlformats.org/officeDocument/2006/relationships/hyperlink" Id="rId65" Target="https://1000wordphilosophy.com/2014/05/15/consequentialism/" TargetMode="External" /><Relationship Type="http://schemas.openxmlformats.org/officeDocument/2006/relationships/hyperlink" Id="rId70" Target="https://1000wordphilosophy.com/2014/06/09/introduction-to-deontology-kantian-ethics/" TargetMode="External" /><Relationship Type="http://schemas.openxmlformats.org/officeDocument/2006/relationships/hyperlink" Id="rId56" Target="https://1000wordphilosophy.com/2018/08/05/descartes-meditations-4-6/" TargetMode="External" /><Relationship Type="http://schemas.openxmlformats.org/officeDocument/2006/relationships/hyperlink" Id="rId106" Target="https://1000wordphilosophy.com/2019/02/05/theories-of-punishment/" TargetMode="External" /><Relationship Type="http://schemas.openxmlformats.org/officeDocument/2006/relationships/hyperlink" Id="rId51" Target="https://1000wordphilosophy.com/2019/10/05/the-knowledge-argument-against-physicalism/" TargetMode="External" /><Relationship Type="http://schemas.openxmlformats.org/officeDocument/2006/relationships/hyperlink" Id="rId109" Target="https://1000wordphilosophy.com/2021/02/04/free-speech/" TargetMode="External" /><Relationship Type="http://schemas.openxmlformats.org/officeDocument/2006/relationships/hyperlink" Id="rId92" Target="https://1000wordphilosophy.com/2022/02/03/psychological-approaches-to-personal-identity/" TargetMode="External" /><Relationship Type="http://schemas.openxmlformats.org/officeDocument/2006/relationships/hyperlink" Id="rId97" Target="https://1000wordphilosophy.com/2023/02/25/no-self/" TargetMode="External" /><Relationship Type="http://schemas.openxmlformats.org/officeDocument/2006/relationships/hyperlink" Id="rId74"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7" Target="https://1000wordphilosophy.com/2024/02/03/mind-body-problem/" TargetMode="External" /><Relationship Type="http://schemas.openxmlformats.org/officeDocument/2006/relationships/hyperlink" Id="rId88" Target="https://aeon.co/essays/if-ais-can-feel-pain-what-is-our-responsibility-towards-them" TargetMode="External" /><Relationship Type="http://schemas.openxmlformats.org/officeDocument/2006/relationships/hyperlink" Id="rId42" Target="https://aeon.co/essays/why-its-as-hard-to-escape-an-echo-chamber-as-it-is-to-flee-a-cult" TargetMode="External" /><Relationship Type="http://schemas.openxmlformats.org/officeDocument/2006/relationships/hyperlink" Id="rId113" Target="https://aeon.co/ideas/how-do-we-pry-apart-the-true-and-compelling-from-the-false-and-toxic" TargetMode="External" /><Relationship Type="http://schemas.openxmlformats.org/officeDocument/2006/relationships/hyperlink" Id="rId55"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2"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0" Target="https://iep.utm.edu/identity/" TargetMode="External" /><Relationship Type="http://schemas.openxmlformats.org/officeDocument/2006/relationships/hyperlink" Id="rId46" Target="https://iep.utm.edu/sense-da/" TargetMode="External" /><Relationship Type="http://schemas.openxmlformats.org/officeDocument/2006/relationships/hyperlink" Id="rId38"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3" Target="https://news.harvard.edu/gazette/story/2019/10/in-why-trust-science-naomi-oreskes-explains-why-the-process-of-proof-is-worth-trusting/" TargetMode="External" /><Relationship Type="http://schemas.openxmlformats.org/officeDocument/2006/relationships/hyperlink" Id="rId32" Target="https://onlinelibrary.wiley.com/doi/10.1111/phpr.70130" TargetMode="External" /><Relationship Type="http://schemas.openxmlformats.org/officeDocument/2006/relationships/hyperlink" Id="rId75"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7"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1" Target="https://plato.stanford.edu/entries/ethics-deontological/" TargetMode="External" /><Relationship Type="http://schemas.openxmlformats.org/officeDocument/2006/relationships/hyperlink" Id="rId107" Target="https://plato.stanford.edu/entries/legal-punishment/" TargetMode="External" /><Relationship Type="http://schemas.openxmlformats.org/officeDocument/2006/relationships/hyperlink" Id="rId98"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7" Target="https://plato.stanford.edu/entries/moral-animal/#MorConAni" TargetMode="External" /><Relationship Type="http://schemas.openxmlformats.org/officeDocument/2006/relationships/hyperlink" Id="rId45" Target="https://plato.stanford.edu/entries/perception-problem/" TargetMode="External" /><Relationship Type="http://schemas.openxmlformats.org/officeDocument/2006/relationships/hyperlink" Id="rId39" Target="https://plato.stanford.edu/entries/scientific-knowledge-social/#BigSciTruAut" TargetMode="External" /><Relationship Type="http://schemas.openxmlformats.org/officeDocument/2006/relationships/hyperlink" Id="rId79" Target="https://plato.stanford.edu/entries/well-being/" TargetMode="External" /><Relationship Type="http://schemas.openxmlformats.org/officeDocument/2006/relationships/hyperlink" Id="rId85" Target="https://plato.stanford.edu/entries/well-being/#DesThe" TargetMode="External" /><Relationship Type="http://schemas.openxmlformats.org/officeDocument/2006/relationships/hyperlink" Id="rId81" Target="https://plato.stanford.edu/entries/well-being/#Hed" TargetMode="External" /><Relationship Type="http://schemas.openxmlformats.org/officeDocument/2006/relationships/hyperlink" Id="rId49" Target="https://rintintin.colorado.edu/~vancecd/phil201/Nagel.pdf" TargetMode="External" /><Relationship Type="http://schemas.openxmlformats.org/officeDocument/2006/relationships/hyperlink" Id="rId82" Target="https://rintintin.colorado.edu/~vancecd/phil3160/Nozick1.pdf" TargetMode="External" /><Relationship Type="http://schemas.openxmlformats.org/officeDocument/2006/relationships/hyperlink" Id="rId93" Target="https://rintintin.colorado.edu/~vancecd/phil375/Parfit.pdf" TargetMode="External" /><Relationship Type="http://schemas.openxmlformats.org/officeDocument/2006/relationships/hyperlink" Id="rId66"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89" Target="https://www.cs.cmu.edu/~conitzer/AImoralstatuschapter.pdf" TargetMode="External" /><Relationship Type="http://schemas.openxmlformats.org/officeDocument/2006/relationships/hyperlink" Id="rId36" Target="https://www.dan.sperber.fr/wp-content/uploads/2010_clement-et-al_epistemic-vigilance.pdf" TargetMode="External" /><Relationship Type="http://schemas.openxmlformats.org/officeDocument/2006/relationships/hyperlink" Id="rId58" Target="https://www.earlymoderntexts.com/assets/pdfs/descartes1641.pdf" TargetMode="External" /><Relationship Type="http://schemas.openxmlformats.org/officeDocument/2006/relationships/hyperlink" Id="rId61" Target="https://www.earlymoderntexts.com/assets/pdfs/descartes1643_1.pdf" TargetMode="External" /><Relationship Type="http://schemas.openxmlformats.org/officeDocument/2006/relationships/hyperlink" Id="rId72" Target="https://www.earlymoderntexts.com/assets/pdfs/kant1785.pdf" TargetMode="External" /><Relationship Type="http://schemas.openxmlformats.org/officeDocument/2006/relationships/hyperlink" Id="rId96"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2" Target="https://www.gutenberg.org/files/1657/1657-h/1657-h.htm" TargetMode="External" /><Relationship Type="http://schemas.openxmlformats.org/officeDocument/2006/relationships/hyperlink" Id="rId110" Target="https://www.gutenberg.org/files/34901/34901-h/34901-h.htm" TargetMode="External" /><Relationship Type="http://schemas.openxmlformats.org/officeDocument/2006/relationships/hyperlink" Id="rId44" Target="https://www.gutenberg.org/files/5827/5827-h/5827-h.htm" TargetMode="External" /><Relationship Type="http://schemas.openxmlformats.org/officeDocument/2006/relationships/hyperlink" Id="rId35" Target="https://www.jstor.org/stable/2249544" TargetMode="External" /><Relationship Type="http://schemas.openxmlformats.org/officeDocument/2006/relationships/hyperlink" Id="rId101" Target="https://www.protevi.com/john/FH/PDF/Crito.pdf" TargetMode="External" /><Relationship Type="http://schemas.openxmlformats.org/officeDocument/2006/relationships/hyperlink" Id="rId78"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94" Target="https://1000wordphilosophy.com/2014/02/10/personal-identity/" TargetMode="External" /><Relationship Type="http://schemas.openxmlformats.org/officeDocument/2006/relationships/hyperlink" Id="rId65" Target="https://1000wordphilosophy.com/2014/05/15/consequentialism/" TargetMode="External" /><Relationship Type="http://schemas.openxmlformats.org/officeDocument/2006/relationships/hyperlink" Id="rId70" Target="https://1000wordphilosophy.com/2014/06/09/introduction-to-deontology-kantian-ethics/" TargetMode="External" /><Relationship Type="http://schemas.openxmlformats.org/officeDocument/2006/relationships/hyperlink" Id="rId56" Target="https://1000wordphilosophy.com/2018/08/05/descartes-meditations-4-6/" TargetMode="External" /><Relationship Type="http://schemas.openxmlformats.org/officeDocument/2006/relationships/hyperlink" Id="rId106" Target="https://1000wordphilosophy.com/2019/02/05/theories-of-punishment/" TargetMode="External" /><Relationship Type="http://schemas.openxmlformats.org/officeDocument/2006/relationships/hyperlink" Id="rId51" Target="https://1000wordphilosophy.com/2019/10/05/the-knowledge-argument-against-physicalism/" TargetMode="External" /><Relationship Type="http://schemas.openxmlformats.org/officeDocument/2006/relationships/hyperlink" Id="rId109" Target="https://1000wordphilosophy.com/2021/02/04/free-speech/" TargetMode="External" /><Relationship Type="http://schemas.openxmlformats.org/officeDocument/2006/relationships/hyperlink" Id="rId92" Target="https://1000wordphilosophy.com/2022/02/03/psychological-approaches-to-personal-identity/" TargetMode="External" /><Relationship Type="http://schemas.openxmlformats.org/officeDocument/2006/relationships/hyperlink" Id="rId97" Target="https://1000wordphilosophy.com/2023/02/25/no-self/" TargetMode="External" /><Relationship Type="http://schemas.openxmlformats.org/officeDocument/2006/relationships/hyperlink" Id="rId74"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7" Target="https://1000wordphilosophy.com/2024/02/03/mind-body-problem/" TargetMode="External" /><Relationship Type="http://schemas.openxmlformats.org/officeDocument/2006/relationships/hyperlink" Id="rId88" Target="https://aeon.co/essays/if-ais-can-feel-pain-what-is-our-responsibility-towards-them" TargetMode="External" /><Relationship Type="http://schemas.openxmlformats.org/officeDocument/2006/relationships/hyperlink" Id="rId42" Target="https://aeon.co/essays/why-its-as-hard-to-escape-an-echo-chamber-as-it-is-to-flee-a-cult" TargetMode="External" /><Relationship Type="http://schemas.openxmlformats.org/officeDocument/2006/relationships/hyperlink" Id="rId113" Target="https://aeon.co/ideas/how-do-we-pry-apart-the-true-and-compelling-from-the-false-and-toxic" TargetMode="External" /><Relationship Type="http://schemas.openxmlformats.org/officeDocument/2006/relationships/hyperlink" Id="rId55"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2"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0" Target="https://iep.utm.edu/identity/" TargetMode="External" /><Relationship Type="http://schemas.openxmlformats.org/officeDocument/2006/relationships/hyperlink" Id="rId46" Target="https://iep.utm.edu/sense-da/" TargetMode="External" /><Relationship Type="http://schemas.openxmlformats.org/officeDocument/2006/relationships/hyperlink" Id="rId38"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3" Target="https://news.harvard.edu/gazette/story/2019/10/in-why-trust-science-naomi-oreskes-explains-why-the-process-of-proof-is-worth-trusting/" TargetMode="External" /><Relationship Type="http://schemas.openxmlformats.org/officeDocument/2006/relationships/hyperlink" Id="rId32" Target="https://onlinelibrary.wiley.com/doi/10.1111/phpr.70130" TargetMode="External" /><Relationship Type="http://schemas.openxmlformats.org/officeDocument/2006/relationships/hyperlink" Id="rId75"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7"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1" Target="https://plato.stanford.edu/entries/ethics-deontological/" TargetMode="External" /><Relationship Type="http://schemas.openxmlformats.org/officeDocument/2006/relationships/hyperlink" Id="rId107" Target="https://plato.stanford.edu/entries/legal-punishment/" TargetMode="External" /><Relationship Type="http://schemas.openxmlformats.org/officeDocument/2006/relationships/hyperlink" Id="rId98"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7" Target="https://plato.stanford.edu/entries/moral-animal/#MorConAni" TargetMode="External" /><Relationship Type="http://schemas.openxmlformats.org/officeDocument/2006/relationships/hyperlink" Id="rId45" Target="https://plato.stanford.edu/entries/perception-problem/" TargetMode="External" /><Relationship Type="http://schemas.openxmlformats.org/officeDocument/2006/relationships/hyperlink" Id="rId39" Target="https://plato.stanford.edu/entries/scientific-knowledge-social/#BigSciTruAut" TargetMode="External" /><Relationship Type="http://schemas.openxmlformats.org/officeDocument/2006/relationships/hyperlink" Id="rId79" Target="https://plato.stanford.edu/entries/well-being/" TargetMode="External" /><Relationship Type="http://schemas.openxmlformats.org/officeDocument/2006/relationships/hyperlink" Id="rId85" Target="https://plato.stanford.edu/entries/well-being/#DesThe" TargetMode="External" /><Relationship Type="http://schemas.openxmlformats.org/officeDocument/2006/relationships/hyperlink" Id="rId81" Target="https://plato.stanford.edu/entries/well-being/#Hed" TargetMode="External" /><Relationship Type="http://schemas.openxmlformats.org/officeDocument/2006/relationships/hyperlink" Id="rId49" Target="https://rintintin.colorado.edu/~vancecd/phil201/Nagel.pdf" TargetMode="External" /><Relationship Type="http://schemas.openxmlformats.org/officeDocument/2006/relationships/hyperlink" Id="rId82" Target="https://rintintin.colorado.edu/~vancecd/phil3160/Nozick1.pdf" TargetMode="External" /><Relationship Type="http://schemas.openxmlformats.org/officeDocument/2006/relationships/hyperlink" Id="rId93" Target="https://rintintin.colorado.edu/~vancecd/phil375/Parfit.pdf" TargetMode="External" /><Relationship Type="http://schemas.openxmlformats.org/officeDocument/2006/relationships/hyperlink" Id="rId66"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89" Target="https://www.cs.cmu.edu/~conitzer/AImoralstatuschapter.pdf" TargetMode="External" /><Relationship Type="http://schemas.openxmlformats.org/officeDocument/2006/relationships/hyperlink" Id="rId36" Target="https://www.dan.sperber.fr/wp-content/uploads/2010_clement-et-al_epistemic-vigilance.pdf" TargetMode="External" /><Relationship Type="http://schemas.openxmlformats.org/officeDocument/2006/relationships/hyperlink" Id="rId58" Target="https://www.earlymoderntexts.com/assets/pdfs/descartes1641.pdf" TargetMode="External" /><Relationship Type="http://schemas.openxmlformats.org/officeDocument/2006/relationships/hyperlink" Id="rId61" Target="https://www.earlymoderntexts.com/assets/pdfs/descartes1643_1.pdf" TargetMode="External" /><Relationship Type="http://schemas.openxmlformats.org/officeDocument/2006/relationships/hyperlink" Id="rId72" Target="https://www.earlymoderntexts.com/assets/pdfs/kant1785.pdf" TargetMode="External" /><Relationship Type="http://schemas.openxmlformats.org/officeDocument/2006/relationships/hyperlink" Id="rId96"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2" Target="https://www.gutenberg.org/files/1657/1657-h/1657-h.htm" TargetMode="External" /><Relationship Type="http://schemas.openxmlformats.org/officeDocument/2006/relationships/hyperlink" Id="rId110" Target="https://www.gutenberg.org/files/34901/34901-h/34901-h.htm" TargetMode="External" /><Relationship Type="http://schemas.openxmlformats.org/officeDocument/2006/relationships/hyperlink" Id="rId44" Target="https://www.gutenberg.org/files/5827/5827-h/5827-h.htm" TargetMode="External" /><Relationship Type="http://schemas.openxmlformats.org/officeDocument/2006/relationships/hyperlink" Id="rId35" Target="https://www.jstor.org/stable/2249544" TargetMode="External" /><Relationship Type="http://schemas.openxmlformats.org/officeDocument/2006/relationships/hyperlink" Id="rId101" Target="https://www.protevi.com/john/FH/PDF/Crito.pdf" TargetMode="External" /><Relationship Type="http://schemas.openxmlformats.org/officeDocument/2006/relationships/hyperlink" Id="rId78"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2026-09-28T15:02:54Z</dcterms:created>
  <dcterms:modified xsi:type="dcterms:W3CDTF">2026-09-28T15:02:54Z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Fall 2026</vt:lpwstr>
  </property>
  <property fmtid="{D5CDD505-2E9C-101B-9397-08002B2CF9AE}" pid="10" name="toc-title">
    <vt:lpwstr>Table of contents</vt:lpwstr>
  </property>
</Properties>
</file>