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Author"/>
      </w:pPr>
      <w:r>
        <w:t xml:space="preserve">Brian Weatherson</w:t>
      </w:r>
    </w:p>
    <w:p>
      <w:pPr>
        <w:pStyle w:val="Date"/>
      </w:pPr>
      <w:r>
        <w:t xml:space="preserve">2026-01-01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for discussion with GSIs</w:t>
            </w:r>
          </w:p>
        </w:tc>
      </w:tr>
      <w:tr>
        <w:trPr>
          <w:cantSplit/>
        </w:trPr>
        <w:tc>
          <w:tcPr>
            <w:tcMar>
              <w:top w:w="108" w:type="dxa"/>
              <w:bottom w:w="108" w:type="dxa"/>
            </w:tcMar>
          </w:tcPr>
          <w:p>
            <w:pPr>
              <w:pStyle w:val="BodyText"/>
            </w:pPr>
            <w:pPr>
              <w:spacing w:before="16" w:after="16"/>
            </w:pPr>
            <w:r>
              <w:t xml:space="preserve">This version is for the pre-term meeting, not for students. The last section records what is still open. Delete that section, and this box, before the student version goes out.</w:t>
            </w:r>
          </w:p>
          <w:p/>
        </w:tc>
      </w:tr>
    </w:tbl>
    <w:p>
      <w:pPr>
        <w:pStyle w:val="BodyText"/>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TBD</w:t>
      </w:r>
      <w:r>
        <w:br/>
      </w:r>
      <w:r>
        <w:rPr>
          <w:b/>
          <w:bCs/>
        </w:rPr>
        <w:t xml:space="preserve">Lectures</w:t>
      </w:r>
      <w:r>
        <w:t xml:space="preserve">: Tuesday and Thursday, 9:00–9:50, room TBD</w:t>
      </w:r>
      <w:r>
        <w:br/>
      </w:r>
      <w:r>
        <w:rPr>
          <w:b/>
          <w:bCs/>
        </w:rPr>
        <w:t xml:space="preserve">Discussion sections</w:t>
      </w:r>
      <w:r>
        <w:t xml:space="preserve">: Twice weekly, 50 minutes, times and rooms TBD</w:t>
      </w:r>
      <w:r>
        <w:br/>
      </w:r>
      <w:r>
        <w:rPr>
          <w:b/>
          <w:bCs/>
        </w:rPr>
        <w:t xml:space="preserve">Web</w:t>
      </w:r>
      <w:r>
        <w:t xml:space="preserve">: canvas.umich.edu and</w:t>
      </w:r>
      <w:r>
        <w:t xml:space="preserve"> </w:t>
      </w:r>
      <w:hyperlink r:id="rId12">
        <w:r>
          <w:rPr>
            <w:rStyle w:val="Hyperlink"/>
          </w:rPr>
          <w:t xml:space="preserve">https://bweatherson.github.io/F26-Phil101-site/</w:t>
        </w:r>
      </w:hyperlink>
    </w:p>
    <w:p>
      <w:pPr>
        <w:pStyle w:val="BodyText"/>
      </w:pPr>
      <w:r>
        <w:t xml:space="preserve"> </w:t>
      </w:r>
    </w:p>
    <w:bookmarkStart w:id="13"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falls due before the sixth week.</w:t>
      </w:r>
    </w:p>
    <w:p>
      <w:pPr>
        <w:pStyle w:val="Compact"/>
        <w:numPr>
          <w:ilvl w:val="0"/>
          <w:numId w:val="1001"/>
        </w:numPr>
      </w:pPr>
      <w:r>
        <w:t xml:space="preserve">There is one essay, worth 25%, and it comes at the end of a sequence designed to teach you how to write it.</w:t>
      </w:r>
    </w:p>
    <w:bookmarkEnd w:id="13"/>
    <w:bookmarkStart w:id="14"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pay,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4"/>
    <w:bookmarkStart w:id="15"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5"/>
    <w:bookmarkStart w:id="16"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it is Short Answer 1, described below.</w:t>
      </w:r>
      <w:r>
        <w:t xml:space="preserve"> </w:t>
      </w:r>
      <w:r>
        <w:rPr>
          <w:b/>
          <w:bCs/>
        </w:rPr>
        <w:t xml:space="preserve">WE NEED TO DISCUSS WHAT GOES HERE BEFORE DISTRIBUTING TO THE STUDENTS</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 and they are weighted accordingly.</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anyone reads.</w:t>
      </w:r>
    </w:p>
    <w:p>
      <w:pPr>
        <w:pStyle w:val="BodyText"/>
      </w:pPr>
      <w:r>
        <w:rPr>
          <w:b/>
          <w:bCs/>
        </w:rPr>
        <w:t xml:space="preserve">Short Answer 2.</w:t>
      </w:r>
      <w:r>
        <w:t xml:space="preserve"> </w:t>
      </w:r>
      <w:r>
        <w:t xml:space="preserve">Five questions on Lectures 10 to 12, done at home,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6"/>
    <w:bookmarkStart w:id="17"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rPr>
          <w:b/>
          <w:bCs/>
        </w:rPr>
        <w:t xml:space="preserve">NOTE FOR GSIs - THIS IS IMPORTANT AND WILL BE SOMETHING YOU HAVE TO DO; WE SHOULD TALK ABOUT THE LOGISTICS OF THIS AND WHETHER IT CAN BE IMPROVED</w:t>
      </w:r>
    </w:p>
    <w:p>
      <w:pPr>
        <w:pStyle w:val="BodyText"/>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7"/>
    <w:bookmarkStart w:id="19" w:name="canvas"/>
    <w:p>
      <w:pPr>
        <w:pStyle w:val="Heading1"/>
      </w:pPr>
      <w:r>
        <w:t xml:space="preserve">Canvas</w:t>
      </w:r>
    </w:p>
    <w:p>
      <w:pPr>
        <w:pStyle w:val="FirstParagraph"/>
      </w:pPr>
      <w:r>
        <w:t xml:space="preserve">There is a Canvas site for this course at</w:t>
      </w:r>
      <w:r>
        <w:t xml:space="preserve"> </w:t>
      </w:r>
      <w:hyperlink r:id="rId18">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2">
        <w:r>
          <w:rPr>
            <w:rStyle w:val="Hyperlink"/>
          </w:rPr>
          <w:t xml:space="preserve">https://bweatherson.github.io/F26-Phil101-site/</w:t>
        </w:r>
      </w:hyperlink>
      <w:r>
        <w:t xml:space="preserve"> </w:t>
      </w:r>
      <w:r>
        <w:t xml:space="preserve">with the slides and other material.</w:t>
      </w:r>
    </w:p>
    <w:p>
      <w:r>
        <w:br w:type="page"/>
      </w:r>
    </w:p>
    <w:bookmarkEnd w:id="19"/>
    <w:bookmarkStart w:id="120"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22" w:name="week-1-getting-started"/>
    <w:p>
      <w:pPr>
        <w:pStyle w:val="Heading2"/>
      </w:pPr>
      <w:r>
        <w:t xml:space="preserve">Week 1: Getting Started</w:t>
      </w:r>
    </w:p>
    <w:bookmarkStart w:id="20"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20"/>
    <w:bookmarkStart w:id="21"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21"/>
    <w:bookmarkEnd w:id="22"/>
    <w:bookmarkStart w:id="28" w:name="week-2-risky-inference"/>
    <w:p>
      <w:pPr>
        <w:pStyle w:val="Heading2"/>
      </w:pPr>
      <w:r>
        <w:t xml:space="preserve">Week 2: Risky Inference</w:t>
      </w:r>
    </w:p>
    <w:bookmarkStart w:id="24" w:name="X6fa26b68b715786bf93cb49f73457cf4c3b9a77"/>
    <w:p>
      <w:pPr>
        <w:pStyle w:val="Heading3"/>
      </w:pPr>
      <w:r>
        <w:t xml:space="preserve">Tuesday, September 08 (Lecture 3) — Induction, analogy, and explanation</w:t>
      </w:r>
    </w:p>
    <w:p>
      <w:pPr>
        <w:pStyle w:val="FirstParagraph"/>
      </w:pPr>
      <w:r>
        <w:rPr>
          <w:b/>
          <w:bCs/>
        </w:rPr>
        <w:t xml:space="preserve">Required</w:t>
      </w:r>
      <w:r>
        <w:t xml:space="preserve">: Arthur Conan Doyle,</w:t>
      </w:r>
      <w:r>
        <w:t xml:space="preserve"> </w:t>
      </w:r>
      <w:hyperlink r:id="rId23">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3">
        <w:r>
          <w:rPr>
            <w:rStyle w:val="Hyperlink"/>
          </w:rPr>
          <w:t xml:space="preserve">The rest of the story</w:t>
        </w:r>
      </w:hyperlink>
      <w:r>
        <w:t xml:space="preserve">.</w:t>
      </w:r>
    </w:p>
    <w:bookmarkEnd w:id="24"/>
    <w:bookmarkStart w:id="27"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5">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6">
        <w:r>
          <w:rPr>
            <w:rStyle w:val="Hyperlink"/>
          </w:rPr>
          <w:t xml:space="preserve">“Goodman’s New Riddle of Induction Explained in Words of One Syllable.”</w:t>
        </w:r>
      </w:hyperlink>
    </w:p>
    <w:bookmarkEnd w:id="27"/>
    <w:bookmarkEnd w:id="28"/>
    <w:bookmarkStart w:id="36" w:name="week-3-when-is-a-belief-rational"/>
    <w:p>
      <w:pPr>
        <w:pStyle w:val="Heading2"/>
      </w:pPr>
      <w:r>
        <w:t xml:space="preserve">Week 3: When Is a Belief Rational?</w:t>
      </w:r>
    </w:p>
    <w:bookmarkStart w:id="32" w:name="X3e7af50c37d0cd86e318a4e6cebb534cbf4604e"/>
    <w:p>
      <w:pPr>
        <w:pStyle w:val="Heading3"/>
      </w:pPr>
      <w:r>
        <w:t xml:space="preserve">Tuesday, September 15 (Lecture 5) — Perceptual evidence, and how many sources of knowledge there are</w:t>
      </w:r>
    </w:p>
    <w:p>
      <w:pPr>
        <w:pStyle w:val="FirstParagraph"/>
      </w:pPr>
      <w:r>
        <w:rPr>
          <w:b/>
          <w:bCs/>
        </w:rPr>
        <w:t xml:space="preserve">Required</w:t>
      </w:r>
      <w:r>
        <w:t xml:space="preserve">: Todd R. Long,</w:t>
      </w:r>
      <w:r>
        <w:t xml:space="preserve"> </w:t>
      </w:r>
      <w:hyperlink r:id="rId29">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 SEP,</w:t>
      </w:r>
      <w:r>
        <w:t xml:space="preserve"> </w:t>
      </w:r>
      <w:hyperlink r:id="rId30">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31">
        <w:r>
          <w:rPr>
            <w:rStyle w:val="Hyperlink"/>
          </w:rPr>
          <w:t xml:space="preserve">“Foundationalism”</w:t>
        </w:r>
      </w:hyperlink>
      <w:r>
        <w:t xml:space="preserve">, IEP,</w:t>
      </w:r>
      <w:r>
        <w:t xml:space="preserve"> </w:t>
      </w:r>
      <w:r>
        <w:rPr>
          <w:b/>
          <w:bCs/>
        </w:rPr>
        <w:t xml:space="preserve">§§1–2</w:t>
      </w:r>
      <w:r>
        <w:t xml:space="preserve">.</w:t>
      </w:r>
    </w:p>
    <w:bookmarkEnd w:id="32"/>
    <w:bookmarkStart w:id="35"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3">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4">
        <w:r>
          <w:rPr>
            <w:rStyle w:val="Hyperlink"/>
          </w:rPr>
          <w:t xml:space="preserve">“Knowledge Does Not Protect Against Illusory Truth.”</w:t>
        </w:r>
      </w:hyperlink>
    </w:p>
    <w:bookmarkEnd w:id="35"/>
    <w:bookmarkEnd w:id="36"/>
    <w:bookmarkStart w:id="43" w:name="week-4-believing-other-people"/>
    <w:p>
      <w:pPr>
        <w:pStyle w:val="Heading2"/>
      </w:pPr>
      <w:r>
        <w:t xml:space="preserve">Week 4: Believing Other People</w:t>
      </w:r>
    </w:p>
    <w:bookmarkStart w:id="39" w:name="X2f4db258e184addac6ffeb6677f9211ec667a7e"/>
    <w:p>
      <w:pPr>
        <w:pStyle w:val="Heading3"/>
      </w:pPr>
      <w:r>
        <w:t xml:space="preserve">Tuesday, September 22 (Lecture 7) — Does testimony stand on its own?</w:t>
      </w:r>
    </w:p>
    <w:p>
      <w:pPr>
        <w:pStyle w:val="FirstParagraph"/>
      </w:pPr>
      <w:r>
        <w:rPr>
          <w:b/>
          <w:bCs/>
        </w:rPr>
        <w:t xml:space="preserve">Required</w:t>
      </w:r>
      <w:r>
        <w:t xml:space="preserve">: Dhirendra Mohan Datta,</w:t>
      </w:r>
      <w:r>
        <w:t xml:space="preserve"> </w:t>
      </w:r>
      <w:hyperlink r:id="rId37">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8">
        <w:r>
          <w:rPr>
            <w:rStyle w:val="Hyperlink"/>
          </w:rPr>
          <w:t xml:space="preserve">“Epistemic Vigilance,”</w:t>
        </w:r>
      </w:hyperlink>
      <w:r>
        <w:t xml:space="preserve"> </w:t>
      </w:r>
      <w:r>
        <w:rPr>
          <w:i/>
          <w:iCs/>
        </w:rPr>
        <w:t xml:space="preserve">Mind &amp; Language</w:t>
      </w:r>
      <w:r>
        <w:t xml:space="preserve"> </w:t>
      </w:r>
      <w:r>
        <w:t xml:space="preserve">25 (2010).</w:t>
      </w:r>
    </w:p>
    <w:bookmarkEnd w:id="39"/>
    <w:bookmarkStart w:id="42"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40">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41">
        <w:r>
          <w:rPr>
            <w:rStyle w:val="Hyperlink"/>
          </w:rPr>
          <w:t xml:space="preserve">“The Social Dimensions of Scientific Knowledge”</w:t>
        </w:r>
      </w:hyperlink>
      <w:r>
        <w:t xml:space="preserve">, SEP,</w:t>
      </w:r>
      <w:r>
        <w:t xml:space="preserve"> </w:t>
      </w:r>
      <w:r>
        <w:rPr>
          <w:b/>
          <w:bCs/>
        </w:rPr>
        <w:t xml:space="preserve">§2</w:t>
      </w:r>
      <w:r>
        <w:t xml:space="preserve">.</w:t>
      </w:r>
    </w:p>
    <w:bookmarkEnd w:id="42"/>
    <w:bookmarkEnd w:id="43"/>
    <w:bookmarkStart w:id="51" w:name="week-5-science-and-the-mind"/>
    <w:p>
      <w:pPr>
        <w:pStyle w:val="Heading2"/>
      </w:pPr>
      <w:r>
        <w:t xml:space="preserve">Week 5: Science, and the Mind</w:t>
      </w:r>
    </w:p>
    <w:bookmarkStart w:id="46" w:name="X7524a51c009c670e26c19919c477934a9ae71cc"/>
    <w:p>
      <w:pPr>
        <w:pStyle w:val="Heading3"/>
      </w:pPr>
      <w:r>
        <w:t xml:space="preserve">Tuesday, September 29 (Lecture 9) — Why trust science, and how trust breaks</w:t>
      </w:r>
    </w:p>
    <w:p>
      <w:pPr>
        <w:pStyle w:val="FirstParagraph"/>
      </w:pPr>
      <w:r>
        <w:rPr>
          <w:b/>
          <w:bCs/>
        </w:rPr>
        <w:t xml:space="preserve">Required</w:t>
      </w:r>
      <w:r>
        <w:t xml:space="preserve">: C. Thi Nguyen,</w:t>
      </w:r>
      <w:r>
        <w:t xml:space="preserve"> </w:t>
      </w:r>
      <w:hyperlink r:id="rId44">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5">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r>
        <w:t xml:space="preserve"> </w:t>
      </w:r>
      <w:r>
        <w:t xml:space="preserve">(NOTE FOR GSIs; should I just post the questions earlier?)</w:t>
      </w:r>
    </w:p>
    <w:bookmarkEnd w:id="46"/>
    <w:bookmarkStart w:id="50"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7">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8">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9">
        <w:r>
          <w:rPr>
            <w:rStyle w:val="Hyperlink"/>
          </w:rPr>
          <w:t xml:space="preserve">“Sense-Data”</w:t>
        </w:r>
      </w:hyperlink>
      <w:r>
        <w:t xml:space="preserve">, IEP.</w:t>
      </w:r>
    </w:p>
    <w:bookmarkEnd w:id="50"/>
    <w:bookmarkEnd w:id="51"/>
    <w:bookmarkStart w:id="57" w:name="week-6-consciousness"/>
    <w:p>
      <w:pPr>
        <w:pStyle w:val="Heading2"/>
      </w:pPr>
      <w:r>
        <w:t xml:space="preserve">Week 6: Consciousness</w:t>
      </w:r>
    </w:p>
    <w:p>
      <w:pPr>
        <w:pStyle w:val="FirstParagraph"/>
      </w:pPr>
      <w:r>
        <w:rPr>
          <w:i/>
          <w:iCs/>
        </w:rPr>
        <w:t xml:space="preserve">Short Answer 1 is written in section this week.</w:t>
      </w:r>
    </w:p>
    <w:bookmarkStart w:id="53"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52">
        <w:r>
          <w:rPr>
            <w:rStyle w:val="Hyperlink"/>
          </w:rPr>
          <w:t xml:space="preserve">“What Is It Like to Be a Bat?”</w:t>
        </w:r>
      </w:hyperlink>
      <w:r>
        <w:t xml:space="preserve">. Note this is slightly more reading than most days in class.</w:t>
      </w:r>
    </w:p>
    <w:bookmarkEnd w:id="53"/>
    <w:bookmarkStart w:id="56"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4">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5">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6"/>
    <w:bookmarkEnd w:id="57"/>
    <w:bookmarkStart w:id="66" w:name="week-7-dualism"/>
    <w:p>
      <w:pPr>
        <w:pStyle w:val="Heading2"/>
      </w:pPr>
      <w:r>
        <w:t xml:space="preserve">Week 7: Dualism</w:t>
      </w:r>
    </w:p>
    <w:bookmarkStart w:id="62"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8">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9">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60">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61">
        <w:r>
          <w:rPr>
            <w:rStyle w:val="Hyperlink"/>
          </w:rPr>
          <w:t xml:space="preserve">Meditation VI</w:t>
        </w:r>
      </w:hyperlink>
      <w:r>
        <w:t xml:space="preserve">, translated by Jonathan Bennett.</w:t>
      </w:r>
    </w:p>
    <w:bookmarkEnd w:id="62"/>
    <w:bookmarkStart w:id="65"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60">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3">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4">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5"/>
    <w:bookmarkEnd w:id="66"/>
    <w:bookmarkStart w:id="72" w:name="week-8-consequentialism"/>
    <w:p>
      <w:pPr>
        <w:pStyle w:val="Heading2"/>
      </w:pPr>
      <w:r>
        <w:t xml:space="preserve">Week 8: Consequentialism</w:t>
      </w:r>
    </w:p>
    <w:p>
      <w:pPr>
        <w:pStyle w:val="FirstParagraph"/>
      </w:pPr>
      <w:r>
        <w:rPr>
          <w:i/>
          <w:iCs/>
        </w:rPr>
        <w:t xml:space="preserve">Short Answer 2 due Friday, October 23.</w:t>
      </w:r>
    </w:p>
    <w:bookmarkStart w:id="67" w:name="X96837ae1114282219fbf9d652d877050467c741"/>
    <w:p>
      <w:pPr>
        <w:pStyle w:val="Heading3"/>
      </w:pPr>
      <w:r>
        <w:t xml:space="preserve">Tuesday, October 20 — Fall Study Break, no class</w:t>
      </w:r>
    </w:p>
    <w:bookmarkEnd w:id="67"/>
    <w:bookmarkStart w:id="71"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8">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9">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70">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71"/>
    <w:bookmarkEnd w:id="72"/>
    <w:bookmarkStart w:id="80" w:name="week-9-deontology-and-trolleys"/>
    <w:p>
      <w:pPr>
        <w:pStyle w:val="Heading2"/>
      </w:pPr>
      <w:r>
        <w:t xml:space="preserve">Week 9: Deontology and Trolleys</w:t>
      </w:r>
    </w:p>
    <w:bookmarkStart w:id="76"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3">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4">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5">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6"/>
    <w:bookmarkStart w:id="79"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7">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8">
        <w:r>
          <w:rPr>
            <w:rStyle w:val="Hyperlink"/>
          </w:rPr>
          <w:t xml:space="preserve">“The Trolley Problem”</w:t>
        </w:r>
      </w:hyperlink>
      <w:r>
        <w:t xml:space="preserve">, sections I and II.</w:t>
      </w:r>
    </w:p>
    <w:bookmarkEnd w:id="79"/>
    <w:bookmarkEnd w:id="80"/>
    <w:bookmarkStart w:id="87" w:name="week-10-what-makes-a-life-go-well"/>
    <w:p>
      <w:pPr>
        <w:pStyle w:val="Heading2"/>
      </w:pPr>
      <w:r>
        <w:t xml:space="preserve">Week 10: What Makes a Life Go Well</w:t>
      </w:r>
    </w:p>
    <w:bookmarkStart w:id="83"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81">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3"/>
    <w:bookmarkStart w:id="86"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4">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5">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6"/>
    <w:bookmarkEnd w:id="87"/>
    <w:bookmarkStart w:id="94" w:name="week-11-desire-and-the-objective-list"/>
    <w:p>
      <w:pPr>
        <w:pStyle w:val="Heading2"/>
      </w:pPr>
      <w:r>
        <w:t xml:space="preserve">Week 11: Desire, and the Objective List</w:t>
      </w:r>
    </w:p>
    <w:bookmarkStart w:id="89"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8">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81">
        <w:r>
          <w:rPr>
            <w:rStyle w:val="Hyperlink"/>
          </w:rPr>
          <w:t xml:space="preserve">“Theories of Well-Being”</w:t>
        </w:r>
      </w:hyperlink>
      <w:r>
        <w:t xml:space="preserve">, the desire-theory section.</w:t>
      </w:r>
    </w:p>
    <w:bookmarkEnd w:id="89"/>
    <w:bookmarkStart w:id="93"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90">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91">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92">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3"/>
    <w:bookmarkEnd w:id="94"/>
    <w:bookmarkStart w:id="103" w:name="week-12-the-self"/>
    <w:p>
      <w:pPr>
        <w:pStyle w:val="Heading2"/>
      </w:pPr>
      <w:r>
        <w:t xml:space="preserve">Week 12: The Self</w:t>
      </w:r>
    </w:p>
    <w:bookmarkStart w:id="98"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5">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6">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7">
        <w:r>
          <w:rPr>
            <w:rStyle w:val="Hyperlink"/>
          </w:rPr>
          <w:t xml:space="preserve">“Personal Identity: How We Exist Over Time”</w:t>
        </w:r>
      </w:hyperlink>
      <w:r>
        <w:t xml:space="preserve"> </w:t>
      </w:r>
      <w:r>
        <w:t xml:space="preserve">(1000-Word Philosophy).</w:t>
      </w:r>
    </w:p>
    <w:bookmarkEnd w:id="98"/>
    <w:bookmarkStart w:id="102"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9">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100">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101">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9">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102"/>
    <w:bookmarkEnd w:id="103"/>
    <w:bookmarkStart w:id="108" w:name="week-13-law"/>
    <w:p>
      <w:pPr>
        <w:pStyle w:val="Heading2"/>
      </w:pPr>
      <w:r>
        <w:t xml:space="preserve">Week 13: Law</w:t>
      </w:r>
    </w:p>
    <w:p>
      <w:pPr>
        <w:pStyle w:val="FirstParagraph"/>
      </w:pPr>
      <w:r>
        <w:rPr>
          <w:i/>
          <w:iCs/>
        </w:rPr>
        <w:t xml:space="preserve">Essay due Monday, November 23.</w:t>
      </w:r>
    </w:p>
    <w:bookmarkStart w:id="106"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4">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5">
        <w:r>
          <w:rPr>
            <w:rStyle w:val="Hyperlink"/>
            <w:i/>
            <w:iCs/>
          </w:rPr>
          <w:t xml:space="preserve">Crito</w:t>
        </w:r>
      </w:hyperlink>
      <w:r>
        <w:t xml:space="preserve">. (Jowett translation, Project Gutenberg)</w:t>
      </w:r>
    </w:p>
    <w:bookmarkEnd w:id="106"/>
    <w:bookmarkStart w:id="107" w:name="X1409287e655faaa706d560809809ecb7d412b48"/>
    <w:p>
      <w:pPr>
        <w:pStyle w:val="Heading3"/>
      </w:pPr>
      <w:r>
        <w:t xml:space="preserve">Thursday, November 26 — Thanksgiving recess, no class</w:t>
      </w:r>
    </w:p>
    <w:bookmarkEnd w:id="107"/>
    <w:bookmarkEnd w:id="108"/>
    <w:bookmarkStart w:id="115" w:name="week-14-punishment-and-speech"/>
    <w:p>
      <w:pPr>
        <w:pStyle w:val="Heading2"/>
      </w:pPr>
      <w:r>
        <w:t xml:space="preserve">Week 14: Punishment and Speech</w:t>
      </w:r>
    </w:p>
    <w:bookmarkStart w:id="111"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9">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10">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11"/>
    <w:bookmarkStart w:id="114"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12">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3">
        <w:r>
          <w:rPr>
            <w:rStyle w:val="Hyperlink"/>
            <w:i/>
            <w:iCs/>
          </w:rPr>
          <w:t xml:space="preserve">On Liberty</w:t>
        </w:r>
      </w:hyperlink>
      <w:r>
        <w:t xml:space="preserve">, extract from Chapter 2 on Canvas.</w:t>
      </w:r>
    </w:p>
    <w:bookmarkEnd w:id="114"/>
    <w:bookmarkEnd w:id="115"/>
    <w:bookmarkStart w:id="119" w:name="week-15-ending"/>
    <w:p>
      <w:pPr>
        <w:pStyle w:val="Heading2"/>
      </w:pPr>
      <w:r>
        <w:t xml:space="preserve">Week 15: Ending</w:t>
      </w:r>
    </w:p>
    <w:bookmarkStart w:id="117"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6">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7"/>
    <w:bookmarkStart w:id="118"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p>
      <w:r>
        <w:br w:type="page"/>
      </w:r>
    </w:p>
    <w:bookmarkEnd w:id="118"/>
    <w:bookmarkEnd w:id="119"/>
    <w:bookmarkEnd w:id="120"/>
    <w:bookmarkStart w:id="123" w:name="open-for-the-gsi-meeting"/>
    <w:p>
      <w:pPr>
        <w:pStyle w:val="Heading1"/>
      </w:pPr>
      <w:r>
        <w:t xml:space="preserve">Open for the GSI meeting</w:t>
      </w:r>
    </w:p>
    <w:p>
      <w:pPr>
        <w:pStyle w:val="FirstParagraph"/>
      </w:pPr>
      <w:r>
        <w:rPr>
          <w:i/>
          <w:iCs/>
        </w:rPr>
        <w:t xml:space="preserve">This section is not for students. Delete it before the syllabus goes out.</w:t>
      </w:r>
    </w:p>
    <w:bookmarkStart w:id="121" w:name="the-section-component"/>
    <w:p>
      <w:pPr>
        <w:pStyle w:val="Heading2"/>
      </w:pPr>
      <w:r>
        <w:t xml:space="preserve">The section component</w:t>
      </w:r>
    </w:p>
    <w:p>
      <w:pPr>
        <w:pStyle w:val="FirstParagraph"/>
      </w:pPr>
      <w:r>
        <w:t xml:space="preserve">We should decide what to do with the 20%. That’s a lot for you, but on the other hand, it gives you plenty of things to do in class, and two classes a week is a lot to prep. So I think we should go with something like</w:t>
      </w:r>
    </w:p>
    <w:p>
      <w:pPr>
        <w:pStyle w:val="Compact"/>
        <w:numPr>
          <w:ilvl w:val="0"/>
          <w:numId w:val="1003"/>
        </w:numPr>
      </w:pPr>
      <w:r>
        <w:t xml:space="preserve">Short Answer 1 ~8%</w:t>
      </w:r>
    </w:p>
    <w:p>
      <w:pPr>
        <w:pStyle w:val="Compact"/>
        <w:numPr>
          <w:ilvl w:val="0"/>
          <w:numId w:val="1003"/>
        </w:numPr>
      </w:pPr>
      <w:r>
        <w:t xml:space="preserve">Presentations on readings ~6%</w:t>
      </w:r>
    </w:p>
    <w:p>
      <w:pPr>
        <w:pStyle w:val="Compact"/>
        <w:numPr>
          <w:ilvl w:val="0"/>
          <w:numId w:val="1003"/>
        </w:numPr>
      </w:pPr>
      <w:r>
        <w:t xml:space="preserve">Participation ~6%</w:t>
      </w:r>
    </w:p>
    <w:p>
      <w:pPr>
        <w:pStyle w:val="FirstParagraph"/>
      </w:pPr>
      <w:r>
        <w:t xml:space="preserve">But we can alter point 2, or add something else. I think it would</w:t>
      </w:r>
      <w:r>
        <w:t xml:space="preserve"> </w:t>
      </w:r>
      <w:r>
        <w:rPr>
          <w:i/>
          <w:iCs/>
        </w:rPr>
        <w:t xml:space="preserve">probably</w:t>
      </w:r>
      <w:r>
        <w:t xml:space="preserve"> </w:t>
      </w:r>
      <w:r>
        <w:t xml:space="preserve">be best to be uniform across the sections, but I’m willing to be talked out of it.</w:t>
      </w:r>
    </w:p>
    <w:bookmarkEnd w:id="121"/>
    <w:bookmarkStart w:id="122" w:name="Xf660aefd2a59bc7f4248464b5e42510079fc03f"/>
    <w:p>
      <w:pPr>
        <w:pStyle w:val="Heading2"/>
      </w:pPr>
      <w:r>
        <w:t xml:space="preserve">Consequences of the November essay deadline</w:t>
      </w:r>
    </w:p>
    <w:p>
      <w:pPr>
        <w:pStyle w:val="FirstParagraph"/>
      </w:pPr>
      <w:r>
        <w:t xml:space="preserve">The essay is due Monday 23 November so that marked essays go back before the examination.</w:t>
      </w:r>
    </w:p>
    <w:p>
      <w:pPr>
        <w:pStyle w:val="BodyText"/>
      </w:pPr>
      <w:r>
        <w:t xml:space="preserve">Short Answer 2 is marked across two weeks, 23 October to 6 November. That’s an important deadline to hit, because the students should use the feedback from in in essay 1. Also, this should get</w:t>
      </w:r>
      <w:r>
        <w:t xml:space="preserve"> </w:t>
      </w:r>
      <w:r>
        <w:rPr>
          <w:i/>
          <w:iCs/>
        </w:rPr>
        <w:t xml:space="preserve">more</w:t>
      </w:r>
      <w:r>
        <w:t xml:space="preserve"> </w:t>
      </w:r>
      <w:r>
        <w:t xml:space="preserve">feedback than either short answer 1 or frankly the essay. (And definitely more than the exam.)</w:t>
      </w:r>
    </w:p>
    <w:p>
      <w:pPr>
        <w:pStyle w:val="BodyText"/>
      </w:pPr>
      <w:r>
        <w:t xml:space="preserve">Then essay marking doesn’t have as hard a deadline; ideally 2 weeks after it’s turned in, but a bit of slippage here isn’t the end of the world.</w:t>
      </w:r>
    </w:p>
    <w:p>
      <w:pPr>
        <w:pStyle w:val="BodyText"/>
      </w:pPr>
      <w:r>
        <w:t xml:space="preserve">The stuff at the end isn’t as crucial to the grading, because it only shows up on one quiz and an exam. That may result in some loss of enthusiasm. Now maybe that’s fine; it’s the end of term. And free speech normally gets enough enthusiasm anyway. And no matter what the grade, students over-index on the importance of the exam. But if you’re worried, we could move some of the 20% to in class activities after the essay is due in.</w:t>
      </w:r>
    </w:p>
    <w:p>
      <w:pPr>
        <w:pStyle w:val="BodyText"/>
      </w:pPr>
      <w:r>
        <w:t xml:space="preserve">Short Answer 1 is meant to be in class, and this could cause accommodations complications. We should flag this early, and get on top of any issues. The same goes for any other in class writing assignments you want to do. Also, you might want to schedule a makeup slot - preferably one slot across all six sections, because out of 150 we will always have some crises.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97"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9"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2" Target="https://1000wordphilosophy.com/2021/02/04/free-speech/" TargetMode="External" /><Relationship Type="http://schemas.openxmlformats.org/officeDocument/2006/relationships/hyperlink" Id="rId95" Target="https://1000wordphilosophy.com/2022/02/03/psychological-approaches-to-personal-identity/" TargetMode="External" /><Relationship Type="http://schemas.openxmlformats.org/officeDocument/2006/relationships/hyperlink" Id="rId100"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91"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6"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10" Target="https://plato.stanford.edu/entries/legal-punishment/" TargetMode="External" /><Relationship Type="http://schemas.openxmlformats.org/officeDocument/2006/relationships/hyperlink" Id="rId101"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90" Target="https://plato.stanford.edu/entries/moral-animal/#MorConAni"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88" Target="https://plato.stanford.edu/entries/well-being/#DesThe" TargetMode="External" /><Relationship Type="http://schemas.openxmlformats.org/officeDocument/2006/relationships/hyperlink" Id="rId84" Target="https://plato.stanford.edu/entries/well-being/#Hed" TargetMode="External" /><Relationship Type="http://schemas.openxmlformats.org/officeDocument/2006/relationships/hyperlink" Id="rId52" Target="https://rintintin.colorado.edu/~vancecd/phil201/Nagel.pdf" TargetMode="External" /><Relationship Type="http://schemas.openxmlformats.org/officeDocument/2006/relationships/hyperlink" Id="rId85" Target="https://rintintin.colorado.edu/~vancecd/phil3160/Nozick1.pdf" TargetMode="External" /><Relationship Type="http://schemas.openxmlformats.org/officeDocument/2006/relationships/hyperlink" Id="rId96"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34" Target="https://www.apa.org/pubs/journals/features/xge-0000098.pdf" TargetMode="External" /><Relationship Type="http://schemas.openxmlformats.org/officeDocument/2006/relationships/hyperlink" Id="rId92"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artes1643_1.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9"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5" Target="https://www.gutenberg.org/files/1657/1657-h/1657-h.htm" TargetMode="External" /><Relationship Type="http://schemas.openxmlformats.org/officeDocument/2006/relationships/hyperlink" Id="rId113"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37" Target="https://www.jstor.org/stable/2249544" TargetMode="External" /><Relationship Type="http://schemas.openxmlformats.org/officeDocument/2006/relationships/hyperlink" Id="rId104" Target="https://www.protevi.com/john/FH/PDF/Crito.pdf" TargetMode="External" /><Relationship Type="http://schemas.openxmlformats.org/officeDocument/2006/relationships/hyperlink" Id="rId81"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7"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9"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2" Target="https://1000wordphilosophy.com/2021/02/04/free-speech/" TargetMode="External" /><Relationship Type="http://schemas.openxmlformats.org/officeDocument/2006/relationships/hyperlink" Id="rId95" Target="https://1000wordphilosophy.com/2022/02/03/psychological-approaches-to-personal-identity/" TargetMode="External" /><Relationship Type="http://schemas.openxmlformats.org/officeDocument/2006/relationships/hyperlink" Id="rId100"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91"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6"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10" Target="https://plato.stanford.edu/entries/legal-punishment/" TargetMode="External" /><Relationship Type="http://schemas.openxmlformats.org/officeDocument/2006/relationships/hyperlink" Id="rId101"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90" Target="https://plato.stanford.edu/entries/moral-animal/#MorConAni"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88" Target="https://plato.stanford.edu/entries/well-being/#DesThe" TargetMode="External" /><Relationship Type="http://schemas.openxmlformats.org/officeDocument/2006/relationships/hyperlink" Id="rId84" Target="https://plato.stanford.edu/entries/well-being/#Hed" TargetMode="External" /><Relationship Type="http://schemas.openxmlformats.org/officeDocument/2006/relationships/hyperlink" Id="rId52" Target="https://rintintin.colorado.edu/~vancecd/phil201/Nagel.pdf" TargetMode="External" /><Relationship Type="http://schemas.openxmlformats.org/officeDocument/2006/relationships/hyperlink" Id="rId85" Target="https://rintintin.colorado.edu/~vancecd/phil3160/Nozick1.pdf" TargetMode="External" /><Relationship Type="http://schemas.openxmlformats.org/officeDocument/2006/relationships/hyperlink" Id="rId96"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34" Target="https://www.apa.org/pubs/journals/features/xge-0000098.pdf" TargetMode="External" /><Relationship Type="http://schemas.openxmlformats.org/officeDocument/2006/relationships/hyperlink" Id="rId92"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artes1643_1.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9"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5" Target="https://www.gutenberg.org/files/1657/1657-h/1657-h.htm" TargetMode="External" /><Relationship Type="http://schemas.openxmlformats.org/officeDocument/2006/relationships/hyperlink" Id="rId113"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37" Target="https://www.jstor.org/stable/2249544" TargetMode="External" /><Relationship Type="http://schemas.openxmlformats.org/officeDocument/2006/relationships/hyperlink" Id="rId104" Target="https://www.protevi.com/john/FH/PDF/Crito.pdf" TargetMode="External" /><Relationship Type="http://schemas.openxmlformats.org/officeDocument/2006/relationships/hyperlink" Id="rId81"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2026-08-18T13:52:32Z</dcterms:created>
  <dcterms:modified xsi:type="dcterms:W3CDTF">2026-08-18T13:52:32Z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