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05.png" ContentType="image/png"/>
  <Override PartName="/word/media/rId165.png" ContentType="image/png"/>
  <Override PartName="/word/media/rId158.png" ContentType="image/png"/>
  <Override PartName="/word/media/rId148.png" ContentType="image/png"/>
  <Override PartName="/word/media/rId133.png" ContentType="image/png"/>
  <Override PartName="/word/media/rId52.png" ContentType="image/png"/>
  <Override PartName="/word/media/rId24.png" ContentType="image/png"/>
  <Override PartName="/word/media/rId2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2023-10-17</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bookmarkStart w:id="23" w:name="tbl-gen-dem-problem-text"/>
    <w:p>
      <w:pPr>
        <w:pStyle w:val="TableCaption"/>
      </w:pPr>
      <w:r>
        <w:t xml:space="preserve">Table 1.1: The generic demonic decision problem.</w:t>
      </w:r>
    </w:p>
    <w:tbl>
      <w:tblPr>
        <w:tblStyle w:val="Table"/>
        <w:tblW w:type="auto" w:w="0"/>
        <w:tblLook w:firstRow="1" w:lastRow="0" w:firstColumn="0" w:lastColumn="0" w:noHBand="0" w:noVBand="0" w:val="0020"/>
        <w:jc w:val="start"/>
        <w:tblCaption w:val="Table 1.1: The generic demonic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Pr>
      <w:tblGrid>
        <w:gridCol w:w="7920"/>
      </w:tblGrid>
      <w:tr>
        <w:tc>
          <w:tcPr/>
          <w:bookmarkStart w:id="27" w:name="fig-gen-dem-problem-text"/>
          <w:p>
            <w:pPr>
              <w:jc w:val="center"/>
            </w:pPr>
            <w:r>
              <w:drawing>
                <wp:inline>
                  <wp:extent cx="1969476" cy="1400652"/>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969476" cy="14006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bookmarkStart w:id="28"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8"/>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r>
        <w:rPr>
          <w:bCs/>
          <w:b/>
        </w:rPr>
        <w:t xml:space="preserve">?@tbl-tbl-stag-decision-first</w:t>
      </w:r>
      <w:r>
        <w:t xml:space="preserve">.</w:t>
      </w:r>
    </w:p>
    <w:bookmarkStart w:id="30" w:name="tbl-stag-decision-first"/>
    <w:p>
      <w:pPr>
        <w:pStyle w:val="Tabl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30"/>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5"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5"/>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bookmarkStart w:id="38"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4</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8</w:t>
            </w:r>
          </w:p>
        </w:tc>
      </w:tr>
    </w:tbl>
    <w:bookmarkEnd w:id="38"/>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79" w:name="sec-ideal"/>
    <w:p>
      <w:pPr>
        <w:pStyle w:val="Heading1"/>
      </w:pPr>
      <w:r>
        <w:t xml:space="preserve">2. Idealised</w:t>
      </w:r>
    </w:p>
    <w:bookmarkStart w:id="63"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55" w:name="fig-salesman-points"/>
          <w:p>
            <w:pPr>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9"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9"/>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1"/>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2"/>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3"/>
    <w:bookmarkStart w:id="71"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4"/>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5"/>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66"/>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69" w:name="tbl-rps"/>
    <w:tbl>
      <w:tblPr>
        <w:tblStyle w:val="Table"/>
        <w:tblW w:type="pct" w:w="5000"/>
        <w:tblLook w:firstRow="0" w:lastRow="0" w:firstColumn="0" w:lastColumn="0" w:noHBand="0" w:noVBand="0" w:val="0000"/>
        <w:jc w:val="start"/>
      </w:tblPr>
      <w:tblGrid>
        <w:gridCol w:w="3960"/>
        <w:gridCol w:w="3960"/>
      </w:tblGrid>
      <w:tr>
        <w:tc>
          <w:tcPr/>
          <w:bookmarkStart w:id="67"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8"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8"/>
          <w:p/>
        </w:tc>
      </w:tr>
    </w:tbl>
    <w:p>
      <w:pPr>
        <w:pStyle w:val="BodyText"/>
      </w:pPr>
      <w:pPr>
        <w:spacing w:before="200"/>
        <w:pStyle w:val="ImageCaption"/>
      </w:pPr>
      <w:r>
        <w:t xml:space="preserve">Table 2.2: Two versions of Rock-Paper-Scissors</w:t>
      </w:r>
    </w:p>
    <w:bookmarkEnd w:id="69"/>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0"/>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1"/>
    <w:bookmarkStart w:id="73"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2"/>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3"/>
    <w:bookmarkStart w:id="77"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4"/>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5"/>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6"/>
      </w:r>
      <w:r>
        <w:t xml:space="preserve"> </w:t>
      </w:r>
      <w:r>
        <w:t xml:space="preserve">was theoretically fruitful in the understanding of very non-ideal behavior.</w:t>
      </w:r>
    </w:p>
    <w:bookmarkEnd w:id="77"/>
    <w:bookmarkStart w:id="78"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8"/>
    <w:bookmarkEnd w:id="79"/>
    <w:bookmarkStart w:id="88"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1"/>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2"/>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3"/>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4"/>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5"/>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6"/>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7"/>
      </w:r>
    </w:p>
    <w:bookmarkEnd w:id="88"/>
    <w:bookmarkStart w:id="113" w:name="sec-causal"/>
    <w:p>
      <w:pPr>
        <w:pStyle w:val="Heading1"/>
      </w:pPr>
      <w:r>
        <w:t xml:space="preserve">4. Causal</w:t>
      </w:r>
    </w:p>
    <w:p>
      <w:pPr>
        <w:pStyle w:val="FirstParagraph"/>
      </w:pPr>
      <w:r>
        <w:t xml:space="preserve">It shouldn’t be controversial</w:t>
      </w:r>
      <w:r>
        <w:rPr>
          <w:rStyle w:val="FootnoteReference"/>
        </w:rPr>
        <w:footnoteReference w:id="89"/>
      </w:r>
      <w:r>
        <w:t xml:space="preserve"> </w:t>
      </w:r>
      <w:r>
        <w:t xml:space="preserve">to claim that game theory textbooks are committed a broadly causal version of decision theory.</w:t>
      </w:r>
      <w:r>
        <w:rPr>
          <w:rStyle w:val="FootnoteReference"/>
        </w:rPr>
        <w:footnoteReference w:id="90"/>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1"/>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2"/>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99"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93"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3"/>
    <w:p>
      <w:pPr>
        <w:pStyle w:val="BodyText"/>
      </w:pPr>
      <w:r>
        <w:t xml:space="preserve">Everyone agrees that there is nothing to choose between the options here.</w:t>
      </w:r>
      <w:r>
        <w:rPr>
          <w:rStyle w:val="FootnoteReference"/>
        </w:rPr>
        <w:footnoteReference w:id="94"/>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5"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5"/>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6"/>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7"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7"/>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8"/>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99"/>
    <w:bookmarkStart w:id="100"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0"/>
    <w:bookmarkStart w:id="112"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3" w:name="tbl-edt-war"/>
    <w:tbl>
      <w:tblPr>
        <w:tblStyle w:val="Table"/>
        <w:tblW w:type="pct" w:w="5000"/>
        <w:tblLook w:firstRow="0" w:lastRow="0" w:firstColumn="0" w:lastColumn="0" w:noHBand="0" w:noVBand="0" w:val="0000"/>
        <w:jc w:val="start"/>
      </w:tblPr>
      <w:tblGrid>
        <w:gridCol w:w="3960"/>
        <w:gridCol w:w="3960"/>
      </w:tblGrid>
      <w:tr>
        <w:tc>
          <w:tcPr/>
          <w:bookmarkStart w:id="101"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1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2"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102"/>
          <w:p/>
        </w:tc>
      </w:tr>
    </w:tbl>
    <w:p>
      <w:pPr>
        <w:pStyle w:val="BodyText"/>
      </w:pPr>
      <w:pPr>
        <w:spacing w:before="200"/>
        <w:pStyle w:val="ImageCaption"/>
      </w:pPr>
      <w:r>
        <w:t xml:space="preserve">Table 4.4: A Newcomb problem with two demons</w:t>
      </w:r>
    </w:p>
    <w:bookmarkEnd w:id="103"/>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104"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104"/>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108" w:name="fig-second-anti-war"/>
          <w:p>
            <w:pPr>
              <w:jc w:val="center"/>
            </w:pPr>
            <w:r>
              <w:drawing>
                <wp:inline>
                  <wp:extent cx="2250830" cy="3208045"/>
                  <wp:effectExtent b="0" l="0" r="0" t="0"/>
                  <wp:docPr descr="" title="" id="106" name="Picture"/>
                  <a:graphic>
                    <a:graphicData uri="http://schemas.openxmlformats.org/drawingml/2006/picture">
                      <pic:pic>
                        <pic:nvPicPr>
                          <pic:cNvPr descr="causal_files/figure-docx/fig-second-anti-war-1.png" id="107" name="Picture"/>
                          <pic:cNvPicPr>
                            <a:picLocks noChangeArrowheads="1" noChangeAspect="1"/>
                          </pic:cNvPicPr>
                        </pic:nvPicPr>
                        <pic:blipFill>
                          <a:blip r:embed="rId105"/>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108"/>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109"/>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rPr>
          <w:rStyle w:val="FootnoteReference"/>
        </w:rPr>
        <w:footnoteReference w:id="110"/>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111"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111"/>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12"/>
    <w:bookmarkEnd w:id="113"/>
    <w:bookmarkStart w:id="117"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114"/>
      </w:r>
      <w:r>
        <w:t xml:space="preserve"> </w:t>
      </w:r>
      <w:r>
        <w:t xml:space="preserve">One is that the chooser might not be capable of carrying out a mixed strategy. They might not, for instance, have any coins in their pocket.</w:t>
      </w:r>
      <w:r>
        <w:rPr>
          <w:rStyle w:val="FootnoteReference"/>
        </w:rPr>
        <w:footnoteReference w:id="115"/>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6"/>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7"/>
    <w:bookmarkStart w:id="122"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8"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18"/>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19"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9"/>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20"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20"/>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21"/>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22"/>
    <w:bookmarkStart w:id="173" w:name="sec-dual"/>
    <w:p>
      <w:pPr>
        <w:pStyle w:val="Heading1"/>
      </w:pPr>
      <w:r>
        <w:t xml:space="preserve">7. Dual Mandate</w:t>
      </w:r>
    </w:p>
    <w:bookmarkStart w:id="140"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6"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8"/>
        </w:numPr>
        <w:pStyle w:val="Compact"/>
      </w:pPr>
      <w:r>
        <w:t xml:space="preserve">A finite rooted directed tree.</w:t>
      </w:r>
      <w:r>
        <w:rPr>
          <w:rStyle w:val="FootnoteReference"/>
        </w:rPr>
        <w:footnoteReference w:id="123"/>
      </w:r>
    </w:p>
    <w:p>
      <w:pPr>
        <w:numPr>
          <w:ilvl w:val="0"/>
          <w:numId w:val="1008"/>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8"/>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8"/>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8"/>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4"/>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5"/>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6"/>
    <w:bookmarkStart w:id="128"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7"/>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8"/>
    <w:bookmarkStart w:id="130"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29"/>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30"/>
    <w:bookmarkStart w:id="139"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31"/>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2"/>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Pr>
      <w:tblGrid>
        <w:gridCol w:w="7920"/>
      </w:tblGrid>
      <w:tr>
        <w:tc>
          <w:tcPr/>
          <w:bookmarkStart w:id="136" w:name="fig-subgame-example"/>
          <w:p>
            <w:pPr>
              <w:jc w:val="center"/>
            </w:pPr>
            <w:r>
              <w:drawing>
                <wp:inline>
                  <wp:extent cx="2006175" cy="1363954"/>
                  <wp:effectExtent b="0" l="0" r="0" t="0"/>
                  <wp:docPr descr="" title="" id="134" name="Picture"/>
                  <a:graphic>
                    <a:graphicData uri="http://schemas.openxmlformats.org/drawingml/2006/picture">
                      <pic:pic>
                        <pic:nvPicPr>
                          <pic:cNvPr descr="dual_files/figure-docx/fig-subgame-example-1.png" id="135" name="Picture"/>
                          <pic:cNvPicPr>
                            <a:picLocks noChangeArrowheads="1" noChangeAspect="1"/>
                          </pic:cNvPicPr>
                        </pic:nvPicPr>
                        <pic:blipFill>
                          <a:blip r:embed="rId133"/>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6"/>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bookmarkStart w:id="137" w:name="tbl-subgame-example"/>
    <w:p>
      <w:pPr>
        <w:pStyle w:val="TableCaption"/>
      </w:pPr>
      <w:r>
        <w:t xml:space="preserve">Table 7.1: Strategic form of the Non-Equivalence Game</w:t>
      </w:r>
    </w:p>
    <w:tbl>
      <w:tblPr>
        <w:tblStyle w:val="Table"/>
        <w:tblW w:type="auto" w:w="0"/>
        <w:tblLook w:firstRow="1" w:lastRow="0" w:firstColumn="0" w:lastColumn="0" w:noHBand="0" w:noVBand="0" w:val="0020"/>
        <w:jc w:val="start"/>
        <w:tblCaption w:val="Table 7.1: Strategic form of the Non-Equivalence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LARA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LARB</w:t>
            </w:r>
          </w:p>
        </w:tc>
        <w:tc>
          <w:tcPr/>
          <w:p>
            <w:pPr>
              <w:pStyle w:val="Compact"/>
              <w:jc w:val="center"/>
            </w:pPr>
            <w:r>
              <w:t xml:space="preserve">2</w:t>
            </w:r>
          </w:p>
        </w:tc>
        <w:tc>
          <w:tcPr/>
          <w:p>
            <w:pPr>
              <w:pStyle w:val="Compact"/>
              <w:jc w:val="center"/>
            </w:pPr>
            <w:r>
              <w:t xml:space="preserve">1</w:t>
            </w:r>
          </w:p>
        </w:tc>
      </w:tr>
      <w:tr>
        <w:tc>
          <w:tcPr/>
          <w:p>
            <w:pPr>
              <w:pStyle w:val="Compact"/>
              <w:jc w:val="center"/>
            </w:pPr>
            <w:r>
              <w:rPr>
                <w:bCs/>
                <w:b/>
              </w:rPr>
              <w:t xml:space="preserve">LBRA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LBRB</w:t>
            </w:r>
          </w:p>
        </w:tc>
        <w:tc>
          <w:tcPr/>
          <w:p>
            <w:pPr>
              <w:pStyle w:val="Compact"/>
              <w:jc w:val="center"/>
            </w:pPr>
            <w:r>
              <w:t xml:space="preserve">0</w:t>
            </w:r>
          </w:p>
        </w:tc>
        <w:tc>
          <w:tcPr/>
          <w:p>
            <w:pPr>
              <w:pStyle w:val="Compact"/>
              <w:jc w:val="center"/>
            </w:pPr>
            <w:r>
              <w:t xml:space="preserve">1</w:t>
            </w:r>
          </w:p>
        </w:tc>
      </w:tr>
    </w:tbl>
    <w:bookmarkEnd w:id="137"/>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8"/>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39"/>
    <w:bookmarkEnd w:id="140"/>
    <w:bookmarkStart w:id="147" w:name="sec-four-options"/>
    <w:p>
      <w:pPr>
        <w:pStyle w:val="Heading2"/>
      </w:pPr>
      <w:r>
        <w:t xml:space="preserve">7.2 Four Options</w:t>
      </w:r>
    </w:p>
    <w:bookmarkStart w:id="144"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41"/>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2"/>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3"/>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4"/>
    <w:bookmarkStart w:id="145"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5"/>
    <w:bookmarkStart w:id="146"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6"/>
    <w:bookmarkEnd w:id="147"/>
    <w:bookmarkStart w:id="157"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Pr>
      <w:tblGrid>
        <w:gridCol w:w="7920"/>
      </w:tblGrid>
      <w:tr>
        <w:tc>
          <w:tcPr/>
          <w:bookmarkStart w:id="151" w:name="fig-stalnaker-centipede"/>
          <w:p>
            <w:pPr>
              <w:jc w:val="center"/>
            </w:pPr>
            <w:r>
              <w:drawing>
                <wp:inline>
                  <wp:extent cx="3422119" cy="1367012"/>
                  <wp:effectExtent b="0" l="0" r="0" t="0"/>
                  <wp:docPr descr="" title="" id="149" name="Picture"/>
                  <a:graphic>
                    <a:graphicData uri="http://schemas.openxmlformats.org/drawingml/2006/picture">
                      <pic:pic>
                        <pic:nvPicPr>
                          <pic:cNvPr descr="dual_files/figure-docx/fig-stalnaker-centipede-1.png" id="150" name="Picture"/>
                          <pic:cNvPicPr>
                            <a:picLocks noChangeArrowheads="1" noChangeAspect="1"/>
                          </pic:cNvPicPr>
                        </pic:nvPicPr>
                        <pic:blipFill>
                          <a:blip r:embed="rId148"/>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51"/>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2"/>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3"/>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4"/>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bookmarkStart w:id="155" w:name="tbl-stalnaker-centipede-strategies"/>
    <w:p>
      <w:pPr>
        <w:pStyle w:val="Tabl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2: The possible strategies for Chooser in Figure 7.2."/>
      </w:tblPr>
      <w:tblGrid>
        <w:gridCol w:w="2640"/>
        <w:gridCol w:w="2640"/>
        <w:gridCol w:w="2640"/>
      </w:tblGrid>
      <w:tr>
        <w:trPr>
          <w:tblHeader w:val="true"/>
        </w:trPr>
        <w:tc>
          <w:tcPr/>
          <w:p>
            <w:pPr>
              <w:pStyle w:val="Compact"/>
              <w:jc w:val="center"/>
            </w:pPr>
            <w:r>
              <w:t xml:space="preserve">Strategy</w:t>
            </w:r>
          </w:p>
        </w:tc>
        <w:tc>
          <w:tcPr/>
          <w:p>
            <w:pPr>
              <w:pStyle w:val="Compact"/>
              <w:jc w:val="center"/>
            </w:pPr>
            <w:r>
              <w:t xml:space="preserve">Move 1</w:t>
            </w:r>
          </w:p>
        </w:tc>
        <w:tc>
          <w:tcPr/>
          <w:p>
            <w:pPr>
              <w:pStyle w:val="Compact"/>
              <w:jc w:val="center"/>
            </w:pPr>
            <w:r>
              <w:t xml:space="preserve">Move 2</w:t>
            </w:r>
          </w:p>
        </w:tc>
      </w:tr>
      <w:tr>
        <w:tc>
          <w:tcPr/>
          <w:p>
            <w:pPr>
              <w:pStyle w:val="Compact"/>
              <w:jc w:val="center"/>
            </w:pPr>
            <w:r>
              <w:t xml:space="preserve">S</w:t>
            </w:r>
            <w:r>
              <w:rPr>
                <w:vertAlign w:val="subscript"/>
              </w:rPr>
              <w:t xml:space="preserve">1</w:t>
            </w:r>
          </w:p>
        </w:tc>
        <w:tc>
          <w:tcPr/>
          <w:p>
            <w:pPr>
              <w:pStyle w:val="Compact"/>
              <w:jc w:val="center"/>
            </w:pPr>
            <w:r>
              <w:t xml:space="preserve">D</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2</w:t>
            </w:r>
          </w:p>
        </w:tc>
        <w:tc>
          <w:tcPr/>
          <w:p>
            <w:pPr>
              <w:pStyle w:val="Compact"/>
              <w:jc w:val="center"/>
            </w:pPr>
            <w:r>
              <w:t xml:space="preserve">D</w:t>
            </w:r>
            <w:r>
              <w:rPr>
                <w:vertAlign w:val="subscript"/>
              </w:rPr>
              <w:t xml:space="preserve">1</w:t>
            </w:r>
          </w:p>
        </w:tc>
        <w:tc>
          <w:tcPr/>
          <w:p>
            <w:pPr>
              <w:pStyle w:val="Compact"/>
              <w:jc w:val="center"/>
            </w:pPr>
            <w:r>
              <w:t xml:space="preserve">A</w:t>
            </w:r>
            <w:r>
              <w:rPr>
                <w:vertAlign w:val="subscript"/>
              </w:rPr>
              <w:t xml:space="preserve">2</w:t>
            </w:r>
          </w:p>
        </w:tc>
      </w:tr>
      <w:tr>
        <w:tc>
          <w:tcPr/>
          <w:p>
            <w:pPr>
              <w:pStyle w:val="Compact"/>
              <w:jc w:val="center"/>
            </w:pPr>
            <w:r>
              <w:t xml:space="preserve">S</w:t>
            </w:r>
            <w:r>
              <w:rPr>
                <w:vertAlign w:val="subscript"/>
              </w:rPr>
              <w:t xml:space="preserve">3</w:t>
            </w:r>
          </w:p>
        </w:tc>
        <w:tc>
          <w:tcPr/>
          <w:p>
            <w:pPr>
              <w:pStyle w:val="Compact"/>
              <w:jc w:val="center"/>
            </w:pPr>
            <w:r>
              <w:t xml:space="preserve">A</w:t>
            </w:r>
            <w:r>
              <w:rPr>
                <w:vertAlign w:val="subscript"/>
              </w:rPr>
              <w:t xml:space="preserve">1</w:t>
            </w:r>
          </w:p>
        </w:tc>
        <w:tc>
          <w:tcPr/>
          <w:p>
            <w:pPr>
              <w:pStyle w:val="Compact"/>
              <w:jc w:val="center"/>
            </w:pPr>
            <w:r>
              <w:t xml:space="preserve">D</w:t>
            </w:r>
            <w:r>
              <w:rPr>
                <w:vertAlign w:val="subscript"/>
              </w:rPr>
              <w:t xml:space="preserve">2</w:t>
            </w:r>
          </w:p>
        </w:tc>
      </w:tr>
      <w:tr>
        <w:tc>
          <w:tcPr/>
          <w:p>
            <w:pPr>
              <w:pStyle w:val="Compact"/>
              <w:jc w:val="center"/>
            </w:pPr>
            <w:r>
              <w:t xml:space="preserve">S</w:t>
            </w:r>
            <w:r>
              <w:rPr>
                <w:vertAlign w:val="subscript"/>
              </w:rPr>
              <w:t xml:space="preserve">4</w:t>
            </w:r>
          </w:p>
        </w:tc>
        <w:tc>
          <w:tcPr/>
          <w:p>
            <w:pPr>
              <w:pStyle w:val="Compact"/>
              <w:jc w:val="center"/>
            </w:pPr>
            <w:r>
              <w:t xml:space="preserve">A</w:t>
            </w:r>
            <w:r>
              <w:rPr>
                <w:vertAlign w:val="subscript"/>
              </w:rPr>
              <w:t xml:space="preserve">1</w:t>
            </w:r>
          </w:p>
        </w:tc>
        <w:tc>
          <w:tcPr/>
          <w:p>
            <w:pPr>
              <w:pStyle w:val="Compact"/>
              <w:jc w:val="center"/>
            </w:pPr>
            <w:r>
              <w:t xml:space="preserve">A</w:t>
            </w:r>
            <w:r>
              <w:rPr>
                <w:vertAlign w:val="subscript"/>
              </w:rPr>
              <w:t xml:space="preserve">2</w:t>
            </w:r>
          </w:p>
        </w:tc>
      </w:tr>
    </w:tbl>
    <w:bookmarkEnd w:id="155"/>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bookmarkStart w:id="156" w:name="tbl-stalnaker-centipede"/>
    <w:p>
      <w:pPr>
        <w:pStyle w:val="Tabl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Caption w:val="Table 7.3: The strategic form of Figure 7.2."/>
      </w:tblPr>
      <w:tblGrid>
        <w:gridCol w:w="2640"/>
        <w:gridCol w:w="2640"/>
        <w:gridCol w:w="2640"/>
      </w:tblGrid>
      <w:tr>
        <w:trPr>
          <w:tblHeader w:val="true"/>
        </w:trPr>
        <w:tc>
          <w:tcPr/>
          <w:p>
            <w:pPr>
              <w:pStyle w:val="Compact"/>
            </w:pPr>
          </w:p>
        </w:tc>
        <w:tc>
          <w:tcPr/>
          <w:p>
            <w:pPr>
              <w:pStyle w:val="Compact"/>
              <w:jc w:val="center"/>
            </w:pPr>
            <w:r>
              <w:t xml:space="preserve">PO</w:t>
            </w:r>
          </w:p>
        </w:tc>
        <w:tc>
          <w:tcPr/>
          <w:p>
            <w:pPr>
              <w:pStyle w:val="Compact"/>
              <w:jc w:val="center"/>
            </w:pPr>
            <w:r>
              <w:t xml:space="preserve">PE</w:t>
            </w:r>
          </w:p>
        </w:tc>
      </w:tr>
      <w:tr>
        <w:tc>
          <w:tcPr/>
          <w:p>
            <w:pPr>
              <w:pStyle w:val="Compact"/>
              <w:jc w:val="center"/>
            </w:pPr>
            <w:r>
              <w:rPr>
                <w:bCs/>
                <w:b/>
              </w:rPr>
              <w:t xml:space="preserve">S</w:t>
            </w:r>
            <w:r>
              <w:rPr>
                <w:vertAlign w:val="subscript"/>
                <w:bCs/>
                <w:b/>
              </w:rP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2</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S</w:t>
            </w:r>
            <w:r>
              <w:rPr>
                <w:vertAlign w:val="subscript"/>
                <w:bCs/>
                <w:b/>
              </w:rPr>
              <w:t xml:space="preserve">3</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S</w:t>
            </w:r>
            <w:r>
              <w:rPr>
                <w:vertAlign w:val="subscript"/>
                <w:bCs/>
                <w:b/>
              </w:rPr>
              <w:t xml:space="preserve">4</w:t>
            </w:r>
          </w:p>
        </w:tc>
        <w:tc>
          <w:tcPr/>
          <w:p>
            <w:pPr>
              <w:pStyle w:val="Compact"/>
              <w:jc w:val="center"/>
            </w:pPr>
            <w:r>
              <w:t xml:space="preserve">3</w:t>
            </w:r>
          </w:p>
        </w:tc>
        <w:tc>
          <w:tcPr/>
          <w:p>
            <w:pPr>
              <w:pStyle w:val="Compact"/>
              <w:jc w:val="center"/>
            </w:pPr>
            <w:r>
              <w:t xml:space="preserve">1</w:t>
            </w:r>
          </w:p>
        </w:tc>
      </w:tr>
    </w:tbl>
    <w:bookmarkEnd w:id="156"/>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09"/>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09"/>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09"/>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09"/>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7"/>
    <w:bookmarkStart w:id="164"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10"/>
        </w:numPr>
        <w:pStyle w:val="Compact"/>
      </w:pPr>
      <w:r>
        <w:t xml:space="preserve">In dynamic choices, one should choose an optimal strategy at the start of the tree, and carry that strategy out the rest of the way.</w:t>
      </w:r>
    </w:p>
    <w:p>
      <w:pPr>
        <w:numPr>
          <w:ilvl w:val="0"/>
          <w:numId w:val="1010"/>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Pr>
      <w:tblGrid>
        <w:gridCol w:w="7920"/>
      </w:tblGrid>
      <w:tr>
        <w:tc>
          <w:tcPr/>
          <w:bookmarkStart w:id="161" w:name="fig-open-newcomb"/>
          <w:p>
            <w:pPr>
              <w:jc w:val="center"/>
            </w:pPr>
            <w:r>
              <w:drawing>
                <wp:inline>
                  <wp:extent cx="2006175" cy="1363954"/>
                  <wp:effectExtent b="0" l="0" r="0" t="0"/>
                  <wp:docPr descr="" title="" id="159" name="Picture"/>
                  <a:graphic>
                    <a:graphicData uri="http://schemas.openxmlformats.org/drawingml/2006/picture">
                      <pic:pic>
                        <pic:nvPicPr>
                          <pic:cNvPr descr="dual_files/figure-docx/fig-open-newcomb-1.png" id="160" name="Picture"/>
                          <pic:cNvPicPr>
                            <a:picLocks noChangeArrowheads="1" noChangeAspect="1"/>
                          </pic:cNvPicPr>
                        </pic:nvPicPr>
                        <pic:blipFill>
                          <a:blip r:embed="rId158"/>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61"/>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2"/>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bookmarkStart w:id="163" w:name="tbl-retaliation"/>
    <w:p>
      <w:pPr>
        <w:pStyle w:val="TableCaption"/>
      </w:pPr>
      <w:r>
        <w:t xml:space="preserve">Table 7.4: Deciding whether to retaliate.</w:t>
      </w:r>
    </w:p>
    <w:tbl>
      <w:tblPr>
        <w:tblStyle w:val="Table"/>
        <w:tblW w:type="auto" w:w="0"/>
        <w:tblLook w:firstRow="1" w:lastRow="0" w:firstColumn="0" w:lastColumn="0" w:noHBand="0" w:noVBand="0" w:val="0020"/>
        <w:jc w:val="start"/>
        <w:tblCaption w:val="Table 7.4: Deciding whether to retaliate."/>
      </w:tblPr>
      <w:tblGrid>
        <w:gridCol w:w="2640"/>
        <w:gridCol w:w="2640"/>
        <w:gridCol w:w="2640"/>
      </w:tblGrid>
      <w:tr>
        <w:trPr>
          <w:tblHeader w:val="true"/>
        </w:trPr>
        <w:tc>
          <w:tcPr/>
          <w:p>
            <w:pPr>
              <w:pStyle w:val="Compact"/>
            </w:pPr>
          </w:p>
        </w:tc>
        <w:tc>
          <w:tcPr/>
          <w:p>
            <w:pPr>
              <w:pStyle w:val="Compact"/>
              <w:jc w:val="center"/>
            </w:pPr>
            <w:r>
              <w:t xml:space="preserve">PN</w:t>
            </w:r>
          </w:p>
        </w:tc>
        <w:tc>
          <w:tcPr/>
          <w:p>
            <w:pPr>
              <w:pStyle w:val="Compact"/>
              <w:jc w:val="center"/>
            </w:pPr>
            <w: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0</w:t>
            </w:r>
          </w:p>
        </w:tc>
      </w:tr>
    </w:tbl>
    <w:bookmarkEnd w:id="163"/>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4"/>
    <w:bookmarkStart w:id="172"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Pr>
      <w:tblGrid>
        <w:gridCol w:w="7920"/>
      </w:tblGrid>
      <w:tr>
        <w:tc>
          <w:tcPr/>
          <w:bookmarkStart w:id="168" w:name="fig-against-consequence"/>
          <w:p>
            <w:pPr>
              <w:jc w:val="center"/>
            </w:pPr>
            <w:r>
              <w:drawing>
                <wp:inline>
                  <wp:extent cx="2287529" cy="2379274"/>
                  <wp:effectExtent b="0" l="0" r="0" t="0"/>
                  <wp:docPr descr="" title="" id="166" name="Picture"/>
                  <a:graphic>
                    <a:graphicData uri="http://schemas.openxmlformats.org/drawingml/2006/picture">
                      <pic:pic>
                        <pic:nvPicPr>
                          <pic:cNvPr descr="dual_files/figure-docx/fig-against-consequence-1.png" id="167" name="Picture"/>
                          <pic:cNvPicPr>
                            <a:picLocks noChangeArrowheads="1" noChangeAspect="1"/>
                          </pic:cNvPicPr>
                        </pic:nvPicPr>
                        <pic:blipFill>
                          <a:blip r:embed="rId165"/>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68"/>
        </w:tc>
      </w:tr>
    </w:tbl>
    <w:p>
      <w:pPr>
        <w:pStyle w:val="BodyText"/>
      </w:pPr>
      <w:r>
        <w:t xml:space="preserve"> </w:t>
      </w:r>
    </w:p>
    <w:bookmarkStart w:id="169" w:name="tbl-against-consequence-short"/>
    <w:p>
      <w:pPr>
        <w:pStyle w:val="Tabl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5: The second round game in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4</w:t>
            </w:r>
          </w:p>
        </w:tc>
        <w:tc>
          <w:tcPr/>
          <w:p>
            <w:pPr>
              <w:pStyle w:val="Compact"/>
              <w:jc w:val="center"/>
            </w:pPr>
            <w:r>
              <w:t xml:space="preserve">4</w:t>
            </w:r>
          </w:p>
        </w:tc>
      </w:tr>
    </w:tbl>
    <w:bookmarkEnd w:id="169"/>
    <w:p>
      <w:pPr>
        <w:pStyle w:val="BodyText"/>
      </w:pPr>
      <w:r>
        <w:t xml:space="preserve"> </w:t>
      </w:r>
    </w:p>
    <w:bookmarkStart w:id="170" w:name="tbl-against-consequence-long"/>
    <w:p>
      <w:pPr>
        <w:pStyle w:val="Tabl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Caption w:val="Table 7.6: The strategy table for Figure 7.4."/>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EA</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EB</w:t>
            </w:r>
          </w:p>
        </w:tc>
        <w:tc>
          <w:tcPr/>
          <w:p>
            <w:pPr>
              <w:pStyle w:val="Compact"/>
              <w:jc w:val="center"/>
            </w:pPr>
            <w:r>
              <w:t xml:space="preserve">5</w:t>
            </w:r>
          </w:p>
        </w:tc>
        <w:tc>
          <w:tcPr/>
          <w:p>
            <w:pPr>
              <w:pStyle w:val="Compact"/>
              <w:jc w:val="center"/>
            </w:pPr>
            <w:r>
              <w:t xml:space="preserve">5</w:t>
            </w:r>
          </w:p>
        </w:tc>
      </w:tr>
      <w:tr>
        <w:tc>
          <w:tcPr/>
          <w:p>
            <w:pPr>
              <w:pStyle w:val="Compact"/>
              <w:jc w:val="center"/>
            </w:pPr>
            <w:r>
              <w:rPr>
                <w:bCs/>
                <w:b/>
              </w:rPr>
              <w:t xml:space="preserve">CA</w:t>
            </w:r>
          </w:p>
        </w:tc>
        <w:tc>
          <w:tcPr/>
          <w:p>
            <w:pPr>
              <w:pStyle w:val="Compact"/>
              <w:jc w:val="center"/>
            </w:pPr>
            <w:r>
              <w:t xml:space="preserve">8</w:t>
            </w:r>
          </w:p>
        </w:tc>
        <w:tc>
          <w:tcPr/>
          <w:p>
            <w:pPr>
              <w:pStyle w:val="Compact"/>
              <w:jc w:val="center"/>
            </w:pPr>
            <w:r>
              <w:t xml:space="preserve">0</w:t>
            </w:r>
          </w:p>
        </w:tc>
      </w:tr>
      <w:tr>
        <w:tc>
          <w:tcPr/>
          <w:p>
            <w:pPr>
              <w:pStyle w:val="Compact"/>
              <w:jc w:val="center"/>
            </w:pPr>
            <w:r>
              <w:rPr>
                <w:bCs/>
                <w:b/>
              </w:rPr>
              <w:t xml:space="preserve">CB</w:t>
            </w:r>
          </w:p>
        </w:tc>
        <w:tc>
          <w:tcPr/>
          <w:p>
            <w:pPr>
              <w:pStyle w:val="Compact"/>
              <w:jc w:val="center"/>
            </w:pPr>
            <w:r>
              <w:t xml:space="preserve">4</w:t>
            </w:r>
          </w:p>
        </w:tc>
        <w:tc>
          <w:tcPr/>
          <w:p>
            <w:pPr>
              <w:pStyle w:val="Compact"/>
              <w:jc w:val="center"/>
            </w:pPr>
            <w:r>
              <w:t xml:space="preserve">4</w:t>
            </w:r>
          </w:p>
        </w:tc>
      </w:tr>
    </w:tbl>
    <w:bookmarkEnd w:id="170"/>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71"/>
      </w:r>
      <w:r>
        <w:t xml:space="preserve"> </w:t>
      </w:r>
      <w:r>
        <w:t xml:space="preserve">I don’t think this is ever an issue for CEDT, but it is an issue for other Purely Consequentialist theories. For instance, GDT says that either A or B is a permissible choice in</w:t>
      </w:r>
      <w:r>
        <w:t xml:space="preserve"> </w:t>
      </w:r>
      <w:r>
        <w:rPr>
          <w:bCs/>
          <w:b/>
        </w:rPr>
        <w:t xml:space="preserve">?@tbl-unstable-example</w:t>
      </w:r>
      <w:r>
        <w:t xml:space="preserve">.</w:t>
      </w:r>
    </w:p>
    <w:bookmarkEnd w:id="172"/>
    <w:bookmarkEnd w:id="173"/>
    <w:bookmarkStart w:id="191"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74"/>
      </w:r>
      <w:r>
        <w:t xml:space="preserve"> </w:t>
      </w:r>
      <w:r>
        <w:t xml:space="preserve">Here is an example of a Stag Hunt decision.</w:t>
      </w:r>
    </w:p>
    <w:bookmarkStart w:id="175"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7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7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77"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7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1"/>
        </w:numPr>
        <w:pStyle w:val="Compact"/>
      </w:pPr>
      <w:r>
        <w:t xml:space="preserve">Both Demon-1 and Demon-2 predict Chooser, but do not reveal their prediction.</w:t>
      </w:r>
    </w:p>
    <w:p>
      <w:pPr>
        <w:numPr>
          <w:ilvl w:val="0"/>
          <w:numId w:val="1011"/>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1"/>
        </w:numPr>
        <w:pStyle w:val="Compact"/>
      </w:pPr>
      <w:r>
        <w:t xml:space="preserve">Chooser chooses Up or Down.</w:t>
      </w:r>
    </w:p>
    <w:p>
      <w:pPr>
        <w:numPr>
          <w:ilvl w:val="0"/>
          <w:numId w:val="1011"/>
        </w:numPr>
        <w:pStyle w:val="Compact"/>
      </w:pPr>
      <w:r>
        <w:t xml:space="preserve">Demon-2’s prediction is chosen, and that determines whether we are in state PU or state PD.</w:t>
      </w:r>
    </w:p>
    <w:p>
      <w:pPr>
        <w:numPr>
          <w:ilvl w:val="0"/>
          <w:numId w:val="1011"/>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80" w:name="tbl-general-exit"/>
    <w:tbl>
      <w:tblPr>
        <w:tblStyle w:val="Table"/>
        <w:tblW w:type="pct" w:w="5000"/>
        <w:tblLook w:firstRow="0" w:lastRow="0" w:firstColumn="0" w:lastColumn="0" w:noHBand="0" w:noVBand="0" w:val="0000"/>
        <w:jc w:val="start"/>
      </w:tblPr>
      <w:tblGrid>
        <w:gridCol w:w="3960"/>
        <w:gridCol w:w="3960"/>
      </w:tblGrid>
      <w:tr>
        <w:tc>
          <w:tcPr/>
          <w:bookmarkStart w:id="17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7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7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79"/>
          <w:p/>
        </w:tc>
      </w:tr>
    </w:tbl>
    <w:p>
      <w:pPr>
        <w:pStyle w:val="BodyText"/>
      </w:pPr>
      <w:pPr>
        <w:spacing w:before="200"/>
        <w:pStyle w:val="ImageCaption"/>
      </w:pPr>
      <w:r>
        <w:t xml:space="preserve">Table 8.3: The abstract form of an exit problem.</w:t>
      </w:r>
    </w:p>
    <w:bookmarkEnd w:id="18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2"/>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3"/>
        </w:numPr>
        <w:pStyle w:val="Compact"/>
      </w:pPr>
      <w:r>
        <w:t xml:space="preserve">If</w:t>
      </w:r>
      <w:r>
        <w:t xml:space="preserve"> </w:t>
      </w:r>
      <w:r>
        <w:rPr>
          <w:iCs/>
          <w:i/>
        </w:rPr>
        <w:t xml:space="preserve">p</w:t>
      </w:r>
      <w:r>
        <w:t xml:space="preserve"> </w:t>
      </w:r>
      <w:r>
        <w:t xml:space="preserve">happens, what do you want to do?</w:t>
      </w:r>
    </w:p>
    <w:p>
      <w:pPr>
        <w:numPr>
          <w:ilvl w:val="0"/>
          <w:numId w:val="1013"/>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8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82"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8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83"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8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84"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8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85"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8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88" w:name="tbl-frustrating-exit"/>
    <w:tbl>
      <w:tblPr>
        <w:tblStyle w:val="Table"/>
        <w:tblW w:type="pct" w:w="5000"/>
        <w:tblLook w:firstRow="0" w:lastRow="0" w:firstColumn="0" w:lastColumn="0" w:noHBand="0" w:noVBand="0" w:val="0000"/>
        <w:jc w:val="start"/>
      </w:tblPr>
      <w:tblGrid>
        <w:gridCol w:w="3960"/>
        <w:gridCol w:w="3960"/>
      </w:tblGrid>
      <w:tr>
        <w:tc>
          <w:tcPr/>
          <w:bookmarkStart w:id="18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8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8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87"/>
          <w:p/>
        </w:tc>
      </w:tr>
    </w:tbl>
    <w:p>
      <w:pPr>
        <w:pStyle w:val="BodyText"/>
      </w:pPr>
      <w:pPr>
        <w:spacing w:before="200"/>
        <w:pStyle w:val="ImageCaption"/>
      </w:pPr>
      <w:r>
        <w:t xml:space="preserve">Table 8.8: An exit problem with Frustrating Button in round 2.</w:t>
      </w:r>
    </w:p>
    <w:bookmarkEnd w:id="188"/>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89"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89"/>
    <w:p>
      <w:r>
        <w:br w:type="page"/>
      </w:r>
    </w:p>
    <w:p>
      <w:pPr>
        <w:pStyle w:val="BodyText"/>
      </w:pPr>
      <w:r>
        <w:t xml:space="preserve">And if there is an intuition here, it is that it’s better to choose Down rather than Up.</w:t>
      </w:r>
      <w:r>
        <w:rPr>
          <w:rStyle w:val="FootnoteReference"/>
        </w:rPr>
        <w:footnoteReference w:id="19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91"/>
    <w:bookmarkStart w:id="192"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4"/>
        </w:numPr>
        <w:pStyle w:val="Compact"/>
      </w:pPr>
      <w:r>
        <w:t xml:space="preserve">Solution concepts are not preference ordering</w:t>
      </w:r>
    </w:p>
    <w:p>
      <w:pPr>
        <w:numPr>
          <w:ilvl w:val="0"/>
          <w:numId w:val="1014"/>
        </w:numPr>
        <w:pStyle w:val="Compact"/>
      </w:pPr>
      <w:r>
        <w:t xml:space="preserve">Talk about Sen for a bit, and how there are principled constraints on selection functions</w:t>
      </w:r>
    </w:p>
    <w:p>
      <w:pPr>
        <w:numPr>
          <w:ilvl w:val="0"/>
          <w:numId w:val="1014"/>
        </w:numPr>
        <w:pStyle w:val="Compact"/>
      </w:pPr>
      <w:r>
        <w:t xml:space="preserve">One reason why not preference ordering: Indecisiveness. The permissible choices are not things the chooser is indifferent between</w:t>
      </w:r>
    </w:p>
    <w:p>
      <w:pPr>
        <w:numPr>
          <w:ilvl w:val="0"/>
          <w:numId w:val="1014"/>
        </w:numPr>
        <w:pStyle w:val="Compact"/>
      </w:pPr>
      <w:r>
        <w:t xml:space="preserve">Another, better, reason why not preference ordering: doesn’t play an explanatory role.</w:t>
      </w:r>
    </w:p>
    <w:p>
      <w:pPr>
        <w:numPr>
          <w:ilvl w:val="0"/>
          <w:numId w:val="1014"/>
        </w:numPr>
        <w:pStyle w:val="Compact"/>
      </w:pPr>
      <w:r>
        <w:t xml:space="preserve">Possible objection: It does play an explanatory role, it explains what they would do with fewer choices.</w:t>
      </w:r>
    </w:p>
    <w:p>
      <w:pPr>
        <w:numPr>
          <w:ilvl w:val="0"/>
          <w:numId w:val="1014"/>
        </w:numPr>
        <w:pStyle w:val="Compact"/>
      </w:pPr>
      <w:r>
        <w:t xml:space="preserve">This is I think the most important point, and it’s why I’ve put off this discussion for so long.</w:t>
      </w:r>
    </w:p>
    <w:p>
      <w:pPr>
        <w:numPr>
          <w:ilvl w:val="0"/>
          <w:numId w:val="1014"/>
        </w:numPr>
        <w:pStyle w:val="Compact"/>
      </w:pPr>
      <w:r>
        <w:t xml:space="preserve">First reply: Gotta specify whether the loss of option is common knowledge or not, and both answers have flaws</w:t>
      </w:r>
    </w:p>
    <w:p>
      <w:pPr>
        <w:numPr>
          <w:ilvl w:val="0"/>
          <w:numId w:val="1014"/>
        </w:numPr>
        <w:pStyle w:val="Compact"/>
      </w:pPr>
      <w:r>
        <w:t xml:space="preserve">Second reply: Taking away mixed strategies might take us out of the realm of rational choice (if I’m right in mixed strategies chapter)</w:t>
      </w:r>
    </w:p>
    <w:p>
      <w:pPr>
        <w:numPr>
          <w:ilvl w:val="0"/>
          <w:numId w:val="1014"/>
        </w:numPr>
        <w:pStyle w:val="Compact"/>
      </w:pPr>
      <w:r>
        <w:t xml:space="preserve">Third reply: Taking away some strategies in dynamic cases might be really weird.</w:t>
      </w:r>
    </w:p>
    <w:p>
      <w:pPr>
        <w:numPr>
          <w:ilvl w:val="0"/>
          <w:numId w:val="1014"/>
        </w:numPr>
        <w:pStyle w:val="Compact"/>
      </w:pPr>
      <w:r>
        <w:t xml:space="preserve">Example: Two rounds. At each round a $1 bill is on table, and Chooser takes it or leaves it.</w:t>
      </w:r>
    </w:p>
    <w:p>
      <w:pPr>
        <w:numPr>
          <w:ilvl w:val="0"/>
          <w:numId w:val="1014"/>
        </w:numPr>
        <w:pStyle w:val="Compact"/>
      </w:pPr>
      <w:r>
        <w:t xml:space="preserve">What does it mean to remove the strategy TTT, i.e., take at R1, and then take at R2 whether you take or leave at R1.</w:t>
      </w:r>
    </w:p>
    <w:p>
      <w:pPr>
        <w:numPr>
          <w:ilvl w:val="0"/>
          <w:numId w:val="1014"/>
        </w:numPr>
        <w:pStyle w:val="Compact"/>
      </w:pPr>
      <w:r>
        <w:t xml:space="preserve">Counter: This is an artifact of the definition of strategies</w:t>
      </w:r>
    </w:p>
    <w:p>
      <w:pPr>
        <w:numPr>
          <w:ilvl w:val="0"/>
          <w:numId w:val="1014"/>
        </w:numPr>
        <w:pStyle w:val="Compact"/>
      </w:pPr>
      <w:r>
        <w:t xml:space="preserve">My reply: Need this definition of strategies to explain simple (3 step) centipede problems</w:t>
      </w:r>
    </w:p>
    <w:p>
      <w:pPr>
        <w:numPr>
          <w:ilvl w:val="0"/>
          <w:numId w:val="1014"/>
        </w:numPr>
        <w:pStyle w:val="Compact"/>
      </w:pPr>
      <w:r>
        <w:t xml:space="preserve">Counter: Stalnaker says that this is wrong</w:t>
      </w:r>
    </w:p>
    <w:p>
      <w:pPr>
        <w:numPr>
          <w:ilvl w:val="0"/>
          <w:numId w:val="1014"/>
        </w:numPr>
        <w:pStyle w:val="Compact"/>
      </w:pPr>
      <w:r>
        <w:t xml:space="preserve">My reply: Eh, that’s a point. I disagree here, but whatever</w:t>
      </w:r>
    </w:p>
    <w:p>
      <w:pPr>
        <w:numPr>
          <w:ilvl w:val="0"/>
          <w:numId w:val="1014"/>
        </w:numPr>
        <w:pStyle w:val="Compact"/>
      </w:pPr>
      <w:r>
        <w:t xml:space="preserve">This is why I reject strategic form normal form</w:t>
      </w:r>
    </w:p>
    <w:bookmarkEnd w:id="192"/>
    <w:bookmarkStart w:id="206"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93"/>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94"/>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96"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95"/>
      </w:r>
    </w:p>
    <w:bookmarkEnd w:id="196"/>
    <w:bookmarkStart w:id="205"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4.1</w:t>
        </w:r>
      </w:hyperlink>
      <w:r>
        <w:t xml:space="preserve">,)</w:t>
      </w:r>
    </w:p>
    <w:p>
      <w:pPr>
        <w:numPr>
          <w:ilvl w:val="0"/>
          <w:numId w:val="1015"/>
        </w:numPr>
        <w:pStyle w:val="Compact"/>
      </w:pPr>
      <w:r>
        <w:t xml:space="preserve">A coin will be flipped, landing Heads or Tails. It is biased, 60% likely to land Heads. It will be shown to Chooser, but not to Demon.</w:t>
      </w:r>
    </w:p>
    <w:p>
      <w:pPr>
        <w:numPr>
          <w:ilvl w:val="0"/>
          <w:numId w:val="1015"/>
        </w:numPr>
        <w:pStyle w:val="Compact"/>
      </w:pPr>
      <w:r>
        <w:t xml:space="preserve">Chooser will say either Heads or Tails.</w:t>
      </w:r>
    </w:p>
    <w:p>
      <w:pPr>
        <w:numPr>
          <w:ilvl w:val="0"/>
          <w:numId w:val="1015"/>
        </w:numPr>
        <w:pStyle w:val="Compact"/>
      </w:pPr>
      <w:r>
        <w:t xml:space="preserve">Demon, knowing what Chooser has said, and being arbitrarily good at predicting Chooser’s strategy</w:t>
      </w:r>
      <w:r>
        <w:rPr>
          <w:rStyle w:val="FootnoteReference"/>
        </w:rPr>
        <w:footnoteReference w:id="197"/>
      </w:r>
      <w:r>
        <w:t xml:space="preserve">. will say Heads if it is more probable the coin landed Heads, and Tails if it is more probable the coin landed Tails.</w:t>
      </w:r>
      <w:r>
        <w:rPr>
          <w:rStyle w:val="FootnoteReference"/>
        </w:rPr>
        <w:footnoteReference w:id="198"/>
      </w:r>
    </w:p>
    <w:p>
      <w:pPr>
        <w:numPr>
          <w:ilvl w:val="0"/>
          <w:numId w:val="1015"/>
        </w:numPr>
        <w:pStyle w:val="Compact"/>
      </w:pPr>
      <w:r>
        <w:t xml:space="preserve">Chooser is paid $30 if Demon says Heads, and nothing if Demon says Tails.</w:t>
      </w:r>
    </w:p>
    <w:p>
      <w:pPr>
        <w:numPr>
          <w:ilvl w:val="0"/>
          <w:numId w:val="1015"/>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99"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99"/>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203" w:name="fig-cho-kreps"/>
          <w:p>
            <w:pPr>
              <w:jc w:val="center"/>
            </w:pPr>
            <w:r>
              <w:drawing>
                <wp:inline>
                  <wp:extent cx="2250830" cy="3168288"/>
                  <wp:effectExtent b="0" l="0" r="0" t="0"/>
                  <wp:docPr descr="" title="" id="201" name="Picture"/>
                  <a:graphic>
                    <a:graphicData uri="http://schemas.openxmlformats.org/drawingml/2006/picture">
                      <pic:pic>
                        <pic:nvPicPr>
                          <pic:cNvPr descr="substantive_files/figure-docx/fig-cho-kreps-1.png" id="202" name="Picture"/>
                          <pic:cNvPicPr>
                            <a:picLocks noChangeArrowheads="1" noChangeAspect="1"/>
                          </pic:cNvPicPr>
                        </pic:nvPicPr>
                        <pic:blipFill>
                          <a:blip r:embed="rId200"/>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03"/>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6"/>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6"/>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04"/>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05"/>
    <w:bookmarkEnd w:id="206"/>
    <w:bookmarkStart w:id="217"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09"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207"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207"/>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208"/>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209"/>
    <w:bookmarkStart w:id="214"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10"/>
      </w:r>
      <w:r>
        <w:t xml:space="preserve"> </w:t>
      </w:r>
      <w:r>
        <w:t xml:space="preserve">Think about</w:t>
      </w:r>
      <w:r>
        <w:t xml:space="preserve"> </w:t>
      </w:r>
      <w:hyperlink w:anchor="tbl-wd-itd">
        <w:r>
          <w:rPr>
            <w:rStyle w:val="Hyperlink"/>
          </w:rPr>
          <w:t xml:space="preserve">Table 11.2</w:t>
        </w:r>
      </w:hyperlink>
      <w:r>
        <w:t xml:space="preserve">.</w:t>
      </w:r>
    </w:p>
    <w:bookmarkStart w:id="211"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211"/>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212"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212"/>
    <w:p>
      <w:pPr>
        <w:pStyle w:val="BodyText"/>
      </w:pPr>
      <w:r>
        <w:t xml:space="preserve">Here is one way to think about the game. I’m going to number the steps here so we can refer back to them later.</w:t>
      </w:r>
    </w:p>
    <w:p>
      <w:pPr>
        <w:numPr>
          <w:ilvl w:val="0"/>
          <w:numId w:val="1017"/>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7"/>
        </w:numPr>
        <w:pStyle w:val="Compact"/>
      </w:pPr>
      <w:r>
        <w:t xml:space="preserve">So Row can infer that if Column burns the money, they are playing A. So if Column burns the money, Row would maximise their own return by also playing A.</w:t>
      </w:r>
    </w:p>
    <w:p>
      <w:pPr>
        <w:numPr>
          <w:ilvl w:val="0"/>
          <w:numId w:val="1017"/>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7"/>
        </w:numPr>
        <w:pStyle w:val="Compact"/>
      </w:pPr>
      <w:r>
        <w:t xml:space="preserve">Since Row can figure out steps 1-3, it follows that Row knows that Column will play A, hence it is always rational for Row to play A.</w:t>
      </w:r>
    </w:p>
    <w:p>
      <w:pPr>
        <w:numPr>
          <w:ilvl w:val="0"/>
          <w:numId w:val="1017"/>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213"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213"/>
    <w:p>
      <w:pPr>
        <w:pStyle w:val="BodyText"/>
      </w:pPr>
      <w:r>
        <w:t xml:space="preserve">We can use weak dominance to then reason as follows.</w:t>
      </w:r>
    </w:p>
    <w:p>
      <w:pPr>
        <w:numPr>
          <w:ilvl w:val="0"/>
          <w:numId w:val="1018"/>
        </w:numPr>
        <w:pStyle w:val="Compact"/>
      </w:pPr>
      <w:r>
        <w:t xml:space="preserve">LB is strongly dominated by both KA and KB, so it won’t be played.</w:t>
      </w:r>
    </w:p>
    <w:p>
      <w:pPr>
        <w:numPr>
          <w:ilvl w:val="0"/>
          <w:numId w:val="1018"/>
        </w:numPr>
        <w:pStyle w:val="Compact"/>
      </w:pPr>
      <w:r>
        <w:t xml:space="preserve">If LB is deleted, then AB is weakly dominated by AA, and BB is weakly dominated by BA, so both AB and BB can be deleted.</w:t>
      </w:r>
    </w:p>
    <w:p>
      <w:pPr>
        <w:numPr>
          <w:ilvl w:val="0"/>
          <w:numId w:val="1018"/>
        </w:numPr>
        <w:pStyle w:val="Compact"/>
      </w:pPr>
      <w:r>
        <w:t xml:space="preserve">Without AB and BB, LA strongly dominates KB, so KB can be deleted.</w:t>
      </w:r>
    </w:p>
    <w:p>
      <w:pPr>
        <w:numPr>
          <w:ilvl w:val="0"/>
          <w:numId w:val="1018"/>
        </w:numPr>
        <w:pStyle w:val="Compact"/>
      </w:pPr>
      <w:r>
        <w:t xml:space="preserve">Without KB and LB, AA weakly dominates BA, so BA can be deleted.</w:t>
      </w:r>
    </w:p>
    <w:p>
      <w:pPr>
        <w:numPr>
          <w:ilvl w:val="0"/>
          <w:numId w:val="1018"/>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14"/>
    <w:bookmarkStart w:id="215"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9"/>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9"/>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9"/>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15"/>
    <w:bookmarkStart w:id="216"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16"/>
    <w:bookmarkEnd w:id="217"/>
    <w:bookmarkStart w:id="219"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18"/>
      </w:r>
    </w:p>
    <w:bookmarkEnd w:id="219"/>
    <w:bookmarkStart w:id="413" w:name="references"/>
    <w:p>
      <w:pPr>
        <w:pStyle w:val="Heading1"/>
      </w:pPr>
      <w:r>
        <w:t xml:space="preserve">References</w:t>
      </w:r>
    </w:p>
    <w:bookmarkStart w:id="412" w:name="refs"/>
    <w:bookmarkStart w:id="221"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20">
        <w:r>
          <w:rPr>
            <w:rStyle w:val="Hyperlink"/>
          </w:rPr>
          <w:t xml:space="preserve">https://doi.org/10.1086/666065</w:t>
        </w:r>
      </w:hyperlink>
      <w:r>
        <w:t xml:space="preserve">.</w:t>
      </w:r>
    </w:p>
    <w:bookmarkEnd w:id="221"/>
    <w:bookmarkStart w:id="223"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22">
        <w:r>
          <w:rPr>
            <w:rStyle w:val="Hyperlink"/>
          </w:rPr>
          <w:t xml:space="preserve">https://doi.org/10.1093/analys/anu084</w:t>
        </w:r>
      </w:hyperlink>
      <w:r>
        <w:t xml:space="preserve">.</w:t>
      </w:r>
    </w:p>
    <w:bookmarkEnd w:id="223"/>
    <w:bookmarkStart w:id="225"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24">
        <w:r>
          <w:rPr>
            <w:rStyle w:val="Hyperlink"/>
          </w:rPr>
          <w:t xml:space="preserve">https://doi.org/10.1093/mind/fzz073</w:t>
        </w:r>
      </w:hyperlink>
      <w:r>
        <w:t xml:space="preserve">.</w:t>
      </w:r>
    </w:p>
    <w:bookmarkEnd w:id="225"/>
    <w:bookmarkStart w:id="227"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26">
        <w:r>
          <w:rPr>
            <w:rStyle w:val="Hyperlink"/>
          </w:rPr>
          <w:t xml:space="preserve">https://doi.org/10.2307/1879431</w:t>
        </w:r>
      </w:hyperlink>
      <w:r>
        <w:t xml:space="preserve">.</w:t>
      </w:r>
    </w:p>
    <w:bookmarkEnd w:id="227"/>
    <w:bookmarkStart w:id="229"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28">
        <w:r>
          <w:rPr>
            <w:rStyle w:val="Hyperlink"/>
          </w:rPr>
          <w:t xml:space="preserve">https://www.nytimes.com/2023/06/19/world/americas/argentina-inflation-peso-restaurants.html</w:t>
        </w:r>
      </w:hyperlink>
      <w:r>
        <w:t xml:space="preserve">.</w:t>
      </w:r>
    </w:p>
    <w:bookmarkEnd w:id="229"/>
    <w:bookmarkStart w:id="23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30">
        <w:r>
          <w:rPr>
            <w:rStyle w:val="Hyperlink"/>
          </w:rPr>
          <w:t xml:space="preserve">https://doi.org/10.2307/1907921</w:t>
        </w:r>
      </w:hyperlink>
      <w:r>
        <w:t xml:space="preserve">.</w:t>
      </w:r>
    </w:p>
    <w:bookmarkEnd w:id="231"/>
    <w:bookmarkStart w:id="233"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32">
        <w:r>
          <w:rPr>
            <w:rStyle w:val="Hyperlink"/>
          </w:rPr>
          <w:t xml:space="preserve">https://doi.org/10.1007/s10670-007-9084-8</w:t>
        </w:r>
      </w:hyperlink>
      <w:r>
        <w:t xml:space="preserve">.</w:t>
      </w:r>
    </w:p>
    <w:bookmarkEnd w:id="233"/>
    <w:bookmarkStart w:id="235"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34">
        <w:r>
          <w:rPr>
            <w:rStyle w:val="Hyperlink"/>
          </w:rPr>
          <w:t xml:space="preserve">https://doi.org/10.5840/jphil202211925</w:t>
        </w:r>
      </w:hyperlink>
      <w:r>
        <w:t xml:space="preserve">.</w:t>
      </w:r>
    </w:p>
    <w:bookmarkEnd w:id="235"/>
    <w:bookmarkStart w:id="237"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36">
        <w:r>
          <w:rPr>
            <w:rStyle w:val="Hyperlink"/>
          </w:rPr>
          <w:t xml:space="preserve">https://doi.org/10.1016/S0022-0531(05)80039-0</w:t>
        </w:r>
      </w:hyperlink>
      <w:r>
        <w:t xml:space="preserve">.</w:t>
      </w:r>
    </w:p>
    <w:bookmarkEnd w:id="237"/>
    <w:bookmarkStart w:id="238"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38"/>
    <w:bookmarkStart w:id="240"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39">
        <w:r>
          <w:rPr>
            <w:rStyle w:val="Hyperlink"/>
          </w:rPr>
          <w:t xml:space="preserve">http://faculty.econ.ucdavis.edu/faculty/bonanno/GT_Book.html</w:t>
        </w:r>
      </w:hyperlink>
      <w:r>
        <w:t xml:space="preserve">.</w:t>
      </w:r>
    </w:p>
    <w:bookmarkEnd w:id="240"/>
    <w:bookmarkStart w:id="242"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41">
        <w:r>
          <w:rPr>
            <w:rStyle w:val="Hyperlink"/>
          </w:rPr>
          <w:t xml:space="preserve">https://doi.org/doi.org/10.1111/phpr.13006</w:t>
        </w:r>
      </w:hyperlink>
      <w:r>
        <w:t xml:space="preserve">.</w:t>
      </w:r>
    </w:p>
    <w:bookmarkEnd w:id="242"/>
    <w:bookmarkStart w:id="243" w:name="ref-BuchakRisk"/>
    <w:p>
      <w:pPr>
        <w:pStyle w:val="Bibliography"/>
      </w:pPr>
      <w:r>
        <w:t xml:space="preserve">Buchak, Lara. 2013.</w:t>
      </w:r>
      <w:r>
        <w:t xml:space="preserve"> </w:t>
      </w:r>
      <w:r>
        <w:rPr>
          <w:iCs/>
          <w:i/>
        </w:rPr>
        <w:t xml:space="preserve">Risk and Rationality</w:t>
      </w:r>
      <w:r>
        <w:t xml:space="preserve">. Oxford: Oxford University Press.</w:t>
      </w:r>
    </w:p>
    <w:bookmarkEnd w:id="243"/>
    <w:bookmarkStart w:id="245"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44">
        <w:r>
          <w:rPr>
            <w:rStyle w:val="Hyperlink"/>
          </w:rPr>
          <w:t xml:space="preserve">https://doi.org/10.1007/s11098-013-0182-y</w:t>
        </w:r>
      </w:hyperlink>
      <w:r>
        <w:t xml:space="preserve">.</w:t>
      </w:r>
    </w:p>
    <w:bookmarkEnd w:id="245"/>
    <w:bookmarkStart w:id="247"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46">
        <w:r>
          <w:rPr>
            <w:rStyle w:val="Hyperlink"/>
          </w:rPr>
          <w:t xml:space="preserve">https://doi.org/10.1007/s11098-017-0904-7</w:t>
        </w:r>
      </w:hyperlink>
      <w:r>
        <w:t xml:space="preserve">.</w:t>
      </w:r>
    </w:p>
    <w:bookmarkEnd w:id="247"/>
    <w:bookmarkStart w:id="249"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48">
        <w:r>
          <w:rPr>
            <w:rStyle w:val="Hyperlink"/>
          </w:rPr>
          <w:t xml:space="preserve">https://doi.org/10.1017/epi.2019.25</w:t>
        </w:r>
      </w:hyperlink>
      <w:r>
        <w:t xml:space="preserve">.</w:t>
      </w:r>
    </w:p>
    <w:bookmarkEnd w:id="249"/>
    <w:bookmarkStart w:id="251"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50">
        <w:r>
          <w:rPr>
            <w:rStyle w:val="Hyperlink"/>
          </w:rPr>
          <w:t xml:space="preserve">https://plato.stanford.edu/archives/win2017/entries/decision-theory-descriptive/</w:t>
        </w:r>
      </w:hyperlink>
      <w:r>
        <w:t xml:space="preserve">; Metaphysics Research Lab, Stanford University.</w:t>
      </w:r>
    </w:p>
    <w:bookmarkEnd w:id="251"/>
    <w:bookmarkStart w:id="25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52">
        <w:r>
          <w:rPr>
            <w:rStyle w:val="Hyperlink"/>
          </w:rPr>
          <w:t xml:space="preserve">https://doi.org/10.1086/339673</w:t>
        </w:r>
      </w:hyperlink>
      <w:r>
        <w:t xml:space="preserve">.</w:t>
      </w:r>
    </w:p>
    <w:bookmarkEnd w:id="253"/>
    <w:bookmarkStart w:id="255"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54">
        <w:r>
          <w:rPr>
            <w:rStyle w:val="Hyperlink"/>
          </w:rPr>
          <w:t xml:space="preserve">https://doi.org/10.2307/1907435</w:t>
        </w:r>
      </w:hyperlink>
      <w:r>
        <w:t xml:space="preserve">.</w:t>
      </w:r>
    </w:p>
    <w:bookmarkEnd w:id="255"/>
    <w:bookmarkStart w:id="25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6">
        <w:r>
          <w:rPr>
            <w:rStyle w:val="Hyperlink"/>
          </w:rPr>
          <w:t xml:space="preserve">https://doi.org/10.2307/1885060</w:t>
        </w:r>
      </w:hyperlink>
      <w:r>
        <w:t xml:space="preserve">.</w:t>
      </w:r>
    </w:p>
    <w:bookmarkEnd w:id="257"/>
    <w:bookmarkStart w:id="259" w:name="ref-cohen2023sequential"/>
    <w:p>
      <w:pPr>
        <w:pStyle w:val="Bibliography"/>
      </w:pPr>
      <w:r>
        <w:t xml:space="preserve">Cohen, Shani, and Shengwu Li. 2023.</w:t>
      </w:r>
      <w:r>
        <w:t xml:space="preserve"> </w:t>
      </w:r>
      <w:r>
        <w:t xml:space="preserve">“Sequential Cursed Equilibrium.”</w:t>
      </w:r>
      <w:r>
        <w:t xml:space="preserve"> </w:t>
      </w:r>
      <w:hyperlink r:id="rId258">
        <w:r>
          <w:rPr>
            <w:rStyle w:val="Hyperlink"/>
          </w:rPr>
          <w:t xml:space="preserve">https://arxiv.org/abs/2212.06025</w:t>
        </w:r>
      </w:hyperlink>
      <w:r>
        <w:t xml:space="preserve">.</w:t>
      </w:r>
    </w:p>
    <w:bookmarkEnd w:id="259"/>
    <w:bookmarkStart w:id="260"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60"/>
    <w:bookmarkStart w:id="261"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61"/>
    <w:bookmarkStart w:id="263"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62">
        <w:r>
          <w:rPr>
            <w:rStyle w:val="Hyperlink"/>
          </w:rPr>
          <w:t xml:space="preserve">https://doi.org/10.1093/bjps/axaa003</w:t>
        </w:r>
      </w:hyperlink>
      <w:r>
        <w:t xml:space="preserve">.</w:t>
      </w:r>
    </w:p>
    <w:bookmarkEnd w:id="263"/>
    <w:bookmarkStart w:id="265"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64">
        <w:r>
          <w:rPr>
            <w:rStyle w:val="Hyperlink"/>
          </w:rPr>
          <w:t xml:space="preserve">https://doi.org/10.1086/658093</w:t>
        </w:r>
      </w:hyperlink>
      <w:r>
        <w:t xml:space="preserve">.</w:t>
      </w:r>
    </w:p>
    <w:bookmarkEnd w:id="265"/>
    <w:bookmarkStart w:id="267"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66">
        <w:r>
          <w:rPr>
            <w:rStyle w:val="Hyperlink"/>
          </w:rPr>
          <w:t xml:space="preserve">https://doi.org/10.1111/j.1933-1592.2011.00566.x</w:t>
        </w:r>
      </w:hyperlink>
      <w:r>
        <w:t xml:space="preserve">.</w:t>
      </w:r>
    </w:p>
    <w:bookmarkEnd w:id="267"/>
    <w:bookmarkStart w:id="269"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68">
        <w:r>
          <w:rPr>
            <w:rStyle w:val="Hyperlink"/>
          </w:rPr>
          <w:t xml:space="preserve">https://doi.org/10.1215/00318108-2006-023</w:t>
        </w:r>
      </w:hyperlink>
      <w:r>
        <w:t xml:space="preserve">.</w:t>
      </w:r>
    </w:p>
    <w:bookmarkEnd w:id="269"/>
    <w:bookmarkStart w:id="270"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68">
        <w:r>
          <w:rPr>
            <w:rStyle w:val="Hyperlink"/>
          </w:rPr>
          <w:t xml:space="preserve">https://doi.org/10.1215/00318108-2006-023</w:t>
        </w:r>
      </w:hyperlink>
      <w:r>
        <w:t xml:space="preserve">.</w:t>
      </w:r>
    </w:p>
    <w:bookmarkEnd w:id="270"/>
    <w:bookmarkStart w:id="272"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71">
        <w:r>
          <w:rPr>
            <w:rStyle w:val="Hyperlink"/>
          </w:rPr>
          <w:t xml:space="preserve">https://doi.org/10.1093/analys/60.2.143</w:t>
        </w:r>
      </w:hyperlink>
      <w:r>
        <w:t xml:space="preserve">.</w:t>
      </w:r>
    </w:p>
    <w:bookmarkEnd w:id="272"/>
    <w:bookmarkStart w:id="274"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73">
        <w:r>
          <w:rPr>
            <w:rStyle w:val="Hyperlink"/>
          </w:rPr>
          <w:t xml:space="preserve">https://doi.org/10.1093/analys/anz059</w:t>
        </w:r>
      </w:hyperlink>
      <w:r>
        <w:t xml:space="preserve">.</w:t>
      </w:r>
    </w:p>
    <w:bookmarkEnd w:id="274"/>
    <w:bookmarkStart w:id="276"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75">
        <w:r>
          <w:rPr>
            <w:rStyle w:val="Hyperlink"/>
          </w:rPr>
          <w:t xml:space="preserve">10.1111/j.1468-0262.2005.00631.x</w:t>
        </w:r>
      </w:hyperlink>
      <w:r>
        <w:t xml:space="preserve">.</w:t>
      </w:r>
    </w:p>
    <w:bookmarkEnd w:id="276"/>
    <w:bookmarkStart w:id="278"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77">
        <w:r>
          <w:rPr>
            <w:rStyle w:val="Hyperlink"/>
          </w:rPr>
          <w:t xml:space="preserve">https://doi.org/10.1016/j.geb.2011.09.008</w:t>
        </w:r>
      </w:hyperlink>
      <w:r>
        <w:t xml:space="preserve">.</w:t>
      </w:r>
    </w:p>
    <w:bookmarkEnd w:id="278"/>
    <w:bookmarkStart w:id="280" w:name="ref-fong2023cursed"/>
    <w:p>
      <w:pPr>
        <w:pStyle w:val="Bibliography"/>
      </w:pPr>
      <w:r>
        <w:t xml:space="preserve">Fong, Meng-Jhang, Po-Hsuan Lin, and Thomas R. Palfrey. 2023.</w:t>
      </w:r>
      <w:r>
        <w:t xml:space="preserve"> </w:t>
      </w:r>
      <w:r>
        <w:t xml:space="preserve">“Cursed Sequential Equilibrium.”</w:t>
      </w:r>
      <w:r>
        <w:t xml:space="preserve"> </w:t>
      </w:r>
      <w:hyperlink r:id="rId279">
        <w:r>
          <w:rPr>
            <w:rStyle w:val="Hyperlink"/>
          </w:rPr>
          <w:t xml:space="preserve">https://arxiv.org/abs/2301.11971</w:t>
        </w:r>
      </w:hyperlink>
      <w:r>
        <w:t xml:space="preserve">.</w:t>
      </w:r>
    </w:p>
    <w:bookmarkEnd w:id="280"/>
    <w:bookmarkStart w:id="282"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81">
        <w:r>
          <w:rPr>
            <w:rStyle w:val="Hyperlink"/>
          </w:rPr>
          <w:t xml:space="preserve">https://doi.org/10.1111/nous.12459</w:t>
        </w:r>
      </w:hyperlink>
      <w:r>
        <w:t xml:space="preserve">.</w:t>
      </w:r>
    </w:p>
    <w:bookmarkEnd w:id="282"/>
    <w:bookmarkStart w:id="284"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83">
        <w:r>
          <w:rPr>
            <w:rStyle w:val="Hyperlink"/>
          </w:rPr>
          <w:t xml:space="preserve">https://doi.org/10.5840/jphil202011739</w:t>
        </w:r>
      </w:hyperlink>
      <w:r>
        <w:t xml:space="preserve">.</w:t>
      </w:r>
    </w:p>
    <w:bookmarkEnd w:id="284"/>
    <w:bookmarkStart w:id="286"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85">
        <w:r>
          <w:rPr>
            <w:rStyle w:val="Hyperlink"/>
          </w:rPr>
          <w:t xml:space="preserve">https://philpapers.org/archive/GALTST-2.pdf</w:t>
        </w:r>
      </w:hyperlink>
      <w:r>
        <w:t xml:space="preserve">.</w:t>
      </w:r>
    </w:p>
    <w:bookmarkEnd w:id="286"/>
    <w:bookmarkStart w:id="287"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87"/>
    <w:bookmarkStart w:id="289"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88">
        <w:r>
          <w:rPr>
            <w:rStyle w:val="Hyperlink"/>
          </w:rPr>
          <w:t xml:space="preserve">https://doi.org/10.1093/bjps/17.4.319</w:t>
        </w:r>
      </w:hyperlink>
      <w:r>
        <w:t xml:space="preserve">.</w:t>
      </w:r>
    </w:p>
    <w:bookmarkEnd w:id="289"/>
    <w:bookmarkStart w:id="291"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90">
        <w:r>
          <w:rPr>
            <w:rStyle w:val="Hyperlink"/>
          </w:rPr>
          <w:t xml:space="preserve">https://doi.org/10.1111/nous.12473</w:t>
        </w:r>
      </w:hyperlink>
      <w:r>
        <w:t xml:space="preserve">.</w:t>
      </w:r>
    </w:p>
    <w:bookmarkEnd w:id="291"/>
    <w:bookmarkStart w:id="293"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92">
        <w:r>
          <w:rPr>
            <w:rStyle w:val="Hyperlink"/>
          </w:rPr>
          <w:t xml:space="preserve">https://doi.org/10.1515/bejte-2018-0185</w:t>
        </w:r>
      </w:hyperlink>
      <w:r>
        <w:t xml:space="preserve">.</w:t>
      </w:r>
    </w:p>
    <w:bookmarkEnd w:id="293"/>
    <w:bookmarkStart w:id="295"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94">
        <w:r>
          <w:rPr>
            <w:rStyle w:val="Hyperlink"/>
          </w:rPr>
          <w:t xml:space="preserve">https://doi.org/10.1111/phc3.12318</w:t>
        </w:r>
      </w:hyperlink>
      <w:r>
        <w:t xml:space="preserve">.</w:t>
      </w:r>
    </w:p>
    <w:bookmarkEnd w:id="295"/>
    <w:bookmarkStart w:id="297"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96">
        <w:r>
          <w:rPr>
            <w:rStyle w:val="Hyperlink"/>
          </w:rPr>
          <w:t xml:space="preserve">https://doi.org/10.1007/s10670-010-9267-6</w:t>
        </w:r>
      </w:hyperlink>
      <w:r>
        <w:t xml:space="preserve">.</w:t>
      </w:r>
    </w:p>
    <w:bookmarkEnd w:id="297"/>
    <w:bookmarkStart w:id="299"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98">
        <w:r>
          <w:rPr>
            <w:rStyle w:val="Hyperlink"/>
          </w:rPr>
          <w:t xml:space="preserve">https://doi.org/10.1007/BF00129168</w:t>
        </w:r>
      </w:hyperlink>
      <w:r>
        <w:t xml:space="preserve">.</w:t>
      </w:r>
    </w:p>
    <w:bookmarkEnd w:id="299"/>
    <w:bookmarkStart w:id="301"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300">
        <w:r>
          <w:rPr>
            <w:rStyle w:val="Hyperlink"/>
          </w:rPr>
          <w:t xml:space="preserve">https://doi.org/10.1111/nous.12094</w:t>
        </w:r>
      </w:hyperlink>
      <w:r>
        <w:t xml:space="preserve">.</w:t>
      </w:r>
    </w:p>
    <w:bookmarkEnd w:id="301"/>
    <w:bookmarkStart w:id="303"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02">
        <w:r>
          <w:rPr>
            <w:rStyle w:val="Hyperlink"/>
          </w:rPr>
          <w:t xml:space="preserve">https://doi.org/10.1007/BF00183199</w:t>
        </w:r>
      </w:hyperlink>
      <w:r>
        <w:t xml:space="preserve">.</w:t>
      </w:r>
    </w:p>
    <w:bookmarkEnd w:id="303"/>
    <w:bookmarkStart w:id="305"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304">
        <w:r>
          <w:rPr>
            <w:rStyle w:val="Hyperlink"/>
          </w:rPr>
          <w:t xml:space="preserve">https://doi.org/10.1007/978-94-009-2865-7_2</w:t>
        </w:r>
      </w:hyperlink>
      <w:r>
        <w:t xml:space="preserve">.</w:t>
      </w:r>
    </w:p>
    <w:bookmarkEnd w:id="305"/>
    <w:bookmarkStart w:id="307"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06">
        <w:r>
          <w:rPr>
            <w:rStyle w:val="Hyperlink"/>
          </w:rPr>
          <w:t xml:space="preserve">https://doi.org/10.1093/pq/pqac083</w:t>
        </w:r>
      </w:hyperlink>
      <w:r>
        <w:t xml:space="preserve">.</w:t>
      </w:r>
    </w:p>
    <w:bookmarkEnd w:id="307"/>
    <w:bookmarkStart w:id="309"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08">
        <w:r>
          <w:rPr>
            <w:rStyle w:val="Hyperlink"/>
          </w:rPr>
          <w:t xml:space="preserve">https://doi.org/10.1007/s11098-013-0231-6</w:t>
        </w:r>
      </w:hyperlink>
      <w:r>
        <w:t xml:space="preserve">.</w:t>
      </w:r>
    </w:p>
    <w:bookmarkEnd w:id="309"/>
    <w:bookmarkStart w:id="310"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10"/>
    <w:bookmarkStart w:id="311"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11"/>
    <w:bookmarkStart w:id="313"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12">
        <w:r>
          <w:rPr>
            <w:rStyle w:val="Hyperlink"/>
          </w:rPr>
          <w:t xml:space="preserve">https://doi.org/10.1007/s11229-011-0022-6</w:t>
        </w:r>
      </w:hyperlink>
      <w:r>
        <w:t xml:space="preserve">.</w:t>
      </w:r>
    </w:p>
    <w:bookmarkEnd w:id="313"/>
    <w:bookmarkStart w:id="314" w:name="ref-Keynes1921"/>
    <w:p>
      <w:pPr>
        <w:pStyle w:val="Bibliography"/>
      </w:pPr>
      <w:r>
        <w:t xml:space="preserve">Keynes, John Maynard. 1921.</w:t>
      </w:r>
      <w:r>
        <w:t xml:space="preserve"> </w:t>
      </w:r>
      <w:r>
        <w:rPr>
          <w:iCs/>
          <w:i/>
        </w:rPr>
        <w:t xml:space="preserve">Treatise on Probability</w:t>
      </w:r>
      <w:r>
        <w:t xml:space="preserve">. London: Macmillan.</w:t>
      </w:r>
    </w:p>
    <w:bookmarkEnd w:id="314"/>
    <w:bookmarkStart w:id="315" w:name="ref-Keynes1923"/>
    <w:p>
      <w:pPr>
        <w:pStyle w:val="Bibliography"/>
      </w:pPr>
      <w:r>
        <w:t xml:space="preserve">———. 1923.</w:t>
      </w:r>
      <w:r>
        <w:t xml:space="preserve"> </w:t>
      </w:r>
      <w:r>
        <w:rPr>
          <w:iCs/>
          <w:i/>
        </w:rPr>
        <w:t xml:space="preserve">A Tract on Monetary Reform</w:t>
      </w:r>
      <w:r>
        <w:t xml:space="preserve">. London: Macmillan.</w:t>
      </w:r>
    </w:p>
    <w:bookmarkEnd w:id="315"/>
    <w:bookmarkStart w:id="316"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6"/>
    <w:bookmarkStart w:id="317"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94">
        <w:r>
          <w:rPr>
            <w:rStyle w:val="Hyperlink"/>
          </w:rPr>
          <w:t xml:space="preserve">https://doi.org/10.1111/phc3.12318</w:t>
        </w:r>
      </w:hyperlink>
      <w:r>
        <w:t xml:space="preserve">.</w:t>
      </w:r>
    </w:p>
    <w:bookmarkEnd w:id="317"/>
    <w:bookmarkStart w:id="319"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18">
        <w:r>
          <w:rPr>
            <w:rStyle w:val="Hyperlink"/>
          </w:rPr>
          <w:t xml:space="preserve">https://doi.org/10.1093/pq/pqad072</w:t>
        </w:r>
      </w:hyperlink>
      <w:r>
        <w:t xml:space="preserve">.</w:t>
      </w:r>
    </w:p>
    <w:bookmarkEnd w:id="319"/>
    <w:bookmarkStart w:id="321"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20">
        <w:r>
          <w:rPr>
            <w:rStyle w:val="Hyperlink"/>
          </w:rPr>
          <w:t xml:space="preserve">https://doi.org/10.5840/jphil2020117516</w:t>
        </w:r>
      </w:hyperlink>
      <w:r>
        <w:t xml:space="preserve">.</w:t>
      </w:r>
    </w:p>
    <w:bookmarkEnd w:id="321"/>
    <w:bookmarkStart w:id="322"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22"/>
    <w:bookmarkStart w:id="323"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23"/>
    <w:bookmarkStart w:id="325"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24">
        <w:r>
          <w:rPr>
            <w:rStyle w:val="Hyperlink"/>
          </w:rPr>
          <w:t xml:space="preserve">https://doi.org/10.2307/2215439</w:t>
        </w:r>
      </w:hyperlink>
      <w:r>
        <w:t xml:space="preserve">.</w:t>
      </w:r>
    </w:p>
    <w:bookmarkEnd w:id="325"/>
    <w:bookmarkStart w:id="326"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26"/>
    <w:bookmarkStart w:id="327"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27"/>
    <w:bookmarkStart w:id="329"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28">
        <w:r>
          <w:rPr>
            <w:rStyle w:val="Hyperlink"/>
          </w:rPr>
          <w:t xml:space="preserve">https://doi.org/10.2307/2296233</w:t>
        </w:r>
      </w:hyperlink>
      <w:r>
        <w:t xml:space="preserve">.</w:t>
      </w:r>
    </w:p>
    <w:bookmarkEnd w:id="329"/>
    <w:bookmarkStart w:id="331"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30">
        <w:r>
          <w:rPr>
            <w:rStyle w:val="Hyperlink"/>
          </w:rPr>
          <w:t xml:space="preserve">https://doi.org/10.1007/s10670-021-00391-z</w:t>
        </w:r>
      </w:hyperlink>
      <w:r>
        <w:t xml:space="preserve">.</w:t>
      </w:r>
    </w:p>
    <w:bookmarkEnd w:id="331"/>
    <w:bookmarkStart w:id="332"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32"/>
    <w:bookmarkStart w:id="333"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33"/>
    <w:bookmarkStart w:id="335"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34">
        <w:r>
          <w:rPr>
            <w:rStyle w:val="Hyperlink"/>
          </w:rPr>
          <w:t xml:space="preserve">https://doi.org/10.1007/s11098-018-1036-4</w:t>
        </w:r>
      </w:hyperlink>
      <w:r>
        <w:t xml:space="preserve">.</w:t>
      </w:r>
    </w:p>
    <w:bookmarkEnd w:id="335"/>
    <w:bookmarkStart w:id="337"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36">
        <w:r>
          <w:rPr>
            <w:rStyle w:val="Hyperlink"/>
          </w:rPr>
          <w:t xml:space="preserve">https://doi.org/10.1111/j.1527-2001.2005.tb00493.x</w:t>
        </w:r>
      </w:hyperlink>
      <w:r>
        <w:t xml:space="preserve">.</w:t>
      </w:r>
    </w:p>
    <w:bookmarkEnd w:id="337"/>
    <w:bookmarkStart w:id="338"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38"/>
    <w:bookmarkStart w:id="340"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39">
        <w:r>
          <w:rPr>
            <w:rStyle w:val="Hyperlink"/>
          </w:rPr>
          <w:t xml:space="preserve">https://doi.org/10.1007/BF01753236</w:t>
        </w:r>
      </w:hyperlink>
      <w:r>
        <w:t xml:space="preserve">.</w:t>
      </w:r>
    </w:p>
    <w:bookmarkEnd w:id="340"/>
    <w:bookmarkStart w:id="341"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41"/>
    <w:bookmarkStart w:id="342"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42"/>
    <w:bookmarkStart w:id="343"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3"/>
    <w:bookmarkStart w:id="345"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44">
        <w:r>
          <w:rPr>
            <w:rStyle w:val="Hyperlink"/>
          </w:rPr>
          <w:t xml:space="preserve">https://doi.org/10.1007/s10670-020-00373-7</w:t>
        </w:r>
      </w:hyperlink>
      <w:r>
        <w:t xml:space="preserve">.</w:t>
      </w:r>
    </w:p>
    <w:bookmarkEnd w:id="345"/>
    <w:bookmarkStart w:id="347"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46">
        <w:r>
          <w:rPr>
            <w:rStyle w:val="Hyperlink"/>
          </w:rPr>
          <w:t xml:space="preserve">https://doi.org/10.2307/1911197</w:t>
        </w:r>
      </w:hyperlink>
      <w:r>
        <w:t xml:space="preserve">.</w:t>
      </w:r>
    </w:p>
    <w:bookmarkEnd w:id="347"/>
    <w:bookmarkStart w:id="348"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48"/>
    <w:bookmarkStart w:id="350"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49">
        <w:r>
          <w:rPr>
            <w:rStyle w:val="Hyperlink"/>
          </w:rPr>
          <w:t xml:space="preserve">https://doi.org/10.1111/nous.12353</w:t>
        </w:r>
      </w:hyperlink>
      <w:r>
        <w:t xml:space="preserve">.</w:t>
      </w:r>
    </w:p>
    <w:bookmarkEnd w:id="350"/>
    <w:bookmarkStart w:id="35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1">
        <w:r>
          <w:rPr>
            <w:rStyle w:val="Hyperlink"/>
          </w:rPr>
          <w:t xml:space="preserve">https://doi.org/10.1016/0167-2681(82)90008-7</w:t>
        </w:r>
      </w:hyperlink>
      <w:r>
        <w:t xml:space="preserve">.</w:t>
      </w:r>
    </w:p>
    <w:bookmarkEnd w:id="352"/>
    <w:bookmarkStart w:id="35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53"/>
    <w:bookmarkStart w:id="355"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54">
        <w:r>
          <w:rPr>
            <w:rStyle w:val="Hyperlink"/>
          </w:rPr>
          <w:t xml:space="preserve">https://doi.org/10.1080/00048408412341601</w:t>
        </w:r>
      </w:hyperlink>
      <w:r>
        <w:t xml:space="preserve">.</w:t>
      </w:r>
    </w:p>
    <w:bookmarkEnd w:id="355"/>
    <w:bookmarkStart w:id="357"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56">
        <w:r>
          <w:rPr>
            <w:rStyle w:val="Hyperlink"/>
          </w:rPr>
          <w:t xml:space="preserve">https://doi.org/10.1023/a:1005259701040</w:t>
        </w:r>
      </w:hyperlink>
      <w:r>
        <w:t xml:space="preserve">.</w:t>
      </w:r>
    </w:p>
    <w:bookmarkEnd w:id="357"/>
    <w:bookmarkStart w:id="358"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58"/>
    <w:bookmarkStart w:id="359"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59"/>
    <w:bookmarkStart w:id="361"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60">
        <w:r>
          <w:rPr>
            <w:rStyle w:val="Hyperlink"/>
          </w:rPr>
          <w:t xml:space="preserve">https://doi.org/10.2307/2548836</w:t>
        </w:r>
      </w:hyperlink>
      <w:r>
        <w:t xml:space="preserve">.</w:t>
      </w:r>
    </w:p>
    <w:bookmarkEnd w:id="361"/>
    <w:bookmarkStart w:id="363"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62">
        <w:r>
          <w:rPr>
            <w:rStyle w:val="Hyperlink"/>
          </w:rPr>
          <w:t xml:space="preserve">https://doi.org/10.1016/S0927-0507(05)12001-5</w:t>
        </w:r>
      </w:hyperlink>
      <w:r>
        <w:t xml:space="preserve">.</w:t>
      </w:r>
    </w:p>
    <w:bookmarkEnd w:id="363"/>
    <w:bookmarkStart w:id="365"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64">
        <w:r>
          <w:rPr>
            <w:rStyle w:val="Hyperlink"/>
          </w:rPr>
          <w:t xml:space="preserve">https://doi.org/10.1093/mind/fzw065</w:t>
        </w:r>
      </w:hyperlink>
      <w:r>
        <w:t xml:space="preserve">.</w:t>
      </w:r>
    </w:p>
    <w:bookmarkEnd w:id="365"/>
    <w:bookmarkStart w:id="367"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66">
        <w:r>
          <w:rPr>
            <w:rStyle w:val="Hyperlink"/>
          </w:rPr>
          <w:t xml:space="preserve">https://doi.org/10.1007/BF01766400</w:t>
        </w:r>
      </w:hyperlink>
      <w:r>
        <w:t xml:space="preserve">.</w:t>
      </w:r>
    </w:p>
    <w:bookmarkEnd w:id="367"/>
    <w:bookmarkStart w:id="369"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68">
        <w:r>
          <w:rPr>
            <w:rStyle w:val="Hyperlink"/>
          </w:rPr>
          <w:t xml:space="preserve">https://doi.org/10.2307/2296384</w:t>
        </w:r>
      </w:hyperlink>
      <w:r>
        <w:t xml:space="preserve">.</w:t>
      </w:r>
    </w:p>
    <w:bookmarkEnd w:id="369"/>
    <w:bookmarkStart w:id="371"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70">
        <w:r>
          <w:rPr>
            <w:rStyle w:val="Hyperlink"/>
          </w:rPr>
          <w:t xml:space="preserve">https://doi.org/10.5840/jphil2006103517</w:t>
        </w:r>
      </w:hyperlink>
      <w:r>
        <w:t xml:space="preserve">.</w:t>
      </w:r>
    </w:p>
    <w:bookmarkEnd w:id="371"/>
    <w:bookmarkStart w:id="372"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72"/>
    <w:bookmarkStart w:id="373"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73"/>
    <w:bookmarkStart w:id="374"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4"/>
    <w:bookmarkStart w:id="375"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75"/>
    <w:bookmarkStart w:id="377"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76">
        <w:r>
          <w:rPr>
            <w:rStyle w:val="Hyperlink"/>
          </w:rPr>
          <w:t xml:space="preserve">https://doi.org/10.1007/s11098-020-01509-9</w:t>
        </w:r>
      </w:hyperlink>
      <w:r>
        <w:t xml:space="preserve">.</w:t>
      </w:r>
    </w:p>
    <w:bookmarkEnd w:id="377"/>
    <w:bookmarkStart w:id="379"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78">
        <w:r>
          <w:rPr>
            <w:rStyle w:val="Hyperlink"/>
          </w:rPr>
          <w:t xml:space="preserve">https://doi.org/10.1080/00048402.2021.1958880</w:t>
        </w:r>
      </w:hyperlink>
      <w:r>
        <w:t xml:space="preserve">.</w:t>
      </w:r>
    </w:p>
    <w:bookmarkEnd w:id="379"/>
    <w:bookmarkStart w:id="381"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80">
        <w:r>
          <w:rPr>
            <w:rStyle w:val="Hyperlink"/>
          </w:rPr>
          <w:t xml:space="preserve">https://doi.org/10.1111/phpr.12466</w:t>
        </w:r>
      </w:hyperlink>
      <w:r>
        <w:t xml:space="preserve">.</w:t>
      </w:r>
    </w:p>
    <w:bookmarkEnd w:id="381"/>
    <w:bookmarkStart w:id="383"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82">
        <w:r>
          <w:rPr>
            <w:rStyle w:val="Hyperlink"/>
          </w:rPr>
          <w:t xml:space="preserve">https://doi.org/10.1016/S0165-4896(98)00007-9</w:t>
        </w:r>
      </w:hyperlink>
      <w:r>
        <w:t xml:space="preserve">.</w:t>
      </w:r>
    </w:p>
    <w:bookmarkEnd w:id="383"/>
    <w:bookmarkStart w:id="385"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84">
        <w:r>
          <w:rPr>
            <w:rStyle w:val="Hyperlink"/>
          </w:rPr>
          <w:t xml:space="preserve">https://doi.org/10.1006/reec.1999.0200</w:t>
        </w:r>
      </w:hyperlink>
      <w:r>
        <w:t xml:space="preserve">.</w:t>
      </w:r>
    </w:p>
    <w:bookmarkEnd w:id="385"/>
    <w:bookmarkStart w:id="38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86"/>
    <w:bookmarkStart w:id="38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87"/>
    <w:bookmarkStart w:id="38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88"/>
    <w:bookmarkStart w:id="39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89">
        <w:r>
          <w:rPr>
            <w:rStyle w:val="Hyperlink"/>
          </w:rPr>
          <w:t xml:space="preserve">https://doi.org/10.1086/699256</w:t>
        </w:r>
      </w:hyperlink>
      <w:r>
        <w:t xml:space="preserve">.</w:t>
      </w:r>
    </w:p>
    <w:bookmarkEnd w:id="390"/>
    <w:bookmarkStart w:id="392"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91">
        <w:r>
          <w:rPr>
            <w:rStyle w:val="Hyperlink"/>
          </w:rPr>
          <w:t xml:space="preserve">https://doi.org/10.1111/phco.2012.7.issue-9</w:t>
        </w:r>
      </w:hyperlink>
      <w:r>
        <w:t xml:space="preserve">.</w:t>
      </w:r>
    </w:p>
    <w:bookmarkEnd w:id="392"/>
    <w:bookmarkStart w:id="393"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93"/>
    <w:bookmarkStart w:id="395"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94">
        <w:r>
          <w:rPr>
            <w:rStyle w:val="Hyperlink"/>
          </w:rPr>
          <w:t xml:space="preserve">https://doi.org/10.1007/s11229-011-0012-8</w:t>
        </w:r>
      </w:hyperlink>
      <w:r>
        <w:t xml:space="preserve">.</w:t>
      </w:r>
    </w:p>
    <w:bookmarkEnd w:id="395"/>
    <w:bookmarkStart w:id="397"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96">
        <w:r>
          <w:rPr>
            <w:rStyle w:val="Hyperlink"/>
          </w:rPr>
          <w:t xml:space="preserve">https://doi.org/10.1007/s11229-011-9900-1</w:t>
        </w:r>
      </w:hyperlink>
      <w:r>
        <w:t xml:space="preserve">.</w:t>
      </w:r>
    </w:p>
    <w:bookmarkEnd w:id="397"/>
    <w:bookmarkStart w:id="399"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98">
        <w:r>
          <w:rPr>
            <w:rStyle w:val="Hyperlink"/>
          </w:rPr>
          <w:t xml:space="preserve">https://doi.org/10.1080/00048408512342061</w:t>
        </w:r>
      </w:hyperlink>
      <w:r>
        <w:t xml:space="preserve">.</w:t>
      </w:r>
    </w:p>
    <w:bookmarkEnd w:id="399"/>
    <w:bookmarkStart w:id="401"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400">
        <w:r>
          <w:rPr>
            <w:rStyle w:val="Hyperlink"/>
          </w:rPr>
          <w:t xml:space="preserve">https://doi.org/10.1093/mind/fzx018</w:t>
        </w:r>
      </w:hyperlink>
      <w:r>
        <w:t xml:space="preserve">.</w:t>
      </w:r>
    </w:p>
    <w:bookmarkEnd w:id="401"/>
    <w:bookmarkStart w:id="403"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402">
        <w:r>
          <w:rPr>
            <w:rStyle w:val="Hyperlink"/>
          </w:rPr>
          <w:t xml:space="preserve">https://doi.org/10.1080/13501789400000009</w:t>
        </w:r>
      </w:hyperlink>
      <w:r>
        <w:t xml:space="preserve">.</w:t>
      </w:r>
    </w:p>
    <w:bookmarkEnd w:id="403"/>
    <w:bookmarkStart w:id="405"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04">
        <w:r>
          <w:rPr>
            <w:rStyle w:val="Hyperlink"/>
          </w:rPr>
          <w:t xml:space="preserve">https://doi.org/10.1287/mnsc.13.11.816</w:t>
        </w:r>
      </w:hyperlink>
      <w:r>
        <w:t xml:space="preserve">.</w:t>
      </w:r>
    </w:p>
    <w:bookmarkEnd w:id="405"/>
    <w:bookmarkStart w:id="406"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06"/>
    <w:bookmarkStart w:id="407"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07"/>
    <w:bookmarkStart w:id="409"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08">
        <w:r>
          <w:rPr>
            <w:rStyle w:val="Hyperlink"/>
          </w:rPr>
          <w:t xml:space="preserve">https://doi.org/10.1016/j.geb.2014.12.001</w:t>
        </w:r>
      </w:hyperlink>
      <w:r>
        <w:t xml:space="preserve">.</w:t>
      </w:r>
    </w:p>
    <w:bookmarkEnd w:id="409"/>
    <w:bookmarkStart w:id="411"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10">
        <w:r>
          <w:rPr>
            <w:rStyle w:val="Hyperlink"/>
          </w:rPr>
          <w:t xml:space="preserve">https://doi.org/10.1111/phpr.12845</w:t>
        </w:r>
      </w:hyperlink>
      <w:r>
        <w:t xml:space="preserve">.</w:t>
      </w:r>
    </w:p>
    <w:bookmarkEnd w:id="411"/>
    <w:bookmarkEnd w:id="412"/>
    <w:bookmarkEnd w:id="413"/>
    <w:bookmarkStart w:id="428"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14"/>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415"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415"/>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20"/>
        </w:numPr>
        <w:pStyle w:val="Compact"/>
      </w:pPr>
      <w:r>
        <w:rPr>
          <w:iCs/>
          <w:i/>
        </w:rPr>
        <w:t xml:space="preserve">x</w:t>
      </w:r>
      <w:r>
        <w:t xml:space="preserve"> </w:t>
      </w:r>
      <w:r>
        <w:t xml:space="preserve">&gt;</w:t>
      </w:r>
      <w:r>
        <w:t xml:space="preserve"> </w:t>
      </w:r>
      <w:r>
        <w:rPr>
          <w:iCs/>
          <w:i/>
        </w:rPr>
        <w:t xml:space="preserve">z</w:t>
      </w:r>
    </w:p>
    <w:p>
      <w:pPr>
        <w:numPr>
          <w:ilvl w:val="0"/>
          <w:numId w:val="1020"/>
        </w:numPr>
        <w:pStyle w:val="Compact"/>
      </w:pPr>
      <w:r>
        <w:rPr>
          <w:iCs/>
          <w:i/>
        </w:rPr>
        <w:t xml:space="preserve">y</w:t>
      </w:r>
      <w:r>
        <w:t xml:space="preserve"> </w:t>
      </w:r>
      <w:r>
        <w:t xml:space="preserve">&gt;</w:t>
      </w:r>
      <w:r>
        <w:t xml:space="preserve"> </w:t>
      </w:r>
      <w:r>
        <w:rPr>
          <w:iCs/>
          <w:i/>
        </w:rPr>
        <w:t xml:space="preserve">w</w:t>
      </w:r>
    </w:p>
    <w:p>
      <w:pPr>
        <w:numPr>
          <w:ilvl w:val="0"/>
          <w:numId w:val="1020"/>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416"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416"/>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417"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417"/>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1"/>
        </w:numPr>
        <w:pStyle w:val="Compact"/>
      </w:pPr>
      <w:r>
        <w:rPr>
          <w:iCs/>
          <w:i/>
        </w:rPr>
        <w:t xml:space="preserve">x</w:t>
      </w:r>
      <w:r>
        <w:t xml:space="preserve"> </w:t>
      </w:r>
      <w:r>
        <w:t xml:space="preserve">&lt;</w:t>
      </w:r>
      <w:r>
        <w:t xml:space="preserve"> </w:t>
      </w:r>
      <w:r>
        <w:rPr>
          <w:iCs/>
          <w:i/>
        </w:rPr>
        <w:t xml:space="preserve">z</w:t>
      </w:r>
    </w:p>
    <w:p>
      <w:pPr>
        <w:numPr>
          <w:ilvl w:val="0"/>
          <w:numId w:val="1021"/>
        </w:numPr>
        <w:pStyle w:val="Compact"/>
      </w:pPr>
      <w:r>
        <w:rPr>
          <w:iCs/>
          <w:i/>
        </w:rPr>
        <w:t xml:space="preserve">y</w:t>
      </w:r>
      <w:r>
        <w:t xml:space="preserve"> </w:t>
      </w:r>
      <w:r>
        <w:t xml:space="preserve">&gt;&gt;</w:t>
      </w:r>
      <w:r>
        <w:t xml:space="preserve"> </w:t>
      </w:r>
      <w:r>
        <w:rPr>
          <w:iCs/>
          <w:i/>
        </w:rPr>
        <w:t xml:space="preserve">w</w:t>
      </w:r>
    </w:p>
    <w:p>
      <w:pPr>
        <w:numPr>
          <w:ilvl w:val="0"/>
          <w:numId w:val="1021"/>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418"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418"/>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419"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419"/>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420"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420"/>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421"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21"/>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422"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22"/>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23"/>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424"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424"/>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425"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425"/>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426"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426"/>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427"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427"/>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28"/>
    <w:bookmarkStart w:id="429" w:name="sec-nidt"/>
    <w:p>
      <w:pPr>
        <w:pStyle w:val="Heading1"/>
      </w:pPr>
      <w:r>
        <w:t xml:space="preserve">Appendix B — Non-Ideal Decision Theory</w:t>
      </w:r>
    </w:p>
    <w:bookmarkEnd w:id="429"/>
    <w:bookmarkStart w:id="430"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30"/>
    <w:bookmarkStart w:id="443"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2"/>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2"/>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2"/>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433" w:name="tbl-general-coin-exit"/>
    <w:tbl>
      <w:tblPr>
        <w:tblStyle w:val="Table"/>
        <w:tblW w:type="pct" w:w="5000"/>
        <w:tblLook w:firstRow="0" w:lastRow="0" w:firstColumn="0" w:lastColumn="0" w:noHBand="0" w:noVBand="0" w:val="0000"/>
        <w:jc w:val="start"/>
      </w:tblPr>
      <w:tblGrid>
        <w:gridCol w:w="3960"/>
        <w:gridCol w:w="3960"/>
      </w:tblGrid>
      <w:tr>
        <w:tc>
          <w:tcPr/>
          <w:bookmarkStart w:id="431"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2"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432"/>
          <w:p/>
        </w:tc>
      </w:tr>
    </w:tbl>
    <w:p>
      <w:pPr>
        <w:pStyle w:val="BodyText"/>
      </w:pPr>
      <w:pPr>
        <w:spacing w:before="200"/>
        <w:pStyle w:val="ImageCaption"/>
      </w:pPr>
      <w:r>
        <w:t xml:space="preserve">Table D.1: The abstract form of an exit problem with coins.</w:t>
      </w:r>
    </w:p>
    <w:bookmarkEnd w:id="433"/>
    <w:p>
      <w:pPr>
        <w:pStyle w:val="BodyText"/>
      </w:pPr>
      <w:r>
        <w:t xml:space="preserve">Then we get a version of Exit Principle that applies to games like this.</w:t>
      </w:r>
    </w:p>
    <w:p>
      <w:pPr>
        <w:numPr>
          <w:ilvl w:val="0"/>
          <w:numId w:val="1023"/>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436" w:name="tbl-zero-coin-exit"/>
    <w:tbl>
      <w:tblPr>
        <w:tblStyle w:val="Table"/>
        <w:tblW w:type="pct" w:w="5000"/>
        <w:tblLook w:firstRow="0" w:lastRow="0" w:firstColumn="0" w:lastColumn="0" w:noHBand="0" w:noVBand="0" w:val="0000"/>
        <w:jc w:val="start"/>
      </w:tblPr>
      <w:tblGrid>
        <w:gridCol w:w="3960"/>
        <w:gridCol w:w="3960"/>
      </w:tblGrid>
      <w:tr>
        <w:tc>
          <w:tcPr/>
          <w:bookmarkStart w:id="434"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43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5"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35"/>
          <w:p/>
        </w:tc>
      </w:tr>
    </w:tbl>
    <w:p>
      <w:pPr>
        <w:pStyle w:val="BodyText"/>
      </w:pPr>
      <w:pPr>
        <w:spacing w:before="200"/>
        <w:pStyle w:val="ImageCaption"/>
      </w:pPr>
      <w:r>
        <w:t xml:space="preserve">Table D.2: An exit game with exit payout 0.</w:t>
      </w:r>
    </w:p>
    <w:bookmarkEnd w:id="436"/>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439" w:name="tbl-one-coin-exit"/>
    <w:tbl>
      <w:tblPr>
        <w:tblStyle w:val="Table"/>
        <w:tblW w:type="pct" w:w="5000"/>
        <w:tblLook w:firstRow="0" w:lastRow="0" w:firstColumn="0" w:lastColumn="0" w:noHBand="0" w:noVBand="0" w:val="0000"/>
        <w:jc w:val="start"/>
      </w:tblPr>
      <w:tblGrid>
        <w:gridCol w:w="3960"/>
        <w:gridCol w:w="3960"/>
      </w:tblGrid>
      <w:tr>
        <w:tc>
          <w:tcPr/>
          <w:bookmarkStart w:id="437"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38"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38"/>
          <w:p/>
        </w:tc>
      </w:tr>
    </w:tbl>
    <w:p>
      <w:pPr>
        <w:pStyle w:val="BodyText"/>
      </w:pPr>
      <w:pPr>
        <w:spacing w:before="200"/>
        <w:pStyle w:val="ImageCaption"/>
      </w:pPr>
      <w:r>
        <w:t xml:space="preserve">Table D.3: An exit game with exit payout 1.</w:t>
      </w:r>
    </w:p>
    <w:bookmarkEnd w:id="439"/>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442" w:name="tbl-two-coin-exit"/>
    <w:tbl>
      <w:tblPr>
        <w:tblStyle w:val="Table"/>
        <w:tblW w:type="pct" w:w="5000"/>
        <w:tblLook w:firstRow="0" w:lastRow="0" w:firstColumn="0" w:lastColumn="0" w:noHBand="0" w:noVBand="0" w:val="0000"/>
        <w:jc w:val="start"/>
      </w:tblPr>
      <w:tblGrid>
        <w:gridCol w:w="3960"/>
        <w:gridCol w:w="3960"/>
      </w:tblGrid>
      <w:tr>
        <w:tc>
          <w:tcPr/>
          <w:bookmarkStart w:id="440"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44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41"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441"/>
          <w:p/>
        </w:tc>
      </w:tr>
    </w:tbl>
    <w:p>
      <w:pPr>
        <w:pStyle w:val="BodyText"/>
      </w:pPr>
      <w:pPr>
        <w:spacing w:before="200"/>
        <w:pStyle w:val="ImageCaption"/>
      </w:pPr>
      <w:r>
        <w:t xml:space="preserve">Table D.4: An exit game with exit payout 2.</w:t>
      </w:r>
    </w:p>
    <w:bookmarkEnd w:id="442"/>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43"/>
    <w:bookmarkStart w:id="456" w:name="sec-unique"/>
    <w:p>
      <w:pPr>
        <w:pStyle w:val="Heading1"/>
      </w:pPr>
      <w:r>
        <w:t xml:space="preserve">Appendix E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44"/>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45"/>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46"/>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49" w:name="chicken"/>
    <w:p>
      <w:pPr>
        <w:pStyle w:val="Heading2"/>
      </w:pPr>
      <w:r>
        <w:t xml:space="preserve">E.1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E.1</w:t>
        </w:r>
      </w:hyperlink>
      <w:r>
        <w:t xml:space="preserve">.</w:t>
      </w:r>
    </w:p>
    <w:bookmarkStart w:id="447" w:name="tbl-unique-chicken"/>
    <w:p>
      <w:pPr>
        <w:pStyle w:val="TableCaption"/>
      </w:pPr>
      <w:r>
        <w:t xml:space="preserve">Table E.1: Chicken</w:t>
      </w:r>
    </w:p>
    <w:tbl>
      <w:tblPr>
        <w:tblStyle w:val="Table"/>
        <w:tblW w:type="auto" w:w="0"/>
        <w:tblLook w:firstRow="1" w:lastRow="0" w:firstColumn="0" w:lastColumn="0" w:noHBand="0" w:noVBand="0" w:val="0020"/>
        <w:jc w:val="start"/>
        <w:tblCaption w:val="Table E.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447"/>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4"/>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4"/>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4"/>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4"/>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4"/>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4"/>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4"/>
        </w:numPr>
        <w:pStyle w:val="Compact"/>
      </w:pPr>
      <w:r>
        <w:t xml:space="preserve">So 0 &lt;</w:t>
      </w:r>
      <w:r>
        <w:t xml:space="preserve"> </w:t>
      </w:r>
      <w:r>
        <w:rPr>
          <w:iCs/>
          <w:i/>
        </w:rPr>
        <w:t xml:space="preserve">x</w:t>
      </w:r>
      <w:r>
        <w:t xml:space="preserve"> </w:t>
      </w:r>
      <w:r>
        <w:t xml:space="preserve">&lt; 1.</w:t>
      </w:r>
    </w:p>
    <w:p>
      <w:pPr>
        <w:numPr>
          <w:ilvl w:val="0"/>
          <w:numId w:val="1024"/>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48"/>
      </w:r>
    </w:p>
    <w:p>
      <w:pPr>
        <w:numPr>
          <w:ilvl w:val="0"/>
          <w:numId w:val="1024"/>
        </w:numPr>
        <w:pStyle w:val="Compact"/>
      </w:pPr>
      <w:r>
        <w:t xml:space="preserve">Column is indifferent between Stay and Swerve only if her credence that Row will Swerve is 0.99. (This is a reasonably simple bit of algebra to prove.)</w:t>
      </w:r>
    </w:p>
    <w:p>
      <w:pPr>
        <w:numPr>
          <w:ilvl w:val="0"/>
          <w:numId w:val="1024"/>
        </w:numPr>
        <w:pStyle w:val="Compact"/>
      </w:pPr>
      <w:r>
        <w:t xml:space="preserve">So from 10 and 11, Column’s credence that Row will Swerve is 0.99.</w:t>
      </w:r>
    </w:p>
    <w:p>
      <w:pPr>
        <w:numPr>
          <w:ilvl w:val="0"/>
          <w:numId w:val="1024"/>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4"/>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49"/>
    <w:bookmarkStart w:id="451" w:name="elections"/>
    <w:p>
      <w:pPr>
        <w:pStyle w:val="Heading2"/>
      </w:pPr>
      <w:r>
        <w:t xml:space="preserve">E.2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50"/>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5"/>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5"/>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5"/>
        </w:numPr>
        <w:pStyle w:val="Compact"/>
      </w:pPr>
      <w:r>
        <w:t xml:space="preserve">If premise 2 is true, then if the players have the same evidence and are rational, the result of the game will be a symmetric equilibrium.</w:t>
      </w:r>
    </w:p>
    <w:p>
      <w:pPr>
        <w:numPr>
          <w:ilvl w:val="0"/>
          <w:numId w:val="1025"/>
        </w:numPr>
        <w:pStyle w:val="Compact"/>
      </w:pPr>
      <w:r>
        <w:t xml:space="preserve">The game does not have a symmetric equilibrium.</w:t>
      </w:r>
    </w:p>
    <w:p>
      <w:pPr>
        <w:numPr>
          <w:ilvl w:val="0"/>
          <w:numId w:val="1025"/>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Each player has a correct belief about what the other players will play.</w:t>
      </w:r>
    </w:p>
    <w:p>
      <w:pPr>
        <w:numPr>
          <w:ilvl w:val="0"/>
          <w:numId w:val="1026"/>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6"/>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7"/>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7"/>
        </w:numPr>
        <w:pStyle w:val="Compact"/>
      </w:pPr>
      <w:r>
        <w:t xml:space="preserve">The only two rational plays are 0.4 and 0.6, and each of them is rationally permissible.</w:t>
      </w:r>
    </w:p>
    <w:p>
      <w:pPr>
        <w:numPr>
          <w:ilvl w:val="0"/>
          <w:numId w:val="1027"/>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7"/>
        </w:numPr>
        <w:pStyle w:val="Compact"/>
      </w:pPr>
      <w:r>
        <w:t xml:space="preserve">If a player plays 0.6, they believe the other two players will play 0.4, and hence playing 0.6 is a winning move.</w:t>
      </w:r>
    </w:p>
    <w:p>
      <w:pPr>
        <w:numPr>
          <w:ilvl w:val="0"/>
          <w:numId w:val="1027"/>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51"/>
    <w:bookmarkStart w:id="454" w:name="objections"/>
    <w:p>
      <w:pPr>
        <w:pStyle w:val="Heading2"/>
      </w:pPr>
      <w:r>
        <w:t xml:space="preserve">E.3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52"/>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53"/>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54"/>
    <w:bookmarkStart w:id="455" w:name="conclusion"/>
    <w:p>
      <w:pPr>
        <w:pStyle w:val="Heading2"/>
      </w:pPr>
      <w:r>
        <w:t xml:space="preserve">E.4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55"/>
    <w:bookmarkEnd w:id="456"/>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D</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61">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2">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4">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5">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6">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70">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2">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74">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5">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6">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1">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82">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3">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4">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85">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6">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7">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89">
    <w:p>
      <w:pPr>
        <w:pStyle w:val="FootnoteText"/>
      </w:pPr>
      <w:r>
        <w:rPr>
          <w:rStyle w:val="FootnoteReference"/>
        </w:rPr>
        <w:footnoteRef/>
      </w:r>
      <w:r>
        <w:t xml:space="preserve"> </w:t>
      </w:r>
      <w:r>
        <w:t xml:space="preserve">Note to self: Change Two-stage newcomb in two ways. Flip Up and Down, and change them to A and B. And change text to suit. And move other example to an appendix.</w:t>
      </w:r>
    </w:p>
  </w:footnote>
  <w:footnote w:id="90">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91">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2">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4">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6">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8">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109">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110">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sone cases we can say substantive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p>
  </w:footnote>
  <w:footnote w:id="114">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15">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6">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21">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3">
    <w:p>
      <w:pPr>
        <w:pStyle w:val="FootnoteText"/>
      </w:pPr>
      <w:r>
        <w:rPr>
          <w:rStyle w:val="FootnoteReference"/>
        </w:rPr>
        <w:footnoteRef/>
      </w:r>
      <w:r>
        <w:t xml:space="preserve"> </w:t>
      </w:r>
      <w:r>
        <w:t xml:space="preserve">This is defined earlier, on page 75, but the details aren’t important to what we’re doing.</w:t>
      </w:r>
    </w:p>
  </w:footnote>
  <w:footnote w:id="124">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5">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7">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9">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31">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2">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8">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41">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42">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3">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2">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3">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4">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2">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71">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7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8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90">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9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94">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9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97">
    <w:p>
      <w:pPr>
        <w:pStyle w:val="FootnoteText"/>
      </w:pPr>
      <w:r>
        <w:rPr>
          <w:rStyle w:val="FootnoteReference"/>
        </w:rPr>
        <w:footnoteRef/>
      </w:r>
      <w:r>
        <w:t xml:space="preserve"> </w:t>
      </w:r>
      <w:r>
        <w:t xml:space="preserve">That is, what Chooser will do if Heads, and what they will do if Tails.</w:t>
      </w:r>
    </w:p>
  </w:footnote>
  <w:footnote w:id="198">
    <w:p>
      <w:pPr>
        <w:pStyle w:val="FootnoteText"/>
      </w:pPr>
      <w:r>
        <w:rPr>
          <w:rStyle w:val="FootnoteReference"/>
        </w:rPr>
        <w:footnoteRef/>
      </w:r>
      <w:r>
        <w:t xml:space="preserve"> </w:t>
      </w:r>
      <w:r>
        <w:t xml:space="preserve">If both are equally likely, Demon will flip a fair coin and say how it lands.</w:t>
      </w:r>
    </w:p>
  </w:footnote>
  <w:footnote w:id="204">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08">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10">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18">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414">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23">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44">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45">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46">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48">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50">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52">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53">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05" Target="media/rId105.png" /><Relationship Type="http://schemas.openxmlformats.org/officeDocument/2006/relationships/image" Id="rId165" Target="media/rId165.png" /><Relationship Type="http://schemas.openxmlformats.org/officeDocument/2006/relationships/image" Id="rId158" Target="media/rId158.png" /><Relationship Type="http://schemas.openxmlformats.org/officeDocument/2006/relationships/image" Id="rId148" Target="media/rId148.png" /><Relationship Type="http://schemas.openxmlformats.org/officeDocument/2006/relationships/image" Id="rId133" Target="media/rId133.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00" Target="media/rId200.png" /><Relationship Type="http://schemas.openxmlformats.org/officeDocument/2006/relationships/hyperlink" Id="rId239" Target="http://faculty.econ.ucdavis.edu/faculty/bonanno/GT_Book.html" TargetMode="External" /><Relationship Type="http://schemas.openxmlformats.org/officeDocument/2006/relationships/hyperlink" Id="rId275" Target="https://10.1111/j.1468-0262.2005.00631.x" TargetMode="External" /><Relationship Type="http://schemas.openxmlformats.org/officeDocument/2006/relationships/hyperlink" Id="rId258" Target="https://arxiv.org/abs/2212.06025" TargetMode="External" /><Relationship Type="http://schemas.openxmlformats.org/officeDocument/2006/relationships/hyperlink" Id="rId279"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4" Target="https://doi.org/10.1006/reec.1999.0200" TargetMode="External" /><Relationship Type="http://schemas.openxmlformats.org/officeDocument/2006/relationships/hyperlink" Id="rId304" Target="https://doi.org/10.1007/978-94-009-2865-7_2" TargetMode="External" /><Relationship Type="http://schemas.openxmlformats.org/officeDocument/2006/relationships/hyperlink" Id="rId298" Target="https://doi.org/10.1007/BF00129168" TargetMode="External" /><Relationship Type="http://schemas.openxmlformats.org/officeDocument/2006/relationships/hyperlink" Id="rId302" Target="https://doi.org/10.1007/BF00183199" TargetMode="External" /><Relationship Type="http://schemas.openxmlformats.org/officeDocument/2006/relationships/hyperlink" Id="rId339" Target="https://doi.org/10.1007/BF01753236" TargetMode="External" /><Relationship Type="http://schemas.openxmlformats.org/officeDocument/2006/relationships/hyperlink" Id="rId366" Target="https://doi.org/10.1007/BF01766400" TargetMode="External" /><Relationship Type="http://schemas.openxmlformats.org/officeDocument/2006/relationships/hyperlink" Id="rId232" Target="https://doi.org/10.1007/s10670-007-9084-8" TargetMode="External" /><Relationship Type="http://schemas.openxmlformats.org/officeDocument/2006/relationships/hyperlink" Id="rId296" Target="https://doi.org/10.1007/s10670-010-9267-6" TargetMode="External" /><Relationship Type="http://schemas.openxmlformats.org/officeDocument/2006/relationships/hyperlink" Id="rId344" Target="https://doi.org/10.1007/s10670-020-00373-7" TargetMode="External" /><Relationship Type="http://schemas.openxmlformats.org/officeDocument/2006/relationships/hyperlink" Id="rId330" Target="https://doi.org/10.1007/s10670-021-00391-z" TargetMode="External" /><Relationship Type="http://schemas.openxmlformats.org/officeDocument/2006/relationships/hyperlink" Id="rId244" Target="https://doi.org/10.1007/s11098-013-0182-y" TargetMode="External" /><Relationship Type="http://schemas.openxmlformats.org/officeDocument/2006/relationships/hyperlink" Id="rId308" Target="https://doi.org/10.1007/s11098-013-0231-6" TargetMode="External" /><Relationship Type="http://schemas.openxmlformats.org/officeDocument/2006/relationships/hyperlink" Id="rId246" Target="https://doi.org/10.1007/s11098-017-0904-7" TargetMode="External" /><Relationship Type="http://schemas.openxmlformats.org/officeDocument/2006/relationships/hyperlink" Id="rId334" Target="https://doi.org/10.1007/s11098-018-1036-4" TargetMode="External" /><Relationship Type="http://schemas.openxmlformats.org/officeDocument/2006/relationships/hyperlink" Id="rId376" Target="https://doi.org/10.1007/s11098-020-01509-9" TargetMode="External" /><Relationship Type="http://schemas.openxmlformats.org/officeDocument/2006/relationships/hyperlink" Id="rId394" Target="https://doi.org/10.1007/s11229-011-0012-8" TargetMode="External" /><Relationship Type="http://schemas.openxmlformats.org/officeDocument/2006/relationships/hyperlink" Id="rId312" Target="https://doi.org/10.1007/s11229-011-0022-6" TargetMode="External" /><Relationship Type="http://schemas.openxmlformats.org/officeDocument/2006/relationships/hyperlink" Id="rId396" Target="https://doi.org/10.1007/s11229-011-9900-1" TargetMode="External" /><Relationship Type="http://schemas.openxmlformats.org/officeDocument/2006/relationships/hyperlink" Id="rId351" Target="https://doi.org/10.1016/0167-2681(82)90008-7" TargetMode="External" /><Relationship Type="http://schemas.openxmlformats.org/officeDocument/2006/relationships/hyperlink" Id="rId236" Target="https://doi.org/10.1016/S0022-0531(05)80039-0" TargetMode="External" /><Relationship Type="http://schemas.openxmlformats.org/officeDocument/2006/relationships/hyperlink" Id="rId382" Target="https://doi.org/10.1016/S0165-4896(98)00007-9" TargetMode="External" /><Relationship Type="http://schemas.openxmlformats.org/officeDocument/2006/relationships/hyperlink" Id="rId362" Target="https://doi.org/10.1016/S0927-0507(05)12001-5" TargetMode="External" /><Relationship Type="http://schemas.openxmlformats.org/officeDocument/2006/relationships/hyperlink" Id="rId277" Target="https://doi.org/10.1016/j.geb.2011.09.008" TargetMode="External" /><Relationship Type="http://schemas.openxmlformats.org/officeDocument/2006/relationships/hyperlink" Id="rId408" Target="https://doi.org/10.1016/j.geb.2014.12.001" TargetMode="External" /><Relationship Type="http://schemas.openxmlformats.org/officeDocument/2006/relationships/hyperlink" Id="rId248" Target="https://doi.org/10.1017/epi.2019.25" TargetMode="External" /><Relationship Type="http://schemas.openxmlformats.org/officeDocument/2006/relationships/hyperlink" Id="rId356" Target="https://doi.org/10.1023/a:1005259701040" TargetMode="External" /><Relationship Type="http://schemas.openxmlformats.org/officeDocument/2006/relationships/hyperlink" Id="rId378" Target="https://doi.org/10.1080/00048402.2021.1958880" TargetMode="External" /><Relationship Type="http://schemas.openxmlformats.org/officeDocument/2006/relationships/hyperlink" Id="rId354" Target="https://doi.org/10.1080/00048408412341601" TargetMode="External" /><Relationship Type="http://schemas.openxmlformats.org/officeDocument/2006/relationships/hyperlink" Id="rId398" Target="https://doi.org/10.1080/00048408512342061" TargetMode="External" /><Relationship Type="http://schemas.openxmlformats.org/officeDocument/2006/relationships/hyperlink" Id="rId402" Target="https://doi.org/10.1080/13501789400000009" TargetMode="External" /><Relationship Type="http://schemas.openxmlformats.org/officeDocument/2006/relationships/hyperlink" Id="rId252" Target="https://doi.org/10.1086/339673" TargetMode="External" /><Relationship Type="http://schemas.openxmlformats.org/officeDocument/2006/relationships/hyperlink" Id="rId264" Target="https://doi.org/10.1086/658093" TargetMode="External" /><Relationship Type="http://schemas.openxmlformats.org/officeDocument/2006/relationships/hyperlink" Id="rId220" Target="https://doi.org/10.1086/666065" TargetMode="External" /><Relationship Type="http://schemas.openxmlformats.org/officeDocument/2006/relationships/hyperlink" Id="rId389" Target="https://doi.org/10.1086/699256" TargetMode="External" /><Relationship Type="http://schemas.openxmlformats.org/officeDocument/2006/relationships/hyperlink" Id="rId271" Target="https://doi.org/10.1093/analys/60.2.143" TargetMode="External" /><Relationship Type="http://schemas.openxmlformats.org/officeDocument/2006/relationships/hyperlink" Id="rId222" Target="https://doi.org/10.1093/analys/anu084" TargetMode="External" /><Relationship Type="http://schemas.openxmlformats.org/officeDocument/2006/relationships/hyperlink" Id="rId273" Target="https://doi.org/10.1093/analys/anz059" TargetMode="External" /><Relationship Type="http://schemas.openxmlformats.org/officeDocument/2006/relationships/hyperlink" Id="rId288" Target="https://doi.org/10.1093/bjps/17.4.319" TargetMode="External" /><Relationship Type="http://schemas.openxmlformats.org/officeDocument/2006/relationships/hyperlink" Id="rId262" Target="https://doi.org/10.1093/bjps/axaa003" TargetMode="External" /><Relationship Type="http://schemas.openxmlformats.org/officeDocument/2006/relationships/hyperlink" Id="rId364" Target="https://doi.org/10.1093/mind/fzw065" TargetMode="External" /><Relationship Type="http://schemas.openxmlformats.org/officeDocument/2006/relationships/hyperlink" Id="rId400" Target="https://doi.org/10.1093/mind/fzx018" TargetMode="External" /><Relationship Type="http://schemas.openxmlformats.org/officeDocument/2006/relationships/hyperlink" Id="rId224" Target="https://doi.org/10.1093/mind/fzz073" TargetMode="External" /><Relationship Type="http://schemas.openxmlformats.org/officeDocument/2006/relationships/hyperlink" Id="rId306" Target="https://doi.org/10.1093/pq/pqac083" TargetMode="External" /><Relationship Type="http://schemas.openxmlformats.org/officeDocument/2006/relationships/hyperlink" Id="rId318" Target="https://doi.org/10.1093/pq/pqad072" TargetMode="External" /><Relationship Type="http://schemas.openxmlformats.org/officeDocument/2006/relationships/hyperlink" Id="rId336" Target="https://doi.org/10.1111/j.1527-2001.2005.tb00493.x" TargetMode="External" /><Relationship Type="http://schemas.openxmlformats.org/officeDocument/2006/relationships/hyperlink" Id="rId266" Target="https://doi.org/10.1111/j.1933-1592.2011.00566.x" TargetMode="External" /><Relationship Type="http://schemas.openxmlformats.org/officeDocument/2006/relationships/hyperlink" Id="rId300" Target="https://doi.org/10.1111/nous.12094" TargetMode="External" /><Relationship Type="http://schemas.openxmlformats.org/officeDocument/2006/relationships/hyperlink" Id="rId349" Target="https://doi.org/10.1111/nous.12353" TargetMode="External" /><Relationship Type="http://schemas.openxmlformats.org/officeDocument/2006/relationships/hyperlink" Id="rId281" Target="https://doi.org/10.1111/nous.12459" TargetMode="External" /><Relationship Type="http://schemas.openxmlformats.org/officeDocument/2006/relationships/hyperlink" Id="rId290" Target="https://doi.org/10.1111/nous.12473" TargetMode="External" /><Relationship Type="http://schemas.openxmlformats.org/officeDocument/2006/relationships/hyperlink" Id="rId294" Target="https://doi.org/10.1111/phc3.12318" TargetMode="External" /><Relationship Type="http://schemas.openxmlformats.org/officeDocument/2006/relationships/hyperlink" Id="rId391" Target="https://doi.org/10.1111/phco.2012.7.issue-9" TargetMode="External" /><Relationship Type="http://schemas.openxmlformats.org/officeDocument/2006/relationships/hyperlink" Id="rId380" Target="https://doi.org/10.1111/phpr.12466" TargetMode="External" /><Relationship Type="http://schemas.openxmlformats.org/officeDocument/2006/relationships/hyperlink" Id="rId410" Target="https://doi.org/10.1111/phpr.12845" TargetMode="External" /><Relationship Type="http://schemas.openxmlformats.org/officeDocument/2006/relationships/hyperlink" Id="rId268" Target="https://doi.org/10.1215/00318108-2006-023" TargetMode="External" /><Relationship Type="http://schemas.openxmlformats.org/officeDocument/2006/relationships/hyperlink" Id="rId404" Target="https://doi.org/10.1287/mnsc.13.11.816" TargetMode="External" /><Relationship Type="http://schemas.openxmlformats.org/officeDocument/2006/relationships/hyperlink" Id="rId292" Target="https://doi.org/10.1515/bejte-2018-0185" TargetMode="External" /><Relationship Type="http://schemas.openxmlformats.org/officeDocument/2006/relationships/hyperlink" Id="rId226" Target="https://doi.org/10.2307/1879431" TargetMode="External" /><Relationship Type="http://schemas.openxmlformats.org/officeDocument/2006/relationships/hyperlink" Id="rId256" Target="https://doi.org/10.2307/1885060" TargetMode="External" /><Relationship Type="http://schemas.openxmlformats.org/officeDocument/2006/relationships/hyperlink" Id="rId254" Target="https://doi.org/10.2307/1907435" TargetMode="External" /><Relationship Type="http://schemas.openxmlformats.org/officeDocument/2006/relationships/hyperlink" Id="rId230" Target="https://doi.org/10.2307/1907921" TargetMode="External" /><Relationship Type="http://schemas.openxmlformats.org/officeDocument/2006/relationships/hyperlink" Id="rId346" Target="https://doi.org/10.2307/1911197" TargetMode="External" /><Relationship Type="http://schemas.openxmlformats.org/officeDocument/2006/relationships/hyperlink" Id="rId324" Target="https://doi.org/10.2307/2215439" TargetMode="External" /><Relationship Type="http://schemas.openxmlformats.org/officeDocument/2006/relationships/hyperlink" Id="rId328" Target="https://doi.org/10.2307/2296233" TargetMode="External" /><Relationship Type="http://schemas.openxmlformats.org/officeDocument/2006/relationships/hyperlink" Id="rId368" Target="https://doi.org/10.2307/2296384" TargetMode="External" /><Relationship Type="http://schemas.openxmlformats.org/officeDocument/2006/relationships/hyperlink" Id="rId360" Target="https://doi.org/10.2307/2548836" TargetMode="External" /><Relationship Type="http://schemas.openxmlformats.org/officeDocument/2006/relationships/hyperlink" Id="rId370" Target="https://doi.org/10.5840/jphil2006103517" TargetMode="External" /><Relationship Type="http://schemas.openxmlformats.org/officeDocument/2006/relationships/hyperlink" Id="rId283" Target="https://doi.org/10.5840/jphil202011739" TargetMode="External" /><Relationship Type="http://schemas.openxmlformats.org/officeDocument/2006/relationships/hyperlink" Id="rId320" Target="https://doi.org/10.5840/jphil2020117516" TargetMode="External" /><Relationship Type="http://schemas.openxmlformats.org/officeDocument/2006/relationships/hyperlink" Id="rId234" Target="https://doi.org/10.5840/jphil202211925" TargetMode="External" /><Relationship Type="http://schemas.openxmlformats.org/officeDocument/2006/relationships/hyperlink" Id="rId241"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5" Target="https://philpapers.org/archive/GALTST-2.pdf" TargetMode="External" /><Relationship Type="http://schemas.openxmlformats.org/officeDocument/2006/relationships/hyperlink" Id="rId250" Target="https://plato.stanford.edu/archives/win2017/entries/decision-theory-descriptive/" TargetMode="External" /><Relationship Type="http://schemas.openxmlformats.org/officeDocument/2006/relationships/hyperlink" Id="rId228"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39" Target="http://faculty.econ.ucdavis.edu/faculty/bonanno/GT_Book.html" TargetMode="External" /><Relationship Type="http://schemas.openxmlformats.org/officeDocument/2006/relationships/hyperlink" Id="rId275" Target="https://10.1111/j.1468-0262.2005.00631.x" TargetMode="External" /><Relationship Type="http://schemas.openxmlformats.org/officeDocument/2006/relationships/hyperlink" Id="rId258" Target="https://arxiv.org/abs/2212.06025" TargetMode="External" /><Relationship Type="http://schemas.openxmlformats.org/officeDocument/2006/relationships/hyperlink" Id="rId279"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4" Target="https://doi.org/10.1006/reec.1999.0200" TargetMode="External" /><Relationship Type="http://schemas.openxmlformats.org/officeDocument/2006/relationships/hyperlink" Id="rId304" Target="https://doi.org/10.1007/978-94-009-2865-7_2" TargetMode="External" /><Relationship Type="http://schemas.openxmlformats.org/officeDocument/2006/relationships/hyperlink" Id="rId298" Target="https://doi.org/10.1007/BF00129168" TargetMode="External" /><Relationship Type="http://schemas.openxmlformats.org/officeDocument/2006/relationships/hyperlink" Id="rId302" Target="https://doi.org/10.1007/BF00183199" TargetMode="External" /><Relationship Type="http://schemas.openxmlformats.org/officeDocument/2006/relationships/hyperlink" Id="rId339" Target="https://doi.org/10.1007/BF01753236" TargetMode="External" /><Relationship Type="http://schemas.openxmlformats.org/officeDocument/2006/relationships/hyperlink" Id="rId366" Target="https://doi.org/10.1007/BF01766400" TargetMode="External" /><Relationship Type="http://schemas.openxmlformats.org/officeDocument/2006/relationships/hyperlink" Id="rId232" Target="https://doi.org/10.1007/s10670-007-9084-8" TargetMode="External" /><Relationship Type="http://schemas.openxmlformats.org/officeDocument/2006/relationships/hyperlink" Id="rId296" Target="https://doi.org/10.1007/s10670-010-9267-6" TargetMode="External" /><Relationship Type="http://schemas.openxmlformats.org/officeDocument/2006/relationships/hyperlink" Id="rId344" Target="https://doi.org/10.1007/s10670-020-00373-7" TargetMode="External" /><Relationship Type="http://schemas.openxmlformats.org/officeDocument/2006/relationships/hyperlink" Id="rId330" Target="https://doi.org/10.1007/s10670-021-00391-z" TargetMode="External" /><Relationship Type="http://schemas.openxmlformats.org/officeDocument/2006/relationships/hyperlink" Id="rId244" Target="https://doi.org/10.1007/s11098-013-0182-y" TargetMode="External" /><Relationship Type="http://schemas.openxmlformats.org/officeDocument/2006/relationships/hyperlink" Id="rId308" Target="https://doi.org/10.1007/s11098-013-0231-6" TargetMode="External" /><Relationship Type="http://schemas.openxmlformats.org/officeDocument/2006/relationships/hyperlink" Id="rId246" Target="https://doi.org/10.1007/s11098-017-0904-7" TargetMode="External" /><Relationship Type="http://schemas.openxmlformats.org/officeDocument/2006/relationships/hyperlink" Id="rId334" Target="https://doi.org/10.1007/s11098-018-1036-4" TargetMode="External" /><Relationship Type="http://schemas.openxmlformats.org/officeDocument/2006/relationships/hyperlink" Id="rId376" Target="https://doi.org/10.1007/s11098-020-01509-9" TargetMode="External" /><Relationship Type="http://schemas.openxmlformats.org/officeDocument/2006/relationships/hyperlink" Id="rId394" Target="https://doi.org/10.1007/s11229-011-0012-8" TargetMode="External" /><Relationship Type="http://schemas.openxmlformats.org/officeDocument/2006/relationships/hyperlink" Id="rId312" Target="https://doi.org/10.1007/s11229-011-0022-6" TargetMode="External" /><Relationship Type="http://schemas.openxmlformats.org/officeDocument/2006/relationships/hyperlink" Id="rId396" Target="https://doi.org/10.1007/s11229-011-9900-1" TargetMode="External" /><Relationship Type="http://schemas.openxmlformats.org/officeDocument/2006/relationships/hyperlink" Id="rId351" Target="https://doi.org/10.1016/0167-2681(82)90008-7" TargetMode="External" /><Relationship Type="http://schemas.openxmlformats.org/officeDocument/2006/relationships/hyperlink" Id="rId236" Target="https://doi.org/10.1016/S0022-0531(05)80039-0" TargetMode="External" /><Relationship Type="http://schemas.openxmlformats.org/officeDocument/2006/relationships/hyperlink" Id="rId382" Target="https://doi.org/10.1016/S0165-4896(98)00007-9" TargetMode="External" /><Relationship Type="http://schemas.openxmlformats.org/officeDocument/2006/relationships/hyperlink" Id="rId362" Target="https://doi.org/10.1016/S0927-0507(05)12001-5" TargetMode="External" /><Relationship Type="http://schemas.openxmlformats.org/officeDocument/2006/relationships/hyperlink" Id="rId277" Target="https://doi.org/10.1016/j.geb.2011.09.008" TargetMode="External" /><Relationship Type="http://schemas.openxmlformats.org/officeDocument/2006/relationships/hyperlink" Id="rId408" Target="https://doi.org/10.1016/j.geb.2014.12.001" TargetMode="External" /><Relationship Type="http://schemas.openxmlformats.org/officeDocument/2006/relationships/hyperlink" Id="rId248" Target="https://doi.org/10.1017/epi.2019.25" TargetMode="External" /><Relationship Type="http://schemas.openxmlformats.org/officeDocument/2006/relationships/hyperlink" Id="rId356" Target="https://doi.org/10.1023/a:1005259701040" TargetMode="External" /><Relationship Type="http://schemas.openxmlformats.org/officeDocument/2006/relationships/hyperlink" Id="rId378" Target="https://doi.org/10.1080/00048402.2021.1958880" TargetMode="External" /><Relationship Type="http://schemas.openxmlformats.org/officeDocument/2006/relationships/hyperlink" Id="rId354" Target="https://doi.org/10.1080/00048408412341601" TargetMode="External" /><Relationship Type="http://schemas.openxmlformats.org/officeDocument/2006/relationships/hyperlink" Id="rId398" Target="https://doi.org/10.1080/00048408512342061" TargetMode="External" /><Relationship Type="http://schemas.openxmlformats.org/officeDocument/2006/relationships/hyperlink" Id="rId402" Target="https://doi.org/10.1080/13501789400000009" TargetMode="External" /><Relationship Type="http://schemas.openxmlformats.org/officeDocument/2006/relationships/hyperlink" Id="rId252" Target="https://doi.org/10.1086/339673" TargetMode="External" /><Relationship Type="http://schemas.openxmlformats.org/officeDocument/2006/relationships/hyperlink" Id="rId264" Target="https://doi.org/10.1086/658093" TargetMode="External" /><Relationship Type="http://schemas.openxmlformats.org/officeDocument/2006/relationships/hyperlink" Id="rId220" Target="https://doi.org/10.1086/666065" TargetMode="External" /><Relationship Type="http://schemas.openxmlformats.org/officeDocument/2006/relationships/hyperlink" Id="rId389" Target="https://doi.org/10.1086/699256" TargetMode="External" /><Relationship Type="http://schemas.openxmlformats.org/officeDocument/2006/relationships/hyperlink" Id="rId271" Target="https://doi.org/10.1093/analys/60.2.143" TargetMode="External" /><Relationship Type="http://schemas.openxmlformats.org/officeDocument/2006/relationships/hyperlink" Id="rId222" Target="https://doi.org/10.1093/analys/anu084" TargetMode="External" /><Relationship Type="http://schemas.openxmlformats.org/officeDocument/2006/relationships/hyperlink" Id="rId273" Target="https://doi.org/10.1093/analys/anz059" TargetMode="External" /><Relationship Type="http://schemas.openxmlformats.org/officeDocument/2006/relationships/hyperlink" Id="rId288" Target="https://doi.org/10.1093/bjps/17.4.319" TargetMode="External" /><Relationship Type="http://schemas.openxmlformats.org/officeDocument/2006/relationships/hyperlink" Id="rId262" Target="https://doi.org/10.1093/bjps/axaa003" TargetMode="External" /><Relationship Type="http://schemas.openxmlformats.org/officeDocument/2006/relationships/hyperlink" Id="rId364" Target="https://doi.org/10.1093/mind/fzw065" TargetMode="External" /><Relationship Type="http://schemas.openxmlformats.org/officeDocument/2006/relationships/hyperlink" Id="rId400" Target="https://doi.org/10.1093/mind/fzx018" TargetMode="External" /><Relationship Type="http://schemas.openxmlformats.org/officeDocument/2006/relationships/hyperlink" Id="rId224" Target="https://doi.org/10.1093/mind/fzz073" TargetMode="External" /><Relationship Type="http://schemas.openxmlformats.org/officeDocument/2006/relationships/hyperlink" Id="rId306" Target="https://doi.org/10.1093/pq/pqac083" TargetMode="External" /><Relationship Type="http://schemas.openxmlformats.org/officeDocument/2006/relationships/hyperlink" Id="rId318" Target="https://doi.org/10.1093/pq/pqad072" TargetMode="External" /><Relationship Type="http://schemas.openxmlformats.org/officeDocument/2006/relationships/hyperlink" Id="rId336" Target="https://doi.org/10.1111/j.1527-2001.2005.tb00493.x" TargetMode="External" /><Relationship Type="http://schemas.openxmlformats.org/officeDocument/2006/relationships/hyperlink" Id="rId266" Target="https://doi.org/10.1111/j.1933-1592.2011.00566.x" TargetMode="External" /><Relationship Type="http://schemas.openxmlformats.org/officeDocument/2006/relationships/hyperlink" Id="rId300" Target="https://doi.org/10.1111/nous.12094" TargetMode="External" /><Relationship Type="http://schemas.openxmlformats.org/officeDocument/2006/relationships/hyperlink" Id="rId349" Target="https://doi.org/10.1111/nous.12353" TargetMode="External" /><Relationship Type="http://schemas.openxmlformats.org/officeDocument/2006/relationships/hyperlink" Id="rId281" Target="https://doi.org/10.1111/nous.12459" TargetMode="External" /><Relationship Type="http://schemas.openxmlformats.org/officeDocument/2006/relationships/hyperlink" Id="rId290" Target="https://doi.org/10.1111/nous.12473" TargetMode="External" /><Relationship Type="http://schemas.openxmlformats.org/officeDocument/2006/relationships/hyperlink" Id="rId294" Target="https://doi.org/10.1111/phc3.12318" TargetMode="External" /><Relationship Type="http://schemas.openxmlformats.org/officeDocument/2006/relationships/hyperlink" Id="rId391" Target="https://doi.org/10.1111/phco.2012.7.issue-9" TargetMode="External" /><Relationship Type="http://schemas.openxmlformats.org/officeDocument/2006/relationships/hyperlink" Id="rId380" Target="https://doi.org/10.1111/phpr.12466" TargetMode="External" /><Relationship Type="http://schemas.openxmlformats.org/officeDocument/2006/relationships/hyperlink" Id="rId410" Target="https://doi.org/10.1111/phpr.12845" TargetMode="External" /><Relationship Type="http://schemas.openxmlformats.org/officeDocument/2006/relationships/hyperlink" Id="rId268" Target="https://doi.org/10.1215/00318108-2006-023" TargetMode="External" /><Relationship Type="http://schemas.openxmlformats.org/officeDocument/2006/relationships/hyperlink" Id="rId404" Target="https://doi.org/10.1287/mnsc.13.11.816" TargetMode="External" /><Relationship Type="http://schemas.openxmlformats.org/officeDocument/2006/relationships/hyperlink" Id="rId292" Target="https://doi.org/10.1515/bejte-2018-0185" TargetMode="External" /><Relationship Type="http://schemas.openxmlformats.org/officeDocument/2006/relationships/hyperlink" Id="rId226" Target="https://doi.org/10.2307/1879431" TargetMode="External" /><Relationship Type="http://schemas.openxmlformats.org/officeDocument/2006/relationships/hyperlink" Id="rId256" Target="https://doi.org/10.2307/1885060" TargetMode="External" /><Relationship Type="http://schemas.openxmlformats.org/officeDocument/2006/relationships/hyperlink" Id="rId254" Target="https://doi.org/10.2307/1907435" TargetMode="External" /><Relationship Type="http://schemas.openxmlformats.org/officeDocument/2006/relationships/hyperlink" Id="rId230" Target="https://doi.org/10.2307/1907921" TargetMode="External" /><Relationship Type="http://schemas.openxmlformats.org/officeDocument/2006/relationships/hyperlink" Id="rId346" Target="https://doi.org/10.2307/1911197" TargetMode="External" /><Relationship Type="http://schemas.openxmlformats.org/officeDocument/2006/relationships/hyperlink" Id="rId324" Target="https://doi.org/10.2307/2215439" TargetMode="External" /><Relationship Type="http://schemas.openxmlformats.org/officeDocument/2006/relationships/hyperlink" Id="rId328" Target="https://doi.org/10.2307/2296233" TargetMode="External" /><Relationship Type="http://schemas.openxmlformats.org/officeDocument/2006/relationships/hyperlink" Id="rId368" Target="https://doi.org/10.2307/2296384" TargetMode="External" /><Relationship Type="http://schemas.openxmlformats.org/officeDocument/2006/relationships/hyperlink" Id="rId360" Target="https://doi.org/10.2307/2548836" TargetMode="External" /><Relationship Type="http://schemas.openxmlformats.org/officeDocument/2006/relationships/hyperlink" Id="rId370" Target="https://doi.org/10.5840/jphil2006103517" TargetMode="External" /><Relationship Type="http://schemas.openxmlformats.org/officeDocument/2006/relationships/hyperlink" Id="rId283" Target="https://doi.org/10.5840/jphil202011739" TargetMode="External" /><Relationship Type="http://schemas.openxmlformats.org/officeDocument/2006/relationships/hyperlink" Id="rId320" Target="https://doi.org/10.5840/jphil2020117516" TargetMode="External" /><Relationship Type="http://schemas.openxmlformats.org/officeDocument/2006/relationships/hyperlink" Id="rId234" Target="https://doi.org/10.5840/jphil202211925" TargetMode="External" /><Relationship Type="http://schemas.openxmlformats.org/officeDocument/2006/relationships/hyperlink" Id="rId241"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5" Target="https://philpapers.org/archive/GALTST-2.pdf" TargetMode="External" /><Relationship Type="http://schemas.openxmlformats.org/officeDocument/2006/relationships/hyperlink" Id="rId250" Target="https://plato.stanford.edu/archives/win2017/entries/decision-theory-descriptive/" TargetMode="External" /><Relationship Type="http://schemas.openxmlformats.org/officeDocument/2006/relationships/hyperlink" Id="rId228"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2023-10-17T14:26:35Z</dcterms:created>
  <dcterms:modified xsi:type="dcterms:W3CDTF">2023-10-17T14:26:35Z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2023-10-17</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