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167.png" ContentType="image/png"/>
  <Override PartName="/word/media/rId160.png" ContentType="image/png"/>
  <Override PartName="/word/media/rId150.png" ContentType="image/png"/>
  <Override PartName="/word/media/rId135.png" ContentType="image/png"/>
  <Override PartName="/word/media/rId52.png" ContentType="image/png"/>
  <Override PartName="/word/media/rId24.png" ContentType="image/png"/>
  <Override PartName="/word/media/rId214.png" ContentType="image/png"/>
  <Override PartName="/word/media/rId4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2023-12-08</w:t>
      </w:r>
    </w:p>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50" w:name="sec-intro"/>
    <w:p>
      <w:pPr>
        <w:pStyle w:val="Heading1"/>
      </w:pPr>
      <w:r>
        <w:t xml:space="preserve">1. Introduction</w:t>
      </w:r>
    </w:p>
    <w:bookmarkStart w:id="22" w:name="sec-ten-features"/>
    <w:p>
      <w:pPr>
        <w:pStyle w:val="Heading2"/>
      </w:pPr>
      <w:r>
        <w:t xml:space="preserve">1.1 Ten Features of a Good Decision Theory</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I will focus on these ten characteristics of GDT, with one chapter to come on each.</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version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7 or 8. But I’m going to set those interpretative questions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bookmarkEnd w:id="22"/>
    <w:bookmarkStart w:id="32" w:name="sec-intro-demons"/>
    <w:p>
      <w:pPr>
        <w:pStyle w:val="Heading2"/>
      </w:pPr>
      <w:r>
        <w:t xml:space="preserve">1.2 Demons</w:t>
      </w:r>
    </w:p>
    <w:p>
      <w:pPr>
        <w:pStyle w:val="FirstParagraph"/>
      </w:pPr>
      <w:r>
        <w:t xml:space="preserve">A lot of contemporary philosophical decision theory revolves around what to do if there is a certain kind of demon around. Following</w:t>
      </w:r>
      <w:r>
        <w:t xml:space="preserve"> </w:t>
      </w:r>
      <w:r>
        <w:t xml:space="preserve">Nozick (1969)</w:t>
      </w:r>
      <w:r>
        <w:t xml:space="preserve">, such a demon is typically taken to be arbitrarily good at predicting what a human deliberator will do. I’ll call our arbitrary deliberator Chooser, and a typical demon Demon. Whenever X is a choice Chooser can make, I’ll use PX to mean that Demon predicts Chooser chooses X. It’s not so common to have problems where there are two such demons around, but I’ll make heavy use of them, and in such cases I’ll be clear about whether PX means that the first or the second demon predicted that Chooser will do X. These are predictions, and we assume that causation runs from past to future, so what Chooser does has no causal impact on what Demon predicts.</w:t>
      </w:r>
    </w:p>
    <w:p>
      <w:pPr>
        <w:pStyle w:val="BodyText"/>
      </w:pPr>
      <w:r>
        <w:t xml:space="preserve">I’m squeamish about assigning probability 1 to predictions that are causally isolated from the thing being predicted; I have reductionist enough views about causation to think that if a prediction is correct with probability 1, that raises questions about whether causation does really run from past to future in this case. So I prefer to say that Demon is correct with a probability close enough to 1 that it doesn’t matter for the purposes of the problem being analysed. But this squeamishness, and the associated reductionism about causation, is not part of GDT. If you’re happy with having causally isolated demons who are correct with probability 1, everything else I say should be acceptable. Indeed, some of the reasoning goes through even more smoothly with perfectly accurate, but causally isolated, demons.</w:t>
      </w:r>
    </w:p>
    <w:p>
      <w:pPr>
        <w:pStyle w:val="BodyText"/>
      </w:pPr>
      <w:r>
        <w:t xml:space="preserve">A generic binary choice problem involving Chooser and Demon can be depicted by</w:t>
      </w:r>
      <w:r>
        <w:t xml:space="preserve"> </w:t>
      </w:r>
      <w:hyperlink w:anchor="tbl-gen-dem-problem-text">
        <w:r>
          <w:rPr>
            <w:rStyle w:val="Hyperlink"/>
          </w:rPr>
          <w:t xml:space="preserve">Table 1.1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tbl-gen-dem-problem-text"/>
          <w:p>
            <w:pPr>
              <w:jc w:val="center"/>
            </w:pPr>
            <w:pPr>
              <w:jc w:val="start"/>
              <w:spacing w:before="200"/>
              <w:pStyle w:val="ImageCaption"/>
            </w:pPr>
            <w:r>
              <w:t xml:space="preserve">Table 1.1: The generic demonic decision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rPr>
                      <w:iCs/>
                      <w:i/>
                    </w:rPr>
                    <w:t xml:space="preserve">x</w:t>
                  </w:r>
                </w:p>
              </w:tc>
              <w:tc>
                <w:tcPr/>
                <w:p>
                  <w:pPr>
                    <w:pStyle w:val="Compact"/>
                    <w:jc w:val="center"/>
                    <w:jc w:val="center"/>
                  </w:pPr>
                  <w:r>
                    <w:rPr>
                      <w:iCs/>
                      <w:i/>
                    </w:rPr>
                    <w:t xml:space="preserve">y</w:t>
                  </w:r>
                </w:p>
              </w:tc>
            </w:tr>
            <w:tr>
              <w:tc>
                <w:tcPr/>
                <w:p>
                  <w:pPr>
                    <w:pStyle w:val="Compact"/>
                    <w:jc w:val="center"/>
                    <w:jc w:val="center"/>
                  </w:pPr>
                  <w:r>
                    <w:rPr>
                      <w:bCs/>
                      <w:b/>
                    </w:rPr>
                    <w:t xml:space="preserve">B</w:t>
                  </w:r>
                </w:p>
              </w:tc>
              <w:tc>
                <w:tcPr/>
                <w:p>
                  <w:pPr>
                    <w:pStyle w:val="Compact"/>
                    <w:jc w:val="center"/>
                    <w:jc w:val="center"/>
                  </w:pPr>
                  <w:r>
                    <w:rPr>
                      <w:iCs/>
                      <w:i/>
                    </w:rPr>
                    <w:t xml:space="preserve">z</w:t>
                  </w:r>
                </w:p>
              </w:tc>
              <w:tc>
                <w:tcPr/>
                <w:p>
                  <w:pPr>
                    <w:pStyle w:val="Compact"/>
                    <w:jc w:val="center"/>
                    <w:jc w:val="center"/>
                  </w:pPr>
                  <w:r>
                    <w:rPr>
                      <w:iCs/>
                      <w:i/>
                    </w:rPr>
                    <w:t xml:space="preserve">w</w:t>
                  </w:r>
                </w:p>
              </w:tc>
            </w:tr>
          </w:tbl>
          <w:bookmarkEnd w:id="23"/>
          <w:p/>
        </w:tc>
      </w:tr>
    </w:tbl>
    <w:p>
      <w:pPr>
        <w:pStyle w:val="BodyText"/>
      </w:pPr>
      <w:r>
        <w:t xml:space="preserve">Chooser selects A or B, Demon predicts the choice, and there are four possible outcomes. Slightly more perspicuously, it can also be depicted by</w:t>
      </w:r>
      <w:r>
        <w:t xml:space="preserve"> </w:t>
      </w:r>
      <w:hyperlink w:anchor="fig-gen-dem-problem-text">
        <w:r>
          <w:rPr>
            <w:rStyle w:val="Hyperlink"/>
          </w:rPr>
          <w:t xml:space="preserve">Figure 1.1</w:t>
        </w:r>
      </w:hyperlink>
      <w:r>
        <w:t xml:space="preserve">. In this figure we start at the open circle (at the top of the tree), then move down, with the label showing who makes the choice. The dashed lines around the two nodes on the middle level mean that when we get to those nodes, Chooser knows we are at one of these two, but doesn’t know which one. In game-theoretic terms, the nodes are part of a common</w:t>
      </w:r>
      <w:r>
        <w:t xml:space="preserve"> </w:t>
      </w:r>
      <w:r>
        <w:rPr>
          <w:iCs/>
          <w:i/>
        </w:rPr>
        <w:t xml:space="preserve">information set</w:t>
      </w:r>
      <w:r>
        <w:t xml:space="preserve">. I’ll have much more to say about these starting in</w:t>
      </w:r>
      <w:r>
        <w:t xml:space="preserve"> </w:t>
      </w:r>
      <w:hyperlink w:anchor="sec-dual">
        <w:r>
          <w:rPr>
            <w:rStyle w:val="Hyperlink"/>
          </w:rPr>
          <w:t xml:space="preserve">Chapter 7</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7" w:name="fig-gen-dem-problem-text"/>
          <w:p>
            <w:pPr>
              <w:pStyle w:val="Compact"/>
              <w:jc w:val="center"/>
            </w:pPr>
            <w:r>
              <w:drawing>
                <wp:inline>
                  <wp:extent cx="1675890" cy="1363954"/>
                  <wp:effectExtent b="0" l="0" r="0" t="0"/>
                  <wp:docPr descr="" title="" id="25" name="Picture"/>
                  <a:graphic>
                    <a:graphicData uri="http://schemas.openxmlformats.org/drawingml/2006/picture">
                      <pic:pic>
                        <pic:nvPicPr>
                          <pic:cNvPr descr="intro_files/figure-docx/fig-gen-dem-problem-text-1.png" id="26" name="Picture"/>
                          <pic:cNvPicPr>
                            <a:picLocks noChangeArrowheads="1" noChangeAspect="1"/>
                          </pic:cNvPicPr>
                        </pic:nvPicPr>
                        <pic:blipFill>
                          <a:blip r:embed="rId24"/>
                          <a:stretch>
                            <a:fillRect/>
                          </a:stretch>
                        </pic:blipFill>
                        <pic:spPr bwMode="auto">
                          <a:xfrm>
                            <a:off x="0" y="0"/>
                            <a:ext cx="1675890"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Tree Diagram of the generic demonic decision problem.</w:t>
            </w:r>
          </w:p>
          <w:bookmarkEnd w:id="27"/>
        </w:tc>
      </w:tr>
    </w:tbl>
    <w:p>
      <w:pPr>
        <w:pStyle w:val="BodyText"/>
      </w:pPr>
      <w:r>
        <w:t xml:space="preserve">I’ve written variables here where the outcomes go. These are going to be replaced with numbers in any example here. That is, I’ll assume that the value of outcomes can be measured numerically, with greater numbers being better. I’ll come back to this assumption briefly in</w:t>
      </w:r>
      <w:r>
        <w:t xml:space="preserve"> </w:t>
      </w:r>
      <w:hyperlink w:anchor="sec-ideal">
        <w:r>
          <w:rPr>
            <w:rStyle w:val="Hyperlink"/>
          </w:rPr>
          <w:t xml:space="preserve">Chapter 2</w:t>
        </w:r>
      </w:hyperlink>
      <w:r>
        <w:t xml:space="preserve">, and more substantively in</w:t>
      </w:r>
      <w:r>
        <w:t xml:space="preserve"> </w:t>
      </w:r>
      <w:hyperlink w:anchor="sec-expect">
        <w:r>
          <w:rPr>
            <w:rStyle w:val="Hyperlink"/>
          </w:rPr>
          <w:t xml:space="preserve">Chapter 3</w:t>
        </w:r>
      </w:hyperlink>
      <w:r>
        <w:t xml:space="preserve">.</w:t>
      </w:r>
    </w:p>
    <w:p>
      <w:pPr>
        <w:pStyle w:val="BodyText"/>
      </w:pPr>
      <w:r>
        <w:t xml:space="preserve">Following</w:t>
      </w:r>
      <w:r>
        <w:t xml:space="preserve"> </w:t>
      </w:r>
      <w:r>
        <w:t xml:space="preserve">Nozick (1969)</w:t>
      </w:r>
      <w:r>
        <w:t xml:space="preserve">, the most common problem that people discuss involving Demon is what Nozick dubbed</w:t>
      </w:r>
      <w:r>
        <w:t xml:space="preserve"> </w:t>
      </w:r>
      <w:r>
        <w:t xml:space="preserve">“</w:t>
      </w:r>
      <w:r>
        <w:t xml:space="preserve">Newcomb’s Problem</w:t>
      </w:r>
      <w:r>
        <w:t xml:space="preserve">”</w:t>
      </w:r>
      <w:r>
        <w:t xml:space="preserve">, after the physicist who suggested the problem to him. A Newcomb problem is an instance of</w:t>
      </w:r>
      <w:r>
        <w:t xml:space="preserve"> </w:t>
      </w:r>
      <w:hyperlink w:anchor="tbl-gen-dem-problem-text">
        <w:r>
          <w:rPr>
            <w:rStyle w:val="Hyperlink"/>
          </w:rPr>
          <w:t xml:space="preserve">Table 1.1</w:t>
        </w:r>
      </w:hyperlink>
      <w:r>
        <w:t xml:space="preserve"> </w:t>
      </w:r>
      <w:r>
        <w:t xml:space="preserve">satisfying the following constraints.</w:t>
      </w:r>
    </w:p>
    <w:p>
      <w:pPr>
        <w:numPr>
          <w:ilvl w:val="0"/>
          <w:numId w:val="1002"/>
        </w:numPr>
        <w:pStyle w:val="Compact"/>
      </w:pPr>
      <w:r>
        <w:rPr>
          <w:iCs/>
          <w:i/>
        </w:rPr>
        <w:t xml:space="preserve">z</w:t>
      </w:r>
      <w:r>
        <w:t xml:space="preserve"> </w:t>
      </w:r>
      <w:r>
        <w:t xml:space="preserve">&gt;</w:t>
      </w:r>
      <w:r>
        <w:t xml:space="preserve"> </w:t>
      </w:r>
      <w:r>
        <w:rPr>
          <w:iCs/>
          <w:i/>
        </w:rPr>
        <w:t xml:space="preserve">x</w:t>
      </w:r>
    </w:p>
    <w:p>
      <w:pPr>
        <w:numPr>
          <w:ilvl w:val="0"/>
          <w:numId w:val="1002"/>
        </w:numPr>
        <w:pStyle w:val="Compact"/>
      </w:pPr>
      <w:r>
        <w:rPr>
          <w:iCs/>
          <w:i/>
        </w:rPr>
        <w:t xml:space="preserve">w</w:t>
      </w:r>
      <w:r>
        <w:t xml:space="preserve"> </w:t>
      </w:r>
      <w:r>
        <w:t xml:space="preserve">&gt;</w:t>
      </w:r>
      <w:r>
        <w:t xml:space="preserve"> </w:t>
      </w:r>
      <w:r>
        <w:rPr>
          <w:iCs/>
          <w:i/>
        </w:rPr>
        <w:t xml:space="preserve">y</w:t>
      </w:r>
    </w:p>
    <w:p>
      <w:pPr>
        <w:numPr>
          <w:ilvl w:val="0"/>
          <w:numId w:val="1002"/>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The standard example uses (more or less) the values in</w:t>
      </w:r>
      <w:r>
        <w:t xml:space="preserve"> </w:t>
      </w:r>
      <w:hyperlink w:anchor="tbl-newcomb">
        <w:r>
          <w:rPr>
            <w:rStyle w:val="Hyperlink"/>
          </w:rPr>
          <w:t xml:space="preserve">Table 1.2</w:t>
        </w:r>
      </w:hyperlink>
      <w:r>
        <w:t xml:space="preserve">, but all that really matters are the three inequalities above.</w:t>
      </w:r>
    </w:p>
    <w:tbl>
      <w:tblPr>
        <w:tblStyle w:val="Table"/>
        <w:tblW w:type="pct" w:w="5000"/>
        <w:tblLook w:firstRow="0" w:lastRow="0" w:firstColumn="0" w:lastColumn="0" w:noHBand="0" w:noVBand="0" w:val="0000"/>
        <w:jc w:val="start"/>
        <w:tblLayout w:type="fixed"/>
      </w:tblPr>
      <w:tblGrid>
        <w:gridCol w:w="7920"/>
      </w:tblGrid>
      <w:tr>
        <w:tc>
          <w:tcPr/>
          <w:bookmarkStart w:id="28" w:name="tbl-newcomb"/>
          <w:p>
            <w:pPr>
              <w:jc w:val="center"/>
            </w:pPr>
            <w:pPr>
              <w:jc w:val="start"/>
              <w:spacing w:before="200"/>
              <w:pStyle w:val="ImageCaption"/>
            </w:pPr>
            <w:r>
              <w:t xml:space="preserve">Table 1.2: Newcomb’s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1000</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1001</w:t>
                  </w:r>
                </w:p>
              </w:tc>
              <w:tc>
                <w:tcPr/>
                <w:p>
                  <w:pPr>
                    <w:pStyle w:val="Compact"/>
                    <w:jc w:val="center"/>
                    <w:jc w:val="center"/>
                  </w:pPr>
                  <w:r>
                    <w:t xml:space="preserve">1</w:t>
                  </w:r>
                </w:p>
              </w:tc>
            </w:tr>
          </w:tbl>
          <w:bookmarkEnd w:id="28"/>
          <w:p/>
        </w:tc>
      </w:tr>
    </w:tbl>
    <w:p>
      <w:pPr>
        <w:pStyle w:val="BodyText"/>
      </w:pPr>
      <w:r>
        <w:t xml:space="preserve">Option A and B are typically called</w:t>
      </w:r>
      <w:r>
        <w:t xml:space="preserve"> </w:t>
      </w:r>
      <w:r>
        <w:t xml:space="preserve">‘</w:t>
      </w:r>
      <w:r>
        <w:t xml:space="preserve">one-boxing</w:t>
      </w:r>
      <w:r>
        <w:t xml:space="preserve">’</w:t>
      </w:r>
      <w:r>
        <w:t xml:space="preserve"> </w:t>
      </w:r>
      <w:r>
        <w:t xml:space="preserve">and</w:t>
      </w:r>
      <w:r>
        <w:t xml:space="preserve"> </w:t>
      </w:r>
      <w:r>
        <w:t xml:space="preserve">‘</w:t>
      </w:r>
      <w:r>
        <w:t xml:space="preserve">two-boxing</w:t>
      </w:r>
      <w:r>
        <w:t xml:space="preserve">’</w:t>
      </w:r>
      <w:r>
        <w:t xml:space="preserve"> </w:t>
      </w:r>
      <w:r>
        <w:t xml:space="preserve">respectively, because they involve selecting either one or two boxes in the vignette Nozick gives to go along with the story. But what really matters is the schematic form, not the details of the physical setup.</w:t>
      </w:r>
    </w:p>
    <w:p>
      <w:pPr>
        <w:pStyle w:val="BodyText"/>
      </w:pPr>
      <w:r>
        <w:t xml:space="preserve">Nozick distinguishes two approaches to this problem you might take. He doesn’t use the following terms, but they quickly became identified as Evidential Decision Theory, and Causal Decision Theory. Evidential Decision Theory (EDT) says that one should first assign values to each option using the following formulae. I’ll just give the formulae for the case where there are two states of the world, PA and PB, but it should be clear how to generalise this to the case where there are</w:t>
      </w:r>
      <w:r>
        <w:t xml:space="preserve"> </w:t>
      </w:r>
      <w:r>
        <w:rPr>
          <w:iCs/>
          <w:i/>
        </w:rPr>
        <w:t xml:space="preserve">m</w:t>
      </w:r>
      <w:r>
        <w:t xml:space="preserve"> </w:t>
      </w:r>
      <w:r>
        <w:t xml:space="preserve">possible states. When X is a choice and Y a state, I’ll use V(XY) to mean the value of choosing X in state Y. So for example in</w:t>
      </w:r>
      <w:r>
        <w:t xml:space="preserve"> </w:t>
      </w:r>
      <w:hyperlink w:anchor="tbl-newcomb">
        <w:r>
          <w:rPr>
            <w:rStyle w:val="Hyperlink"/>
          </w:rPr>
          <w:t xml:space="preserve">Newcomb’s Problem</w:t>
        </w:r>
      </w:hyperlink>
      <w:r>
        <w:t xml:space="preserve">, V(BPA) = 1001; if Chooser selects B and Demon predicts A, Chooser’s payout is 1001. And I’ll use Pr(Y | X) to mean the probability of being in state Y conditional on choosing X. Using this terminology, EDT says that the value of the choices is:</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V(APA) · Pr(PA | A) + V(APB) · Pr(PB | A)</w:t>
            </w:r>
          </w:p>
        </w:tc>
      </w:tr>
      <w:tr>
        <w:tc>
          <w:tcPr/>
          <w:p>
            <w:pPr>
              <w:pStyle w:val="Compact"/>
              <w:jc w:val="center"/>
            </w:pPr>
            <w:r>
              <w:t xml:space="preserve">V(B) = V(BPA) · Pr(PA | B) + V(BPB) · Pr(PB | B)</w:t>
            </w:r>
          </w:p>
        </w:tc>
      </w:tr>
    </w:tbl>
    <w:p>
      <w:pPr>
        <w:pStyle w:val="BodyText"/>
      </w:pPr>
      <w:r>
        <w:t xml:space="preserve">So in</w:t>
      </w:r>
      <w:r>
        <w:t xml:space="preserve"> </w:t>
      </w:r>
      <w:hyperlink w:anchor="tbl-newcomb">
        <w:r>
          <w:rPr>
            <w:rStyle w:val="Hyperlink"/>
          </w:rPr>
          <w:t xml:space="preserve">Newcomb’s Problem</w:t>
        </w:r>
      </w:hyperlink>
      <w:r>
        <w:t xml:space="preserve">, if Demon is, say, 90% reliable, we have:</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1000 · 0.9 + 0 · 0.1 = 900</w:t>
            </w:r>
          </w:p>
        </w:tc>
      </w:tr>
      <w:tr>
        <w:tc>
          <w:tcPr/>
          <w:p>
            <w:pPr>
              <w:pStyle w:val="Compact"/>
              <w:jc w:val="center"/>
            </w:pPr>
            <w:r>
              <w:t xml:space="preserve">V(B) = 1001 · 0.1 + 1 · 0.9 = 101</w:t>
            </w:r>
          </w:p>
        </w:tc>
      </w:tr>
    </w:tbl>
    <w:p>
      <w:pPr>
        <w:pStyle w:val="BodyText"/>
      </w:pPr>
      <w:r>
        <w:t xml:space="preserve">Then EDT says that higher valued options are better, so A is better than B, since 900 &gt; 101. And if Demon is even more reliable than 90%, that gap just grows further.</w:t>
      </w:r>
    </w:p>
    <w:p>
      <w:pPr>
        <w:pStyle w:val="BodyText"/>
      </w:pPr>
      <w:r>
        <w:t xml:space="preserve">Causal Decision Theory (CDT), on the other hand, is moved by the following argument. Whatever Demon has predicted, Chooser is better off choosing B than A. That, says CDT, settles things; Chooser should take option B. I think this is right; Chooser should choose B, and they should do so for this reason. But note that this is not anything like a complete theory of choice. Two people could agree with this little argument and have any number of different views about problems that not so easily disposed of. In this book, especially in</w:t>
      </w:r>
      <w:r>
        <w:t xml:space="preserve"> </w:t>
      </w:r>
      <w:hyperlink w:anchor="sec-indecisive">
        <w:r>
          <w:rPr>
            <w:rStyle w:val="Hyperlink"/>
          </w:rPr>
          <w:t xml:space="preserve">Chapter 8</w:t>
        </w:r>
      </w:hyperlink>
      <w:r>
        <w:t xml:space="preserve">, I’ll spend a lot of time on problems like</w:t>
      </w:r>
      <w:r>
        <w:t xml:space="preserve"> </w:t>
      </w:r>
      <w:hyperlink w:anchor="tbl-stag-decision-first">
        <w:r>
          <w:rPr>
            <w:rStyle w:val="Hyperlink"/>
          </w:rPr>
          <w:t xml:space="preserve">Table 1.3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stag-decision-first"/>
          <w:p>
            <w:pPr>
              <w:jc w:val="center"/>
            </w:pPr>
            <w:pPr>
              <w:jc w:val="start"/>
              <w:spacing w:before="200"/>
              <w:pStyle w:val="ImageCaption"/>
            </w:pPr>
            <w:r>
              <w:t xml:space="preserve">Table 1.3: The Stag Decision.</w:t>
            </w:r>
            <w:r>
              <w:rPr>
                <w:rStyle w:val="FootnoteReference"/>
              </w:rPr>
              <w:footnoteReference w:id="29"/>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6</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5</w:t>
                  </w:r>
                </w:p>
              </w:tc>
              <w:tc>
                <w:tcPr/>
                <w:p>
                  <w:pPr>
                    <w:pStyle w:val="Compact"/>
                    <w:jc w:val="center"/>
                    <w:jc w:val="center"/>
                  </w:pPr>
                  <w:r>
                    <w:t xml:space="preserve">2</w:t>
                  </w:r>
                </w:p>
              </w:tc>
            </w:tr>
          </w:tbl>
          <w:bookmarkEnd w:id="30"/>
          <w:p/>
        </w:tc>
      </w:tr>
    </w:tbl>
    <w:p>
      <w:pPr>
        <w:pStyle w:val="BodyText"/>
      </w:pPr>
      <w:r>
        <w:t xml:space="preserve">It turns out that among people who endorse the little argument for choosing B in</w:t>
      </w:r>
      <w:r>
        <w:t xml:space="preserve"> </w:t>
      </w:r>
      <w:hyperlink w:anchor="tbl-newcomb">
        <w:r>
          <w:rPr>
            <w:rStyle w:val="Hyperlink"/>
          </w:rPr>
          <w:t xml:space="preserve">Table 1.2</w:t>
        </w:r>
      </w:hyperlink>
      <w:r>
        <w:t xml:space="preserve">, there are at least four distinct views about what to do in</w:t>
      </w:r>
      <w:r>
        <w:t xml:space="preserve"> </w:t>
      </w:r>
      <w:hyperlink w:anchor="tbl-stag-decision-first">
        <w:r>
          <w:rPr>
            <w:rStyle w:val="Hyperlink"/>
          </w:rPr>
          <w:t xml:space="preserve">Stag Decision</w:t>
        </w:r>
      </w:hyperlink>
      <w:r>
        <w:t xml:space="preserve">.</w:t>
      </w:r>
    </w:p>
    <w:p>
      <w:pPr>
        <w:numPr>
          <w:ilvl w:val="0"/>
          <w:numId w:val="1003"/>
        </w:numPr>
        <w:pStyle w:val="Compact"/>
      </w:pPr>
      <w:r>
        <w:t xml:space="preserve">Frank</w:t>
      </w:r>
      <w:r>
        <w:t xml:space="preserve"> </w:t>
      </w:r>
      <w:r>
        <w:t xml:space="preserve">Arntzenius (2008)</w:t>
      </w:r>
      <w:r>
        <w:t xml:space="preserve"> </w:t>
      </w:r>
      <w:r>
        <w:t xml:space="preserve">and Johan E.</w:t>
      </w:r>
      <w:r>
        <w:t xml:space="preserve"> </w:t>
      </w:r>
      <w:r>
        <w:t xml:space="preserve">Gustafsson (2011)</w:t>
      </w:r>
      <w:r>
        <w:t xml:space="preserve"> </w:t>
      </w:r>
      <w:r>
        <w:t xml:space="preserve">recommend Choosing A.</w:t>
      </w:r>
    </w:p>
    <w:p>
      <w:pPr>
        <w:numPr>
          <w:ilvl w:val="0"/>
          <w:numId w:val="1003"/>
        </w:numPr>
        <w:pStyle w:val="Compact"/>
      </w:pPr>
      <w:r>
        <w:t xml:space="preserve">Ralph</w:t>
      </w:r>
      <w:r>
        <w:t xml:space="preserve"> </w:t>
      </w:r>
      <w:r>
        <w:t xml:space="preserve">Wedgwood (2012)</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recommend choosing B.</w:t>
      </w:r>
    </w:p>
    <w:p>
      <w:pPr>
        <w:numPr>
          <w:ilvl w:val="0"/>
          <w:numId w:val="1003"/>
        </w:numPr>
        <w:pStyle w:val="Compact"/>
      </w:pPr>
      <w:r>
        <w:t xml:space="preserve">James</w:t>
      </w:r>
      <w:r>
        <w:t xml:space="preserve"> </w:t>
      </w:r>
      <w:r>
        <w:t xml:space="preserve">Joyce (2012)</w:t>
      </w:r>
      <w:r>
        <w:t xml:space="preserve"> </w:t>
      </w:r>
      <w:r>
        <w:t xml:space="preserve">says that what Chooser should do is a function of Chooser’s probability distribution over their choices prior to deliberating about what to do.</w:t>
      </w:r>
    </w:p>
    <w:p>
      <w:pPr>
        <w:numPr>
          <w:ilvl w:val="0"/>
          <w:numId w:val="1003"/>
        </w:numPr>
        <w:pStyle w:val="Compact"/>
      </w:pPr>
      <w:r>
        <w:t xml:space="preserve">Jack</w:t>
      </w:r>
      <w:r>
        <w:t xml:space="preserve"> </w:t>
      </w:r>
      <w:r>
        <w:t xml:space="preserve">Spencer (2021)</w:t>
      </w:r>
      <w:r>
        <w:t xml:space="preserve"> </w:t>
      </w:r>
      <w:r>
        <w:t xml:space="preserve">and Melissa</w:t>
      </w:r>
      <w:r>
        <w:t xml:space="preserve"> </w:t>
      </w:r>
      <w:r>
        <w:t xml:space="preserve">Fusco (n.d.)</w:t>
      </w:r>
      <w:r>
        <w:t xml:space="preserve"> </w:t>
      </w:r>
      <w:r>
        <w:t xml:space="preserve">say that Chooser can rationally take either option.</w:t>
      </w:r>
    </w:p>
    <w:p>
      <w:pPr>
        <w:pStyle w:val="FirstParagraph"/>
      </w:pPr>
      <w:r>
        <w:t xml:space="preserve">I’m going to side with option 4. Though note that Spencer and Fusco disagree about what Chooser should do in several other cases. Most notably, they disagree in cases that are like</w:t>
      </w:r>
      <w:r>
        <w:t xml:space="preserve"> </w:t>
      </w:r>
      <w:hyperlink w:anchor="tbl-stag-decision-first">
        <w:r>
          <w:rPr>
            <w:rStyle w:val="Hyperlink"/>
          </w:rPr>
          <w:t xml:space="preserve">Stag Decision</w:t>
        </w:r>
      </w:hyperlink>
      <w:r>
        <w:t xml:space="preserve"> </w:t>
      </w:r>
      <w:r>
        <w:t xml:space="preserve">but with the payouts inverted. In those cases, GDT is going to side with Fusco against Spencer.</w:t>
      </w:r>
    </w:p>
    <w:p>
      <w:pPr>
        <w:pStyle w:val="BodyText"/>
      </w:pPr>
      <w:r>
        <w:t xml:space="preserve">It’s not obvious, either from the description of the problems or the history of the philosophical discussion, which if any of these theories should get the name</w:t>
      </w:r>
      <w:r>
        <w:t xml:space="preserve"> </w:t>
      </w:r>
      <w:r>
        <w:t xml:space="preserve">“</w:t>
      </w:r>
      <w:r>
        <w:t xml:space="preserve">Causal Decision Theory</w:t>
      </w:r>
      <w:r>
        <w:t xml:space="preserve">”</w:t>
      </w:r>
      <w:r>
        <w:t xml:space="preserve">. Some people write as if Joyce’s view is the unique one that should get that name; indeed many of the people I’ve listed above describe themselves as critics of CDT who are offering an alternative to it. I think that’s not the most helpful way to classify views. All of them accept that in</w:t>
      </w:r>
      <w:r>
        <w:t xml:space="preserve"> </w:t>
      </w:r>
      <w:hyperlink w:anchor="tbl-newcomb">
        <w:r>
          <w:rPr>
            <w:rStyle w:val="Hyperlink"/>
          </w:rPr>
          <w:t xml:space="preserve">Newcomb’s Problem</w:t>
        </w:r>
      </w:hyperlink>
      <w:r>
        <w:t xml:space="preserve">, Chooser should choose option B, and that Chooser should choose it because Chooser can’t make a causal difference to whether PA or PB happens, and either way, B is better than A. That’s the core idea behind Causal Decision Theory.</w:t>
      </w:r>
    </w:p>
    <w:p>
      <w:pPr>
        <w:pStyle w:val="BodyText"/>
      </w:pPr>
      <w:r>
        <w:t xml:space="preserve">A decision theory should say what to do not just in one problem, but across a family of problems. It should say what to do in</w:t>
      </w:r>
      <w:r>
        <w:t xml:space="preserve"> </w:t>
      </w:r>
      <w:hyperlink w:anchor="tbl-stag-decision-first">
        <w:r>
          <w:rPr>
            <w:rStyle w:val="Hyperlink"/>
          </w:rPr>
          <w:t xml:space="preserve">Stag Decision</w:t>
        </w:r>
      </w:hyperlink>
      <w:r>
        <w:t xml:space="preserve"> </w:t>
      </w:r>
      <w:r>
        <w:t xml:space="preserve">for example. As I’m using the term, Causal Decision Theory, as such, is neutral between the four possible approaches to</w:t>
      </w:r>
      <w:r>
        <w:t xml:space="preserve"> </w:t>
      </w:r>
      <w:hyperlink w:anchor="tbl-stag-decision-first">
        <w:r>
          <w:rPr>
            <w:rStyle w:val="Hyperlink"/>
          </w:rPr>
          <w:t xml:space="preserve">Stag Decision</w:t>
        </w:r>
      </w:hyperlink>
      <w:r>
        <w:t xml:space="preserve"> </w:t>
      </w:r>
      <w:r>
        <w:t xml:space="preserve">So it isn’t a theory. Rather, it is a family of theories, that all agree about what to do in</w:t>
      </w:r>
      <w:r>
        <w:t xml:space="preserve"> </w:t>
      </w:r>
      <w:hyperlink w:anchor="tbl-newcomb">
        <w:r>
          <w:rPr>
            <w:rStyle w:val="Hyperlink"/>
          </w:rPr>
          <w:t xml:space="preserve">Newcomb’s Problem</w:t>
        </w:r>
      </w:hyperlink>
      <w:r>
        <w:t xml:space="preserve">, and about why to do it, but disagree in different problems.</w:t>
      </w:r>
    </w:p>
    <w:p>
      <w:pPr>
        <w:pStyle w:val="BodyText"/>
      </w:pPr>
      <w:r>
        <w:t xml:space="preserve">So as I’m using the term, Causal Decision Theory is not a theory. That might be surprising, since it has the word</w:t>
      </w:r>
      <w:r>
        <w:t xml:space="preserve"> </w:t>
      </w:r>
      <w:r>
        <w:t xml:space="preserve">‘</w:t>
      </w:r>
      <w:r>
        <w:t xml:space="preserve">Theory</w:t>
      </w:r>
      <w:r>
        <w:t xml:space="preserve">’</w:t>
      </w:r>
      <w:r>
        <w:t xml:space="preserve"> </w:t>
      </w:r>
      <w:r>
        <w:t xml:space="preserve">in the name. But we’re used to things like the United States of America which includes parts that are neither States nor in America (e.g., Guam). We can live with Causal Decision Theory not being a theory, and instead being a family that agree about what to do, and why to do it, in</w:t>
      </w:r>
      <w:r>
        <w:t xml:space="preserve"> </w:t>
      </w:r>
      <w:hyperlink w:anchor="tbl-newcomb">
        <w:r>
          <w:rPr>
            <w:rStyle w:val="Hyperlink"/>
          </w:rPr>
          <w:t xml:space="preserve">Newcomb’s Problem</w:t>
        </w:r>
      </w:hyperlink>
      <w:r>
        <w:t xml:space="preserve">. The bulk of this book will be an in house dispute between causal decision theories, though I’ll spend some time objecting to EDT, and also some time objecting to other theories that reject both CDT and EDT.</w:t>
      </w:r>
      <w:r>
        <w:rPr>
          <w:rStyle w:val="FootnoteReference"/>
        </w:rPr>
        <w:footnoteReference w:id="31"/>
      </w:r>
    </w:p>
    <w:bookmarkEnd w:id="32"/>
    <w:bookmarkStart w:id="40" w:name="sec-gdt-defined"/>
    <w:p>
      <w:pPr>
        <w:pStyle w:val="Heading2"/>
      </w:pPr>
      <w:r>
        <w:t xml:space="preserve">1.3 Gamified Decision Theory</w:t>
      </w:r>
    </w:p>
    <w:p>
      <w:pPr>
        <w:pStyle w:val="FirstParagraph"/>
      </w:pPr>
      <w:r>
        <w:t xml:space="preserve">The actual theory I will defend, GDT, is a version of what’s sometimes called causal ratificationism.</w:t>
      </w:r>
    </w:p>
    <w:p>
      <w:pPr>
        <w:pStyle w:val="BodyText"/>
      </w:pPr>
      <w:r>
        <w:t xml:space="preserve">The</w:t>
      </w:r>
      <w:r>
        <w:t xml:space="preserve"> </w:t>
      </w:r>
      <w:r>
        <w:t xml:space="preserve">‘</w:t>
      </w:r>
      <w:r>
        <w:t xml:space="preserve">causal</w:t>
      </w:r>
      <w:r>
        <w:t xml:space="preserve">’</w:t>
      </w:r>
      <w:r>
        <w:t xml:space="preserve"> </w:t>
      </w:r>
      <w:r>
        <w:t xml:space="preserve">in causal ratificationism means that there are constraints on the proper formulation of a decision problem. EDT says it does not matter how we divide the world into states; decision theory should give the same verdict. If we rewrite</w:t>
      </w:r>
      <w:r>
        <w:t xml:space="preserve"> </w:t>
      </w:r>
      <w:hyperlink w:anchor="tbl-newcomb">
        <w:r>
          <w:rPr>
            <w:rStyle w:val="Hyperlink"/>
          </w:rPr>
          <w:t xml:space="preserve">Newcomb’s Problem</w:t>
        </w:r>
      </w:hyperlink>
      <w:r>
        <w:t xml:space="preserve"> </w:t>
      </w:r>
      <w:r>
        <w:t xml:space="preserve">with the states being that Demon predicted correctly, and that Demon predicted incorrectly, EDT gives the same recommendation, for essentially the same reason. GDT, like all causal theories, rejects this. The correct formulation of a decision problem requires that the states, like PA and PB, be causally independent of the choices that Chooser makes. I have a fairly strong version of this independence constraint, which I’ll discuss more in</w:t>
      </w:r>
      <w:r>
        <w:t xml:space="preserve"> </w:t>
      </w:r>
      <w:hyperlink w:anchor="sec-causal">
        <w:r>
          <w:rPr>
            <w:rStyle w:val="Hyperlink"/>
          </w:rPr>
          <w:t xml:space="preserve">Chapter 4</w:t>
        </w:r>
      </w:hyperlink>
      <w:r>
        <w:t xml:space="preserve">.</w:t>
      </w:r>
    </w:p>
    <w:p>
      <w:pPr>
        <w:pStyle w:val="BodyText"/>
      </w:pPr>
      <w:r>
        <w:t xml:space="preserve">The</w:t>
      </w:r>
      <w:r>
        <w:t xml:space="preserve"> </w:t>
      </w:r>
      <w:r>
        <w:t xml:space="preserve">‘</w:t>
      </w:r>
      <w:r>
        <w:t xml:space="preserve">ratificationism</w:t>
      </w:r>
      <w:r>
        <w:t xml:space="preserve">’</w:t>
      </w:r>
      <w:r>
        <w:t xml:space="preserve"> </w:t>
      </w:r>
      <w:r>
        <w:t xml:space="preserve">in causal ratificationism means that Chooser will ratify their choice once they make it, i.e., that Chooser will not regret a rational choice as soon as it is made. Formally, this means that Chooser will only choose A in cases like</w:t>
      </w:r>
      <w:r>
        <w:t xml:space="preserve"> </w:t>
      </w:r>
      <w:hyperlink w:anchor="tbl-gen-dem-problem-text">
        <w:r>
          <w:rPr>
            <w:rStyle w:val="Hyperlink"/>
          </w:rPr>
          <w:t xml:space="preserve">Table 1.1</w:t>
        </w:r>
      </w:hyperlink>
      <w:r>
        <w:t xml:space="preserve"> </w:t>
      </w:r>
      <w:r>
        <w:t xml:space="preserve">if the following inequality holds.</w:t>
      </w:r>
      <w:r>
        <w:rPr>
          <w:rStyle w:val="FootnoteReference"/>
        </w:rPr>
        <w:footnoteReference w:id="33"/>
      </w:r>
    </w:p>
    <w:tbl>
      <w:tblPr>
        <w:tblStyle w:val="Table"/>
        <w:tblW w:type="pct" w:w="5000"/>
        <w:tblLook w:firstRow="0" w:lastRow="0" w:firstColumn="0" w:lastColumn="0" w:noHBand="0" w:noVBand="0" w:val="0000"/>
        <w:jc w:val="start"/>
        <w:tblLayout w:type="fixed"/>
      </w:tblPr>
      <w:tblGrid>
        <w:gridCol w:w="7920"/>
      </w:tblGrid>
      <w:tr>
        <w:tc>
          <w:tcPr/>
          <w:p>
            <w:pPr>
              <w:pStyle w:val="Compact"/>
              <w:jc w:val="center"/>
            </w:pPr>
            <w:r>
              <w:t xml:space="preserve">V(APA) · Pr</w:t>
            </w:r>
            <w:r>
              <w:rPr>
                <w:vertAlign w:val="subscript"/>
              </w:rPr>
              <w:t xml:space="preserve">A</w:t>
            </w:r>
            <w:r>
              <w:t xml:space="preserve">(PA) + V(APB) · Pr</w:t>
            </w:r>
            <w:r>
              <w:rPr>
                <w:vertAlign w:val="subscript"/>
              </w:rPr>
              <w:t xml:space="preserve">A</w:t>
            </w:r>
            <w:r>
              <w:t xml:space="preserve">(PB) ≥ V(BPA) · Pr</w:t>
            </w:r>
            <w:r>
              <w:rPr>
                <w:vertAlign w:val="subscript"/>
              </w:rPr>
              <w:t xml:space="preserve">A</w:t>
            </w:r>
            <w:r>
              <w:t xml:space="preserve">(PA) + V(BPB) · Pr</w:t>
            </w:r>
            <w:r>
              <w:rPr>
                <w:vertAlign w:val="subscript"/>
              </w:rPr>
              <w:t xml:space="preserve">A</w:t>
            </w:r>
            <w:r>
              <w:t xml:space="preserve">(PB)</w:t>
            </w:r>
          </w:p>
        </w:tc>
      </w:tr>
    </w:tbl>
    <w:p>
      <w:pPr>
        <w:pStyle w:val="BodyText"/>
      </w:pPr>
      <w:r>
        <w:t xml:space="preserve">By Pr</w:t>
      </w:r>
      <w:r>
        <w:rPr>
          <w:vertAlign w:val="subscript"/>
        </w:rPr>
        <w:t xml:space="preserve">A</w:t>
      </w:r>
      <w:r>
        <w:t xml:space="preserve"> </w:t>
      </w:r>
      <w:r>
        <w:t xml:space="preserve">I mean the rational probabilities that Chooser has after choosing A. If there is more than one rational probability that Chooser could have, all that matters is that the inequality hold for one such probability function.</w:t>
      </w:r>
      <w:r>
        <w:rPr>
          <w:rStyle w:val="FootnoteReference"/>
        </w:rPr>
        <w:footnoteReference w:id="34"/>
      </w:r>
      <w:r>
        <w:t xml:space="preserve"> </w:t>
      </w:r>
      <w:r>
        <w:t xml:space="preserve">In somewhat technical English, what this inequality says is that once A is chosen, the expected value of choosing A is at least as great as the expected value of having chosen B. That’s what I mean by ratifiability; once Chooser selects A, they think it was for the best (or at least equal best) that they chose it.</w:t>
      </w:r>
    </w:p>
    <w:p>
      <w:pPr>
        <w:pStyle w:val="BodyText"/>
      </w:pPr>
      <w:r>
        <w:t xml:space="preserve">I’m far from the first to endorse ratifiability as a constraint on decisions. It’s defended by William</w:t>
      </w:r>
      <w:r>
        <w:t xml:space="preserve"> </w:t>
      </w:r>
      <w:r>
        <w:t xml:space="preserve">Harper (1986)</w:t>
      </w:r>
      <w:r>
        <w:t xml:space="preserve">, in a paper that was a central inspiration for this project, both because of its conclusions, and because of the way it connected decision theory to game theory. I’ll talk about the ratifiability constraint much more in</w:t>
      </w:r>
      <w:r>
        <w:t xml:space="preserve"> </w:t>
      </w:r>
      <w:hyperlink w:anchor="sec-ratify">
        <w:r>
          <w:rPr>
            <w:rStyle w:val="Hyperlink"/>
          </w:rPr>
          <w:t xml:space="preserve">Chapter 6</w:t>
        </w:r>
      </w:hyperlink>
      <w:r>
        <w:t xml:space="preserve">.</w:t>
      </w:r>
    </w:p>
    <w:p>
      <w:pPr>
        <w:pStyle w:val="BodyText"/>
      </w:pPr>
      <w:r>
        <w:t xml:space="preserve">GDT, as I’m defining it, has three extra features beyond this causal ratification constraint, and I’ll end this chapter with a brief discussion of each of them.</w:t>
      </w:r>
    </w:p>
    <w:p>
      <w:pPr>
        <w:pStyle w:val="BodyText"/>
      </w:pPr>
      <w:r>
        <w:t xml:space="preserve">GDT says that permissible choices are not weakly dominated. An option weakly dominates another if it could be better, and couldn’t be worse. So in</w:t>
      </w:r>
      <w:r>
        <w:t xml:space="preserve"> </w:t>
      </w:r>
      <w:hyperlink w:anchor="tbl-weak-dominance-example">
        <w:r>
          <w:rPr>
            <w:rStyle w:val="Hyperlink"/>
          </w:rPr>
          <w:t xml:space="preserve">Table 1.4</w:t>
        </w:r>
      </w:hyperlink>
      <w:r>
        <w:t xml:space="preserve">, A is not a permissible choice because it is weakly dominated by B.</w:t>
      </w:r>
    </w:p>
    <w:tbl>
      <w:tblPr>
        <w:tblStyle w:val="Table"/>
        <w:tblW w:type="pct" w:w="5000"/>
        <w:tblLook w:firstRow="0" w:lastRow="0" w:firstColumn="0" w:lastColumn="0" w:noHBand="0" w:noVBand="0" w:val="0000"/>
        <w:jc w:val="start"/>
        <w:tblLayout w:type="fixed"/>
      </w:tblPr>
      <w:tblGrid>
        <w:gridCol w:w="7920"/>
      </w:tblGrid>
      <w:tr>
        <w:tc>
          <w:tcPr/>
          <w:bookmarkStart w:id="35" w:name="tbl-weak-dominance-example"/>
          <w:p>
            <w:pPr>
              <w:jc w:val="center"/>
            </w:pPr>
            <w:pPr>
              <w:jc w:val="start"/>
              <w:spacing w:before="200"/>
              <w:pStyle w:val="ImageCaption"/>
            </w:pPr>
            <w:r>
              <w:t xml:space="preserve">Table 1.4: An example of weak dominance.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2</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2</w:t>
                  </w:r>
                </w:p>
              </w:tc>
              <w:tc>
                <w:tcPr/>
                <w:p>
                  <w:pPr>
                    <w:pStyle w:val="Compact"/>
                    <w:jc w:val="center"/>
                    <w:jc w:val="center"/>
                  </w:pPr>
                  <w:r>
                    <w:t xml:space="preserve">1</w:t>
                  </w:r>
                </w:p>
              </w:tc>
            </w:tr>
          </w:tbl>
          <w:bookmarkEnd w:id="35"/>
          <w:p/>
        </w:tc>
      </w:tr>
    </w:tbl>
    <w:p>
      <w:pPr>
        <w:pStyle w:val="BodyText"/>
      </w:pPr>
      <w:r>
        <w:t xml:space="preserve">Since B could be better than A, if Demon predicted B, and could not be worse than A, at worst they produce the same outcome if Demon predicts A, B weakly dominates A. And weakly dominated actions are not rational choices. So in this problem the only rational choice is B. This is not particularly intuitive, but I don’t think agreement with first pass intuition is a particularly strong constraint on decision theories, for reasons I’ll go over in</w:t>
      </w:r>
      <w:r>
        <w:t xml:space="preserve"> </w:t>
      </w:r>
      <w:hyperlink w:anchor="sec-expect">
        <w:r>
          <w:rPr>
            <w:rStyle w:val="Hyperlink"/>
          </w:rPr>
          <w:t xml:space="preserve">Chapter 3</w:t>
        </w:r>
      </w:hyperlink>
      <w:r>
        <w:t xml:space="preserve">. And I’ll have much more to say about weak dominance, and in particular why I reject an iterated version of the weak dominance constraint, in</w:t>
      </w:r>
      <w:r>
        <w:t xml:space="preserve"> </w:t>
      </w:r>
      <w:hyperlink w:anchor="sec-weak">
        <w:r>
          <w:rPr>
            <w:rStyle w:val="Hyperlink"/>
          </w:rPr>
          <w:t xml:space="preserve">Chapter 11</w:t>
        </w:r>
      </w:hyperlink>
      <w:r>
        <w:t xml:space="preserve">.</w:t>
      </w:r>
    </w:p>
    <w:p>
      <w:pPr>
        <w:pStyle w:val="BodyText"/>
      </w:pPr>
      <w:r>
        <w:t xml:space="preserve">In dynamic choices, GDT says that Chooser must satisfy two constraints. First, the plan they make for what to do over time, what we’ll call a strategy</w:t>
      </w:r>
      <w:r>
        <w:rPr>
          <w:rStyle w:val="FootnoteReference"/>
        </w:rPr>
        <w:footnoteReference w:id="36"/>
      </w:r>
      <w:r>
        <w:t xml:space="preserve">, must be a permissible choice of strategy. Second, at each point in time, they must choose an option that would be permissible were the dynamic choice problem to have started at that point, with that set of options. These two constraints, which I’ll discuss much more in chapter</w:t>
      </w:r>
      <w:r>
        <w:t xml:space="preserve"> </w:t>
      </w:r>
      <w:hyperlink w:anchor="sec-dual">
        <w:r>
          <w:rPr>
            <w:rStyle w:val="Hyperlink"/>
          </w:rPr>
          <w:t xml:space="preserve">Chapter 7</w:t>
        </w:r>
      </w:hyperlink>
      <w:r>
        <w:t xml:space="preserve">, have some surprising consequences. Imagine that Chooser has the following two-stage problem. At stage 1, they can choose to Exit or Continue. If they Exit, they get 5. If they continue, they make a choice in the problem depicted in</w:t>
      </w:r>
      <w:r>
        <w:t xml:space="preserve"> </w:t>
      </w:r>
      <w:hyperlink w:anchor="tbl-first-dynamic-example">
        <w:r>
          <w:rPr>
            <w:rStyle w:val="Hyperlink"/>
          </w:rPr>
          <w:t xml:space="preserve">Table 1.5</w:t>
        </w:r>
      </w:hyperlink>
      <w:r>
        <w:t xml:space="preserve">.</w:t>
      </w:r>
      <w:r>
        <w:rPr>
          <w:rStyle w:val="FootnoteReference"/>
        </w:rPr>
        <w:footnoteReference w:id="37"/>
      </w:r>
    </w:p>
    <w:tbl>
      <w:tblPr>
        <w:tblStyle w:val="Table"/>
        <w:tblW w:type="pct" w:w="5000"/>
        <w:tblLook w:firstRow="0" w:lastRow="0" w:firstColumn="0" w:lastColumn="0" w:noHBand="0" w:noVBand="0" w:val="0000"/>
        <w:jc w:val="start"/>
        <w:tblLayout w:type="fixed"/>
      </w:tblPr>
      <w:tblGrid>
        <w:gridCol w:w="7920"/>
      </w:tblGrid>
      <w:tr>
        <w:tc>
          <w:tcPr/>
          <w:bookmarkStart w:id="38" w:name="tbl-first-dynamic-example"/>
          <w:p>
            <w:pPr>
              <w:jc w:val="center"/>
            </w:pPr>
            <w:pPr>
              <w:jc w:val="start"/>
              <w:spacing w:before="200"/>
              <w:pStyle w:val="ImageCaption"/>
            </w:pPr>
            <w:r>
              <w:t xml:space="preserve">Table 1.5: The second stage of a dynamic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4</w:t>
                  </w:r>
                </w:p>
              </w:tc>
              <w:tc>
                <w:tcPr/>
                <w:p>
                  <w:pPr>
                    <w:pStyle w:val="Compact"/>
                    <w:jc w:val="center"/>
                    <w:jc w:val="center"/>
                  </w:pPr>
                  <w:r>
                    <w:t xml:space="preserve">4</w:t>
                  </w:r>
                </w:p>
              </w:tc>
            </w:tr>
            <w:tr>
              <w:tc>
                <w:tcPr/>
                <w:p>
                  <w:pPr>
                    <w:pStyle w:val="Compact"/>
                    <w:jc w:val="center"/>
                    <w:jc w:val="center"/>
                  </w:pPr>
                  <w:r>
                    <w:rPr>
                      <w:bCs/>
                      <w:b/>
                    </w:rPr>
                    <w:t xml:space="preserve">B</w:t>
                  </w:r>
                </w:p>
              </w:tc>
              <w:tc>
                <w:tcPr/>
                <w:p>
                  <w:pPr>
                    <w:pStyle w:val="Compact"/>
                    <w:jc w:val="center"/>
                    <w:jc w:val="center"/>
                  </w:pPr>
                  <w:r>
                    <w:t xml:space="preserve">0</w:t>
                  </w:r>
                </w:p>
              </w:tc>
              <w:tc>
                <w:tcPr/>
                <w:p>
                  <w:pPr>
                    <w:pStyle w:val="Compact"/>
                    <w:jc w:val="center"/>
                    <w:jc w:val="center"/>
                  </w:pPr>
                  <w:r>
                    <w:t xml:space="preserve">8</w:t>
                  </w:r>
                </w:p>
              </w:tc>
            </w:tr>
          </w:tbl>
          <w:bookmarkEnd w:id="38"/>
          <w:p/>
        </w:tc>
      </w:tr>
    </w:tbl>
    <w:p>
      <w:pPr>
        <w:pStyle w:val="BodyText"/>
      </w:pPr>
      <w:r>
        <w:t xml:space="preserve">The plan of Continuing, then choosing A, is not a sensible plan. Chooser knows from the start that there is a plan which is guaranteed to be better, namely Exiting. If they Exit, they are guaranteed to get 5, if they Continue then choose A, they are guaranteed to get 4. So they may not Continue then choose A. But this does not mean that they must Exit. They may Continue and choose B. Now here’s the surprising part. If they faced</w:t>
      </w:r>
      <w:r>
        <w:t xml:space="preserve"> </w:t>
      </w:r>
      <w:hyperlink w:anchor="tbl-first-dynamic-example">
        <w:r>
          <w:rPr>
            <w:rStyle w:val="Hyperlink"/>
          </w:rPr>
          <w:t xml:space="preserve">Table 1.5</w:t>
        </w:r>
      </w:hyperlink>
      <w:r>
        <w:t xml:space="preserve"> </w:t>
      </w:r>
      <w:r>
        <w:t xml:space="preserve">as the first choice they have to make, they could choose B, but they also could choose A. In</w:t>
      </w:r>
      <w:r>
        <w:t xml:space="preserve"> </w:t>
      </w:r>
      <w:hyperlink w:anchor="tbl-first-dynamic-example">
        <w:r>
          <w:rPr>
            <w:rStyle w:val="Hyperlink"/>
          </w:rPr>
          <w:t xml:space="preserve">Table 1.5</w:t>
        </w:r>
      </w:hyperlink>
      <w:r>
        <w:t xml:space="preserve">, A is ratifiable and not weakly dominated. So GDT is not a purely consequentialist decision theory. By that I mean that sometimes, choices that Chooser makes earlier in a dynamic choice situation constrain which choices are rational later in the game. A lot of versions of CDT do not specify how they are to be extended into theories of dynamic choice, but my impression is that many philosophers, and especially many philosophers who endorse CDT, do think decision theory should be purely consequentialist, and GDT disagrees with them on this point.</w:t>
      </w:r>
    </w:p>
    <w:p>
      <w:pPr>
        <w:pStyle w:val="BodyText"/>
      </w:pPr>
      <w:r>
        <w:t xml:space="preserve">There are some decision theorists who agree with GDT that decisions should not be strictly consequentialist. These include the resolute theorists, in the sense of</w:t>
      </w:r>
      <w:r>
        <w:t xml:space="preserve"> </w:t>
      </w:r>
      <w:r>
        <w:t xml:space="preserve">McClennan (1990a)</w:t>
      </w:r>
      <w:r>
        <w:t xml:space="preserve">, and the functional theorists, in the sense of</w:t>
      </w:r>
      <w:r>
        <w:t xml:space="preserve"> </w:t>
      </w:r>
      <w:r>
        <w:t xml:space="preserve">Levinstein and Soares (2020)</w:t>
      </w:r>
      <w:r>
        <w:t xml:space="preserve">. But GDT disagrees with them as well. Those theorists think that the only thing Chooser must do is choose a sensible plan, and then at each stage Chooser should just carry it out. In section</w:t>
      </w:r>
      <w:r>
        <w:t xml:space="preserve"> </w:t>
      </w:r>
      <w:hyperlink w:anchor="sec-against-equivalence">
        <w:r>
          <w:rPr>
            <w:rStyle w:val="Hyperlink"/>
          </w:rPr>
          <w:t xml:space="preserve">Section 7.3</w:t>
        </w:r>
      </w:hyperlink>
      <w:r>
        <w:t xml:space="preserve"> </w:t>
      </w:r>
      <w:r>
        <w:t xml:space="preserve">I’ll argue against the idea that the choice of a rational strategy always lines up with the choice of rational moves at each point in a dynamic choice problem.</w:t>
      </w:r>
      <w:r>
        <w:rPr>
          <w:rStyle w:val="FootnoteReference"/>
        </w:rPr>
        <w:footnoteReference w:id="39"/>
      </w:r>
      <w:r>
        <w:t xml:space="preserve"> </w:t>
      </w:r>
      <w:r>
        <w:t xml:space="preserve">Then in section</w:t>
      </w:r>
      <w:r>
        <w:t xml:space="preserve"> </w:t>
      </w:r>
      <w:hyperlink w:anchor="sec-against-pure-strategy">
        <w:r>
          <w:rPr>
            <w:rStyle w:val="Hyperlink"/>
          </w:rPr>
          <w:t xml:space="preserve">Section 7.4</w:t>
        </w:r>
      </w:hyperlink>
      <w:r>
        <w:t xml:space="preserve"> </w:t>
      </w:r>
      <w:r>
        <w:t xml:space="preserve">I’ll argue against the view that choosing a rational strategy suffices for rational play in a dynamic choice problem. The upshot will be that GDT requires that every action be sensible at the time it is taken, not just part of a sensible strategy, and that conflicts with most other theories that care about strategies.</w:t>
      </w:r>
    </w:p>
    <w:p>
      <w:pPr>
        <w:pStyle w:val="BodyText"/>
      </w:pPr>
      <w:r>
        <w:t xml:space="preserve">Finally, my version of GDT says that what matters for rational choice is what probabilities over states are rational, not which probabilities Chooser happens to endorse. GDT is a theory of rational choice simpliciter, not a theory of rational choice given possibly irrational beliefs. I’ll have more to say about this in</w:t>
      </w:r>
      <w:r>
        <w:t xml:space="preserve"> </w:t>
      </w:r>
      <w:hyperlink w:anchor="sec-substantive">
        <w:r>
          <w:rPr>
            <w:rStyle w:val="Hyperlink"/>
          </w:rPr>
          <w:t xml:space="preserve">Chapter 10</w:t>
        </w:r>
      </w:hyperlink>
      <w:r>
        <w:t xml:space="preserve">.</w:t>
      </w:r>
    </w:p>
    <w:bookmarkEnd w:id="40"/>
    <w:bookmarkStart w:id="49" w:name="sec-dynamic-argue"/>
    <w:p>
      <w:pPr>
        <w:pStyle w:val="Heading2"/>
      </w:pPr>
      <w:r>
        <w:t xml:space="preserve">1.4 Dynamic Arguments for Static Theories</w:t>
      </w:r>
    </w:p>
    <w:p>
      <w:pPr>
        <w:pStyle w:val="FirstParagraph"/>
      </w:pPr>
      <w:r>
        <w:t xml:space="preserve">The full argument for GDT takes the bulk of the book to set out. There is, however, a much shorter argument for something in the ballpark of GDT, and certainly for something distinct from most existing views in the philosophical literature, that starts with three principles about dynamic choice. This is not because GDT is itself a dynamic theory; in the first instance it is a version of causal ratificationism, a static theory. The point is that only certain static theories are even capable of being extended into decent theories of dynamic choice, and this is a tighter constraint than has always been appreciated.</w:t>
      </w:r>
    </w:p>
    <w:p>
      <w:pPr>
        <w:pStyle w:val="BodyText"/>
      </w:pPr>
      <w:r>
        <w:t xml:space="preserve">The first of the three principles concerns the following situation.</w:t>
      </w:r>
      <w:r>
        <w:rPr>
          <w:rStyle w:val="FootnoteReference"/>
        </w:rPr>
        <w:footnoteReference w:id="41"/>
      </w:r>
      <w:r>
        <w:t xml:space="preserve"> </w:t>
      </w:r>
      <w:r>
        <w:t xml:space="preserve">If</w:t>
      </w:r>
      <w:r>
        <w:t xml:space="preserve"> </w:t>
      </w:r>
      <w:r>
        <w:rPr>
          <w:iCs/>
          <w:i/>
        </w:rPr>
        <w:t xml:space="preserve">p</w:t>
      </w:r>
      <w:r>
        <w:t xml:space="preserve"> </w:t>
      </w:r>
      <w:r>
        <w:t xml:space="preserve">is false, Chooser’s payouts are (causally) independent of anything they do. If</w:t>
      </w:r>
      <w:r>
        <w:t xml:space="preserve"> </w:t>
      </w:r>
      <w:r>
        <w:rPr>
          <w:iCs/>
          <w:i/>
        </w:rPr>
        <w:t xml:space="preserve">p</w:t>
      </w:r>
      <w:r>
        <w:t xml:space="preserve"> </w:t>
      </w:r>
      <w:r>
        <w:t xml:space="preserve">is true, Chooser will have to make a single choice. But if they do, they won’t learn anything relevant other than that</w:t>
      </w:r>
      <w:r>
        <w:t xml:space="preserve"> </w:t>
      </w:r>
      <w:r>
        <w:rPr>
          <w:iCs/>
          <w:i/>
        </w:rPr>
        <w:t xml:space="preserve">p</w:t>
      </w:r>
      <w:r>
        <w:t xml:space="preserve"> </w:t>
      </w:r>
      <w:r>
        <w:t xml:space="preserve">is true before choosing. In game theoretic terms, the tree of the game Chooser is playing has just one node where they act, and it’s a singleton information set. These are fairly tight constraints; most dynamic choice situations involve either multiple possible choices, or multiple things that one could learn before a choice. We’re just interested in this very special case.</w:t>
      </w:r>
    </w:p>
    <w:p>
      <w:pPr>
        <w:pStyle w:val="BodyText"/>
      </w:pPr>
      <w:r>
        <w:t xml:space="preserve">The principle I rely on is that in such a situation, it doesn’t matter whether Chooser is asked to choose before or after learning that</w:t>
      </w:r>
      <w:r>
        <w:t xml:space="preserve"> </w:t>
      </w:r>
      <w:r>
        <w:rPr>
          <w:iCs/>
          <w:i/>
        </w:rPr>
        <w:t xml:space="preserve">p</w:t>
      </w:r>
      <w:r>
        <w:t xml:space="preserve"> </w:t>
      </w:r>
      <w:r>
        <w:t xml:space="preserve">is true. That is, if they are asked to come up with a strategy, which in this case is just a plan for what to do if</w:t>
      </w:r>
      <w:r>
        <w:t xml:space="preserve"> </w:t>
      </w:r>
      <w:r>
        <w:rPr>
          <w:iCs/>
          <w:i/>
        </w:rPr>
        <w:t xml:space="preserve">p</w:t>
      </w:r>
      <w:r>
        <w:t xml:space="preserve"> </w:t>
      </w:r>
      <w:r>
        <w:t xml:space="preserve">is true, that’s just the same as being told that</w:t>
      </w:r>
      <w:r>
        <w:t xml:space="preserve"> </w:t>
      </w:r>
      <w:r>
        <w:rPr>
          <w:iCs/>
          <w:i/>
        </w:rPr>
        <w:t xml:space="preserve">p</w:t>
      </w:r>
      <w:r>
        <w:t xml:space="preserve"> </w:t>
      </w:r>
      <w:r>
        <w:t xml:space="preserve">is true, and being asked to come up with a move. Slightly more informally, the following two questions should get the same answer because in some deep sense they are the same question:</w:t>
      </w:r>
    </w:p>
    <w:p>
      <w:pPr>
        <w:numPr>
          <w:ilvl w:val="0"/>
          <w:numId w:val="1004"/>
        </w:numPr>
        <w:pStyle w:val="Compact"/>
      </w:pPr>
      <w:r>
        <w:t xml:space="preserve">If</w:t>
      </w:r>
      <w:r>
        <w:t xml:space="preserve"> </w:t>
      </w:r>
      <w:r>
        <w:rPr>
          <w:iCs/>
          <w:i/>
        </w:rPr>
        <w:t xml:space="preserve">p</w:t>
      </w:r>
      <w:r>
        <w:t xml:space="preserve"> </w:t>
      </w:r>
      <w:r>
        <w:t xml:space="preserve">is true, what do you want to do?</w:t>
      </w:r>
    </w:p>
    <w:p>
      <w:pPr>
        <w:numPr>
          <w:ilvl w:val="0"/>
          <w:numId w:val="1004"/>
        </w:numPr>
        <w:pStyle w:val="Compact"/>
      </w:pPr>
      <w:r>
        <w:t xml:space="preserve">Hey,</w:t>
      </w:r>
      <w:r>
        <w:t xml:space="preserve"> </w:t>
      </w:r>
      <w:r>
        <w:rPr>
          <w:iCs/>
          <w:i/>
        </w:rPr>
        <w:t xml:space="preserve">p</w:t>
      </w:r>
      <w:r>
        <w:t xml:space="preserve"> </w:t>
      </w:r>
      <w:r>
        <w:t xml:space="preserve">is true. What do you want to do?</w:t>
      </w:r>
    </w:p>
    <w:p>
      <w:pPr>
        <w:pStyle w:val="FirstParagraph"/>
      </w:pPr>
      <w:r>
        <w:t xml:space="preserve">This principle is violated by, among others, the theory of choice that Lara</w:t>
      </w:r>
      <w:r>
        <w:t xml:space="preserve"> </w:t>
      </w:r>
      <w:r>
        <w:t xml:space="preserve">Buchak (2013)</w:t>
      </w:r>
      <w:r>
        <w:t xml:space="preserve"> </w:t>
      </w:r>
      <w:r>
        <w:t xml:space="preserve">defends.</w:t>
      </w:r>
      <w:r>
        <w:rPr>
          <w:rStyle w:val="FootnoteReference"/>
        </w:rPr>
        <w:footnoteReference w:id="42"/>
      </w:r>
      <w:r>
        <w:t xml:space="preserve"> </w:t>
      </w:r>
      <w:r>
        <w:t xml:space="preserve">Imagine that Suzy has two things she is planning to give away. The first is a lottery ticket that has a 50% chance of being worth $4, and a 50% chance of being worth nothing. The second is a dollar. She is going to give one to Billy and the other to Teddy. She comes up with the following somewhat convoluted plan to decide what to do. She’s going to flip a fair coin. If it lands heads, Billy will get the ticket. If it lands tails, Billy will get a choice of the ticket or the dollar. Billy’s risk-function</w:t>
      </w:r>
      <w:r>
        <w:rPr>
          <w:rStyle w:val="FootnoteReference"/>
        </w:rPr>
        <w:footnoteReference w:id="43"/>
      </w:r>
      <w:r>
        <w:t xml:space="preserve"> </w:t>
      </w:r>
      <w:r>
        <w:rPr>
          <w:iCs/>
          <w:i/>
        </w:rPr>
        <w:t xml:space="preserve">r</w:t>
      </w:r>
      <w:r>
        <w:t xml:space="preserve"> </w:t>
      </w:r>
      <w:r>
        <w:t xml:space="preserve">is</w:t>
      </w:r>
      <w:r>
        <w:t xml:space="preserve"> </w:t>
      </w:r>
      <w:r>
        <w:rPr>
          <w:iCs/>
          <w:i/>
        </w:rPr>
        <w:t xml:space="preserve">r</w:t>
      </w:r>
      <w:r>
        <w:t xml:space="preserve">(</w:t>
      </w:r>
      <w:r>
        <w:rPr>
          <w:iCs/>
          <w:i/>
        </w:rPr>
        <w:t xml:space="preserve">p</w:t>
      </w:r>
      <w:r>
        <w:t xml:space="preserve">) = </w:t>
      </w:r>
      <w:r>
        <w:rPr>
          <w:iCs/>
          <w:i/>
        </w:rPr>
        <w:t xml:space="preserve">p</w:t>
      </w:r>
      <w:r>
        <w:rPr>
          <w:vertAlign w:val="superscript"/>
        </w:rPr>
        <w:t xml:space="preserve">2</w:t>
      </w:r>
      <w:r>
        <w:t xml:space="preserve">. And money has an ever-so-slightly declining marginal utility for Billy.</w:t>
      </w:r>
      <w:r>
        <w:rPr>
          <w:rStyle w:val="FootnoteReference"/>
        </w:rPr>
        <w:footnoteReference w:id="44"/>
      </w:r>
      <w:r>
        <w:t xml:space="preserve"> </w:t>
      </w:r>
      <w:r>
        <w:t xml:space="preserve">Then if Billy follows Buchak’s theory, he’ll say the following things. Ask him before the coin is flipped what he would like if it lands tails, and he’ll say the ticket. Tell him the coin has landed tails, and ask him what he’d like, and he’ll say the dollar. That looks inconsistent, even incoherent, to me, and it’s enough reason for me to look for a separate theory.</w:t>
      </w:r>
      <w:r>
        <w:rPr>
          <w:rStyle w:val="FootnoteReference"/>
        </w:rPr>
        <w:footnoteReference w:id="45"/>
      </w:r>
    </w:p>
    <w:p>
      <w:pPr>
        <w:pStyle w:val="BodyText"/>
      </w:pPr>
      <w:r>
        <w:t xml:space="preserve">The second principle says that in a dynamic choice situation, every choice that a rational chooser makes must make sense in purely forward-looking terms. That is to say, every choice must be one that could be rationally made if it were the first choice being made in a different, simpler, dynamic choice. It’s easiest to see what this rules out by looking at an example. This is going to be a version of</w:t>
      </w:r>
      <w:r>
        <w:t xml:space="preserve"> </w:t>
      </w:r>
      <w:hyperlink w:anchor="tbl-newcomb">
        <w:r>
          <w:rPr>
            <w:rStyle w:val="Hyperlink"/>
          </w:rPr>
          <w:t xml:space="preserve">Newcomb’s Problem</w:t>
        </w:r>
      </w:hyperlink>
      <w:r>
        <w:t xml:space="preserve"> </w:t>
      </w:r>
      <w:r>
        <w:t xml:space="preserve">without any suspense, i.e., with the Chooser being allowed to look inside the boxes.</w:t>
      </w:r>
    </w:p>
    <w:p>
      <w:pPr>
        <w:pStyle w:val="BodyText"/>
      </w:pPr>
      <w:r>
        <w:t xml:space="preserve">Chooser is going to be presented with two boxes, one red and one blue. The boxes will be open, so Chooser will see what’s in them. Chooser will be allowed to take the contents of one of them, at their choice. There is a Demon who predicted Chooser’s choice. If Demon predicted Chooser would choose the red box, they put $10 in the red box, and $11 in the blue box. If Demon predicted Chooser would choose the blue box, they put $0 in the red box, and $1 in the blue box. The second principle says that in this case, Chooser must take the blue box. What it rules out is the following reasoning, which is endorsed by, e.g.,</w:t>
      </w:r>
      <w:r>
        <w:t xml:space="preserve"> </w:t>
      </w:r>
      <w:r>
        <w:t xml:space="preserve">Levinstein and Soares (2020)</w:t>
      </w:r>
      <w:r>
        <w:t xml:space="preserve">. The optimal strategy is to plan to take the red box, since on average that gets $10 rather than $1. Then when the boxes are opened, what Chooser should do is carry out the optimal strategy, i.e., take the red box. The second principle says that reasoning is illegitimate. If Chooser is going to take the red box now, they must be capable of defending that decision using purely forward-looking considerations.</w:t>
      </w:r>
      <w:r>
        <w:rPr>
          <w:rStyle w:val="FootnoteReference"/>
        </w:rPr>
        <w:footnoteReference w:id="46"/>
      </w:r>
      <w:r>
        <w:t xml:space="preserve"> </w:t>
      </w:r>
      <w:r>
        <w:t xml:space="preserve">And that’s impossible to do, since there is quite clearly one more dollar in the blue box. The only consideration in favour of the red box is backward-looking; it correlates with getting a more favourable distribution of funds to the boxes.</w:t>
      </w:r>
    </w:p>
    <w:p>
      <w:pPr>
        <w:pStyle w:val="BodyText"/>
      </w:pPr>
      <w:r>
        <w:t xml:space="preserve">The third principle is a converse of sorts to the third. It says that at the end of a series of choices, a rational chooser must be able to defend why they made that series of choices rather than some alternative series.</w:t>
      </w:r>
      <w:r>
        <w:rPr>
          <w:rStyle w:val="FootnoteReference"/>
        </w:rPr>
        <w:footnoteReference w:id="47"/>
      </w:r>
      <w:r>
        <w:t xml:space="preserve"> </w:t>
      </w:r>
      <w:r>
        <w:t xml:space="preserve">To see why this matters, it helps to use a version of GDT that I used to believe was correct, before I considered what it said about examples like</w:t>
      </w:r>
      <w:r>
        <w:t xml:space="preserve"> </w:t>
      </w:r>
      <w:hyperlink w:anchor="tbl-first-dynamic-example">
        <w:r>
          <w:rPr>
            <w:rStyle w:val="Hyperlink"/>
          </w:rPr>
          <w:t xml:space="preserve">Table 1.5</w:t>
        </w:r>
      </w:hyperlink>
      <w:r>
        <w:t xml:space="preserve">. This theory says that all that matters for choice at a time is that one do something ratifiable (and not weakly dominated), and that all that matters for dynamic choice is that one equates the possibility of reaching a future choice with a lottery ticket whose payouts are the payouts of that later choice, with the probabilities of each payout of the ticket the same as the probability one gives to the payouts of the later choice.</w:t>
      </w:r>
    </w:p>
    <w:p>
      <w:pPr>
        <w:pStyle w:val="BodyText"/>
      </w:pPr>
      <w:r>
        <w:t xml:space="preserve">Start with this theory, and think about the following kind of Chooser. They think that if they don’t exit, and instead choose to play</w:t>
      </w:r>
      <w:r>
        <w:t xml:space="preserve"> </w:t>
      </w:r>
      <w:hyperlink w:anchor="tbl-first-dynamic-example">
        <w:r>
          <w:rPr>
            <w:rStyle w:val="Hyperlink"/>
          </w:rPr>
          <w:t xml:space="preserve">Table 1.5</w:t>
        </w:r>
      </w:hyperlink>
      <w:r>
        <w:t xml:space="preserve">, it’s just as likely that they’ll choose A as B. After all, both are rational. So playing the game has an expected return of 6, while exiting has a guaranteed return of 5, so they play the game. And then they play A, and they get 4. This seems irrational; they could have got 5. The third principle says that it is irrational. The strategy, play the game then choose A, is not a strategy one could defend as a whole. The alternative strategy of exiting</w:t>
      </w:r>
      <w:r>
        <w:rPr>
          <w:rStyle w:val="FootnoteReference"/>
        </w:rPr>
        <w:footnoteReference w:id="48"/>
      </w:r>
      <w:r>
        <w:t xml:space="preserve"> </w:t>
      </w:r>
      <w:r>
        <w:t xml:space="preserve">strictly dominates it. According to GDT, a series of choices, each rational in themselves, can be collectively irrational. And that’s what is distinctive about the third principle. In game-theoretic terms, it says that one’s sequence of choices (and dispositions to choose in unreached nodes of the game-tree) must be defensible if one was choosing a strategy. And this turns out to be a non-trivial constraint.</w:t>
      </w:r>
    </w:p>
    <w:p>
      <w:pPr>
        <w:pStyle w:val="BodyText"/>
      </w:pPr>
      <w:r>
        <w:t xml:space="preserve">None of these three principles will strike people working in decision theory as particularly novel. I’ve framed them in terms of choice-worthiness rather than preference, which makes them a bit weaker and hence more plausible. And as the book goes on I’ll offer some somewhat new arguments for them. But none of them alone are particularly innovative. What is, I think, more innovative, is putting them together. While many theories exist that satisfy at least one of them, or even satisfy some pair of them, as far as I can tell, only versions of causal ratificationism look capable of satisfying all three.</w:t>
      </w:r>
    </w:p>
    <w:p>
      <w:pPr>
        <w:pStyle w:val="BodyText"/>
      </w:pPr>
      <w:r>
        <w:t xml:space="preserve">If there is a single master argument of the book, it is that the right decision theory complies with these three principles, only causal ratificationism complies with these three principles, so the correct decision theory is a form of causal ratificationism. I’ll have much more to say about the principles, and about the particular form of causal ratificationism I prefer. That argument, however, is the simplest guide to where we’re going.</w:t>
      </w:r>
    </w:p>
    <w:bookmarkEnd w:id="49"/>
    <w:bookmarkEnd w:id="50"/>
    <w:bookmarkStart w:id="80" w:name="sec-ideal"/>
    <w:p>
      <w:pPr>
        <w:pStyle w:val="Heading1"/>
      </w:pPr>
      <w:r>
        <w:t xml:space="preserve">2. Idealised</w:t>
      </w:r>
    </w:p>
    <w:bookmarkStart w:id="64" w:name="sec-ideal-intro"/>
    <w:p>
      <w:pPr>
        <w:pStyle w:val="Heading2"/>
      </w:pPr>
      <w:r>
        <w:t xml:space="preserve">2.1 Introducing Ideal Theory</w:t>
      </w:r>
    </w:p>
    <w:p>
      <w:pPr>
        <w:pStyle w:val="FirstParagraph"/>
      </w:pPr>
      <w:r>
        <w:t xml:space="preserve">Game theorists, like philosophical decision theorists, are doing ideal theory. To see that they are doing ideal theory, compare what they say about two problems: Salesman and Basketball. The first is a version of what Julia Robinson dubbed the</w:t>
      </w:r>
      <w:r>
        <w:t xml:space="preserve"> </w:t>
      </w:r>
      <w:r>
        <w:t xml:space="preserve">‘</w:t>
      </w:r>
      <w:r>
        <w:t xml:space="preserve">travelling salesman</w:t>
      </w:r>
      <w:r>
        <w:t xml:space="preserve">’</w:t>
      </w:r>
      <w:r>
        <w:t xml:space="preserve"> </w:t>
      </w:r>
      <w:r>
        <w:t xml:space="preserve">problem.</w:t>
      </w:r>
      <w:r>
        <w:rPr>
          <w:rStyle w:val="FootnoteReference"/>
        </w:rPr>
        <w:footnoteReference w:id="51"/>
      </w:r>
    </w:p>
    <w:p>
      <w:pPr>
        <w:pStyle w:val="BlockText"/>
      </w:pPr>
      <w:r>
        <w:rPr>
          <w:bCs/>
          <w:b/>
        </w:rPr>
        <w:t xml:space="preserve">Salesman</w:t>
      </w:r>
      <w:r>
        <w:br/>
      </w:r>
      <w:r>
        <w:t xml:space="preserve">Chooser is given the straight line distance between each pair of cities from the 257 represented on the map in</w:t>
      </w:r>
      <w:r>
        <w:t xml:space="preserve"> </w:t>
      </w:r>
      <w:hyperlink w:anchor="fig-salesman-points">
        <w:r>
          <w:rPr>
            <w:rStyle w:val="Hyperlink"/>
          </w:rPr>
          <w:t xml:space="preserve">Figure 2.1</w:t>
        </w:r>
      </w:hyperlink>
      <w:r>
        <w:t xml:space="preserve">. Using this information, Chooser has to find as short a path as possible that goes through all 257 cities and returns to the first one. The longer a path Chooser selects, the worse things will be for Chooser.</w:t>
      </w:r>
    </w:p>
    <w:tbl>
      <w:tblPr>
        <w:tblStyle w:val="Table"/>
        <w:tblW w:type="pct" w:w="5000"/>
        <w:tblLook w:firstRow="0" w:lastRow="0" w:firstColumn="0" w:lastColumn="0" w:noHBand="0" w:noVBand="0" w:val="0000"/>
        <w:jc w:val="start"/>
        <w:tblLayout w:type="fixed"/>
      </w:tblPr>
      <w:tblGrid>
        <w:gridCol w:w="7920"/>
      </w:tblGrid>
      <w:tr>
        <w:tc>
          <w:tcPr/>
          <w:bookmarkStart w:id="55" w:name="fig-salesman-points"/>
          <w:p>
            <w:pPr>
              <w:pStyle w:val="Compact"/>
              <w:jc w:val="center"/>
            </w:pPr>
            <w:r>
              <w:drawing>
                <wp:inline>
                  <wp:extent cx="5207000" cy="4165600"/>
                  <wp:effectExtent b="0" l="0" r="0" t="0"/>
                  <wp:docPr descr="" title="" id="53" name="Picture"/>
                  <a:graphic>
                    <a:graphicData uri="http://schemas.openxmlformats.org/drawingml/2006/picture">
                      <pic:pic>
                        <pic:nvPicPr>
                          <pic:cNvPr descr="idealised_files/figure-docx/fig-salesman-points-1.png" id="54" name="Picture"/>
                          <pic:cNvPicPr>
                            <a:picLocks noChangeArrowheads="1" noChangeAspect="1"/>
                          </pic:cNvPicPr>
                        </pic:nvPicPr>
                        <pic:blipFill>
                          <a:blip r:embed="rId52"/>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257 cities that must be visited in the Salesman problem.</w:t>
            </w:r>
          </w:p>
          <w:bookmarkEnd w:id="55"/>
        </w:tc>
      </w:tr>
    </w:tbl>
    <w:p>
      <w:pPr>
        <w:pStyle w:val="BodyText"/>
      </w:pPr>
      <w:r>
        <w:t xml:space="preserve">Since there are 256! possible paths, and 256! ≈ 10</w:t>
      </w:r>
      <w:r>
        <w:rPr>
          <w:vertAlign w:val="superscript"/>
        </w:rPr>
        <w:t xml:space="preserve">727</w:t>
      </w:r>
      <w:r>
        <w:t xml:space="preserve">, Chooser has a few options here.</w:t>
      </w:r>
      <w:r>
        <w:rPr>
          <w:rStyle w:val="FootnoteReference"/>
        </w:rPr>
        <w:footnoteReference w:id="56"/>
      </w:r>
      <w:r>
        <w:t xml:space="preserve"> </w:t>
      </w:r>
      <w:r>
        <w:t xml:space="preserve">Game theorists, and philosophical decision theorists, start with the assumption that the people in their models can solve these problems in zero time and at zero cost. Or, at the very least, that the people can emulate someone who solves these problems in zero time and at zero cost. That’s not even approximately true for any actual person without technological assistance. Even with knowledge of the problem and a good computer, there are not that many actual people who you could properly model as being able to solve it in zero time and at zero cost.</w:t>
      </w:r>
    </w:p>
    <w:p>
      <w:pPr>
        <w:pStyle w:val="BodyText"/>
      </w:pPr>
      <w:r>
        <w:t xml:space="preserve">The question of how to think about people who do have to spend time and resources to solve a problem like this is an interesting one. We might call that problem one in</w:t>
      </w:r>
      <w:r>
        <w:t xml:space="preserve"> </w:t>
      </w:r>
      <w:r>
        <w:rPr>
          <w:iCs/>
          <w:i/>
        </w:rPr>
        <w:t xml:space="preserve">non-ideal decision theory</w:t>
      </w:r>
      <w:r>
        <w:t xml:space="preserve">.</w:t>
      </w:r>
      <w:r>
        <w:rPr>
          <w:rStyle w:val="FootnoteReference"/>
        </w:rPr>
        <w:footnoteReference w:id="58"/>
      </w:r>
      <w:r>
        <w:t xml:space="preserve"> </w:t>
      </w:r>
      <w:r>
        <w:t xml:space="preserve">I won’t say much about non-ideal decision theory in the body of this book, though I’ll come back to it in</w:t>
      </w:r>
      <w:r>
        <w:t xml:space="preserve"> </w:t>
      </w:r>
      <w:hyperlink w:anchor="sec-nidt">
        <w:r>
          <w:rPr>
            <w:rStyle w:val="Hyperlink"/>
          </w:rPr>
          <w:t xml:space="preserve">Appendix B</w:t>
        </w:r>
      </w:hyperlink>
      <w:r>
        <w:t xml:space="preserve">. What I mostly want to do now is use Salesman to say something about what the difference between ideal and non-ideal theory is. And that difference is brought up vividly by the following problem.</w:t>
      </w:r>
    </w:p>
    <w:p>
      <w:pPr>
        <w:pStyle w:val="BlockText"/>
      </w:pPr>
      <w:r>
        <w:rPr>
          <w:bCs/>
          <w:b/>
        </w:rPr>
        <w:t xml:space="preserve">Basketball</w:t>
      </w:r>
      <w:r>
        <w:br/>
      </w:r>
      <w:r>
        <w:t xml:space="preserve">Chooser is at a casino, and a basketball game is about to start. Chooser knows that basketball games don’t have draws or ties; one side will win. And Chooser knows the teams are equally balanced; each team is 50% likely to win. Chooser has three options. They can bet on the Home team to win, bet on the Away team to win, or Pass, and not bet. If they bet, they win $100 if the team they bet on wins, and lose $110 if that team loses. If they Pass, they neither gain nor lose anything.</w:t>
      </w:r>
    </w:p>
    <w:p>
      <w:pPr>
        <w:pStyle w:val="FirstParagraph"/>
      </w:pPr>
      <w:r>
        <w:t xml:space="preserve">Ideal decision theory says that in Basketball, Chooser should Pass. That’s not the optimal outcome for Chooser. The optimal outcome is that they bet on the winning team. But since they don’t know who that is, and either bet will, on average, lose them money, they should Pass rather than bet on Home or Away. We could have a theory that just evaluated the possible outcomes in any decision. I’ll call this Outcome Evaluation Theory. Contrast this with two other theories. Game theory says that the ideal agent chooses the shortest route, whatever it is, in Salesman and does not bet in Basketball. If an ordinary reasonable person was advising a friend facing these two problems, they would give the same advice as the game theorist about Basketball, but in Salesman they would not simply say</w:t>
      </w:r>
      <w:r>
        <w:t xml:space="preserve"> </w:t>
      </w:r>
      <w:r>
        <w:rPr>
          <w:iCs/>
          <w:i/>
        </w:rPr>
        <w:t xml:space="preserve">Choose the shortest path!</w:t>
      </w:r>
      <w:r>
        <w:t xml:space="preserve">, since that’s useless advice. Rather they would suggest something about how to solve the problem, possibly by looking up strategies.</w:t>
      </w:r>
    </w:p>
    <w:p>
      <w:pPr>
        <w:pStyle w:val="BodyText"/>
      </w:pPr>
      <w:r>
        <w:t xml:space="preserve">So we have three theories on the table: Outcome Evaluation Theory; the game theory approach, which I’ll call Ideal Decision Theory; and the ordinary reasonable person approach, which I’ll call Non-Ideal Decision Theory. We can distinguish these three theories by what they say to do in two examples introduced so far: Salesman and Basketball.</w:t>
      </w:r>
    </w:p>
    <w:tbl>
      <w:tblPr>
        <w:tblStyle w:val="Table"/>
        <w:tblW w:type="pct" w:w="5000"/>
        <w:tblLook w:firstRow="0" w:lastRow="0" w:firstColumn="0" w:lastColumn="0" w:noHBand="0" w:noVBand="0" w:val="0000"/>
        <w:jc w:val="start"/>
        <w:tblLayout w:type="fixed"/>
      </w:tblPr>
      <w:tblGrid>
        <w:gridCol w:w="7920"/>
      </w:tblGrid>
      <w:tr>
        <w:tc>
          <w:tcPr/>
          <w:bookmarkStart w:id="59" w:name="tbl-three-theories"/>
          <w:p>
            <w:pPr>
              <w:jc w:val="center"/>
            </w:pPr>
            <w:pPr>
              <w:jc w:val="start"/>
              <w:spacing w:before="200"/>
              <w:pStyle w:val="ImageCaption"/>
            </w:pPr>
            <w:r>
              <w:t xml:space="preserve">Table 2.1: How three kinds of theories handle two problems.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center"/>
                    <w:jc w:val="center"/>
                  </w:pPr>
                  <w:r>
                    <w:rPr>
                      <w:bCs/>
                      <w:b/>
                    </w:rPr>
                    <w:t xml:space="preserve">Theory</w:t>
                  </w:r>
                </w:p>
              </w:tc>
              <w:tc>
                <w:tcPr/>
                <w:p>
                  <w:pPr>
                    <w:pStyle w:val="Compact"/>
                    <w:jc w:val="center"/>
                    <w:jc w:val="center"/>
                  </w:pPr>
                  <w:r>
                    <w:rPr>
                      <w:bCs/>
                      <w:b/>
                    </w:rPr>
                    <w:t xml:space="preserve">Salesman</w:t>
                  </w:r>
                </w:p>
              </w:tc>
              <w:tc>
                <w:tcPr/>
                <w:p>
                  <w:pPr>
                    <w:pStyle w:val="Compact"/>
                    <w:jc w:val="center"/>
                    <w:jc w:val="center"/>
                  </w:pPr>
                  <w:r>
                    <w:rPr>
                      <w:bCs/>
                      <w:b/>
                    </w:rPr>
                    <w:t xml:space="preserve">Basketball</w:t>
                  </w:r>
                </w:p>
              </w:tc>
            </w:tr>
            <w:tr>
              <w:tc>
                <w:tcPr/>
                <w:p>
                  <w:pPr>
                    <w:pStyle w:val="Compact"/>
                    <w:jc w:val="center"/>
                    <w:jc w:val="center"/>
                  </w:pPr>
                  <w:r>
                    <w:t xml:space="preserve">Outcome Evaluation</w:t>
                  </w:r>
                </w:p>
              </w:tc>
              <w:tc>
                <w:tcPr/>
                <w:p>
                  <w:pPr>
                    <w:pStyle w:val="Compact"/>
                    <w:jc w:val="center"/>
                    <w:jc w:val="center"/>
                  </w:pPr>
                  <w:r>
                    <w:t xml:space="preserve">Shortest route</w:t>
                  </w:r>
                </w:p>
              </w:tc>
              <w:tc>
                <w:tcPr/>
                <w:p>
                  <w:pPr>
                    <w:pStyle w:val="Compact"/>
                    <w:jc w:val="center"/>
                    <w:jc w:val="center"/>
                  </w:pPr>
                  <w:r>
                    <w:t xml:space="preserve">Bet on winner</w:t>
                  </w:r>
                </w:p>
              </w:tc>
            </w:tr>
            <w:tr>
              <w:tc>
                <w:tcPr/>
                <w:p>
                  <w:pPr>
                    <w:pStyle w:val="Compact"/>
                    <w:jc w:val="center"/>
                    <w:jc w:val="center"/>
                  </w:pPr>
                  <w:r>
                    <w:t xml:space="preserve">Ideal Decision</w:t>
                  </w:r>
                </w:p>
              </w:tc>
              <w:tc>
                <w:tcPr/>
                <w:p>
                  <w:pPr>
                    <w:pStyle w:val="Compact"/>
                    <w:jc w:val="center"/>
                    <w:jc w:val="center"/>
                  </w:pPr>
                  <w:r>
                    <w:t xml:space="preserve">Shortest route</w:t>
                  </w:r>
                </w:p>
              </w:tc>
              <w:tc>
                <w:tcPr/>
                <w:p>
                  <w:pPr>
                    <w:pStyle w:val="Compact"/>
                    <w:jc w:val="center"/>
                    <w:jc w:val="center"/>
                  </w:pPr>
                  <w:r>
                    <w:t xml:space="preserve">Pass</w:t>
                  </w:r>
                </w:p>
              </w:tc>
            </w:tr>
            <w:tr>
              <w:tc>
                <w:tcPr/>
                <w:p>
                  <w:pPr>
                    <w:pStyle w:val="Compact"/>
                    <w:jc w:val="center"/>
                    <w:jc w:val="center"/>
                  </w:pPr>
                  <w:r>
                    <w:t xml:space="preserve">Non-Ideal Decision</w:t>
                  </w:r>
                </w:p>
              </w:tc>
              <w:tc>
                <w:tcPr/>
                <w:p>
                  <w:pPr>
                    <w:pStyle w:val="Compact"/>
                    <w:jc w:val="center"/>
                    <w:jc w:val="center"/>
                  </w:pPr>
                  <w:r>
                    <w:t xml:space="preserve">Study optimization</w:t>
                  </w:r>
                </w:p>
              </w:tc>
              <w:tc>
                <w:tcPr/>
                <w:p>
                  <w:pPr>
                    <w:pStyle w:val="Compact"/>
                    <w:jc w:val="center"/>
                    <w:jc w:val="center"/>
                  </w:pPr>
                  <w:r>
                    <w:t xml:space="preserve">Pass</w:t>
                  </w:r>
                </w:p>
              </w:tc>
            </w:tr>
          </w:tbl>
          <w:bookmarkEnd w:id="59"/>
          <w:p/>
        </w:tc>
      </w:tr>
    </w:tbl>
    <w:p>
      <w:pPr>
        <w:pStyle w:val="BodyText"/>
      </w:pPr>
      <w:r>
        <w:t xml:space="preserve">Game theory agrees with the middle row. GDT, the theory I’m developing in this book, does so too. And so do almost all decision theorists working in philosophy.</w:t>
      </w:r>
      <w:r>
        <w:rPr>
          <w:rStyle w:val="FootnoteReference"/>
        </w:rPr>
        <w:footnoteReference w:id="60"/>
      </w:r>
      <w:r>
        <w:t xml:space="preserve"> </w:t>
      </w:r>
      <w:r>
        <w:t xml:space="preserve">So in trying to convince philosophers to adopt GDT, I’m not asking them to change their view on this point. But still, this is odd. What is the benefit of a theory of decision that does not produce the best outcomes, and does not produce useful, reasonable advice?</w:t>
      </w:r>
    </w:p>
    <w:p>
      <w:pPr>
        <w:pStyle w:val="BodyText"/>
      </w:pPr>
      <w:r>
        <w:t xml:space="preserve">We could say that if Chooser were ideal, they would agree with Ideal Decision Theory.</w:t>
      </w:r>
      <w:r>
        <w:rPr>
          <w:rStyle w:val="FootnoteReference"/>
        </w:rPr>
        <w:footnoteReference w:id="61"/>
      </w:r>
      <w:r>
        <w:t xml:space="preserve"> </w:t>
      </w:r>
      <w:r>
        <w:t xml:space="preserve">But why we should care about what would have if Chooser were ideal, since Chooser is not in fact ideal? One might think that knowing what the ideal is gives Chooser something to aim for. Even if Chooser is not ideal, they can try to be closer to the ideal. The problem is that trying to be more like the ideal will make things worse. The ideal agent will announce the best answer they have after spending no time calculating the solution to Salesman, and resembling the ideal agent in that respect will make Chooser worse.</w:t>
      </w:r>
      <w:r>
        <w:rPr>
          <w:rStyle w:val="FootnoteReference"/>
        </w:rPr>
        <w:footnoteReference w:id="62"/>
      </w:r>
      <w:r>
        <w:t xml:space="preserve"> </w:t>
      </w:r>
      <w:r>
        <w:t xml:space="preserve">And there is a separate problem. Why say it is ideal to make a choice in Basketball that Chooser knows will lead to a sub-optimal outcome? We can make progress on both these problems, what it means to say something is ideal, and why we should care about the ideal, but stepping back and asking what we even mean by</w:t>
      </w:r>
      <w:r>
        <w:t xml:space="preserve"> </w:t>
      </w:r>
      <w:r>
        <w:t xml:space="preserve">‘</w:t>
      </w:r>
      <w:r>
        <w:t xml:space="preserve">ideal</w:t>
      </w:r>
      <w:r>
        <w:t xml:space="preserve">’</w:t>
      </w:r>
      <w:r>
        <w:t xml:space="preserve">, and</w:t>
      </w:r>
      <w:r>
        <w:t xml:space="preserve"> </w:t>
      </w:r>
      <w:r>
        <w:t xml:space="preserve">‘</w:t>
      </w:r>
      <w:r>
        <w:t xml:space="preserve">idealisation</w:t>
      </w:r>
      <w:r>
        <w:t xml:space="preserve">’</w:t>
      </w:r>
      <w:r>
        <w:t xml:space="preserve">.</w:t>
      </w:r>
    </w:p>
    <w:p>
      <w:pPr>
        <w:pStyle w:val="BodyText"/>
      </w:pPr>
      <w:r>
        <w:t xml:space="preserve">In philosophy, it turns out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63"/>
      </w:r>
    </w:p>
    <w:p>
      <w:pPr>
        <w:pStyle w:val="BodyText"/>
      </w:pPr>
      <w:r>
        <w:t xml:space="preserve">The best way to understand game theorists, and most philosophical decision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bookmarkEnd w:id="64"/>
    <w:bookmarkStart w:id="72" w:name="sec-uses-ideal"/>
    <w:p>
      <w:pPr>
        <w:pStyle w:val="Heading2"/>
      </w:pPr>
      <w:r>
        <w:t xml:space="preserve">2.2 Uses of Ideal Theory</w:t>
      </w:r>
    </w:p>
    <w:p>
      <w:pPr>
        <w:pStyle w:val="FirstParagraph"/>
      </w:pPr>
      <w:r>
        <w:t xml:space="preserve">Still, this approach raises two pressing questions. One is why we should be interested in a model that is so idealised. The other is why we don’t idealise even further, idealising away from informational limitations as well as computational ones.</w:t>
      </w:r>
      <w:r>
        <w:rPr>
          <w:rStyle w:val="FootnoteReference"/>
        </w:rPr>
        <w:footnoteReference w:id="65"/>
      </w:r>
    </w:p>
    <w:p>
      <w:pPr>
        <w:pStyle w:val="BodyText"/>
      </w:pPr>
      <w:r>
        <w:t xml:space="preserve">All social sciences use idealised models of some kind or other. The fact that real humans can’t solve problems like Salesman, but the modelled humans can, isn’t in itself a problem. Modelled humans are always different in some respects to real humans. It is only a problem if the differences matter. For example, if you are trying to model when humans fail at maximisation problems, don’t use a model that idealises away from computational limitations.</w:t>
      </w:r>
    </w:p>
    <w:p>
      <w:pPr>
        <w:pStyle w:val="BodyText"/>
      </w:pPr>
      <w:r>
        <w:t xml:space="preserve">The real challenge is that some idealisations are useless. If all we end up saying is that when it’s more likely to rain, more people take umbrellas, we don’t need books full of math to say that. Here’s how Keynes puts the complaint, in a closely related context.</w:t>
      </w:r>
    </w:p>
    <w:p>
      <w:pPr>
        <w:pStyle w:val="BlockText"/>
      </w:pPr>
      <w:r>
        <w:t xml:space="preserve">But this</w:t>
      </w:r>
      <w:r>
        <w:t xml:space="preserve"> </w:t>
      </w:r>
      <w:r>
        <w:rPr>
          <w:iCs/>
          <w:i/>
        </w:rPr>
        <w:t xml:space="preserve">long run</w:t>
      </w:r>
      <w:r>
        <w:t xml:space="preserve"> </w:t>
      </w:r>
      <w:r>
        <w:t xml:space="preserve">is a misleading guide to current affairs.</w:t>
      </w:r>
      <w:r>
        <w:t xml:space="preserve"> </w:t>
      </w:r>
      <w:r>
        <w:rPr>
          <w:iCs/>
          <w:i/>
        </w:rPr>
        <w:t xml:space="preserve">In the long run we are all dead</w:t>
      </w:r>
      <w:r>
        <w:t xml:space="preserve">. Economists set themselves too easy, too useless a task if in tempestuous seasons they can only tell us that when the storm is long past the ocean will be flat again.</w:t>
      </w:r>
      <w:r>
        <w:t xml:space="preserve"> </w:t>
      </w:r>
      <w:r>
        <w:t xml:space="preserve">(Keynes 1923, 80, emphasis in original)</w:t>
      </w:r>
    </w:p>
    <w:p>
      <w:pPr>
        <w:pStyle w:val="FirstParagraph"/>
      </w:pPr>
      <w:r>
        <w:t xml:space="preserve">Don’t focus on the temporal connotations of Keynes’s terminology of</w:t>
      </w:r>
      <w:r>
        <w:t xml:space="preserve"> </w:t>
      </w:r>
      <w:r>
        <w:t xml:space="preserve">‘</w:t>
      </w:r>
      <w:r>
        <w:t xml:space="preserve">long run</w:t>
      </w:r>
      <w:r>
        <w:t xml:space="preserve">’</w:t>
      </w:r>
      <w:r>
        <w:t xml:space="preserve">. What’s characteristic of his long run is not that it takes place in the distant future. What is characteristic of it instead is that it takes place in a world where some sources of interference are absent. It’s a world where we sail but there are no storms. It’s a study where we abstract away from storms and other unfortunate complications. And that’s what’s characteristic of Ideal Decision Theory. We know that people cannot easily solve hard arithmetic problems, but we abstract away from that fact. Does this leave the resulting theory</w:t>
      </w:r>
      <w:r>
        <w:t xml:space="preserve"> </w:t>
      </w:r>
      <w:r>
        <w:t xml:space="preserve">“</w:t>
      </w:r>
      <w:r>
        <w:t xml:space="preserve">easy and useless</w:t>
      </w:r>
      <w:r>
        <w:t xml:space="preserve">”</w:t>
      </w:r>
      <w:r>
        <w:t xml:space="preserve">?</w:t>
      </w:r>
    </w:p>
    <w:p>
      <w:pPr>
        <w:pStyle w:val="BodyText"/>
      </w:pPr>
      <w:r>
        <w:t xml:space="preserve">To see that it’s not</w:t>
      </w:r>
      <w:r>
        <w:t xml:space="preserve"> </w:t>
      </w:r>
      <w:r>
        <w:t xml:space="preserve">“</w:t>
      </w:r>
      <w:r>
        <w:t xml:space="preserve">easy</w:t>
      </w:r>
      <w:r>
        <w:t xml:space="preserve">”</w:t>
      </w:r>
      <w:r>
        <w:t xml:space="preserve">, it simply suffices to take a casual glance at any economics journal. But what about Keynes’s suggestion that it is</w:t>
      </w:r>
      <w:r>
        <w:t xml:space="preserve"> </w:t>
      </w:r>
      <w:r>
        <w:t xml:space="preserve">“</w:t>
      </w:r>
      <w:r>
        <w:t xml:space="preserve">useless</w:t>
      </w:r>
      <w:r>
        <w:t xml:space="preserve">”</w:t>
      </w:r>
      <w:r>
        <w:t xml:space="preserve">? It turns out there are some surprising results that we need the details of something like GDT to generate. One nice case of this is the discussion of Gulf of Mexico oil leases in</w:t>
      </w:r>
      <w:r>
        <w:t xml:space="preserve"> </w:t>
      </w:r>
      <w:r>
        <w:t xml:space="preserve">Wilson (1967)</w:t>
      </w:r>
      <w:r>
        <w:t xml:space="preserve">.</w:t>
      </w:r>
      <w:r>
        <w:rPr>
          <w:rStyle w:val="FootnoteReference"/>
        </w:rPr>
        <w:footnoteReference w:id="66"/>
      </w:r>
      <w:r>
        <w:t xml:space="preserve"> </w:t>
      </w:r>
      <w:r>
        <w:t xml:space="preserve">Another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a car was for resale within months of being first bought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COVID-19 pandemic, for reasons I don’t at all understand.)</w:t>
      </w:r>
    </w:p>
    <w:p>
      <w:pPr>
        <w:pStyle w:val="BodyText"/>
      </w:pPr>
      <w:r>
        <w:t xml:space="preserve">Here’s an even simpler surprising prediction that you need something like GDT to get, and which is relevant to some debates in philosophical decision theory.</w:t>
      </w:r>
      <w:r>
        <w:rPr>
          <w:rStyle w:val="FootnoteReference"/>
        </w:rPr>
        <w:footnoteReference w:id="67"/>
      </w:r>
      <w:r>
        <w:t xml:space="preserve"> </w:t>
      </w:r>
      <w:r>
        <w:t xml:space="preserve">Imagine Row and Column are playing rock-paper-scissors. A bystander, C, says that he really likes seeing rock beat scissors, so he will pay whoever wins by playing rock $1. Assuming that Row and Column have no ability to collude, the effect of this will to add</w:t>
      </w:r>
      <w:r>
        <w:t xml:space="preserve"> </w:t>
      </w:r>
      <w:r>
        <w:rPr>
          <w:iCs/>
          <w:i/>
        </w:rPr>
        <w:t xml:space="preserve">c</w:t>
      </w:r>
      <w:r>
        <w:t xml:space="preserve"> </w:t>
      </w:r>
      <w:r>
        <w:t xml:space="preserve">to the value of playing Rock against Scissors,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2.2 (a)</w:t>
        </w:r>
      </w:hyperlink>
      <w:r>
        <w:t xml:space="preserve"> </w:t>
      </w:r>
      <w:r>
        <w:t xml:space="preserve">to</w:t>
      </w:r>
      <w:r>
        <w:t xml:space="preserve"> </w:t>
      </w:r>
      <w:hyperlink w:anchor="tbl-rps-modified">
        <w:r>
          <w:rPr>
            <w:rStyle w:val="Hyperlink"/>
          </w:rPr>
          <w:t xml:space="preserve">Table 2.2 (b)</w:t>
        </w:r>
      </w:hyperlink>
      <w:r>
        <w:t xml:space="preserve">.</w:t>
      </w:r>
    </w:p>
    <w:bookmarkStart w:id="70" w:name="tbl-rps"/>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68" w:name="tbl-rps-basic"/>
                <w:p>
                  <w:pPr>
                    <w:jc w:val="center"/>
                    <w:jc w:val="left"/>
                  </w:pPr>
                  <w:pPr>
                    <w:jc w:val="start"/>
                    <w:spacing w:before="200"/>
                    <w:pStyle w:val="ImageCaption"/>
                  </w:pPr>
                  <w:r>
                    <w:t xml:space="preserve">(a) Original game</w:t>
                  </w:r>
                </w:p>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pPr>
                      </w:p>
                    </w:tc>
                    <w:tc>
                      <w:tcPr/>
                      <w:p>
                        <w:pPr>
                          <w:pStyle w:val="Compact"/>
                          <w:jc w:val="center"/>
                          <w:jc w:val="center"/>
                          <w:jc w:val="left"/>
                        </w:pPr>
                        <w:r>
                          <w:rPr>
                            <w:bCs/>
                            <w:b/>
                          </w:rPr>
                          <w:t xml:space="preserve">Rock</w:t>
                        </w:r>
                      </w:p>
                    </w:tc>
                    <w:tc>
                      <w:tcPr/>
                      <w:p>
                        <w:pPr>
                          <w:pStyle w:val="Compact"/>
                          <w:jc w:val="center"/>
                          <w:jc w:val="center"/>
                          <w:jc w:val="left"/>
                        </w:pPr>
                        <w:r>
                          <w:rPr>
                            <w:bCs/>
                            <w:b/>
                          </w:rPr>
                          <w:t xml:space="preserve">Paper</w:t>
                        </w:r>
                      </w:p>
                    </w:tc>
                    <w:tc>
                      <w:tcPr/>
                      <w:p>
                        <w:pPr>
                          <w:pStyle w:val="Compact"/>
                          <w:jc w:val="center"/>
                          <w:jc w:val="center"/>
                          <w:jc w:val="left"/>
                        </w:pPr>
                        <w:r>
                          <w:rPr>
                            <w:bCs/>
                            <w:b/>
                          </w:rPr>
                          <w:t xml:space="preserve">Scissors</w:t>
                        </w:r>
                      </w:p>
                    </w:tc>
                  </w:tr>
                  <w:tr>
                    <w:tc>
                      <w:tcPr/>
                      <w:p>
                        <w:pPr>
                          <w:pStyle w:val="Compact"/>
                          <w:jc w:val="center"/>
                          <w:jc w:val="center"/>
                          <w:jc w:val="left"/>
                        </w:pPr>
                        <w:r>
                          <w:rPr>
                            <w:bCs/>
                            <w:b/>
                          </w:rPr>
                          <w:t xml:space="preserve">Rock</w:t>
                        </w:r>
                      </w:p>
                    </w:tc>
                    <w:tc>
                      <w:tcPr/>
                      <w:p>
                        <w:pPr>
                          <w:pStyle w:val="Compact"/>
                          <w:jc w:val="center"/>
                          <w:jc w:val="center"/>
                          <w:jc w:val="left"/>
                        </w:pPr>
                        <w:r>
                          <w:t xml:space="preserve">0,0</w:t>
                        </w:r>
                      </w:p>
                    </w:tc>
                    <w:tc>
                      <w:tcPr/>
                      <w:p>
                        <w:pPr>
                          <w:pStyle w:val="Compact"/>
                          <w:jc w:val="center"/>
                          <w:jc w:val="center"/>
                          <w:jc w:val="left"/>
                        </w:pPr>
                        <w:r>
                          <w:t xml:space="preserve">-1,1</w:t>
                        </w:r>
                      </w:p>
                    </w:tc>
                    <w:tc>
                      <w:tcPr/>
                      <w:p>
                        <w:pPr>
                          <w:pStyle w:val="Compact"/>
                          <w:jc w:val="center"/>
                          <w:jc w:val="center"/>
                          <w:jc w:val="left"/>
                        </w:pPr>
                        <w:r>
                          <w:t xml:space="preserve">1,-1</w:t>
                        </w:r>
                      </w:p>
                    </w:tc>
                  </w:tr>
                  <w:tr>
                    <w:tc>
                      <w:tcPr/>
                      <w:p>
                        <w:pPr>
                          <w:pStyle w:val="Compact"/>
                          <w:jc w:val="center"/>
                          <w:jc w:val="center"/>
                          <w:jc w:val="left"/>
                        </w:pPr>
                        <w:r>
                          <w:rPr>
                            <w:bCs/>
                            <w:b/>
                          </w:rPr>
                          <w:t xml:space="preserve">Paper</w:t>
                        </w:r>
                      </w:p>
                    </w:tc>
                    <w:tc>
                      <w:tcPr/>
                      <w:p>
                        <w:pPr>
                          <w:pStyle w:val="Compact"/>
                          <w:jc w:val="center"/>
                          <w:jc w:val="center"/>
                          <w:jc w:val="left"/>
                        </w:pPr>
                        <w:r>
                          <w:t xml:space="preserve">1,-1</w:t>
                        </w:r>
                      </w:p>
                    </w:tc>
                    <w:tc>
                      <w:tcPr/>
                      <w:p>
                        <w:pPr>
                          <w:pStyle w:val="Compact"/>
                          <w:jc w:val="center"/>
                          <w:jc w:val="center"/>
                          <w:jc w:val="left"/>
                        </w:pPr>
                        <w:r>
                          <w:t xml:space="preserve">0,0</w:t>
                        </w:r>
                      </w:p>
                    </w:tc>
                    <w:tc>
                      <w:tcPr/>
                      <w:p>
                        <w:pPr>
                          <w:pStyle w:val="Compact"/>
                          <w:jc w:val="center"/>
                          <w:jc w:val="center"/>
                          <w:jc w:val="left"/>
                        </w:pPr>
                        <w:r>
                          <w:t xml:space="preserve">-1,1</w:t>
                        </w:r>
                      </w:p>
                    </w:tc>
                  </w:tr>
                  <w:tr>
                    <w:tc>
                      <w:tcPr/>
                      <w:p>
                        <w:pPr>
                          <w:pStyle w:val="Compact"/>
                          <w:jc w:val="center"/>
                          <w:jc w:val="center"/>
                          <w:jc w:val="left"/>
                        </w:pPr>
                        <w:r>
                          <w:rPr>
                            <w:bCs/>
                            <w:b/>
                          </w:rPr>
                          <w:t xml:space="preserve">Scissors</w:t>
                        </w:r>
                      </w:p>
                    </w:tc>
                    <w:tc>
                      <w:tcPr/>
                      <w:p>
                        <w:pPr>
                          <w:pStyle w:val="Compact"/>
                          <w:jc w:val="center"/>
                          <w:jc w:val="center"/>
                          <w:jc w:val="left"/>
                        </w:pPr>
                        <w:r>
                          <w:t xml:space="preserve">-1,1</w:t>
                        </w:r>
                      </w:p>
                    </w:tc>
                    <w:tc>
                      <w:tcPr/>
                      <w:p>
                        <w:pPr>
                          <w:pStyle w:val="Compact"/>
                          <w:jc w:val="center"/>
                          <w:jc w:val="center"/>
                          <w:jc w:val="left"/>
                        </w:pPr>
                        <w:r>
                          <w:t xml:space="preserve">1,-1</w:t>
                        </w:r>
                      </w:p>
                    </w:tc>
                    <w:tc>
                      <w:tcPr/>
                      <w:p>
                        <w:pPr>
                          <w:pStyle w:val="Compact"/>
                          <w:jc w:val="center"/>
                          <w:jc w:val="center"/>
                          <w:jc w:val="left"/>
                        </w:pPr>
                        <w:r>
                          <w:t xml:space="preserve">0,0</w:t>
                        </w:r>
                      </w:p>
                    </w:tc>
                  </w:tr>
                </w:tbl>
                <w:bookmarkEnd w:id="68"/>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69" w:name="tbl-rps-modified"/>
                <w:p>
                  <w:pPr>
                    <w:jc w:val="center"/>
                    <w:jc w:val="left"/>
                  </w:pPr>
                  <w:pPr>
                    <w:jc w:val="start"/>
                    <w:spacing w:before="200"/>
                    <w:pStyle w:val="ImageCaption"/>
                  </w:pPr>
                  <w:r>
                    <w:t xml:space="preserve">(b) Modified game</w:t>
                  </w:r>
                </w:p>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pPr>
                      </w:p>
                    </w:tc>
                    <w:tc>
                      <w:tcPr/>
                      <w:p>
                        <w:pPr>
                          <w:pStyle w:val="Compact"/>
                          <w:jc w:val="center"/>
                          <w:jc w:val="center"/>
                          <w:jc w:val="left"/>
                        </w:pPr>
                        <w:r>
                          <w:rPr>
                            <w:bCs/>
                            <w:b/>
                          </w:rPr>
                          <w:t xml:space="preserve">Rock</w:t>
                        </w:r>
                      </w:p>
                    </w:tc>
                    <w:tc>
                      <w:tcPr/>
                      <w:p>
                        <w:pPr>
                          <w:pStyle w:val="Compact"/>
                          <w:jc w:val="center"/>
                          <w:jc w:val="center"/>
                          <w:jc w:val="left"/>
                        </w:pPr>
                        <w:r>
                          <w:rPr>
                            <w:bCs/>
                            <w:b/>
                          </w:rPr>
                          <w:t xml:space="preserve">Paper</w:t>
                        </w:r>
                      </w:p>
                    </w:tc>
                    <w:tc>
                      <w:tcPr/>
                      <w:p>
                        <w:pPr>
                          <w:pStyle w:val="Compact"/>
                          <w:jc w:val="center"/>
                          <w:jc w:val="center"/>
                          <w:jc w:val="left"/>
                        </w:pPr>
                        <w:r>
                          <w:rPr>
                            <w:bCs/>
                            <w:b/>
                          </w:rPr>
                          <w:t xml:space="preserve">Scissors</w:t>
                        </w:r>
                      </w:p>
                    </w:tc>
                  </w:tr>
                  <w:tr>
                    <w:tc>
                      <w:tcPr/>
                      <w:p>
                        <w:pPr>
                          <w:pStyle w:val="Compact"/>
                          <w:jc w:val="center"/>
                          <w:jc w:val="center"/>
                          <w:jc w:val="left"/>
                        </w:pPr>
                        <w:r>
                          <w:rPr>
                            <w:bCs/>
                            <w:b/>
                          </w:rPr>
                          <w:t xml:space="preserve">Rock</w:t>
                        </w:r>
                      </w:p>
                    </w:tc>
                    <w:tc>
                      <w:tcPr/>
                      <w:p>
                        <w:pPr>
                          <w:pStyle w:val="Compact"/>
                          <w:jc w:val="center"/>
                          <w:jc w:val="center"/>
                          <w:jc w:val="left"/>
                        </w:pPr>
                        <w:r>
                          <w:t xml:space="preserve">0,0</w:t>
                        </w:r>
                      </w:p>
                    </w:tc>
                    <w:tc>
                      <w:tcPr/>
                      <w:p>
                        <w:pPr>
                          <w:pStyle w:val="Compact"/>
                          <w:jc w:val="center"/>
                          <w:jc w:val="center"/>
                          <w:jc w:val="left"/>
                        </w:pPr>
                        <w:r>
                          <w:t xml:space="preserve">-1,1</w:t>
                        </w:r>
                      </w:p>
                    </w:tc>
                    <w:tc>
                      <w:tcPr/>
                      <w:p>
                        <w:pPr>
                          <w:pStyle w:val="Compact"/>
                          <w:jc w:val="center"/>
                          <w:jc w:val="center"/>
                          <w:jc w:val="left"/>
                        </w:pPr>
                        <w:r>
                          <w:t xml:space="preserve">1+</w:t>
                        </w:r>
                        <w:r>
                          <w:rPr>
                            <w:iCs/>
                            <w:i/>
                          </w:rPr>
                          <w:t xml:space="preserve">c</w:t>
                        </w:r>
                        <w:r>
                          <w:t xml:space="preserve">,-1</w:t>
                        </w:r>
                      </w:p>
                    </w:tc>
                  </w:tr>
                  <w:tr>
                    <w:tc>
                      <w:tcPr/>
                      <w:p>
                        <w:pPr>
                          <w:pStyle w:val="Compact"/>
                          <w:jc w:val="center"/>
                          <w:jc w:val="center"/>
                          <w:jc w:val="left"/>
                        </w:pPr>
                        <w:r>
                          <w:rPr>
                            <w:bCs/>
                            <w:b/>
                          </w:rPr>
                          <w:t xml:space="preserve">Paper</w:t>
                        </w:r>
                      </w:p>
                    </w:tc>
                    <w:tc>
                      <w:tcPr/>
                      <w:p>
                        <w:pPr>
                          <w:pStyle w:val="Compact"/>
                          <w:jc w:val="center"/>
                          <w:jc w:val="center"/>
                          <w:jc w:val="left"/>
                        </w:pPr>
                        <w:r>
                          <w:t xml:space="preserve">1,-1</w:t>
                        </w:r>
                      </w:p>
                    </w:tc>
                    <w:tc>
                      <w:tcPr/>
                      <w:p>
                        <w:pPr>
                          <w:pStyle w:val="Compact"/>
                          <w:jc w:val="center"/>
                          <w:jc w:val="center"/>
                          <w:jc w:val="left"/>
                        </w:pPr>
                        <w:r>
                          <w:t xml:space="preserve">0,0</w:t>
                        </w:r>
                      </w:p>
                    </w:tc>
                    <w:tc>
                      <w:tcPr/>
                      <w:p>
                        <w:pPr>
                          <w:pStyle w:val="Compact"/>
                          <w:jc w:val="center"/>
                          <w:jc w:val="center"/>
                          <w:jc w:val="left"/>
                        </w:pPr>
                        <w:r>
                          <w:t xml:space="preserve">-1,1</w:t>
                        </w:r>
                      </w:p>
                    </w:tc>
                  </w:tr>
                  <w:tr>
                    <w:tc>
                      <w:tcPr/>
                      <w:p>
                        <w:pPr>
                          <w:pStyle w:val="Compact"/>
                          <w:jc w:val="center"/>
                          <w:jc w:val="center"/>
                          <w:jc w:val="left"/>
                        </w:pPr>
                        <w:r>
                          <w:rPr>
                            <w:bCs/>
                            <w:b/>
                          </w:rPr>
                          <w:t xml:space="preserve">Scissors</w:t>
                        </w:r>
                      </w:p>
                    </w:tc>
                    <w:tc>
                      <w:tcPr/>
                      <w:p>
                        <w:pPr>
                          <w:pStyle w:val="Compact"/>
                          <w:jc w:val="center"/>
                          <w:jc w:val="center"/>
                          <w:jc w:val="left"/>
                        </w:pPr>
                        <w:r>
                          <w:t xml:space="preserve">-1,1+</w:t>
                        </w:r>
                        <w:r>
                          <w:rPr>
                            <w:iCs/>
                            <w:i/>
                          </w:rPr>
                          <w:t xml:space="preserve">c</w:t>
                        </w:r>
                      </w:p>
                    </w:tc>
                    <w:tc>
                      <w:tcPr/>
                      <w:p>
                        <w:pPr>
                          <w:pStyle w:val="Compact"/>
                          <w:jc w:val="center"/>
                          <w:jc w:val="center"/>
                          <w:jc w:val="left"/>
                        </w:pPr>
                        <w:r>
                          <w:t xml:space="preserve">1,-1</w:t>
                        </w:r>
                      </w:p>
                    </w:tc>
                    <w:tc>
                      <w:tcPr/>
                      <w:p>
                        <w:pPr>
                          <w:pStyle w:val="Compact"/>
                          <w:jc w:val="center"/>
                          <w:jc w:val="center"/>
                          <w:jc w:val="left"/>
                        </w:pPr>
                        <w:r>
                          <w:t xml:space="preserve">0,0</w:t>
                        </w:r>
                      </w:p>
                    </w:tc>
                  </w:tr>
                </w:tbl>
                <w:bookmarkEnd w:id="69"/>
                <w:p/>
              </w:tc>
            </w:tr>
          </w:tbl>
          <w:p/>
        </w:tc>
      </w:tr>
    </w:tbl>
    <w:p>
      <w:pPr>
        <w:pStyle w:val="BodyText"/>
      </w:pPr>
      <w:pPr>
        <w:spacing w:before="200"/>
        <w:pStyle w:val="ImageCaption"/>
      </w:pPr>
      <w:r>
        <w:t xml:space="preserve">Table 2.2: Two versions of Rock-Paper-Scissors</w:t>
      </w:r>
    </w:p>
    <w:bookmarkEnd w:id="70"/>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71"/>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point of decision theory is not to advise people on what to do in Rock-Paper-Scissors, or in Salesman. In each case, it would give bad advice. Really you should try to read your opponent’s body shape for clues in Rock-Paper-Scissors, and find some good software in Salesman. You won’t find either of those bits of advice in a game theory, or decision theory, text. Rather, the point is be part of explanations like why there was such a large discount on used cars in the 20th century, and why the bystander’s gambit won’t work in my modified version of Rock-Paper-Scissors. David Lewis gives a similar account of the purpose of decision theory in a letter to Hugh Mellor. The context of the letter, like the context of this section, is a discussion of why idealisations are useful in decision theory. Lewis writes,</w:t>
      </w:r>
    </w:p>
    <w:p>
      <w:pPr>
        <w:pStyle w:val="BlockText"/>
      </w:pPr>
      <w:r>
        <w:t xml:space="preserve">We’re describing (one aspect of) what an ideally rational agent would do, and remarking that somehow we manage to approximate this, and perhaps – I’d play this down – advising people to approximate it a bit better if they can.</w:t>
      </w:r>
      <w:r>
        <w:t xml:space="preserve"> </w:t>
      </w:r>
      <w:r>
        <w:t xml:space="preserve">(Lewis 2020a, 432)</w:t>
      </w:r>
    </w:p>
    <w:bookmarkEnd w:id="72"/>
    <w:bookmarkStart w:id="74" w:name="sec-why-this-ideal"/>
    <w:p>
      <w:pPr>
        <w:pStyle w:val="Heading2"/>
      </w:pPr>
      <w:r>
        <w:t xml:space="preserve">2.3 Why This Idealisation</w:t>
      </w:r>
    </w:p>
    <w:p>
      <w:pPr>
        <w:pStyle w:val="FirstParagraph"/>
      </w:pPr>
      <w:r>
        <w:t xml:space="preserve">Still, there are a lot of ways to idealise away from the details of individual humans. Why do we delete the differences from rationality, and not the differences from full-informedness, or the differences from something that lacks normative significance? One simple answer is that people have used this idealisation and it has (to some extent) worked. But there is a little more to say.</w:t>
      </w:r>
    </w:p>
    <w:p>
      <w:pPr>
        <w:pStyle w:val="BodyText"/>
      </w:pPr>
      <w:r>
        <w:t xml:space="preserve">Take some generalisation about human choosers that isn’t particularly rational, is true in most but not all cases, and which it would simplify our description of various cases to say it holds in all cases. Why don’t we use the idealisation that says it does in fact hold in all cases? The answer here depends a bit on the</w:t>
      </w:r>
      <w:r>
        <w:t xml:space="preserve"> </w:t>
      </w:r>
      <w:r>
        <w:t xml:space="preserve">‘</w:t>
      </w:r>
      <w:r>
        <w:t xml:space="preserve">we</w:t>
      </w:r>
      <w:r>
        <w:t xml:space="preserve">’</w:t>
      </w:r>
      <w:r>
        <w:t xml:space="preserve">. Some generalisations about less than ideally rational behavior are useful in empirical studies of consumer choice.</w:t>
      </w:r>
      <w:r>
        <w:rPr>
          <w:rStyle w:val="FootnoteReference"/>
        </w:rPr>
        <w:footnoteReference w:id="73"/>
      </w:r>
      <w:r>
        <w:t xml:space="preserve"> </w:t>
      </w:r>
      <w:r>
        <w:t xml:space="preserve">But there is a reason that philosophers and more theoretical economists have focussed on rational idealisations. The thought is that a lot of deviations from rationality are short-cuts that are sensible to use when the stakes are low. But in high-stakes situations, humans will more closely approximate ideally rational agents. (This might be coupled with the suggestion that over time they will do this better, simply because the ones who more closely approximate the rational choice will increase their market share.) And getting correct predictions and explanations in high-stakes cases might be particularly important in understanding society and the economy. So while non-rational idealisations might be crucially important in understanding store design (e.g., why supermarkets have produce at the entrance), rational idealisations are needed for understanding the nature of stock markets and business investment.</w:t>
      </w:r>
    </w:p>
    <w:p>
      <w:pPr>
        <w:pStyle w:val="BodyText"/>
      </w:pPr>
      <w:r>
        <w:t xml:space="preserve">That reasoning looks like it might over-generate. In high-stakes cases, people are not only more careful with their decision making process, they are more careful about acquiring information before they decide. If our focus is high-stakes decision making, and I think it has to be to motivate rational idealisations, why don’t we also abstract away from informational limitations of the deciders? After all, the decider will try to remove those limitations before deciding in these high-stakes cases. The answer is that in some cases, and these are the cases that decision theory is most useful in explaining, there are in principle reasons why the decider can’t do anything about certain informational limitations. The information might be a fact about the result of a chance-like process that is unknowable either in principle, or in any practical way. Or there might be someone else who has just as much incentive to keep the information hidden as the decider has to seek it out. The latter is what happens when someone is selling a lemon, for example. I don’t have anything like a proof of this, but I suspect that most uses of game theory or decision theory to explain real-world phenomena will fall into one or other of these categories: there are relevant facts that the decider can’t know, either because they have to decide before decisive evidence is revealed, or because someone just as well resourced as them is determined to prevent them getting the information.</w:t>
      </w:r>
    </w:p>
    <w:bookmarkEnd w:id="74"/>
    <w:bookmarkStart w:id="78" w:name="sec-ideal-bonus"/>
    <w:p>
      <w:pPr>
        <w:pStyle w:val="Heading2"/>
      </w:pPr>
      <w:r>
        <w:t xml:space="preserve">2.4 Two Bonus Uses</w:t>
      </w:r>
    </w:p>
    <w:p>
      <w:pPr>
        <w:pStyle w:val="FirstParagraph"/>
      </w:pPr>
      <w:r>
        <w:t xml:space="preserve">There are two other advantages to using the particular idealisation that game theorists and decision theorists have settled on, i.e., idealise away from computational but not informational limitations. The first can be seen from this famous quote from Frank Knight, an early proponent of the view of idealisations in decision theory that I’m endorsing here.</w:t>
      </w:r>
    </w:p>
    <w:p>
      <w:pPr>
        <w:pStyle w:val="BlockText"/>
      </w:pPr>
      <w:r>
        <w:t xml:space="preserve">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The applicability of the general</w:t>
      </w:r>
      <w:r>
        <w:t xml:space="preserve"> </w:t>
      </w:r>
      <w:r>
        <w:t xml:space="preserve">“</w:t>
      </w:r>
      <w:r>
        <w:t xml:space="preserve">theory</w:t>
      </w:r>
      <w:r>
        <w:t xml:space="preserve">”</w:t>
      </w:r>
      <w:r>
        <w:t xml:space="preserve"> </w:t>
      </w:r>
      <w:r>
        <w:t xml:space="preserve">of conduct to a particular individual in a particular case is likely to give results bordering on the grotesque, but</w:t>
      </w:r>
      <w:r>
        <w:t xml:space="preserve"> </w:t>
      </w:r>
      <w:r>
        <w:rPr>
          <w:iCs/>
          <w:i/>
        </w:rPr>
        <w:t xml:space="preserve">en masse</w:t>
      </w:r>
      <w:r>
        <w:t xml:space="preserve"> </w:t>
      </w:r>
      <w:r>
        <w:t xml:space="preserve">and in the long run it is not so. The</w:t>
      </w:r>
      <w:r>
        <w:t xml:space="preserve"> </w:t>
      </w:r>
      <w:r>
        <w:rPr>
          <w:iCs/>
          <w:i/>
        </w:rPr>
        <w:t xml:space="preserve">market</w:t>
      </w:r>
      <w:r>
        <w:t xml:space="preserve"> </w:t>
      </w:r>
      <w:r>
        <w:t xml:space="preserve">behaves</w:t>
      </w:r>
      <w:r>
        <w:t xml:space="preserve"> </w:t>
      </w:r>
      <w:r>
        <w:rPr>
          <w:iCs/>
          <w:i/>
        </w:rPr>
        <w:t xml:space="preserve">as if</w:t>
      </w:r>
      <w:r>
        <w:t xml:space="preserve"> </w:t>
      </w:r>
      <w:r>
        <w:t xml:space="preserve">men were wont to calculate with the utmost precision in making their choices. We live largely, of necessity, by rule and blindly; but the results approximate rationality fairly well on an average.</w:t>
      </w:r>
      <w:r>
        <w:t xml:space="preserve"> </w:t>
      </w:r>
      <w:r>
        <w:t xml:space="preserve">(Knight 1921, 67n1)</w:t>
      </w:r>
    </w:p>
    <w:p>
      <w:pPr>
        <w:pStyle w:val="FirstParagraph"/>
      </w:pPr>
      <w:r>
        <w:t xml:space="preserve">I don’t agree with everything Knight says here; I think he’s much too quick to assume that deviations from rationality will</w:t>
      </w:r>
      <w:r>
        <w:t xml:space="preserve"> </w:t>
      </w:r>
      <w:r>
        <w:t xml:space="preserve">“</w:t>
      </w:r>
      <w:r>
        <w:t xml:space="preserve">offset</w:t>
      </w:r>
      <w:r>
        <w:t xml:space="preserve">”</w:t>
      </w:r>
      <w:r>
        <w:t xml:space="preserve">.</w:t>
      </w:r>
      <w:r>
        <w:rPr>
          <w:rStyle w:val="FootnoteReference"/>
        </w:rPr>
        <w:footnoteReference w:id="75"/>
      </w:r>
      <w:r>
        <w:t xml:space="preserve"> </w:t>
      </w:r>
      <w:r>
        <w:t xml:space="preserve">But that’s something to be worked out on a case-by-case basis. We should not presuppose in advance either that the imperfections be irrelevant or that they will be decisive.</w:t>
      </w:r>
    </w:p>
    <w:p>
      <w:pPr>
        <w:pStyle w:val="BodyText"/>
      </w:pPr>
      <w:r>
        <w:t xml:space="preserve">Despite that, I quoted Knight here because there is an important point to I do agree with. If we don’t act by first drawing Marshallian curves and solving optimisation problems, how do we act? As Knight says, we typically act</w:t>
      </w:r>
      <w:r>
        <w:t xml:space="preserve"> </w:t>
      </w:r>
      <w:r>
        <w:t xml:space="preserve">“</w:t>
      </w:r>
      <w:r>
        <w:t xml:space="preserve">by rule</w:t>
      </w:r>
      <w:r>
        <w:t xml:space="preserve">”</w:t>
      </w:r>
      <w:r>
        <w:t xml:space="preserve">. Our lives are governed, on day-by-day, minute-by-minute basis, by a series of rules we have internalised for how to act in various situations. The rules will typically have some kind of hierarchical structure - do this in this situation unless a particular exception arises, in which case do this other thing, unless of course a further exception arises, in which case, and so on. And the benefit of adopting rules with this structure is that they, typically, produce a good trade off between results and cognitive effort.</w:t>
      </w:r>
    </w:p>
    <w:p>
      <w:pPr>
        <w:pStyle w:val="BodyText"/>
      </w:pPr>
      <w:r>
        <w:t xml:space="preserve">One useful role for idealised decision theory is in the testing and generation of these rules. We don’t expect people who have to make split-second decisions to calculate expected utilities. But we can expect them to learn some simple heuristics, and we can expect theorists to use ideal decision theory to test whether those heuristics are right, or whether some other simple heuristic would be better. This kind of approach is very useful in sports, where athletes have to make decisions very fast, and there is enough repetition for theorists to calculate expected utilities with some precision. But it can be used in other parts of life, and it is a useful role for idealised decision theory alongside its roles in prediction and explanation.</w:t>
      </w:r>
    </w:p>
    <w:p>
      <w:pPr>
        <w:pStyle w:val="BodyText"/>
      </w:pPr>
      <w:r>
        <w:t xml:space="preserve">The other benefit of idealised decision theory is that it has turned out to be theoretically fruitful. This has included fruits that I, at least, would never have expected. It turns out that sometimes one gets a powerful kind of explanation from very carefully working out the ideal theory, and then relaxing one of the components of the idealisation. At a very high level of abstraction, that’s what happened with the Eyster and Rabin’s development of the notion of cursed equilibrium</w:t>
      </w:r>
      <w:r>
        <w:t xml:space="preserve"> </w:t>
      </w:r>
      <w:r>
        <w:t xml:space="preserve">(Eyster and Rabin 2005)</w:t>
      </w:r>
      <w:r>
        <w:t xml:space="preserve">. The explanations they give for certain kinds of behavior in auctions are completely different from anything I’d have expected, but they seem to do empirically fairly well.</w:t>
      </w:r>
      <w:r>
        <w:rPr>
          <w:rStyle w:val="FootnoteReference"/>
        </w:rPr>
        <w:footnoteReference w:id="76"/>
      </w:r>
      <w:r>
        <w:t xml:space="preserve"> </w:t>
      </w:r>
      <w:r>
        <w:t xml:space="preserve">Their models have people acting as if they have solved very complex equations, but have ignored simple facts, notably that other people may know more than they do. A priori, this is not very plausible. But if it fits the data, and it seems to, it is worth taking seriously. And while it was logically possible to develop a model like cursed equilibrium without first developing an ideal model and then relaxing it, that’s not in fact how it was developed. In fact the development of certain kinds of ideal models</w:t>
      </w:r>
      <w:r>
        <w:rPr>
          <w:rStyle w:val="FootnoteReference"/>
        </w:rPr>
        <w:footnoteReference w:id="77"/>
      </w:r>
      <w:r>
        <w:t xml:space="preserve"> </w:t>
      </w:r>
      <w:r>
        <w:t xml:space="preserve">was theoretically fruitful in the understanding of very non-ideal behavior.</w:t>
      </w:r>
    </w:p>
    <w:bookmarkEnd w:id="78"/>
    <w:bookmarkStart w:id="79" w:name="sec-ideal-summary"/>
    <w:p>
      <w:pPr>
        <w:pStyle w:val="Heading2"/>
      </w:pPr>
      <w:r>
        <w:t xml:space="preserve">2.5 Summary</w:t>
      </w:r>
    </w:p>
    <w:p>
      <w:pPr>
        <w:pStyle w:val="FirstParagraph"/>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or the upsides of an alternative, does not reduce the utility of ultimately taking that option, as it does for many humans. They know what options they can perform, and what options they can’t perform, and they know they’ll have that knowledge whatever choices they face. I’ll argue in</w:t>
      </w:r>
      <w:r>
        <w:t xml:space="preserve"> </w:t>
      </w:r>
      <w:hyperlink w:anchor="sec-mixed">
        <w:r>
          <w:rPr>
            <w:rStyle w:val="Hyperlink"/>
          </w:rPr>
          <w:t xml:space="preserve">Chapter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79"/>
    <w:bookmarkEnd w:id="80"/>
    <w:bookmarkStart w:id="90"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 The strange split is that these two literatures have almost nothing in common.</w:t>
      </w:r>
      <w:r>
        <w:rPr>
          <w:rStyle w:val="FootnoteReference"/>
        </w:rPr>
        <w:footnoteReference w:id="81"/>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And say that an abnormal decision problem is simply one that isn’t normal. A simple example is where the states are predictions of an arbitrarily accurate predictor.</w:t>
      </w:r>
    </w:p>
    <w:p>
      <w:pPr>
        <w:pStyle w:val="BodyText"/>
      </w:pPr>
      <w:r>
        <w:t xml:space="preserve">The view I call expectationism has two parts. First, it says that in normal decision problems, the rational agent maximises the expected value of something like the value of their action. So if the states are H and T, the expected value of a choice X is V(XH)Pr(H) + V(XT)Pr(T), and the expectationist says to choose the choice with the highest expected value.</w:t>
      </w:r>
      <w:r>
        <w:rPr>
          <w:rStyle w:val="FootnoteReference"/>
        </w:rPr>
        <w:footnoteReference w:id="82"/>
      </w:r>
      <w:r>
        <w:t xml:space="preserve"> </w:t>
      </w:r>
      <w:r>
        <w:t xml:space="preserve">Second, it says that something like this expected value plays an important role in the theory of abnormal decision problems. What’s an important role is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I go over the details of this in</w:t>
      </w:r>
      <w:r>
        <w:t xml:space="preserve"> </w:t>
      </w:r>
      <w:hyperlink w:anchor="sec-buchak">
        <w:r>
          <w:rPr>
            <w:rStyle w:val="Hyperlink"/>
          </w:rPr>
          <w:t xml:space="preserve">Appendix E</w:t>
        </w:r>
      </w:hyperlink>
      <w:r>
        <w:t xml:space="preserve">. The other reason is dialectical.</w:t>
      </w:r>
    </w:p>
    <w:p>
      <w:pPr>
        <w:pStyle w:val="BodyText"/>
      </w:pPr>
      <w:r>
        <w:t xml:space="preserve">Expectationism does a surprisingly bad job at matching untutored intuition about cases. In some important sense, it says that risk-aversion is irrational.</w:t>
      </w:r>
      <w:r>
        <w:rPr>
          <w:rStyle w:val="FootnoteReference"/>
        </w:rPr>
        <w:footnoteReference w:id="83"/>
      </w:r>
      <w:r>
        <w:t xml:space="preserve"> </w:t>
      </w:r>
      <w:r>
        <w:t xml:space="preserve">But intuition says that risk-aversion is rational. To be sure, expectationism does have things to say here. There is something like risk-aversion which makes sense given the declining marginal utility of money.</w:t>
      </w:r>
      <w:r>
        <w:rPr>
          <w:rStyle w:val="FootnoteReference"/>
        </w:rPr>
        <w:footnoteReference w:id="84"/>
      </w:r>
      <w:r>
        <w:t xml:space="preserve"> </w:t>
      </w:r>
      <w:r>
        <w:t xml:space="preserve">And, I think, expectationism can explain why risk-aversion seems rational to people who primarily think about bets in terms of goods with declining marginal value. But still, the expectationist is playing defence here. It seems intuitively like risk-aversion is rational, and as</w:t>
      </w:r>
      <w:r>
        <w:t xml:space="preserve"> </w:t>
      </w:r>
      <w:r>
        <w:t xml:space="preserve">Allais (1953)</w:t>
      </w:r>
      <w:r>
        <w:t xml:space="preserve"> </w:t>
      </w:r>
      <w:r>
        <w:t xml:space="preserve">showed, this implies that expectationism says unintuitive things about some fairly simple cases.</w:t>
      </w:r>
    </w:p>
    <w:p>
      <w:pPr>
        <w:pStyle w:val="BodyText"/>
      </w:pPr>
      <w:r>
        <w:t xml:space="preserve">Given that, it is surprising how many expectationists rely on intuitions about cases when assessing the merits of different theories of decision in abnormal cases. It often seems, when reading this part of the literature, that philosophical decision theorists endorse the following argument schema.</w:t>
      </w:r>
    </w:p>
    <w:p>
      <w:pPr>
        <w:numPr>
          <w:ilvl w:val="0"/>
          <w:numId w:val="1005"/>
        </w:numPr>
        <w:pStyle w:val="Compact"/>
      </w:pPr>
      <w:r>
        <w:t xml:space="preserve">The correct decision theory is the one that best tracks intuitions about cases.</w:t>
      </w:r>
    </w:p>
    <w:p>
      <w:pPr>
        <w:numPr>
          <w:ilvl w:val="0"/>
          <w:numId w:val="1005"/>
        </w:numPr>
        <w:pStyle w:val="Compact"/>
      </w:pPr>
      <w:r>
        <w:t xml:space="preserve">The decision theory that best tracks intuitions about cases is T (the preferred theory of the person making the argument).</w:t>
      </w:r>
    </w:p>
    <w:p>
      <w:pPr>
        <w:numPr>
          <w:ilvl w:val="0"/>
          <w:numId w:val="1005"/>
        </w:numPr>
        <w:pStyle w:val="Compact"/>
      </w:pPr>
      <w:r>
        <w:t xml:space="preserve">Therefore, the correct decision theory is T.</w:t>
      </w:r>
    </w:p>
    <w:p>
      <w:pPr>
        <w:pStyle w:val="FirstParagraph"/>
      </w:pPr>
      <w:r>
        <w:t xml:space="preserve">If the philosopher is an expectationist, they can’t really endorse this argument. Premise 2 can’t possibly be true. No matter how well theory theory does at tracking intuitions about abnormal cases, a modified version of their theory that allows for risk-aversion will do an even better job, especially when normal cases are considered. And for that reason, they can’t really believe premise 1. After all, if premise 1 is true, then the correct decision theory for normal decision problems is not expectationist.</w:t>
      </w:r>
    </w:p>
    <w:p>
      <w:pPr>
        <w:pStyle w:val="BodyText"/>
      </w:pPr>
      <w:r>
        <w:t xml:space="preserve">So this means that arguments like this one should not be used in decision theory. Of course, we can’t entirely depart from intuitions about cases. If our theory disagrees too much with common sense it starts becoming a theory of something else</w:t>
      </w:r>
      <w:r>
        <w:t xml:space="preserve"> </w:t>
      </w:r>
      <w:r>
        <w:t xml:space="preserve">(Jackson 1998, Ch. 2)</w:t>
      </w:r>
      <w:r>
        <w:t xml:space="preserve">. The role of intuitions is like the drawing on a wanted poster. It’s not true that the criminal is the person who best resembles the drawing, but you should be very sceptical of a theory that the criminal looks nothing at all like the poster. Still, you should also be sceptical of a theory that the criminal is someone who lacks what we thought were necessary skills for committing the crime, even if the person who most resembles the poster lacks those skills. One aim of this book is to develop several plausible preconditions on a good theory of decision, most importantly the Single Choice Principle of</w:t>
      </w:r>
      <w:r>
        <w:t xml:space="preserve"> </w:t>
      </w:r>
      <w:hyperlink w:anchor="sec-indecisive">
        <w:r>
          <w:rPr>
            <w:rStyle w:val="Hyperlink"/>
          </w:rPr>
          <w:t xml:space="preserve">Chapter 8</w:t>
        </w:r>
      </w:hyperlink>
      <w:r>
        <w:t xml:space="preserve">, and argue that only GDT (or something like it) satisfies those preconditions. That’s more philosophically significant than whether GDT best tracks intuitions about cases.</w:t>
      </w:r>
    </w:p>
    <w:p>
      <w:pPr>
        <w:pStyle w:val="BodyText"/>
      </w:pPr>
      <w:r>
        <w:t xml:space="preserve">If expectationism does not maximise agreement with intuition, why is it so popular? It is because there are several plausible principles that are consistent with expectationism, but which are not consistent with the best alternative, namely the Quiggin-Buchak theory. These include</w:t>
      </w:r>
      <w:r>
        <w:rPr>
          <w:rStyle w:val="FootnoteReference"/>
        </w:rPr>
        <w:footnoteReference w:id="85"/>
      </w:r>
      <w:r>
        <w:t xml:space="preserve">:</w:t>
      </w:r>
    </w:p>
    <w:p>
      <w:pPr>
        <w:pStyle w:val="DefinitionTerm"/>
      </w:pPr>
      <w:r>
        <w:t xml:space="preserve">News is Valuable</w:t>
      </w:r>
    </w:p>
    <w:p>
      <w:pPr>
        <w:pStyle w:val="Definition"/>
      </w:pPr>
      <w:r>
        <w:t xml:space="preserve">It is never worse to have more information before making a decision, and it is typically better to have more information.</w:t>
      </w:r>
    </w:p>
    <w:p>
      <w:pPr>
        <w:pStyle w:val="DefinitionTerm"/>
      </w:pPr>
      <w:r>
        <w:t xml:space="preserve">Sure Thing</w:t>
      </w:r>
    </w:p>
    <w:p>
      <w:pPr>
        <w:pStyle w:val="Definition"/>
      </w:pPr>
      <w:r>
        <w:t xml:space="preserve">If A is better than B conditional on</w:t>
      </w:r>
      <w:r>
        <w:t xml:space="preserve"> </w:t>
      </w:r>
      <w:r>
        <w:rPr>
          <w:iCs/>
          <w:i/>
        </w:rPr>
        <w:t xml:space="preserve">p</w:t>
      </w:r>
      <w:r>
        <w:t xml:space="preserve"> </w:t>
      </w:r>
      <w:r>
        <w:t xml:space="preserve">being true, and A is better than B conditional on</w:t>
      </w:r>
      <w:r>
        <w:t xml:space="preserve"> </w:t>
      </w:r>
      <w:r>
        <w:rPr>
          <w:iCs/>
          <w:i/>
        </w:rPr>
        <w:t xml:space="preserve">p</w:t>
      </w:r>
      <w:r>
        <w:t xml:space="preserve"> </w:t>
      </w:r>
      <w:r>
        <w:t xml:space="preserve">being false, then A is better than B.</w:t>
      </w:r>
    </w:p>
    <w:p>
      <w:pPr>
        <w:pStyle w:val="DefinitionTerm"/>
      </w:pPr>
      <w:r>
        <w:t xml:space="preserve">Substitution of Indifferents</w:t>
      </w:r>
    </w:p>
    <w:p>
      <w:pPr>
        <w:pStyle w:val="Definition"/>
      </w:pPr>
      <w:r>
        <w:t xml:space="preserve">If Chooser is indifferent between A and B, then Chooser should be indifferent between any two gambles that have the same payouts in all but one possibility, and in that possibility one of them returns A, and the other returns B.</w:t>
      </w:r>
    </w:p>
    <w:p>
      <w:pPr>
        <w:pStyle w:val="DefinitionTerm"/>
      </w:pPr>
      <w:r>
        <w:t xml:space="preserve">Single Choice Principle</w:t>
      </w:r>
    </w:p>
    <w:p>
      <w:pPr>
        <w:pStyle w:val="Definition"/>
      </w:pPr>
      <w:r>
        <w:t xml:space="preserve">If in a dynamic choice situation, there is only one possible point where Chooser has to make a choice, the same options are permissible choices for Chooser whether they are choosing at that point, or at any earlier point in the tree.</w:t>
      </w:r>
    </w:p>
    <w:p>
      <w:pPr>
        <w:pStyle w:val="FirstParagraph"/>
      </w:pPr>
      <w:r>
        <w:t xml:space="preserve">These four principles suggest four arguments for expectationism. First, argue that either expectationism is true, or the Quiggin-Buchak theory is true. Second, argue that one of these principles is a plausible second premise. Then conclude, since the principle rules out the Quiggin-Buchak theory, that expectationism must be true.</w:t>
      </w:r>
    </w:p>
    <w:p>
      <w:pPr>
        <w:pStyle w:val="BodyText"/>
      </w:pPr>
      <w:r>
        <w:t xml:space="preserve">It’s certainly not a requirement of any expectationist that they endorse all four of these arguments. It isn’t even a requirement that they endorse any of these four; they could have some other argument. But since expectationism is not the intuitive theory, it is a requirement that they endorse some argument or other, probably something like one of these, to the conclusion that expectationism is true.</w:t>
      </w:r>
    </w:p>
    <w:p>
      <w:pPr>
        <w:pStyle w:val="BodyText"/>
      </w:pPr>
      <w:r>
        <w:t xml:space="preserve">This is harder than it looks. EDT, for example, rejects both News is Valuable and Sure Thing in Newcomb’s Problem. The news about what Demon has predicted is not, according to EDT, valuable. If Chooser learns what Demon predicted, they will (rationally) choose B, and get, in expectation, a worse return than if they had not learned this and chosen A. And choosing B is preferable conditional on either the Demon predicting, or not predicting, that Chooser will choose A. But A is preferable overall.</w:t>
      </w:r>
    </w:p>
    <w:p>
      <w:pPr>
        <w:pStyle w:val="BodyText"/>
      </w:pPr>
      <w:r>
        <w:t xml:space="preserve">That said, it’s not like all versions of CDT endorse these principles either. There are a lot of intuitive counterexamples to News is Valuable. It’s good to avoid spoilers for movies or football matches. In asymmetric coordination games (such as</w:t>
      </w:r>
      <w:r>
        <w:t xml:space="preserve"> </w:t>
      </w:r>
      <w:hyperlink w:anchor="tbl-bach-stravinsky">
        <w:r>
          <w:rPr>
            <w:rStyle w:val="Hyperlink"/>
          </w:rPr>
          <w:t xml:space="preserve">Table A.9</w:t>
        </w:r>
      </w:hyperlink>
      <w:r>
        <w:t xml:space="preserve"> </w:t>
      </w:r>
      <w:r>
        <w:t xml:space="preserve">in</w:t>
      </w:r>
      <w:r>
        <w:t xml:space="preserve"> </w:t>
      </w:r>
      <w:hyperlink w:anchor="sec-gad">
        <w:r>
          <w:rPr>
            <w:rStyle w:val="Hyperlink"/>
          </w:rPr>
          <w:t xml:space="preserve">Appendix A</w:t>
        </w:r>
      </w:hyperlink>
      <w:r>
        <w:t xml:space="preserve">), it’s bad to have it be conventional wisdom that you know what the other person will do. You’re sure not to get the best result that way.</w:t>
      </w:r>
      <w:r>
        <w:t xml:space="preserve"> </w:t>
      </w:r>
      <w:r>
        <w:t xml:space="preserve">Das (2023)</w:t>
      </w:r>
      <w:r>
        <w:t xml:space="preserve"> </w:t>
      </w:r>
      <w:r>
        <w:t xml:space="preserve">argues that even given expectationism, the argument for News is Valuable fails on externalist conceptions of evidence. There is more to say about each of these cases, but the problems for News is Valuable are substantial enough that it doesn’t seem like a good premise in an argument against a decision theory.</w:t>
      </w:r>
    </w:p>
    <w:p>
      <w:pPr>
        <w:pStyle w:val="BodyText"/>
      </w:pPr>
      <w:r>
        <w:t xml:space="preserve">And, perhaps more surprisingly, there are versions of CDT that reject Sure Thing. Dmitri</w:t>
      </w:r>
      <w:r>
        <w:t xml:space="preserve"> </w:t>
      </w:r>
      <w:r>
        <w:t xml:space="preserve">Gallow (n.d.)</w:t>
      </w:r>
      <w:r>
        <w:t xml:space="preserve"> </w:t>
      </w:r>
      <w:r>
        <w:t xml:space="preserve">argues that any version of CDT which is</w:t>
      </w:r>
      <w:r>
        <w:t xml:space="preserve"> </w:t>
      </w:r>
      <w:r>
        <w:t xml:space="preserve">‘</w:t>
      </w:r>
      <w:r>
        <w:t xml:space="preserve">stable</w:t>
      </w:r>
      <w:r>
        <w:t xml:space="preserve">’</w:t>
      </w:r>
      <w:r>
        <w:t xml:space="preserve"> </w:t>
      </w:r>
      <w:r>
        <w:t xml:space="preserve">in his sense will reject it. I suspect the argument he gives can generalise to some theories that are not stable in his sense as well. GDT avoids his argument only by the expedient of not offering a preference ordering over alternatives; it just says which choices are choice-worthy, not which choices should and should not be preferred to others.</w:t>
      </w:r>
      <w:r>
        <w:rPr>
          <w:rStyle w:val="FootnoteReference"/>
        </w:rPr>
        <w:footnoteReference w:id="86"/>
      </w:r>
      <w:r>
        <w:t xml:space="preserve"> </w:t>
      </w:r>
      <w:r>
        <w:t xml:space="preserve">So Sure Thing doesn’t look like a safe starting point either, even if something like it might turn out to be true.</w:t>
      </w:r>
    </w:p>
    <w:p>
      <w:pPr>
        <w:pStyle w:val="BodyText"/>
      </w:pPr>
      <w:r>
        <w:t xml:space="preserve">Still, it isn’t a requirement that an expectationist theory endorse all of these principles. What is required is that they endorse some good argument for expectationism. And, once they’ve endorsed it, they endorse it consistently when they start discussing abnormal problems involving demons. Moreover, they can’t endorse any argument about demons that would imply, if endorsed consistently, that expectationism itself is false.</w:t>
      </w:r>
    </w:p>
    <w:p>
      <w:pPr>
        <w:pStyle w:val="BodyText"/>
      </w:pPr>
      <w:r>
        <w:t xml:space="preserve">I think the best option for most philosophical decision theorists is to endorse something like Substitution of Indifferents. That’s the only plausible principle I can see that is consistent with most theories philosophers have offered for dealing with Newcomb-like cases, and which implies expectationism. In particular, it’s the onlyprinciple that’s consistent with</w:t>
      </w:r>
      <w:r>
        <w:t xml:space="preserve"> </w:t>
      </w:r>
      <w:r>
        <w:rPr>
          <w:iCs/>
          <w:i/>
        </w:rPr>
        <w:t xml:space="preserve">Evidential</w:t>
      </w:r>
      <w:r>
        <w:t xml:space="preserve"> </w:t>
      </w:r>
      <w:r>
        <w:t xml:space="preserve">Decision Theory (EDT), is plausible, and implies expectationism, so evidential decision theorists should definitely endorse it. That’s not to say I’m endorsing EDT; I’m just saying that the defender of EDT also needs to offer a defence of expectationism, and I think one starting with Substitution of Indifferents is their only good option.</w:t>
      </w:r>
    </w:p>
    <w:p>
      <w:pPr>
        <w:pStyle w:val="BodyText"/>
      </w:pPr>
      <w:r>
        <w:t xml:space="preserve">Expectationism has a big practical advantage; it lets us treat the payouts in a game table as expected values, not any kind of final value.</w:t>
      </w:r>
      <w:r>
        <w:rPr>
          <w:rStyle w:val="FootnoteReference"/>
        </w:rPr>
        <w:footnoteReference w:id="87"/>
      </w:r>
      <w:r>
        <w:t xml:space="preserve"> </w:t>
      </w:r>
      <w:r>
        <w:t xml:space="preserve">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88"/>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89"/>
      </w:r>
    </w:p>
    <w:p>
      <w:pPr>
        <w:pStyle w:val="BodyText"/>
      </w:pPr>
      <w:r>
        <w:t xml:space="preserve">So imagine we have a simple problem. Chooser must accept or decline a bet. If they decline the bet they get nothing. If they accept the bet they gain $1,000 if</w:t>
      </w:r>
      <w:r>
        <w:t xml:space="preserve"> </w:t>
      </w:r>
      <w:r>
        <w:rPr>
          <w:iCs/>
          <w:i/>
        </w:rPr>
        <w:t xml:space="preserve">p</w:t>
      </w:r>
      <w:r>
        <w:t xml:space="preserve"> </w:t>
      </w:r>
      <w:r>
        <w:t xml:space="preserve">is true, and lose $1,000 if</w:t>
      </w:r>
      <w:r>
        <w:t xml:space="preserve"> </w:t>
      </w:r>
      <w:r>
        <w:rPr>
          <w:iCs/>
          <w:i/>
        </w:rPr>
        <w:t xml:space="preserve">p</w:t>
      </w:r>
      <w:r>
        <w:t xml:space="preserve"> </w:t>
      </w:r>
      <w:r>
        <w:t xml:space="preserve">is false. According to the expectationist, this is a relatively easy problem. The theorist just needs to compare the marginal utility of gaining vs losing $1,000 with the probability of</w:t>
      </w:r>
      <w:r>
        <w:t xml:space="preserve"> </w:t>
      </w:r>
      <w:r>
        <w:rPr>
          <w:iCs/>
          <w:i/>
        </w:rPr>
        <w:t xml:space="preserve">p</w:t>
      </w:r>
      <w:r>
        <w:t xml:space="preserve">. But on non-expectationist theories, things are more complicated. On those theories, it doesn’t just matter how valuable the extra $1,000 is, it also matters how that value is composed. Chooser might act very differently if the value of an extra $1,000 is a sure small gain in future consumption, as opposed to a 1 in 2 chance of a larger gain of future consumption, and a 1 in 2 chance that inflation will make the money worthless. The point is not that Chooser could not in principle be worried about inflation when choosing what bets to make. It’s rather that the non-expectationist theorist can’t first look at Chooser’s inflation expectations, use those to work out the value of $1,000, and then plug that value into a decision on how to bet. Every decision is sensitive to every kind of uncertainty, in a way that makes the theory practically impossible to apply. Sometimes life is hard, and the right theory is just impossible to correctly apply. But it’s a reason to prefer trying to see whether an easier to apply theory, i.e., expectationism, is worth sticking with.</w:t>
      </w:r>
    </w:p>
    <w:bookmarkEnd w:id="90"/>
    <w:bookmarkStart w:id="109"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91"/>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92"/>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93"/>
      </w:r>
      <w:r>
        <w:t xml:space="preserve"> </w:t>
      </w:r>
      <w:r>
        <w:t xml:space="preserve">In the recent literature, I think there are three main kinds of problem that have been raised for CDT. First, it does badly in cases where there are no pure ratifiable strategies. Second, it gives strange results in cases involving betting on grand propositions about the past history of the world, or about the laws of nature. Third, it leaves its proponents will less money in Newcomb’s Problem than EDT does. In this chapter I’ll respond to each of these in turn.</w:t>
      </w:r>
    </w:p>
    <w:bookmarkStart w:id="100" w:name="sec-no-ratify"/>
    <w:p>
      <w:pPr>
        <w:pStyle w:val="Heading2"/>
      </w:pPr>
      <w:r>
        <w:t xml:space="preserve">4.1 No Ratifiable Choices</w:t>
      </w:r>
    </w:p>
    <w:p>
      <w:pPr>
        <w:pStyle w:val="FirstParagraph"/>
      </w:pPr>
      <w:r>
        <w:t xml:space="preserve">In some simple cases, neither of the options on the table look very good by the lights of GDT.</w:t>
      </w:r>
      <w:r>
        <w:t xml:space="preserve"> </w:t>
      </w:r>
      <w:hyperlink w:anchor="tbl-no-ratify-1">
        <w:r>
          <w:rPr>
            <w:rStyle w:val="Hyperlink"/>
          </w:rPr>
          <w:t xml:space="preserve">Table 4.1</w:t>
        </w:r>
      </w:hyperlink>
      <w:r>
        <w:t xml:space="preserve"> </w:t>
      </w:r>
      <w:r>
        <w:t xml:space="preserve">is an almost maximally simple case.</w:t>
      </w:r>
    </w:p>
    <w:tbl>
      <w:tblPr>
        <w:tblStyle w:val="Table"/>
        <w:tblW w:type="pct" w:w="5000"/>
        <w:tblLook w:firstRow="0" w:lastRow="0" w:firstColumn="0" w:lastColumn="0" w:noHBand="0" w:noVBand="0" w:val="0000"/>
        <w:jc w:val="start"/>
        <w:tblLayout w:type="fixed"/>
      </w:tblPr>
      <w:tblGrid>
        <w:gridCol w:w="7920"/>
      </w:tblGrid>
      <w:tr>
        <w:tc>
          <w:tcPr/>
          <w:bookmarkStart w:id="94" w:name="tbl-no-ratify-1"/>
          <w:p>
            <w:pPr>
              <w:jc w:val="center"/>
            </w:pPr>
            <w:pPr>
              <w:jc w:val="start"/>
              <w:spacing w:before="200"/>
              <w:pStyle w:val="ImageCaption"/>
            </w:pPr>
            <w:r>
              <w:t xml:space="preserve">Table 4.1: A problem with no ratifiable choice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100</w:t>
                  </w:r>
                </w:p>
              </w:tc>
            </w:tr>
            <w:tr>
              <w:tc>
                <w:tcPr/>
                <w:p>
                  <w:pPr>
                    <w:pStyle w:val="Compact"/>
                    <w:jc w:val="center"/>
                    <w:jc w:val="center"/>
                  </w:pPr>
                  <w:r>
                    <w:rPr>
                      <w:bCs/>
                      <w:b/>
                    </w:rPr>
                    <w:t xml:space="preserve">B</w:t>
                  </w:r>
                </w:p>
              </w:tc>
              <w:tc>
                <w:tcPr/>
                <w:p>
                  <w:pPr>
                    <w:pStyle w:val="Compact"/>
                    <w:jc w:val="center"/>
                    <w:jc w:val="center"/>
                  </w:pPr>
                  <w:r>
                    <w:t xml:space="preserve">100</w:t>
                  </w:r>
                </w:p>
              </w:tc>
              <w:tc>
                <w:tcPr/>
                <w:p>
                  <w:pPr>
                    <w:pStyle w:val="Compact"/>
                    <w:jc w:val="center"/>
                    <w:jc w:val="center"/>
                  </w:pPr>
                  <w:r>
                    <w:t xml:space="preserve">0</w:t>
                  </w:r>
                </w:p>
              </w:tc>
            </w:tr>
          </w:tbl>
          <w:bookmarkEnd w:id="94"/>
          <w:p/>
        </w:tc>
      </w:tr>
    </w:tbl>
    <w:p>
      <w:pPr>
        <w:pStyle w:val="BodyText"/>
      </w:pPr>
      <w:r>
        <w:t xml:space="preserve">Everyone agrees that there is nothing to choose between the options here.</w:t>
      </w:r>
      <w:r>
        <w:rPr>
          <w:rStyle w:val="FootnoteReference"/>
        </w:rPr>
        <w:footnoteReference w:id="95"/>
      </w:r>
      <w:r>
        <w:t xml:space="preserve"> </w:t>
      </w:r>
      <w:r>
        <w:t xml:space="preserve">Things get complicated when A gets somewhat sweetened, say by adding 99 to the payouts if Chooser selects A, resulting in</w:t>
      </w:r>
      <w:r>
        <w:t xml:space="preserve"> </w:t>
      </w:r>
      <w:hyperlink w:anchor="tbl-no-ratify-2">
        <w:r>
          <w:rPr>
            <w:rStyle w:val="Hyperlink"/>
          </w:rPr>
          <w:t xml:space="preserve">Table 4.2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96" w:name="tbl-no-ratify-2"/>
          <w:p>
            <w:pPr>
              <w:jc w:val="center"/>
            </w:pPr>
            <w:pPr>
              <w:jc w:val="start"/>
              <w:spacing w:before="200"/>
              <w:pStyle w:val="ImageCaption"/>
            </w:pPr>
            <w:r>
              <w:t xml:space="preserve">Table 4.2: An asymmetric problem with no ratifiable choice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99</w:t>
                  </w:r>
                </w:p>
              </w:tc>
              <w:tc>
                <w:tcPr/>
                <w:p>
                  <w:pPr>
                    <w:pStyle w:val="Compact"/>
                    <w:jc w:val="center"/>
                    <w:jc w:val="center"/>
                  </w:pPr>
                  <w:r>
                    <w:t xml:space="preserve">199</w:t>
                  </w:r>
                </w:p>
              </w:tc>
            </w:tr>
            <w:tr>
              <w:tc>
                <w:tcPr/>
                <w:p>
                  <w:pPr>
                    <w:pStyle w:val="Compact"/>
                    <w:jc w:val="center"/>
                    <w:jc w:val="center"/>
                  </w:pPr>
                  <w:r>
                    <w:rPr>
                      <w:bCs/>
                      <w:b/>
                    </w:rPr>
                    <w:t xml:space="preserve">B</w:t>
                  </w:r>
                </w:p>
              </w:tc>
              <w:tc>
                <w:tcPr/>
                <w:p>
                  <w:pPr>
                    <w:pStyle w:val="Compact"/>
                    <w:jc w:val="center"/>
                    <w:jc w:val="center"/>
                  </w:pPr>
                  <w:r>
                    <w:t xml:space="preserve">100</w:t>
                  </w:r>
                </w:p>
              </w:tc>
              <w:tc>
                <w:tcPr/>
                <w:p>
                  <w:pPr>
                    <w:pStyle w:val="Compact"/>
                    <w:jc w:val="center"/>
                    <w:jc w:val="center"/>
                  </w:pPr>
                  <w:r>
                    <w:t xml:space="preserve">0</w:t>
                  </w:r>
                </w:p>
              </w:tc>
            </w:tr>
          </w:tbl>
          <w:bookmarkEnd w:id="96"/>
          <w:p/>
        </w:tc>
      </w:tr>
    </w:tbl>
    <w:p>
      <w:pPr>
        <w:pStyle w:val="BodyText"/>
      </w:pPr>
      <w:r>
        <w:t xml:space="preserve">Many versions of CDT, including GDT, do not unconditionally recommend A in this case. Yet there are many problems with the same structure as</w:t>
      </w:r>
      <w:r>
        <w:t xml:space="preserve"> </w:t>
      </w:r>
      <w:hyperlink w:anchor="tbl-no-ratify-2">
        <w:r>
          <w:rPr>
            <w:rStyle w:val="Hyperlink"/>
          </w:rPr>
          <w:t xml:space="preserve">Table 4.2</w:t>
        </w:r>
      </w:hyperlink>
      <w:r>
        <w:t xml:space="preserve"> </w:t>
      </w:r>
      <w:r>
        <w:t xml:space="preserve">where people have insisted that intuition says A is the only rational choice, and it is a problem for a decision theory that doesn’t agree.</w:t>
      </w:r>
      <w:r>
        <w:rPr>
          <w:rStyle w:val="FootnoteReference"/>
        </w:rPr>
        <w:footnoteReference w:id="97"/>
      </w:r>
    </w:p>
    <w:p>
      <w:pPr>
        <w:pStyle w:val="BodyText"/>
      </w:pPr>
      <w:r>
        <w:t xml:space="preserve">A related objection is raised by Arif</w:t>
      </w:r>
      <w:r>
        <w:t xml:space="preserve"> </w:t>
      </w:r>
      <w:r>
        <w:t xml:space="preserve">Ahmed (2014)</w:t>
      </w:r>
      <w:r>
        <w:t xml:space="preserve"> </w:t>
      </w:r>
      <w:r>
        <w:t xml:space="preserve">and by Jack Spencer and Ian Wells</w:t>
      </w:r>
      <w:r>
        <w:t xml:space="preserve"> </w:t>
      </w:r>
      <w:r>
        <w:t xml:space="preserve">(2019)</w:t>
      </w:r>
      <w:r>
        <w:t xml:space="preserve">. I’ll focus on the latter version, but the points are essentially the same. Start with</w:t>
      </w:r>
      <w:r>
        <w:t xml:space="preserve"> </w:t>
      </w:r>
      <w:hyperlink w:anchor="tbl-no-ratify-1">
        <w:r>
          <w:rPr>
            <w:rStyle w:val="Hyperlink"/>
          </w:rPr>
          <w:t xml:space="preserve">Table 4.1</w:t>
        </w:r>
      </w:hyperlink>
      <w:r>
        <w:t xml:space="preserve"> </w:t>
      </w:r>
      <w:r>
        <w:t xml:space="preserve">and add a third option X. X gets a guaranteed return of 40, and if Demon predicts X, then A and B return 50. They call this problem</w:t>
      </w:r>
      <w:r>
        <w:t xml:space="preserve"> </w:t>
      </w:r>
      <w:hyperlink w:anchor="tbl-frustrator">
        <w:r>
          <w:rPr>
            <w:rStyle w:val="Hyperlink"/>
          </w:rPr>
          <w:t xml:space="preserve">The Frustrator</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98" w:name="tbl-frustrator"/>
          <w:p>
            <w:pPr>
              <w:jc w:val="center"/>
            </w:pPr>
            <w:pPr>
              <w:jc w:val="start"/>
              <w:spacing w:before="200"/>
              <w:pStyle w:val="ImageCaption"/>
            </w:pPr>
            <w:r>
              <w:t xml:space="preserve">Table 4.3: The Frustrator</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c>
                <w:tcPr/>
                <w:p>
                  <w:pPr>
                    <w:pStyle w:val="Compact"/>
                    <w:jc w:val="center"/>
                    <w:jc w:val="center"/>
                  </w:pPr>
                  <w:r>
                    <w:rPr>
                      <w:bCs/>
                      <w:b/>
                    </w:rPr>
                    <w:t xml:space="preserve">PX</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100</w:t>
                  </w:r>
                </w:p>
              </w:tc>
              <w:tc>
                <w:tcPr/>
                <w:p>
                  <w:pPr>
                    <w:pStyle w:val="Compact"/>
                    <w:jc w:val="center"/>
                    <w:jc w:val="center"/>
                  </w:pPr>
                  <w:r>
                    <w:t xml:space="preserve">50</w:t>
                  </w:r>
                </w:p>
              </w:tc>
            </w:tr>
            <w:tr>
              <w:tc>
                <w:tcPr/>
                <w:p>
                  <w:pPr>
                    <w:pStyle w:val="Compact"/>
                    <w:jc w:val="center"/>
                    <w:jc w:val="center"/>
                  </w:pPr>
                  <w:r>
                    <w:rPr>
                      <w:bCs/>
                      <w:b/>
                    </w:rPr>
                    <w:t xml:space="preserve">B</w:t>
                  </w:r>
                </w:p>
              </w:tc>
              <w:tc>
                <w:tcPr/>
                <w:p>
                  <w:pPr>
                    <w:pStyle w:val="Compact"/>
                    <w:jc w:val="center"/>
                    <w:jc w:val="center"/>
                  </w:pPr>
                  <w:r>
                    <w:t xml:space="preserve">100</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center"/>
                    <w:jc w:val="center"/>
                  </w:pPr>
                  <w:r>
                    <w:rPr>
                      <w:bCs/>
                      <w:b/>
                    </w:rPr>
                    <w:t xml:space="preserve">X</w:t>
                  </w:r>
                </w:p>
              </w:tc>
              <w:tc>
                <w:tcPr/>
                <w:p>
                  <w:pPr>
                    <w:pStyle w:val="Compact"/>
                    <w:jc w:val="center"/>
                    <w:jc w:val="center"/>
                  </w:pPr>
                  <w:r>
                    <w:t xml:space="preserve">40</w:t>
                  </w:r>
                </w:p>
              </w:tc>
              <w:tc>
                <w:tcPr/>
                <w:p>
                  <w:pPr>
                    <w:pStyle w:val="Compact"/>
                    <w:jc w:val="center"/>
                    <w:jc w:val="center"/>
                  </w:pPr>
                  <w:r>
                    <w:t xml:space="preserve">40</w:t>
                  </w:r>
                </w:p>
              </w:tc>
              <w:tc>
                <w:tcPr/>
                <w:p>
                  <w:pPr>
                    <w:pStyle w:val="Compact"/>
                    <w:jc w:val="center"/>
                    <w:jc w:val="center"/>
                  </w:pPr>
                  <w:r>
                    <w:t xml:space="preserve">40</w:t>
                  </w:r>
                </w:p>
              </w:tc>
            </w:tr>
          </w:tbl>
          <w:bookmarkEnd w:id="98"/>
          <w:p/>
        </w:tc>
      </w:tr>
    </w:tbl>
    <w:p>
      <w:pPr>
        <w:pStyle w:val="BodyText"/>
      </w:pPr>
      <w:r>
        <w:t xml:space="preserve">They say, and many seem to agree, that intuition says that taking X is the only rational option. This is a bit surprising since there are two things wrong with X. Or, better, there is one thing wrong with X that has two manifestations which turn out to be equivalent.</w:t>
      </w:r>
    </w:p>
    <w:p>
      <w:pPr>
        <w:pStyle w:val="BodyText"/>
      </w:pPr>
      <w:r>
        <w:t xml:space="preserve">For one thing X is strongly dominated by the mixed strategy of playing A and B with probability 0.5 each. Whatever Demon does, that mixed strategy has an expected return of 50, while X has a guaranteed return of 40.</w:t>
      </w:r>
    </w:p>
    <w:p>
      <w:pPr>
        <w:pStyle w:val="BodyText"/>
      </w:pPr>
      <w:r>
        <w:t xml:space="preserve">For another thing, there is no probability distribution over the three states, PA, PB, and PX, such that X maximises expected utility. If Pr(PA) ≥ Pr(PB), then A will have a higher expected return than X, and if Pr(PB) ≥ Pr(PA), then B will have a greater return than X. In game-theoretic terms, X is not a best response</w:t>
      </w:r>
      <w:r>
        <w:t xml:space="preserve"> </w:t>
      </w:r>
      <w:r>
        <w:t xml:space="preserve">(Bonanno 2018, 41)</w:t>
      </w:r>
      <w:r>
        <w:t xml:space="preserve">; no matter what Chooser thinks Demon will do, indeed no matter what probability Chooser has over Demon’s choices, X is sub-optimal.</w:t>
      </w:r>
    </w:p>
    <w:p>
      <w:pPr>
        <w:pStyle w:val="BodyText"/>
      </w:pPr>
      <w:r>
        <w:t xml:space="preserve">The last two things turn out to be equivalent. As</w:t>
      </w:r>
      <w:r>
        <w:t xml:space="preserve"> </w:t>
      </w:r>
      <w:r>
        <w:t xml:space="preserve">Pearce (1984)</w:t>
      </w:r>
      <w:r>
        <w:t xml:space="preserve"> </w:t>
      </w:r>
      <w:r>
        <w:t xml:space="preserve">shows, an option is sometimes a best response iff it is not strictly dominated by any other pure or mixed strategy.</w:t>
      </w:r>
      <w:r>
        <w:rPr>
          <w:rStyle w:val="FootnoteReference"/>
        </w:rPr>
        <w:footnoteReference w:id="99"/>
      </w:r>
      <w:r>
        <w:t xml:space="preserve"> </w:t>
      </w:r>
      <w:r>
        <w:t xml:space="preserve">That is, for any option O, there is some probability distribution over the states such that no alternative to O has a higher expected utility iff there is no mixture of alternatives to O that has a higher expected return than O in all states.</w:t>
      </w:r>
    </w:p>
    <w:p>
      <w:pPr>
        <w:pStyle w:val="BodyText"/>
      </w:pPr>
      <w:r>
        <w:t xml:space="preserve">GDT’s response to these kinds of problems is in two parts. One part is to argue, as I will in</w:t>
      </w:r>
      <w:r>
        <w:t xml:space="preserve"> </w:t>
      </w:r>
      <w:hyperlink w:anchor="sec-indecisive">
        <w:r>
          <w:rPr>
            <w:rStyle w:val="Hyperlink"/>
          </w:rPr>
          <w:t xml:space="preserve">Chapter 8</w:t>
        </w:r>
      </w:hyperlink>
      <w:r>
        <w:t xml:space="preserve">, that the intuitions behind cases like this are unstable. The other is to argue that in fact the right choice here is to play the mixed strategy. That requires arguing that mixed strategies are available, as I will in</w:t>
      </w:r>
      <w:r>
        <w:t xml:space="preserve"> </w:t>
      </w:r>
      <w:hyperlink w:anchor="sec-mixed">
        <w:r>
          <w:rPr>
            <w:rStyle w:val="Hyperlink"/>
          </w:rPr>
          <w:t xml:space="preserve">Chapter 5</w:t>
        </w:r>
      </w:hyperlink>
      <w:r>
        <w:t xml:space="preserve">, and indeed saying more about what it is to play a mixed strategy. And then it requires appealing to Pearce’s result to say that any option ruled out in cases like</w:t>
      </w:r>
      <w:r>
        <w:t xml:space="preserve"> </w:t>
      </w:r>
      <w:hyperlink w:anchor="tbl-frustrator">
        <w:r>
          <w:rPr>
            <w:rStyle w:val="Hyperlink"/>
          </w:rPr>
          <w:t xml:space="preserve">The Frustrator</w:t>
        </w:r>
      </w:hyperlink>
      <w:r>
        <w:t xml:space="preserve"> </w:t>
      </w:r>
      <w:r>
        <w:t xml:space="preserve">is in fact strictly dominated, and so not choice-worthy.</w:t>
      </w:r>
    </w:p>
    <w:p>
      <w:pPr>
        <w:pStyle w:val="BodyText"/>
      </w:pPr>
      <w:r>
        <w:t xml:space="preserve">There are a lot of promissory notes in the last paragraph, but hopefully I’ve said enough to say how GDT will, eventually, respond to cases like these.</w:t>
      </w:r>
    </w:p>
    <w:bookmarkEnd w:id="100"/>
    <w:bookmarkStart w:id="103" w:name="sec-laws-events"/>
    <w:p>
      <w:pPr>
        <w:pStyle w:val="Heading2"/>
      </w:pPr>
      <w:r>
        <w:t xml:space="preserve">4.2 Laws, and other Non-Events</w:t>
      </w:r>
    </w:p>
    <w:p>
      <w:pPr>
        <w:numPr>
          <w:ilvl w:val="0"/>
          <w:numId w:val="1006"/>
        </w:numPr>
        <w:pStyle w:val="Compact"/>
      </w:pPr>
      <w:r>
        <w:t xml:space="preserve">Cite Ahmed book for the general problem</w:t>
      </w:r>
    </w:p>
    <w:p>
      <w:pPr>
        <w:numPr>
          <w:ilvl w:val="0"/>
          <w:numId w:val="1006"/>
        </w:numPr>
        <w:pStyle w:val="Compact"/>
      </w:pPr>
      <w:r>
        <w:t xml:space="preserve">Cite Hedden’s recent version</w:t>
      </w:r>
    </w:p>
    <w:p>
      <w:pPr>
        <w:pStyle w:val="FirstParagraph"/>
      </w:pPr>
      <w:r>
        <w:t xml:space="preserve">I’m not going to reply to this problem as much as dismiss it. There are three reasons to think that it isn’t the kind of thing we should worry about given the purposes for which CDT is used.</w:t>
      </w:r>
    </w:p>
    <w:p>
      <w:pPr>
        <w:pStyle w:val="BodyText"/>
      </w:pPr>
      <w:r>
        <w:t xml:space="preserve">One immediate reason for dismissing it is that this is not a case that satisfies the idealising constraints, and CDT is a theory of ideal decision. If what Chooser can do is determined by the past and the laws, and Chooser doesn’t know the past or the laws, then Chooser doesn’t know what they can do. And in ideal decision theory, Chooser always knows what they can do. Just what decision theory should look like in situations where the range of possible choices is potentially unknown is quite tricky; I suspect it should not be expectationist. But it’s not the problem CDT, or for that matter EDT, is addressing.</w:t>
      </w:r>
    </w:p>
    <w:p>
      <w:pPr>
        <w:pStyle w:val="BodyText"/>
      </w:pPr>
      <w:r>
        <w:t xml:space="preserve">Second, I’m not sure we should go along with the claim that the laws are causally independent of our actions. Distinguish the following two claims:</w:t>
      </w:r>
    </w:p>
    <w:p>
      <w:pPr>
        <w:numPr>
          <w:ilvl w:val="0"/>
          <w:numId w:val="1007"/>
        </w:numPr>
        <w:pStyle w:val="Compact"/>
      </w:pPr>
      <w:r>
        <w:rPr>
          <w:iCs/>
          <w:i/>
        </w:rPr>
        <w:t xml:space="preserve">A</w:t>
      </w:r>
      <w:r>
        <w:t xml:space="preserve"> </w:t>
      </w:r>
      <w:r>
        <w:t xml:space="preserve">is causally independent of</w:t>
      </w:r>
      <w:r>
        <w:t xml:space="preserve"> </w:t>
      </w:r>
      <w:r>
        <w:rPr>
          <w:iCs/>
          <w:i/>
        </w:rPr>
        <w:t xml:space="preserve">B</w:t>
      </w:r>
      <w:r>
        <w:t xml:space="preserve"> </w:t>
      </w:r>
      <w:r>
        <w:t xml:space="preserve">iff it is not the case that</w:t>
      </w:r>
      <w:r>
        <w:t xml:space="preserve"> </w:t>
      </w:r>
      <w:r>
        <w:rPr>
          <w:iCs/>
          <w:i/>
        </w:rPr>
        <w:t xml:space="preserve">B</w:t>
      </w:r>
      <w:r>
        <w:t xml:space="preserve"> </w:t>
      </w:r>
      <w:r>
        <w:t xml:space="preserve">causes, in whole or in part,</w:t>
      </w:r>
      <w:r>
        <w:t xml:space="preserve"> </w:t>
      </w:r>
      <w:r>
        <w:rPr>
          <w:iCs/>
          <w:i/>
        </w:rPr>
        <w:t xml:space="preserve">A</w:t>
      </w:r>
      <w:r>
        <w:t xml:space="preserve">.</w:t>
      </w:r>
    </w:p>
    <w:p>
      <w:pPr>
        <w:numPr>
          <w:ilvl w:val="0"/>
          <w:numId w:val="1007"/>
        </w:numPr>
        <w:pStyle w:val="Compact"/>
      </w:pPr>
      <w:r>
        <w:rPr>
          <w:iCs/>
          <w:i/>
        </w:rPr>
        <w:t xml:space="preserve">A</w:t>
      </w:r>
      <w:r>
        <w:t xml:space="preserve"> </w:t>
      </w:r>
      <w:r>
        <w:t xml:space="preserve">is causally independent of</w:t>
      </w:r>
      <w:r>
        <w:t xml:space="preserve"> </w:t>
      </w:r>
      <w:r>
        <w:rPr>
          <w:iCs/>
          <w:i/>
        </w:rPr>
        <w:t xml:space="preserve">B</w:t>
      </w:r>
      <w:r>
        <w:t xml:space="preserve"> </w:t>
      </w:r>
      <w:r>
        <w:t xml:space="preserve">iff</w:t>
      </w:r>
      <w:r>
        <w:t xml:space="preserve"> </w:t>
      </w:r>
      <w:r>
        <w:rPr>
          <w:iCs/>
          <w:i/>
        </w:rPr>
        <w:t xml:space="preserve">A</w:t>
      </w:r>
      <w:r>
        <w:t xml:space="preserve"> </w:t>
      </w:r>
      <w:r>
        <w:t xml:space="preserve">and</w:t>
      </w:r>
      <w:r>
        <w:t xml:space="preserve"> </w:t>
      </w:r>
      <w:r>
        <w:rPr>
          <w:iCs/>
          <w:i/>
        </w:rPr>
        <w:t xml:space="preserve">B</w:t>
      </w:r>
      <w:r>
        <w:t xml:space="preserve"> </w:t>
      </w:r>
      <w:r>
        <w:t xml:space="preserve">are events such that it is not the case that</w:t>
      </w:r>
      <w:r>
        <w:t xml:space="preserve"> </w:t>
      </w:r>
      <w:r>
        <w:rPr>
          <w:iCs/>
          <w:i/>
        </w:rPr>
        <w:t xml:space="preserve">B</w:t>
      </w:r>
      <w:r>
        <w:t xml:space="preserve"> </w:t>
      </w:r>
      <w:r>
        <w:t xml:space="preserve">causes, in whole or in part,</w:t>
      </w:r>
      <w:r>
        <w:t xml:space="preserve"> </w:t>
      </w:r>
      <w:r>
        <w:rPr>
          <w:iCs/>
          <w:i/>
        </w:rPr>
        <w:t xml:space="preserve">A</w:t>
      </w:r>
      <w:r>
        <w:t xml:space="preserve">.</w:t>
      </w:r>
    </w:p>
    <w:p>
      <w:pPr>
        <w:pStyle w:val="FirstParagraph"/>
      </w:pPr>
      <w:r>
        <w:t xml:space="preserve">When</w:t>
      </w:r>
      <w:r>
        <w:t xml:space="preserve"> </w:t>
      </w:r>
      <w:r>
        <w:rPr>
          <w:iCs/>
          <w:i/>
        </w:rPr>
        <w:t xml:space="preserve">A</w:t>
      </w:r>
      <w:r>
        <w:t xml:space="preserve"> </w:t>
      </w:r>
      <w:r>
        <w:t xml:space="preserve">is a proposition about the laws, and</w:t>
      </w:r>
      <w:r>
        <w:t xml:space="preserve"> </w:t>
      </w:r>
      <w:r>
        <w:rPr>
          <w:iCs/>
          <w:i/>
        </w:rPr>
        <w:t xml:space="preserve">B</w:t>
      </w:r>
      <w:r>
        <w:t xml:space="preserve"> </w:t>
      </w:r>
      <w:r>
        <w:t xml:space="preserve">is a proposition about a particular action, the first is somewhat plausible. (Though I’ll dispute it presently.) But the second is rather implausible. There was no event of the laws of nature being imposed, perhaps in some divine law-giving ceremony.</w:t>
      </w:r>
    </w:p>
    <w:p>
      <w:pPr>
        <w:pStyle w:val="BodyText"/>
      </w:pPr>
      <w:r>
        <w:t xml:space="preserve">The claim I’m making here is roughly that talk of causal independence presupposes that the allegedly independent things are the right kinds of things to stand in causal relationships. That is, that they are events. When I say that the states of the world must be causally independent of Chooser’s action, I mean that they are the kind of thing that could have been caused by some action, but in fact they are not.</w:t>
      </w:r>
    </w:p>
    <w:p>
      <w:pPr>
        <w:pStyle w:val="BodyText"/>
      </w:pPr>
      <w:r>
        <w:t xml:space="preserve">The main concern with this reply is that it overgenerates. We want to apply decision theory to bets on laws of nature, as when a chemist is betting on which research program will be most worthwhile. And some applications of causal decision theory, like the Spence model of education [insert citation here!] also seem to rely on states, like the underlying cognitive skill of the decider, that aren’t obviously events. So we’d have to see if imposing this constraint would undermine desired applications of decision theory.</w:t>
      </w:r>
      <w:r>
        <w:rPr>
          <w:rStyle w:val="FootnoteReference"/>
        </w:rPr>
        <w:footnoteReference w:id="101"/>
      </w:r>
    </w:p>
    <w:p>
      <w:pPr>
        <w:pStyle w:val="BodyText"/>
      </w:pPr>
      <w:r>
        <w:t xml:space="preserve">This gets to the final objection: perhaps we do in fact cause the past. It’s really tricky in the context of determinism to even say just what it is for a proposition to even be about a time, let alone motivate a causal independence claim.</w:t>
      </w:r>
    </w:p>
    <w:p>
      <w:pPr>
        <w:pStyle w:val="BodyText"/>
      </w:pPr>
      <w:r>
        <w:t xml:space="preserve">Consider a toy example. I start eating my lunchtime burrito precisely four hours after my cat, Squid, started eating her breakfast. Call this proposition</w:t>
      </w:r>
      <w:r>
        <w:t xml:space="preserve"> </w:t>
      </w:r>
      <w:r>
        <w:rPr>
          <w:iCs/>
          <w:i/>
        </w:rPr>
        <w:t xml:space="preserve">p</w:t>
      </w:r>
      <w:r>
        <w:t xml:space="preserve">. What time is the proposition</w:t>
      </w:r>
      <w:r>
        <w:t xml:space="preserve"> </w:t>
      </w:r>
      <w:r>
        <w:rPr>
          <w:iCs/>
          <w:i/>
        </w:rPr>
        <w:t xml:space="preserve">p</w:t>
      </w:r>
      <w:r>
        <w:t xml:space="preserve"> </w:t>
      </w:r>
      <w:r>
        <w:t xml:space="preserve">about? Is it when Squid ate her breakfast, or when I ate my lunch? It seems at least in part to be about the earlier time. Add to the story that my burrito was delayed because the person making it messed up a step. Did that mess-up cause</w:t>
      </w:r>
      <w:r>
        <w:t xml:space="preserve"> </w:t>
      </w:r>
      <w:r>
        <w:rPr>
          <w:iCs/>
          <w:i/>
        </w:rPr>
        <w:t xml:space="preserve">p</w:t>
      </w:r>
      <w:r>
        <w:t xml:space="preserve">, and thereby cause a proposition in part about the past to be true? I think it sort of did; the bar on backward causation only applies to very special kinds of propositions, and</w:t>
      </w:r>
      <w:r>
        <w:t xml:space="preserve"> </w:t>
      </w:r>
      <w:r>
        <w:rPr>
          <w:iCs/>
          <w:i/>
        </w:rPr>
        <w:t xml:space="preserve">p</w:t>
      </w:r>
      <w:r>
        <w:t xml:space="preserve"> </w:t>
      </w:r>
      <w:r>
        <w:t xml:space="preserve">is not one of them.</w:t>
      </w:r>
    </w:p>
    <w:p>
      <w:pPr>
        <w:pStyle w:val="BodyText"/>
      </w:pPr>
      <w:r>
        <w:t xml:space="preserve">Now change the example a bit. Squid sleeps in and doesn’t have breakfast. But we’re now in a deterministic world. At nine o’clock, the world is such that it’s determined I will start eating a burrito at one o’clock. Did the person who messed up the order cause me to start eating at one o’clock? Sure - I would have eating earlier without them. Did they cause the world at nine o’clock to be such that I’d start eating at one o’clock? Well, that’s a harder question. On the one hand, it would seem like a weird kind of backwards causation if they did so. On the other hand, if they did not, we have to distinguish the causal role of claims that are nomologically equivalent. That sounds bad too.</w:t>
      </w:r>
    </w:p>
    <w:p>
      <w:pPr>
        <w:pStyle w:val="BodyText"/>
      </w:pPr>
      <w:r>
        <w:t xml:space="preserve">I think the best thing to say here is, echoing the previous point, that claims like</w:t>
      </w:r>
      <w:r>
        <w:t xml:space="preserve"> </w:t>
      </w:r>
      <w:r>
        <w:rPr>
          <w:iCs/>
          <w:i/>
        </w:rPr>
        <w:t xml:space="preserve">Messing up the order caused the world at nine o’clock to be such that I started eating at one o’clock</w:t>
      </w:r>
      <w:r>
        <w:t xml:space="preserve"> </w:t>
      </w:r>
      <w:r>
        <w:t xml:space="preserve">have a presupposition failure, and are neither true nor false. And the causal independence constraint is that it is false that the action Chooser takes causes which state of the world is actual.</w:t>
      </w:r>
    </w:p>
    <w:p>
      <w:pPr>
        <w:pStyle w:val="BodyText"/>
      </w:pPr>
      <w:r>
        <w:t xml:space="preserve">Things are even clearer when it comes to propositions about the laws. Like David Lewis, I’m a Humean about laws of nature. So I think laws are constituted by all the actions in the world, past, present, and future. So I think we all totally cause, and constitute, the laws in everything we do. Now I don’t expect everyone to agree with this kind of Humeanism. But I do find it very odd that something which is set up as an objection to Lewis on decision theory</w:t>
      </w:r>
      <w:r>
        <w:rPr>
          <w:rStyle w:val="FootnoteReference"/>
        </w:rPr>
        <w:footnoteReference w:id="102"/>
      </w:r>
      <w:r>
        <w:t xml:space="preserve"> </w:t>
      </w:r>
      <w:r>
        <w:t xml:space="preserve">simply starts with the assumption that Lewis is wrong about laws.</w:t>
      </w:r>
    </w:p>
    <w:p>
      <w:pPr>
        <w:numPr>
          <w:ilvl w:val="0"/>
          <w:numId w:val="1008"/>
        </w:numPr>
        <w:pStyle w:val="Compact"/>
      </w:pPr>
      <w:r>
        <w:t xml:space="preserve">Note I’m really dismissing this problem not replying to it</w:t>
      </w:r>
    </w:p>
    <w:p>
      <w:pPr>
        <w:numPr>
          <w:ilvl w:val="0"/>
          <w:numId w:val="1008"/>
        </w:numPr>
        <w:pStyle w:val="Compact"/>
      </w:pPr>
      <w:r>
        <w:t xml:space="preserve">Objection 1: This violates the idealising constraints; we don’t know what we can do.</w:t>
      </w:r>
    </w:p>
    <w:p>
      <w:pPr>
        <w:numPr>
          <w:ilvl w:val="0"/>
          <w:numId w:val="1008"/>
        </w:numPr>
        <w:pStyle w:val="Compact"/>
      </w:pPr>
      <w:r>
        <w:t xml:space="preserve">Objection 2: These are not events, and causal independence requires independent events. (Caveat: All that matters is that it can be treated as an event, as in Spence or ChoKreps. Can it? Eh, maybe.)</w:t>
      </w:r>
    </w:p>
    <w:p>
      <w:pPr>
        <w:numPr>
          <w:ilvl w:val="0"/>
          <w:numId w:val="1008"/>
        </w:numPr>
        <w:pStyle w:val="Compact"/>
      </w:pPr>
      <w:r>
        <w:t xml:space="preserve">Objection 3: I think we do maybe cause the laws (or the past). One reason - Humeanism implies future events are partially constitutive of the laws. (Caveat: My response to Hawthorne.) And if determinism is true, then counterfactuals go all funny; maybe the past is counterfactually sensitive to current actions (for yes, see Lewis; for no, see Dorr).</w:t>
      </w:r>
    </w:p>
    <w:p>
      <w:pPr>
        <w:numPr>
          <w:ilvl w:val="0"/>
          <w:numId w:val="1008"/>
        </w:numPr>
        <w:pStyle w:val="Compact"/>
      </w:pPr>
      <w:r>
        <w:t xml:space="preserve">General objection: The point is to explain, predict, and maybe evaluate, ordinary people making ordinary decisions. And ordinary people come with ordinary pictures of how the world works. If it turned out the theory didn’t even apply to people with non-standard notions of causation, or who applied the notion of causation beyond its intended scope of understanding current day interactions between medium sized dry goods, I wouldn’t be too worried.</w:t>
      </w:r>
    </w:p>
    <w:bookmarkEnd w:id="103"/>
    <w:bookmarkStart w:id="108" w:name="sec-war-on-war"/>
    <w:p>
      <w:pPr>
        <w:pStyle w:val="Heading2"/>
      </w:pPr>
      <w:r>
        <w:t xml:space="preserve">4.3 War on WAR</w:t>
      </w:r>
    </w:p>
    <w:p>
      <w:pPr>
        <w:pStyle w:val="FirstParagraph"/>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Both demons will predict what Chooser does before anything else happens. Chooser will play either the left or right game in</w:t>
      </w:r>
      <w:r>
        <w:t xml:space="preserve"> </w:t>
      </w:r>
      <w:hyperlink w:anchor="tbl-edt-war">
        <w:r>
          <w:rPr>
            <w:rStyle w:val="Hyperlink"/>
          </w:rPr>
          <w:t xml:space="preserve">Table 4.4</w:t>
        </w:r>
      </w:hyperlink>
      <w:r>
        <w:t xml:space="preserve">.</w:t>
      </w:r>
    </w:p>
    <w:bookmarkStart w:id="106" w:name="tbl-edt-war"/>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04" w:name="tbl-war-left"/>
                <w:p>
                  <w:pPr>
                    <w:jc w:val="center"/>
                    <w:jc w:val="left"/>
                  </w:pPr>
                  <w:pPr>
                    <w:jc w:val="start"/>
                    <w:spacing w:before="200"/>
                    <w:pStyle w:val="ImageCaption"/>
                  </w:pPr>
                  <w:r>
                    <w:t xml:space="preserve">(a) Demon-1 predicts A</w:t>
                  </w:r>
                </w:p>
                <w:tbl>
                  <w:tblPr>
                    <w:tblStyle w:val="Table"/>
                    <w:tblW w:type="pct" w:w="4900"/>
                    <w:tblLook w:firstRow="1" w:lastRow="0" w:firstColumn="0" w:lastColumn="0" w:noHBand="0" w:noVBand="0" w:val="0020"/>
                    <w:jc w:val="start"/>
                    <w:tblLayout w:type="fixed"/>
                  </w:tblPr>
                  <w:tblGrid>
                    <w:gridCol w:w="2587"/>
                    <w:gridCol w:w="2587"/>
                    <w:gridCol w:w="2587"/>
                  </w:tblGrid>
                  <w:tr>
                    <w:trPr>
                      <w:tblHeader w:val="true"/>
                    </w:trPr>
                    <w:tc>
                      <w:tcPr/>
                      <w:p>
                        <w:pPr>
                          <w:pStyle w:val="Compact"/>
                        </w:pPr>
                      </w:p>
                    </w:tc>
                    <w:tc>
                      <w:tcPr/>
                      <w:p>
                        <w:pPr>
                          <w:pStyle w:val="Compact"/>
                          <w:jc w:val="center"/>
                          <w:jc w:val="center"/>
                          <w:jc w:val="left"/>
                        </w:pPr>
                        <w:r>
                          <w:rPr>
                            <w:bCs/>
                            <w:b/>
                          </w:rPr>
                          <w:t xml:space="preserve">PA</w:t>
                        </w:r>
                      </w:p>
                    </w:tc>
                    <w:tc>
                      <w:tcPr/>
                      <w:p>
                        <w:pPr>
                          <w:pStyle w:val="Compact"/>
                          <w:jc w:val="center"/>
                          <w:jc w:val="center"/>
                          <w:jc w:val="left"/>
                        </w:pPr>
                        <w:r>
                          <w:rPr>
                            <w:bCs/>
                            <w:b/>
                          </w:rPr>
                          <w:t xml:space="preserve">PB</w:t>
                        </w:r>
                      </w:p>
                    </w:tc>
                  </w:tr>
                  <w:tr>
                    <w:tc>
                      <w:tcPr/>
                      <w:p>
                        <w:pPr>
                          <w:pStyle w:val="Compact"/>
                          <w:jc w:val="center"/>
                          <w:jc w:val="center"/>
                          <w:jc w:val="left"/>
                        </w:pPr>
                        <w:r>
                          <w:rPr>
                            <w:bCs/>
                            <w:b/>
                          </w:rPr>
                          <w:t xml:space="preserve">A</w:t>
                        </w:r>
                      </w:p>
                    </w:tc>
                    <w:tc>
                      <w:tcPr/>
                      <w:p>
                        <w:pPr>
                          <w:pStyle w:val="Compact"/>
                          <w:jc w:val="center"/>
                          <w:jc w:val="center"/>
                          <w:jc w:val="left"/>
                        </w:pPr>
                        <w:r>
                          <w:t xml:space="preserve">2</w:t>
                        </w:r>
                      </w:p>
                    </w:tc>
                    <w:tc>
                      <w:tcPr/>
                      <w:p>
                        <w:pPr>
                          <w:pStyle w:val="Compact"/>
                          <w:jc w:val="center"/>
                          <w:jc w:val="center"/>
                          <w:jc w:val="left"/>
                        </w:pPr>
                        <w:r>
                          <w:t xml:space="preserve">0</w:t>
                        </w:r>
                      </w:p>
                    </w:tc>
                  </w:tr>
                  <w:tr>
                    <w:tc>
                      <w:tcPr/>
                      <w:p>
                        <w:pPr>
                          <w:pStyle w:val="Compact"/>
                          <w:jc w:val="center"/>
                          <w:jc w:val="center"/>
                          <w:jc w:val="left"/>
                        </w:pPr>
                        <w:r>
                          <w:rPr>
                            <w:bCs/>
                            <w:b/>
                          </w:rPr>
                          <w:t xml:space="preserve">B</w:t>
                        </w:r>
                      </w:p>
                    </w:tc>
                    <w:tc>
                      <w:tcPr/>
                      <w:p>
                        <w:pPr>
                          <w:pStyle w:val="Compact"/>
                          <w:jc w:val="center"/>
                          <w:jc w:val="center"/>
                          <w:jc w:val="left"/>
                        </w:pPr>
                        <w:r>
                          <w:t xml:space="preserve">3</w:t>
                        </w:r>
                      </w:p>
                    </w:tc>
                    <w:tc>
                      <w:tcPr/>
                      <w:p>
                        <w:pPr>
                          <w:pStyle w:val="Compact"/>
                          <w:jc w:val="center"/>
                          <w:jc w:val="center"/>
                          <w:jc w:val="left"/>
                        </w:pPr>
                        <w:r>
                          <w:t xml:space="preserve">1</w:t>
                        </w:r>
                      </w:p>
                    </w:tc>
                  </w:tr>
                </w:tbl>
                <w:bookmarkEnd w:id="104"/>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05" w:name="tbl-war-right"/>
                <w:p>
                  <w:pPr>
                    <w:jc w:val="center"/>
                    <w:jc w:val="left"/>
                  </w:pPr>
                  <w:pPr>
                    <w:jc w:val="start"/>
                    <w:spacing w:before="200"/>
                    <w:pStyle w:val="ImageCaption"/>
                  </w:pPr>
                  <w:r>
                    <w:t xml:space="preserve">(b) Demon-1 predicts B</w:t>
                  </w:r>
                </w:p>
                <w:tbl>
                  <w:tblPr>
                    <w:tblStyle w:val="Table"/>
                    <w:tblW w:type="pct" w:w="4900"/>
                    <w:tblLook w:firstRow="1" w:lastRow="0" w:firstColumn="0" w:lastColumn="0" w:noHBand="0" w:noVBand="0" w:val="0020"/>
                    <w:jc w:val="start"/>
                    <w:tblLayout w:type="fixed"/>
                  </w:tblPr>
                  <w:tblGrid>
                    <w:gridCol w:w="2587"/>
                    <w:gridCol w:w="2587"/>
                    <w:gridCol w:w="2587"/>
                  </w:tblGrid>
                  <w:tr>
                    <w:trPr>
                      <w:tblHeader w:val="true"/>
                    </w:trPr>
                    <w:tc>
                      <w:tcPr/>
                      <w:p>
                        <w:pPr>
                          <w:pStyle w:val="Compact"/>
                        </w:pPr>
                      </w:p>
                    </w:tc>
                    <w:tc>
                      <w:tcPr/>
                      <w:p>
                        <w:pPr>
                          <w:pStyle w:val="Compact"/>
                          <w:jc w:val="center"/>
                          <w:jc w:val="center"/>
                          <w:jc w:val="left"/>
                        </w:pPr>
                        <w:r>
                          <w:rPr>
                            <w:bCs/>
                            <w:b/>
                          </w:rPr>
                          <w:t xml:space="preserve">PA</w:t>
                        </w:r>
                      </w:p>
                    </w:tc>
                    <w:tc>
                      <w:tcPr/>
                      <w:p>
                        <w:pPr>
                          <w:pStyle w:val="Compact"/>
                          <w:jc w:val="center"/>
                          <w:jc w:val="center"/>
                          <w:jc w:val="left"/>
                        </w:pPr>
                        <w:r>
                          <w:rPr>
                            <w:bCs/>
                            <w:b/>
                          </w:rPr>
                          <w:t xml:space="preserve">PB</w:t>
                        </w:r>
                      </w:p>
                    </w:tc>
                  </w:tr>
                  <w:tr>
                    <w:tc>
                      <w:tcPr/>
                      <w:p>
                        <w:pPr>
                          <w:pStyle w:val="Compact"/>
                          <w:jc w:val="center"/>
                          <w:jc w:val="center"/>
                          <w:jc w:val="left"/>
                        </w:pPr>
                        <w:r>
                          <w:rPr>
                            <w:bCs/>
                            <w:b/>
                          </w:rPr>
                          <w:t xml:space="preserve">A</w:t>
                        </w:r>
                      </w:p>
                    </w:tc>
                    <w:tc>
                      <w:tcPr/>
                      <w:p>
                        <w:pPr>
                          <w:pStyle w:val="Compact"/>
                          <w:jc w:val="center"/>
                          <w:jc w:val="center"/>
                          <w:jc w:val="left"/>
                        </w:pPr>
                        <w:r>
                          <w:t xml:space="preserve">1002</w:t>
                        </w:r>
                      </w:p>
                    </w:tc>
                    <w:tc>
                      <w:tcPr/>
                      <w:p>
                        <w:pPr>
                          <w:pStyle w:val="Compact"/>
                          <w:jc w:val="center"/>
                          <w:jc w:val="center"/>
                          <w:jc w:val="left"/>
                        </w:pPr>
                        <w:r>
                          <w:t xml:space="preserve">1000</w:t>
                        </w:r>
                      </w:p>
                    </w:tc>
                  </w:tr>
                  <w:tr>
                    <w:tc>
                      <w:tcPr/>
                      <w:p>
                        <w:pPr>
                          <w:pStyle w:val="Compact"/>
                          <w:jc w:val="center"/>
                          <w:jc w:val="center"/>
                          <w:jc w:val="left"/>
                        </w:pPr>
                        <w:r>
                          <w:rPr>
                            <w:bCs/>
                            <w:b/>
                          </w:rPr>
                          <w:t xml:space="preserve">B</w:t>
                        </w:r>
                      </w:p>
                    </w:tc>
                    <w:tc>
                      <w:tcPr/>
                      <w:p>
                        <w:pPr>
                          <w:pStyle w:val="Compact"/>
                          <w:jc w:val="center"/>
                          <w:jc w:val="center"/>
                          <w:jc w:val="left"/>
                        </w:pPr>
                        <w:r>
                          <w:t xml:space="preserve">1003</w:t>
                        </w:r>
                      </w:p>
                    </w:tc>
                    <w:tc>
                      <w:tcPr/>
                      <w:p>
                        <w:pPr>
                          <w:pStyle w:val="Compact"/>
                          <w:jc w:val="center"/>
                          <w:jc w:val="center"/>
                          <w:jc w:val="left"/>
                        </w:pPr>
                        <w:r>
                          <w:t xml:space="preserve">1001</w:t>
                        </w:r>
                      </w:p>
                    </w:tc>
                  </w:tr>
                </w:tbl>
                <w:bookmarkEnd w:id="105"/>
                <w:p/>
              </w:tc>
            </w:tr>
          </w:tbl>
          <w:p/>
        </w:tc>
      </w:tr>
    </w:tbl>
    <w:p>
      <w:pPr>
        <w:pStyle w:val="BodyText"/>
      </w:pPr>
      <w:pPr>
        <w:spacing w:before="200"/>
        <w:pStyle w:val="ImageCaption"/>
      </w:pPr>
      <w:r>
        <w:t xml:space="preserve">Table 4.4: A Newcomb problem with two demons.</w:t>
      </w:r>
    </w:p>
    <w:bookmarkEnd w:id="106"/>
    <w:p>
      <w:pPr>
        <w:pStyle w:val="BodyText"/>
      </w:pPr>
      <w:r>
        <w:t xml:space="preserve">If Demon-1 predicts that Chooser will play A, Demon-1 will offer Chooser</w:t>
      </w:r>
      <w:r>
        <w:t xml:space="preserve"> </w:t>
      </w:r>
      <w:hyperlink w:anchor="tbl-war-left">
        <w:r>
          <w:rPr>
            <w:rStyle w:val="Hyperlink"/>
          </w:rPr>
          <w:t xml:space="preserve">Table 4.4 (a)</w:t>
        </w:r>
      </w:hyperlink>
      <w:r>
        <w:t xml:space="preserve">; if Demon-1 predicts that Chooser will play B, Demon-1 will offer Chooser</w:t>
      </w:r>
      <w:r>
        <w:t xml:space="preserve"> </w:t>
      </w:r>
      <w:hyperlink w:anchor="tbl-war-right">
        <w:r>
          <w:rPr>
            <w:rStyle w:val="Hyperlink"/>
          </w:rPr>
          <w:t xml:space="preserve">Table 4.4 (b)</w:t>
        </w:r>
      </w:hyperlink>
      <w:r>
        <w:t xml:space="preserve">. And Chooser knows what they are playing, that’s part of what it is to play a game, so Demon-1’s prediction will be announced, though Demon-2’s prediction will be secret. After Chooser makes a decision, Demon-2’s prediction will be used for determining whether the payout is from column PA or PB.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object that this is unfair because at the time they make decisions, the EDTer and the CDTer have different evidence. After all, they will know what Demon-1 predicted and it will (almost certainly) be different in each case. Can we get rid of that step? We can, but it’s a bit complicated, and I’ve put that case in</w:t>
      </w:r>
      <w:r>
        <w:t xml:space="preserve"> </w:t>
      </w:r>
      <w:hyperlink w:anchor="sec-war-signal">
        <w:r>
          <w:rPr>
            <w:rStyle w:val="Hyperlink"/>
          </w:rPr>
          <w:t xml:space="preserve">Appendix D</w:t>
        </w:r>
      </w:hyperlink>
      <w:r>
        <w:t xml:space="preserve">. The short version is that there is an example where some versions of CDT predictably do better than EDT, even though at every point the followers of EDT and (those versions of) CDT have the same evidence when they are making choices.</w:t>
      </w:r>
    </w:p>
    <w:p>
      <w:pPr>
        <w:pStyle w:val="BodyText"/>
      </w:pPr>
      <w:r>
        <w:t xml:space="preserve">While followers of EDT end up with more money than followers of causal theories</w:t>
      </w:r>
      <w:r>
        <w:t xml:space="preserve"> </w:t>
      </w:r>
      <w:r>
        <w:rPr>
          <w:iCs/>
          <w:i/>
        </w:rPr>
        <w:t xml:space="preserve">when playing Newcomb’s Problem</w:t>
      </w:r>
      <w:r>
        <w:t xml:space="preserve">, this is not because of the distinctive money-making powers of EDT. It’s because Newcomb’s Problem is designed to leave causally based decision theories badly off. Design a case to leave evidential theories badly off, and they’ll be badly off. The</w:t>
      </w:r>
      <w:r>
        <w:t xml:space="preserve"> </w:t>
      </w:r>
      <w:r>
        <w:t xml:space="preserve">“</w:t>
      </w:r>
      <w:r>
        <w:t xml:space="preserve">Why Ain’Cha Rich?</w:t>
      </w:r>
      <w:r>
        <w:t xml:space="preserve">”</w:t>
      </w:r>
      <w:r>
        <w:t xml:space="preserve"> </w:t>
      </w:r>
      <w:r>
        <w:t xml:space="preserve">consideration tells against everyone, so it overgenerates, so it should be rejected.</w:t>
      </w:r>
    </w:p>
    <w:p>
      <w:pPr>
        <w:pStyle w:val="BodyText"/>
      </w:pPr>
      <w:r>
        <w:t xml:space="preserve">Well, not quite everyone. It doesn’t tell against some kind of</w:t>
      </w:r>
      <w:r>
        <w:t xml:space="preserve"> </w:t>
      </w:r>
      <w:r>
        <w:t xml:space="preserve">‘</w:t>
      </w:r>
      <w:r>
        <w:t xml:space="preserve">resolute</w:t>
      </w:r>
      <w:r>
        <w:t xml:space="preserve">’</w:t>
      </w:r>
      <w:r>
        <w:t xml:space="preserve"> </w:t>
      </w:r>
      <w:r>
        <w:t xml:space="preserve">decision theories which recommend one-box in Newcomb’s Problem and Up in</w:t>
      </w:r>
      <w:r>
        <w:t xml:space="preserve"> </w:t>
      </w:r>
      <w:hyperlink w:anchor="tbl-edt-war">
        <w:r>
          <w:rPr>
            <w:rStyle w:val="Hyperlink"/>
          </w:rPr>
          <w:t xml:space="preserve">Table 4.4</w:t>
        </w:r>
      </w:hyperlink>
      <w:r>
        <w:t xml:space="preserve">.</w:t>
      </w:r>
      <w:r>
        <w:rPr>
          <w:rStyle w:val="FootnoteReference"/>
        </w:rPr>
        <w:footnoteReference w:id="107"/>
      </w:r>
      <w:r>
        <w:t xml:space="preserve">. Those theories leave their proponents well off in all the cases.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endorse the same three choices. But those theories are vulnerable to much more serious objections, that I’ll come to in</w:t>
      </w:r>
      <w:r>
        <w:t xml:space="preserve"> </w:t>
      </w:r>
      <w:hyperlink w:anchor="sec-against-pure-strategy">
        <w:r>
          <w:rPr>
            <w:rStyle w:val="Hyperlink"/>
          </w:rPr>
          <w:t xml:space="preserve">Section 7.4</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108"/>
    <w:bookmarkEnd w:id="109"/>
    <w:bookmarkStart w:id="116" w:name="sec-mixed"/>
    <w:p>
      <w:pPr>
        <w:pStyle w:val="Heading1"/>
      </w:pPr>
      <w:r>
        <w:t xml:space="preserve">5. Mixtures</w:t>
      </w:r>
    </w:p>
    <w:bookmarkStart w:id="114" w:name="ideal-agents-can-mix"/>
    <w:p>
      <w:pPr>
        <w:pStyle w:val="Heading2"/>
      </w:pPr>
      <w:r>
        <w:t xml:space="preserve">5.1 Ideal Agents Can Mix</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 following two reasons.</w:t>
      </w:r>
      <w:r>
        <w:rPr>
          <w:rStyle w:val="FootnoteReference"/>
        </w:rPr>
        <w:footnoteReference w:id="110"/>
      </w:r>
      <w:r>
        <w:t xml:space="preserve"> </w:t>
      </w:r>
      <w:r>
        <w:t xml:space="preserve">First, Chooser might not be capable of carrying out a mixed strategy. They might not, for instance, have any coins in their pocket.</w:t>
      </w:r>
      <w:r>
        <w:rPr>
          <w:rStyle w:val="FootnoteReference"/>
        </w:rPr>
        <w:footnoteReference w:id="111"/>
      </w:r>
      <w:r>
        <w:t xml:space="preserve"> </w:t>
      </w:r>
      <w:r>
        <w:t xml:space="preserve">Second, Demon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I argued in</w:t>
      </w:r>
      <w:r>
        <w:t xml:space="preserve"> </w:t>
      </w:r>
      <w:hyperlink w:anchor="sec-why-this-ideal">
        <w:r>
          <w:rPr>
            <w:rStyle w:val="Hyperlink"/>
          </w:rPr>
          <w:t xml:space="preserve">Section 2.3</w:t>
        </w:r>
      </w:hyperlink>
      <w:r>
        <w:t xml:space="preserve"> </w:t>
      </w:r>
      <w:r>
        <w:t xml:space="preserve">that the reason we make this idealisation is that it is helpful for the explanatory tasks we usually use decision theory for. The uses of game theory suggest that allowing mixtures is a similarly helpful idealisation. Once it is noted that this is an idealisation, it doesn’t matter that it isn’t a realistic description of all people making decisions. Requiring realism, and in particular requiring that choosers have a realistic level of arithmetic ability, would destroy decision theory as we know it.</w:t>
      </w:r>
    </w:p>
    <w:p>
      <w:pPr>
        <w:pStyle w:val="BodyText"/>
      </w:pPr>
      <w:r>
        <w:t xml:space="preserve">The thought that predictors might punish randomisation is even less conducive to decision theory as we know it. Think about the following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112"/>
      </w:r>
    </w:p>
    <w:p>
      <w:pPr>
        <w:pStyle w:val="BodyText"/>
      </w:pPr>
      <w:r>
        <w:t xml:space="preserve">Perhaps you think my account of idealisation in</w:t>
      </w:r>
      <w:r>
        <w:t xml:space="preserve"> </w:t>
      </w:r>
      <w:hyperlink w:anchor="sec-ideal">
        <w:r>
          <w:rPr>
            <w:rStyle w:val="Hyperlink"/>
          </w:rPr>
          <w:t xml:space="preserve">Chapter 2</w:t>
        </w:r>
      </w:hyperlink>
      <w:r>
        <w:t xml:space="preserve"> </w:t>
      </w:r>
      <w:r>
        <w:t xml:space="preserve">was wrong, and idealisations are really things we should be aiming for. This doesn’t block the argument that ideal agents can play mixed strategies. Being able to carry out a mixed strategy is of practical value, especially when there are predictors around.</w:t>
      </w:r>
      <w:r>
        <w:rPr>
          <w:rStyle w:val="FootnoteReference"/>
        </w:rPr>
        <w:footnoteReference w:id="113"/>
      </w:r>
      <w:r>
        <w:t xml:space="preserve"> </w:t>
      </w:r>
      <w:r>
        <w:t xml:space="preserve">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chapter,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114"/>
    <w:bookmarkStart w:id="115" w:name="what-is-a-mixed-strategy"/>
    <w:p>
      <w:pPr>
        <w:pStyle w:val="Heading2"/>
      </w:pPr>
      <w:r>
        <w:t xml:space="preserve">5.2 What is a Mixed Strategy?</w:t>
      </w:r>
    </w:p>
    <w:bookmarkEnd w:id="115"/>
    <w:bookmarkEnd w:id="116"/>
    <w:bookmarkStart w:id="124" w:name="sec-ratify"/>
    <w:p>
      <w:pPr>
        <w:pStyle w:val="Heading1"/>
      </w:pPr>
      <w:r>
        <w:t xml:space="preserve">6. Ratificationist</w:t>
      </w:r>
    </w:p>
    <w:p>
      <w:pPr>
        <w:pStyle w:val="FirstParagraph"/>
      </w:pPr>
      <w:r>
        <w:t xml:space="preserve">Solution concepts in game theory tend to be equilibria. When game theorists describe a situation as an equilibria, they mean that everyone is happy with their moves knowing what all the moves of all the players are. (Or, at least, they are as happy as they can be.) Put in decision theoretic terms, that means that all solutions are ratifiable. Any solution of a decision problem involves Chooser being happy with their choice once it is made. That is, if the correct theory says X is choiceworthy in a particular situation, it also says that X is choiceworthy conditional on being chosen.</w:t>
      </w:r>
    </w:p>
    <w:bookmarkStart w:id="120" w:name="a-brief-history-of-ratificationism"/>
    <w:p>
      <w:pPr>
        <w:pStyle w:val="Heading2"/>
      </w:pPr>
      <w:r>
        <w:t xml:space="preserve">6.1 A Brief History of Ratificationism</w:t>
      </w:r>
    </w:p>
    <w:p>
      <w:pPr>
        <w:pStyle w:val="FirstParagraph"/>
      </w:pPr>
      <w:r>
        <w:t xml:space="preserve">Ratificationism, the view that the correct theory says all choices are ratifiable in this sense, used to be a more popular view among decision theorists. Richard</w:t>
      </w:r>
      <w:r>
        <w:t xml:space="preserve"> </w:t>
      </w:r>
      <w:r>
        <w:t xml:space="preserve">Jeffrey (1983)</w:t>
      </w:r>
      <w:r>
        <w:t xml:space="preserve"> </w:t>
      </w:r>
      <w:r>
        <w:t xml:space="preserve">added a ratifiability constraint to a broadly evidential decision theory.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subsequently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6.1</w:t>
        </w:r>
      </w:hyperlink>
      <w:r>
        <w:t xml:space="preserve"> </w:t>
      </w:r>
      <w:r>
        <w:t xml:space="preserve">is one such case.</w:t>
      </w:r>
    </w:p>
    <w:tbl>
      <w:tblPr>
        <w:tblStyle w:val="Table"/>
        <w:tblW w:type="pct" w:w="5000"/>
        <w:tblLook w:firstRow="0" w:lastRow="0" w:firstColumn="0" w:lastColumn="0" w:noHBand="0" w:noVBand="0" w:val="0000"/>
        <w:jc w:val="start"/>
        <w:tblLayout w:type="fixed"/>
      </w:tblPr>
      <w:tblGrid>
        <w:gridCol w:w="7920"/>
      </w:tblGrid>
      <w:tr>
        <w:tc>
          <w:tcPr/>
          <w:bookmarkStart w:id="117" w:name="tbl-no-pure"/>
          <w:p>
            <w:pPr>
              <w:jc w:val="center"/>
            </w:pPr>
            <w:pPr>
              <w:jc w:val="start"/>
              <w:spacing w:before="200"/>
              <w:pStyle w:val="ImageCaption"/>
            </w:pPr>
            <w:r>
              <w:t xml:space="preserve">Table 6.1: A case with no pure ratifiable options.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3</w:t>
                  </w:r>
                </w:p>
              </w:tc>
              <w:tc>
                <w:tcPr/>
                <w:p>
                  <w:pPr>
                    <w:pStyle w:val="Compact"/>
                    <w:jc w:val="center"/>
                    <w:jc w:val="center"/>
                  </w:pPr>
                  <w:r>
                    <w:t xml:space="preserve">5</w:t>
                  </w:r>
                </w:p>
              </w:tc>
            </w:tr>
            <w:tr>
              <w:tc>
                <w:tcPr/>
                <w:p>
                  <w:pPr>
                    <w:pStyle w:val="Compact"/>
                    <w:jc w:val="center"/>
                    <w:jc w:val="center"/>
                  </w:pPr>
                  <w:r>
                    <w:rPr>
                      <w:bCs/>
                      <w:b/>
                    </w:rPr>
                    <w:t xml:space="preserve">B</w:t>
                  </w:r>
                </w:p>
              </w:tc>
              <w:tc>
                <w:tcPr/>
                <w:p>
                  <w:pPr>
                    <w:pStyle w:val="Compact"/>
                    <w:jc w:val="center"/>
                    <w:jc w:val="center"/>
                  </w:pPr>
                  <w:r>
                    <w:t xml:space="preserve">4</w:t>
                  </w:r>
                </w:p>
              </w:tc>
              <w:tc>
                <w:tcPr/>
                <w:p>
                  <w:pPr>
                    <w:pStyle w:val="Compact"/>
                    <w:jc w:val="center"/>
                    <w:jc w:val="center"/>
                  </w:pPr>
                  <w:r>
                    <w:t xml:space="preserve">3</w:t>
                  </w:r>
                </w:p>
              </w:tc>
            </w:tr>
          </w:tbl>
          <w:bookmarkEnd w:id="117"/>
          <w:p/>
        </w:tc>
      </w:tr>
    </w:tbl>
    <w:p>
      <w:pPr>
        <w:pStyle w:val="BodyText"/>
      </w:pPr>
      <w:r>
        <w:t xml:space="preserve">If Chooser plays A, they would prefer to play B. If Chooser plays B, they would prefer to play A. Things get worse if we add an option that is ratifiable, but unfortunate, as in</w:t>
      </w:r>
      <w:r>
        <w:t xml:space="preserve"> </w:t>
      </w:r>
      <w:hyperlink w:anchor="tbl-bad-third">
        <w:r>
          <w:rPr>
            <w:rStyle w:val="Hyperlink"/>
          </w:rPr>
          <w:t xml:space="preserve">Table 6.2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18" w:name="tbl-bad-third"/>
          <w:p>
            <w:pPr>
              <w:jc w:val="center"/>
            </w:pPr>
            <w:pPr>
              <w:jc w:val="start"/>
              <w:spacing w:before="200"/>
              <w:pStyle w:val="ImageCaption"/>
            </w:pPr>
            <w:r>
              <w:t xml:space="preserve">Table 6.2: A case with only a bad pure ratifiable option.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c>
                <w:tcPr/>
                <w:p>
                  <w:pPr>
                    <w:pStyle w:val="Compact"/>
                    <w:jc w:val="center"/>
                    <w:jc w:val="center"/>
                  </w:pPr>
                  <w:r>
                    <w:rPr>
                      <w:bCs/>
                      <w:b/>
                    </w:rPr>
                    <w:t xml:space="preserve">PX</w:t>
                  </w:r>
                </w:p>
              </w:tc>
            </w:tr>
            <w:tr>
              <w:tc>
                <w:tcPr/>
                <w:p>
                  <w:pPr>
                    <w:pStyle w:val="Compact"/>
                    <w:jc w:val="center"/>
                    <w:jc w:val="center"/>
                  </w:pPr>
                  <w:r>
                    <w:rPr>
                      <w:bCs/>
                      <w:b/>
                    </w:rPr>
                    <w:t xml:space="preserve">A</w:t>
                  </w:r>
                </w:p>
              </w:tc>
              <w:tc>
                <w:tcPr/>
                <w:p>
                  <w:pPr>
                    <w:pStyle w:val="Compact"/>
                    <w:jc w:val="center"/>
                    <w:jc w:val="center"/>
                  </w:pPr>
                  <w:r>
                    <w:t xml:space="preserve">3</w:t>
                  </w:r>
                </w:p>
              </w:tc>
              <w:tc>
                <w:tcPr/>
                <w:p>
                  <w:pPr>
                    <w:pStyle w:val="Compact"/>
                    <w:jc w:val="center"/>
                    <w:jc w:val="center"/>
                  </w:pPr>
                  <w:r>
                    <w:t xml:space="preserve">5</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4</w:t>
                  </w:r>
                </w:p>
              </w:tc>
              <w:tc>
                <w:tcPr/>
                <w:p>
                  <w:pPr>
                    <w:pStyle w:val="Compact"/>
                    <w:jc w:val="center"/>
                    <w:jc w:val="center"/>
                  </w:pPr>
                  <w:r>
                    <w:t xml:space="preserve">3</w:t>
                  </w:r>
                </w:p>
              </w:tc>
              <w:tc>
                <w:tcPr/>
                <w:p>
                  <w:pPr>
                    <w:pStyle w:val="Compact"/>
                    <w:jc w:val="center"/>
                    <w:jc w:val="center"/>
                  </w:pPr>
                  <w:r>
                    <w:t xml:space="preserve">0</w:t>
                  </w:r>
                </w:p>
              </w:tc>
            </w:tr>
            <w:tr>
              <w:tc>
                <w:tcPr/>
                <w:p>
                  <w:pPr>
                    <w:pStyle w:val="Compact"/>
                    <w:jc w:val="center"/>
                    <w:jc w:val="center"/>
                  </w:pPr>
                  <w:r>
                    <w:rPr>
                      <w:bCs/>
                      <w:b/>
                    </w:rPr>
                    <w:t xml:space="preserve">X</w:t>
                  </w:r>
                </w:p>
              </w:tc>
              <w:tc>
                <w:tcPr/>
                <w:p>
                  <w:pPr>
                    <w:pStyle w:val="Compact"/>
                    <w:jc w:val="center"/>
                    <w:jc w:val="center"/>
                  </w:pPr>
                  <w:r>
                    <w:t xml:space="preserve">0</w:t>
                  </w:r>
                </w:p>
              </w:tc>
              <w:tc>
                <w:tcPr/>
                <w:p>
                  <w:pPr>
                    <w:pStyle w:val="Compact"/>
                    <w:jc w:val="center"/>
                    <w:jc w:val="center"/>
                  </w:pPr>
                  <w:r>
                    <w:t xml:space="preserve">0</w:t>
                  </w:r>
                </w:p>
              </w:tc>
              <w:tc>
                <w:tcPr/>
                <w:p>
                  <w:pPr>
                    <w:pStyle w:val="Compact"/>
                    <w:jc w:val="center"/>
                    <w:jc w:val="center"/>
                  </w:pPr>
                  <w:r>
                    <w:t xml:space="preserve">0</w:t>
                  </w:r>
                </w:p>
              </w:tc>
            </w:tr>
          </w:tbl>
          <w:bookmarkEnd w:id="118"/>
          <w:p/>
        </w:tc>
      </w:tr>
    </w:tbl>
    <w:p>
      <w:pPr>
        <w:pStyle w:val="BodyText"/>
      </w:pPr>
      <w:r>
        <w:t xml:space="preserve">The only ratifiable option is X, but surely it is worse than Up or Down. One might avoid this example by saying that there is a weak dominance constraint on rational choices, as well as a ratifiability constraint.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6.3</w:t>
        </w:r>
      </w:hyperlink>
      <w:r>
        <w:t xml:space="preserve"> </w:t>
      </w:r>
      <w:r>
        <w:t xml:space="preserve">there is no weakly dominant option, but X is surely still a bad play.</w:t>
      </w:r>
    </w:p>
    <w:tbl>
      <w:tblPr>
        <w:tblStyle w:val="Table"/>
        <w:tblW w:type="pct" w:w="5000"/>
        <w:tblLook w:firstRow="0" w:lastRow="0" w:firstColumn="0" w:lastColumn="0" w:noHBand="0" w:noVBand="0" w:val="0000"/>
        <w:jc w:val="start"/>
        <w:tblLayout w:type="fixed"/>
      </w:tblPr>
      <w:tblGrid>
        <w:gridCol w:w="7920"/>
      </w:tblGrid>
      <w:tr>
        <w:tc>
          <w:tcPr/>
          <w:bookmarkStart w:id="119" w:name="tbl-verybad-third"/>
          <w:p>
            <w:pPr>
              <w:jc w:val="center"/>
            </w:pPr>
            <w:pPr>
              <w:jc w:val="start"/>
              <w:spacing w:before="200"/>
              <w:pStyle w:val="ImageCaption"/>
            </w:pPr>
            <w:r>
              <w:t xml:space="preserve">Table 6.3: Skyrms’s counterexample to ratificationism.</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c>
                <w:tcPr/>
                <w:p>
                  <w:pPr>
                    <w:pStyle w:val="Compact"/>
                    <w:jc w:val="center"/>
                    <w:jc w:val="center"/>
                  </w:pPr>
                  <w:r>
                    <w:rPr>
                      <w:bCs/>
                      <w:b/>
                    </w:rPr>
                    <w:t xml:space="preserve">PX</w:t>
                  </w:r>
                </w:p>
              </w:tc>
            </w:tr>
            <w:tr>
              <w:tc>
                <w:tcPr/>
                <w:p>
                  <w:pPr>
                    <w:pStyle w:val="Compact"/>
                    <w:jc w:val="center"/>
                    <w:jc w:val="center"/>
                  </w:pPr>
                  <w:r>
                    <w:rPr>
                      <w:bCs/>
                      <w:b/>
                    </w:rPr>
                    <w:t xml:space="preserve">A</w:t>
                  </w:r>
                </w:p>
              </w:tc>
              <w:tc>
                <w:tcPr/>
                <w:p>
                  <w:pPr>
                    <w:pStyle w:val="Compact"/>
                    <w:jc w:val="center"/>
                    <w:jc w:val="center"/>
                  </w:pPr>
                  <w:r>
                    <w:t xml:space="preserve">3</w:t>
                  </w:r>
                </w:p>
              </w:tc>
              <w:tc>
                <w:tcPr/>
                <w:p>
                  <w:pPr>
                    <w:pStyle w:val="Compact"/>
                    <w:jc w:val="center"/>
                    <w:jc w:val="center"/>
                  </w:pPr>
                  <w:r>
                    <w:t xml:space="preserve">5</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4</w:t>
                  </w:r>
                </w:p>
              </w:tc>
              <w:tc>
                <w:tcPr/>
                <w:p>
                  <w:pPr>
                    <w:pStyle w:val="Compact"/>
                    <w:jc w:val="center"/>
                    <w:jc w:val="center"/>
                  </w:pPr>
                  <w:r>
                    <w:t xml:space="preserve">3</w:t>
                  </w:r>
                </w:p>
              </w:tc>
              <w:tc>
                <w:tcPr/>
                <w:p>
                  <w:pPr>
                    <w:pStyle w:val="Compact"/>
                    <w:jc w:val="center"/>
                    <w:jc w:val="center"/>
                  </w:pPr>
                  <w:r>
                    <w:t xml:space="preserve">0</w:t>
                  </w:r>
                </w:p>
              </w:tc>
            </w:tr>
            <w:tr>
              <w:tc>
                <w:tcPr/>
                <w:p>
                  <w:pPr>
                    <w:pStyle w:val="Compact"/>
                    <w:jc w:val="center"/>
                    <w:jc w:val="center"/>
                  </w:pPr>
                  <w:r>
                    <w:rPr>
                      <w:bCs/>
                      <w:b/>
                    </w:rPr>
                    <w:t xml:space="preserve">X</w:t>
                  </w:r>
                </w:p>
              </w:tc>
              <w:tc>
                <w:tcPr/>
                <w:p>
                  <w:pPr>
                    <w:pStyle w:val="Compact"/>
                    <w:jc w:val="center"/>
                    <w:jc w:val="center"/>
                  </w:pPr>
                  <w:r>
                    <w:t xml:space="preserve">0</w:t>
                  </w:r>
                </w:p>
              </w:tc>
              <w:tc>
                <w:tcPr/>
                <w:p>
                  <w:pPr>
                    <w:pStyle w:val="Compact"/>
                    <w:jc w:val="center"/>
                    <w:jc w:val="center"/>
                  </w:pPr>
                  <w:r>
                    <w:t xml:space="preserve">0</w:t>
                  </w:r>
                </w:p>
              </w:tc>
              <w:tc>
                <w:tcPr/>
                <w:p>
                  <w:pPr>
                    <w:pStyle w:val="Compact"/>
                    <w:jc w:val="center"/>
                    <w:jc w:val="center"/>
                  </w:pPr>
                  <m:oMath>
                    <m:r>
                      <m:t>ε</m:t>
                    </m:r>
                  </m:oMath>
                </w:p>
              </w:tc>
            </w:tr>
          </w:tbl>
          <w:bookmarkEnd w:id="119"/>
          <w:p/>
        </w:tc>
      </w:tr>
    </w:tbl>
    <w:p>
      <w:pPr>
        <w:pStyle w:val="BodyText"/>
      </w:pPr>
      <w:r>
        <w:t xml:space="preserve">A better option is to insist, as</w:t>
      </w:r>
      <w:r>
        <w:t xml:space="preserve"> </w:t>
      </w:r>
      <w:r>
        <w:t xml:space="preserve">Harper (1986)</w:t>
      </w:r>
      <w:r>
        <w:t xml:space="preserve"> </w:t>
      </w:r>
      <w:r>
        <w:t xml:space="preserve">did, and as I argued in</w:t>
      </w:r>
      <w:r>
        <w:t xml:space="preserve"> </w:t>
      </w:r>
      <w:hyperlink w:anchor="sec-mixed">
        <w:r>
          <w:rPr>
            <w:rStyle w:val="Hyperlink"/>
          </w:rPr>
          <w:t xml:space="preserve">Chapter 5</w:t>
        </w:r>
      </w:hyperlink>
      <w:r>
        <w:t xml:space="preserve">, that if Chooser is rational, they can play a mixed strategy. In all three of these games, the mixed strategy of (0.5 U, 0.5 D) will be ratifiable, as long as Chooser forms the belief (upon choosing to play this), that Demon will play the mixed strategy (1/3 U, 2/3 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neither of the problems for ratifiability persist.</w:t>
      </w:r>
    </w:p>
    <w:bookmarkEnd w:id="120"/>
    <w:bookmarkStart w:id="121" w:name="two-quick-arguments-for-ratificationism."/>
    <w:p>
      <w:pPr>
        <w:pStyle w:val="Heading2"/>
      </w:pPr>
      <w:r>
        <w:t xml:space="preserve">6.2 Two Quick Arguments for Ratificationism.</w:t>
      </w:r>
    </w:p>
    <w:p>
      <w:pPr>
        <w:pStyle w:val="FirstParagraph"/>
      </w:pPr>
      <w:r>
        <w:t xml:space="preserve">Ratifiability is an intuitive constraint. There is something very odd about saying that such-and-such is a rational thing to do, but whoever does it will regret it the moment they act. If a theory does not endorse ratifiability, it feels like Chooser could have the following conversation with Theory. (In this example, Theory recommends X, but says it is better to have done Y conditional on having done X. If Theory does not comply with ratifiability, an example like this exists.)</w:t>
      </w:r>
    </w:p>
    <w:p>
      <w:pPr>
        <w:pStyle w:val="BodyText"/>
      </w:pPr>
      <w:r>
        <w:rPr>
          <w:bCs/>
          <w:b/>
        </w:rPr>
        <w:t xml:space="preserve">Chooser</w:t>
      </w:r>
      <w:r>
        <w:t xml:space="preserve">: I believe in you Theory, I’ll do what you say.</w:t>
      </w:r>
      <w:r>
        <w:br/>
      </w:r>
      <w:r>
        <w:rPr>
          <w:bCs/>
          <w:b/>
        </w:rPr>
        <w:t xml:space="preserve">Theory</w:t>
      </w:r>
      <w:r>
        <w:t xml:space="preserve">: Do X!</w:t>
      </w:r>
      <w:r>
        <w:br/>
      </w:r>
      <w:r>
        <w:rPr>
          <w:bCs/>
          <w:b/>
        </w:rPr>
        <w:t xml:space="preserve">Chooser</w:t>
      </w:r>
      <w:r>
        <w:t xml:space="preserve">: Done.</w:t>
      </w:r>
      <w:r>
        <w:br/>
      </w:r>
      <w:r>
        <w:rPr>
          <w:bCs/>
          <w:b/>
        </w:rPr>
        <w:t xml:space="preserve">Theory</w:t>
      </w:r>
      <w:r>
        <w:t xml:space="preserve">: Oh no, you should have done Y.</w:t>
      </w:r>
      <w:r>
        <w:br/>
      </w:r>
      <w:r>
        <w:rPr>
          <w:bCs/>
          <w:b/>
        </w:rPr>
        <w:t xml:space="preserve">Chooser</w:t>
      </w:r>
      <w:r>
        <w:t xml:space="preserve">: Why didn’t you say that earlier?</w:t>
      </w:r>
      <w:r>
        <w:br/>
      </w:r>
      <w:r>
        <w:rPr>
          <w:bCs/>
          <w:b/>
        </w:rPr>
        <w:t xml:space="preserve">Theory</w:t>
      </w:r>
      <w:r>
        <w:t xml:space="preserve">: Because earlier you hadn’t done X.</w:t>
      </w:r>
      <w:r>
        <w:br/>
      </w:r>
      <w:r>
        <w:rPr>
          <w:bCs/>
          <w:b/>
        </w:rPr>
        <w:t xml:space="preserve">Chooser</w:t>
      </w:r>
      <w:r>
        <w:t xml:space="preserve">: But you told me to do X.</w:t>
      </w:r>
      <w:r>
        <w:br/>
      </w:r>
      <w:r>
        <w:rPr>
          <w:bCs/>
          <w:b/>
        </w:rPr>
        <w:t xml:space="preserve">Theory</w:t>
      </w:r>
      <w:r>
        <w:t xml:space="preserve">: I didn’t know you would agree.</w:t>
      </w:r>
      <w:r>
        <w:br/>
      </w:r>
      <w:r>
        <w:rPr>
          <w:bCs/>
          <w:b/>
        </w:rPr>
        <w:t xml:space="preserve">Chooser</w:t>
      </w:r>
      <w:r>
        <w:t xml:space="preserve">: I said that I would.</w:t>
      </w:r>
      <w:r>
        <w:br/>
      </w:r>
      <w:r>
        <w:rPr>
          <w:bCs/>
          <w:b/>
        </w:rPr>
        <w:t xml:space="preserve">Theory</w:t>
      </w:r>
      <w:r>
        <w:t xml:space="preserve">: Er, I don’t know what to say.</w:t>
      </w:r>
    </w:p>
    <w:p>
      <w:pPr>
        <w:pStyle w:val="BodyText"/>
      </w:pPr>
      <w:r>
        <w:t xml:space="preserve">That’s bad, and Theory should not sound like this.</w:t>
      </w:r>
    </w:p>
    <w:p>
      <w:pPr>
        <w:pStyle w:val="BodyText"/>
      </w:pPr>
      <w:r>
        <w:t xml:space="preserve">It’s also an important part of game theory that there really isn’t a distinction between theorists and practitioners. A theorist can only say X is the right thing to do in situation S if someone actually in S could reason their way to doing X by following the exact same argument as the theorist uses to conclude that X is the right thing to do. That’s impossible if (a) the theory rejects ratifiability, and (b) the person in S knows that they are going to follow the theory. Their conclusion that they will do X will be self-undermining, so they won’t draw it. If the theorist draws it anyway, that violates the (rather attractive) idea that one can’t draw more conclusions from outside a game than what an intelligent player could draw from inside the game.</w:t>
      </w:r>
    </w:p>
    <w:bookmarkEnd w:id="121"/>
    <w:bookmarkStart w:id="123" w:name="ratifiability-without-mixtures"/>
    <w:p>
      <w:pPr>
        <w:pStyle w:val="Heading2"/>
      </w:pPr>
      <w:r>
        <w:t xml:space="preserve">6.3 Ratifiability Without Mixtures</w:t>
      </w:r>
    </w:p>
    <w:p>
      <w:pPr>
        <w:pStyle w:val="FirstParagraph"/>
      </w:pPr>
      <w:r>
        <w:t xml:space="preserve">My defense of ratifiability made heavy use of mixed strategies. Could we defend ratifiability without appeal to mixed strategies? It’s not a completely impossible task, but nor is it an appealing one.</w:t>
      </w:r>
    </w:p>
    <w:p>
      <w:pPr>
        <w:pStyle w:val="BodyText"/>
      </w:pPr>
      <w:hyperlink w:anchor="tbl-no-pure">
        <w:r>
          <w:rPr>
            <w:rStyle w:val="Hyperlink"/>
          </w:rPr>
          <w:t xml:space="preserve">Table 6.1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122"/>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6.2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123"/>
    <w:bookmarkEnd w:id="124"/>
    <w:bookmarkStart w:id="175" w:name="sec-dual"/>
    <w:p>
      <w:pPr>
        <w:pStyle w:val="Heading1"/>
      </w:pPr>
      <w:r>
        <w:t xml:space="preserve">7. Dual Mandate</w:t>
      </w:r>
    </w:p>
    <w:bookmarkStart w:id="142" w:name="sec-dual-introduction"/>
    <w:p>
      <w:pPr>
        <w:pStyle w:val="Heading2"/>
      </w:pPr>
      <w:r>
        <w:t xml:space="preserve">7.1 Introduction</w:t>
      </w:r>
    </w:p>
    <w:p>
      <w:pPr>
        <w:pStyle w:val="FirstParagraph"/>
      </w:pPr>
      <w:r>
        <w:t xml:space="preserve">This chapter marks a turning point in the book. From here on, a large amount of the time will be spent discussion situations involving dynamic choice. A central argument for GDT is that only it, or something like it, is compatible with plausible principles of dynamic choice.</w:t>
      </w:r>
    </w:p>
    <w:p>
      <w:pPr>
        <w:pStyle w:val="BodyText"/>
      </w:pPr>
      <w:r>
        <w:t xml:space="preserve">The aim of this chapter is to defend what I call the</w:t>
      </w:r>
      <w:r>
        <w:t xml:space="preserve"> </w:t>
      </w:r>
      <w:r>
        <w:rPr>
          <w:bCs/>
          <w:b/>
        </w:rPr>
        <w:t xml:space="preserve">Dual Mandate</w:t>
      </w:r>
      <w:r>
        <w:t xml:space="preserve">. In dynamic choice situations, rational Chooser will act in such a way that (a) each individual choice they make is sensible, and (b) the choices they make collectively are sensible. And I’ll defend the claim that (a) and (b) are distinct constraints on rational Chooser. This position is, I think, fairly orthodox in game theory. But it is not, I believe, widely held in philosophical decision theory. The caveat there is because a lot of decision theorists do not discuss dynamic choice, so I can’t always tell what their view is. But of the ones that do, most either reject (a), saying that only collective choices are to be evaluated, reject (b), saying that only individual choices are to be evaluated, or deny that these are distinct constraints. The middle option is by far the most common, but you can easily enough find examples of all three. It’s somewhat harder to find examples of people in the philosophy literature endorsing the Dual Mandate.</w:t>
      </w:r>
    </w:p>
    <w:p>
      <w:pPr>
        <w:pStyle w:val="BodyText"/>
      </w:pPr>
      <w:r>
        <w:t xml:space="preserve">For related reasons, this chapter will be longer and more technical than what came before. Even saying what the Dual Mandate says involves some setup. So this section will largely be about defining the key terms.</w:t>
      </w:r>
    </w:p>
    <w:bookmarkStart w:id="128" w:name="sec-decision-tree"/>
    <w:p>
      <w:pPr>
        <w:pStyle w:val="Heading3"/>
      </w:pPr>
      <w:r>
        <w:t xml:space="preserve">7.1.1 Decision Trees</w:t>
      </w:r>
    </w:p>
    <w:p>
      <w:pPr>
        <w:pStyle w:val="FirstParagraph"/>
      </w:pPr>
      <w:r>
        <w:t xml:space="preserve">I’ll call the dynamic choice situations I’ll be interested in decision trees. To define them, it helps to start with an orthodox definition of a game tree.</w:t>
      </w:r>
    </w:p>
    <w:p>
      <w:pPr>
        <w:pStyle w:val="BlockText"/>
      </w:pPr>
      <w:r>
        <w:t xml:space="preserve">“A finite extensive form (or frame) with perfect recall consists of the following items.</w:t>
      </w:r>
    </w:p>
    <w:p>
      <w:pPr>
        <w:numPr>
          <w:ilvl w:val="0"/>
          <w:numId w:val="1009"/>
        </w:numPr>
        <w:pStyle w:val="Compact"/>
      </w:pPr>
      <w:r>
        <w:t xml:space="preserve">A finite rooted directed tree.</w:t>
      </w:r>
      <w:r>
        <w:rPr>
          <w:rStyle w:val="FootnoteReference"/>
        </w:rPr>
        <w:footnoteReference w:id="125"/>
      </w:r>
    </w:p>
    <w:p>
      <w:pPr>
        <w:numPr>
          <w:ilvl w:val="0"/>
          <w:numId w:val="1009"/>
        </w:numPr>
        <w:pStyle w:val="Compact"/>
      </w:pPr>
      <w:r>
        <w:t xml:space="preserve">A set of players</w:t>
      </w:r>
      <w:r>
        <w:t xml:space="preserve"> </w:t>
      </w:r>
      <w:r>
        <w:rPr>
          <w:iCs/>
          <w:i/>
        </w:rPr>
        <w:t xml:space="preserve">I</w:t>
      </w:r>
      <w:r>
        <w:t xml:space="preserve"> </w:t>
      </w:r>
      <w:r>
        <w:t xml:space="preserve">= {1,…,n} and a function that assigns one player to every decision node.</w:t>
      </w:r>
    </w:p>
    <w:p>
      <w:pPr>
        <w:numPr>
          <w:ilvl w:val="0"/>
          <w:numId w:val="1009"/>
        </w:numPr>
        <w:pStyle w:val="Compact"/>
      </w:pPr>
      <w:r>
        <w:t xml:space="preserve">A set of actions</w:t>
      </w:r>
      <w:r>
        <w:t xml:space="preserve"> </w:t>
      </w:r>
      <w:r>
        <w:rPr>
          <w:iCs/>
          <w:i/>
        </w:rPr>
        <w:t xml:space="preserve">A</w:t>
      </w:r>
      <w:r>
        <w:t xml:space="preserve"> </w:t>
      </w:r>
      <w:r>
        <w:t xml:space="preserve">and a function that assigns one action to every directed edge, satisfying the restriction that no two edges out of the same node are assigned the same action.</w:t>
      </w:r>
    </w:p>
    <w:p>
      <w:pPr>
        <w:numPr>
          <w:ilvl w:val="0"/>
          <w:numId w:val="1009"/>
        </w:numPr>
        <w:pStyle w:val="Compact"/>
      </w:pPr>
      <w:r>
        <w:t xml:space="preserve">A set of outcomes</w:t>
      </w:r>
      <w:r>
        <w:t xml:space="preserve"> </w:t>
      </w:r>
      <w:r>
        <w:rPr>
          <w:iCs/>
          <w:i/>
        </w:rPr>
        <w:t xml:space="preserve">O</w:t>
      </w:r>
      <w:r>
        <w:t xml:space="preserve"> </w:t>
      </w:r>
      <w:r>
        <w:t xml:space="preserve">and a function that assigns an outcome to every terminal node.</w:t>
      </w:r>
    </w:p>
    <w:p>
      <w:pPr>
        <w:numPr>
          <w:ilvl w:val="0"/>
          <w:numId w:val="1009"/>
        </w:numPr>
        <w:pStyle w:val="Compact"/>
      </w:pPr>
      <w:r>
        <w:t xml:space="preserve">For every player</w:t>
      </w:r>
      <w:r>
        <w:t xml:space="preserve"> </w:t>
      </w:r>
      <w:r>
        <w:rPr>
          <w:iCs/>
          <w:i/>
        </w:rPr>
        <w:t xml:space="preserve">i</w:t>
      </w:r>
      <w:r>
        <w:t xml:space="preserve"> </w:t>
      </w:r>
      <m:oMath>
        <m:r>
          <m:rPr>
            <m:sty m:val="p"/>
          </m:rPr>
          <m:t>∈</m:t>
        </m:r>
      </m:oMath>
      <w:r>
        <w:t xml:space="preserve"> </w:t>
      </w:r>
      <w:r>
        <w:rPr>
          <w:iCs/>
          <w:i/>
        </w:rPr>
        <w:t xml:space="preserve">I</w:t>
      </w:r>
      <w:r>
        <w:t xml:space="preserve">, a partition</w:t>
      </w:r>
      <w:r>
        <w:t xml:space="preserve"> </w:t>
      </w:r>
      <m:oMath>
        <m:sSub>
          <m:e>
            <m:r>
              <m:rPr>
                <m:sty m:val="p"/>
                <m:scr m:val="fraktur"/>
              </m:rPr>
              <m:t>D</m:t>
            </m:r>
          </m:e>
          <m:sub>
            <m:r>
              <m:t>i</m:t>
            </m:r>
          </m:sub>
        </m:sSub>
      </m:oMath>
      <w:r>
        <w:t xml:space="preserve"> </w:t>
      </w:r>
      <w:r>
        <w:t xml:space="preserve">of the set</w:t>
      </w:r>
      <w:r>
        <w:t xml:space="preserve"> </w:t>
      </w:r>
      <w:r>
        <w:rPr>
          <w:iCs/>
          <w:i/>
        </w:rPr>
        <w:t xml:space="preserve">D</w:t>
      </w:r>
      <w:r>
        <w:rPr>
          <w:vertAlign w:val="subscript"/>
          <w:iCs/>
          <w:i/>
        </w:rPr>
        <w:t xml:space="preserve">i</w:t>
      </w:r>
      <w:r>
        <w:t xml:space="preserve"> </w:t>
      </w:r>
      <w:r>
        <w:t xml:space="preserve">of decision nodes assigned to player</w:t>
      </w:r>
      <w:r>
        <w:t xml:space="preserve"> </w:t>
      </w:r>
      <w:r>
        <w:rPr>
          <w:iCs/>
          <w:i/>
        </w:rPr>
        <w:t xml:space="preserve">i</w:t>
      </w:r>
      <w:r>
        <w:t xml:space="preserve"> </w:t>
      </w:r>
      <w:r>
        <w:t xml:space="preserve">(thus</w:t>
      </w:r>
      <w:r>
        <w:t xml:space="preserve"> </w:t>
      </w:r>
      <m:oMath>
        <m:sSub>
          <m:e>
            <m:r>
              <m:rPr>
                <m:sty m:val="p"/>
                <m:scr m:val="fraktur"/>
              </m:rPr>
              <m:t>D</m:t>
            </m:r>
          </m:e>
          <m:sub>
            <m:r>
              <m:t>i</m:t>
            </m:r>
          </m:sub>
        </m:sSub>
      </m:oMath>
      <w:r>
        <w:t xml:space="preserve"> </w:t>
      </w:r>
      <w:r>
        <w:t xml:space="preserve">is a collection of mutually disjoint subsets of</w:t>
      </w:r>
      <w:r>
        <w:t xml:space="preserve"> </w:t>
      </w:r>
      <w:r>
        <w:rPr>
          <w:iCs/>
          <w:i/>
        </w:rPr>
        <w:t xml:space="preserve">D</w:t>
      </w:r>
      <w:r>
        <w:rPr>
          <w:vertAlign w:val="subscript"/>
          <w:iCs/>
          <w:i/>
        </w:rPr>
        <w:t xml:space="preserve">i</w:t>
      </w:r>
      <w:r>
        <w:t xml:space="preserve"> </w:t>
      </w:r>
      <w:r>
        <w:t xml:space="preserve">whose union is equal to</w:t>
      </w:r>
      <w:r>
        <w:t xml:space="preserve"> </w:t>
      </w:r>
      <w:r>
        <w:rPr>
          <w:iCs/>
          <w:i/>
        </w:rPr>
        <w:t xml:space="preserve">D</w:t>
      </w:r>
      <w:r>
        <w:rPr>
          <w:vertAlign w:val="subscript"/>
          <w:iCs/>
          <w:i/>
        </w:rPr>
        <w:t xml:space="preserve">i</w:t>
      </w:r>
      <w:r>
        <w:t xml:space="preserve">). Each element of</w:t>
      </w:r>
      <w:r>
        <w:t xml:space="preserve"> </w:t>
      </w:r>
      <m:oMath>
        <m:sSub>
          <m:e>
            <m:r>
              <m:rPr>
                <m:sty m:val="p"/>
                <m:scr m:val="fraktur"/>
              </m:rPr>
              <m:t>D</m:t>
            </m:r>
          </m:e>
          <m:sub>
            <m:r>
              <m:t>i</m:t>
            </m:r>
          </m:sub>
        </m:sSub>
      </m:oMath>
      <w:r>
        <w:t xml:space="preserve"> </w:t>
      </w:r>
      <w:r>
        <w:t xml:space="preserve">is called an information set of player</w:t>
      </w:r>
      <w:r>
        <w:t xml:space="preserve"> </w:t>
      </w:r>
      <w:r>
        <w:rPr>
          <w:iCs/>
          <w:i/>
        </w:rPr>
        <w:t xml:space="preserve">i</w:t>
      </w:r>
      <w:r>
        <w:t xml:space="preserve">.”</w:t>
      </w:r>
      <w:r>
        <w:t xml:space="preserve">(Bonanno 2018, 119)</w:t>
      </w:r>
    </w:p>
    <w:p>
      <w:pPr>
        <w:pStyle w:val="FirstParagraph"/>
      </w:pPr>
      <w:r>
        <w:t xml:space="preserve">The quote continues with some restrictions on</w:t>
      </w:r>
      <w:r>
        <w:t xml:space="preserve"> </w:t>
      </w:r>
      <m:oMath>
        <m:sSub>
          <m:e>
            <m:r>
              <m:rPr>
                <m:sty m:val="p"/>
                <m:scr m:val="fraktur"/>
              </m:rPr>
              <m:t>D</m:t>
            </m:r>
          </m:e>
          <m:sub>
            <m:r>
              <m:t>i</m:t>
            </m:r>
          </m:sub>
        </m:sSub>
      </m:oMath>
      <w:r>
        <w:t xml:space="preserve">, but I want to pause first to say what this is supposed to represent, and then it is easy to say informally what the constraints are. This partition is an epistemic accessibility relation. If two nodes are in the same cell of the partition, then when the player is in one of them, for all they know, they are in the other. The strongest thing they know, when they are at a particular node, is that they are somewhere in that cell of the partition.</w:t>
      </w:r>
    </w:p>
    <w:p>
      <w:pPr>
        <w:pStyle w:val="BodyText"/>
      </w:pPr>
      <w:r>
        <w:t xml:space="preserve">Implicitly, the assumption here is that the right accessibility relation for epistemic logic is an equivalence relation. That’s absurd in full generality. But I think in this context it’s a harmless enough idealisation. That is, it’s harmless enough if we remember that an idealisation here is a simplification, and not something that we think is desirable, or in any way something to aim for.</w:t>
      </w:r>
    </w:p>
    <w:p>
      <w:pPr>
        <w:pStyle w:val="BodyText"/>
      </w:pPr>
      <w:r>
        <w:t xml:space="preserve">There are two standard restrictions on</w:t>
      </w:r>
      <w:r>
        <w:t xml:space="preserve"> </w:t>
      </w:r>
      <m:oMath>
        <m:sSub>
          <m:e>
            <m:r>
              <m:rPr>
                <m:sty m:val="p"/>
                <m:scr m:val="fraktur"/>
              </m:rPr>
              <m:t>D</m:t>
            </m:r>
          </m:e>
          <m:sub>
            <m:r>
              <m:t>i</m:t>
            </m:r>
          </m:sub>
        </m:sSub>
      </m:oMath>
      <w:r>
        <w:t xml:space="preserve">. First, players know what moves are possible, so for any two nodes in a cell of</w:t>
      </w:r>
      <w:r>
        <w:t xml:space="preserve"> </w:t>
      </w:r>
      <m:oMath>
        <m:sSub>
          <m:e>
            <m:r>
              <m:rPr>
                <m:sty m:val="p"/>
                <m:scr m:val="fraktur"/>
              </m:rPr>
              <m:t>D</m:t>
            </m:r>
          </m:e>
          <m:sub>
            <m:r>
              <m:t>i</m:t>
            </m:r>
          </m:sub>
        </m:sSub>
      </m:oMath>
      <w:r>
        <w:t xml:space="preserve">, the same actions are possible. Second, players remember their actions, so for any two nodes in a cell of</w:t>
      </w:r>
      <w:r>
        <w:t xml:space="preserve"> </w:t>
      </w:r>
      <m:oMath>
        <m:sSub>
          <m:e>
            <m:r>
              <m:rPr>
                <m:sty m:val="p"/>
                <m:scr m:val="fraktur"/>
              </m:rPr>
              <m:t>D</m:t>
            </m:r>
          </m:e>
          <m:sub>
            <m:r>
              <m:t>i</m:t>
            </m:r>
          </m:sub>
        </m:sSub>
      </m:oMath>
      <w:r>
        <w:t xml:space="preserve">, the paths to those nodes only differ with respect to moves made by other players.</w:t>
      </w:r>
    </w:p>
    <w:p>
      <w:pPr>
        <w:pStyle w:val="BodyText"/>
      </w:pPr>
      <w:r>
        <w:t xml:space="preserve">We’re also going to make three more assumptions that are I think implicit in the standard formulation, but not always made explicit.</w:t>
      </w:r>
      <w:r>
        <w:rPr>
          <w:rStyle w:val="FootnoteReference"/>
        </w:rPr>
        <w:footnoteReference w:id="126"/>
      </w:r>
      <w:r>
        <w:t xml:space="preserve"> </w:t>
      </w:r>
      <w:r>
        <w:t xml:space="preserve">Say a</w:t>
      </w:r>
      <w:r>
        <w:t xml:space="preserve"> </w:t>
      </w:r>
      <w:r>
        <w:t xml:space="preserve">‘</w:t>
      </w:r>
      <w:r>
        <w:t xml:space="preserve">play</w:t>
      </w:r>
      <w:r>
        <w:t xml:space="preserve">’</w:t>
      </w:r>
      <w:r>
        <w:t xml:space="preserve"> </w:t>
      </w:r>
      <w:r>
        <w:t xml:space="preserve">is a particular path through the tree that happens in real time. The assumptions concern what happens in all plays of a tree thus understood.</w:t>
      </w:r>
    </w:p>
    <w:p>
      <w:pPr>
        <w:pStyle w:val="BodyText"/>
      </w:pPr>
      <w:r>
        <w:t xml:space="preserve">First, each player is motivated to get the best outcome possible. If we interpret the outcomes as preferences of the player at the end of the play, and assume that players are motivated by their current preferences, this is in effect an assumption that preferences do not change over the course of the play.</w:t>
      </w:r>
    </w:p>
    <w:p>
      <w:pPr>
        <w:pStyle w:val="BodyText"/>
      </w:pPr>
      <w:r>
        <w:t xml:space="preserve">Second, the tree is common knowledge at the start of the play. A player will not acquire new capacities over the game, or learn that they had capacities they didn’t realise. They will not acquire any capacity to make distinctions between possibilities that they did not have at the start of the play. So, for instance, there can’t be a point in the tree where a player meets a new individual, and acquires by acquaintance the ability to have singular thoughts about that person, and distinguish that person from descriptive duplicates.</w:t>
      </w:r>
      <w:r>
        <w:rPr>
          <w:rStyle w:val="FootnoteReference"/>
        </w:rPr>
        <w:footnoteReference w:id="127"/>
      </w:r>
    </w:p>
    <w:p>
      <w:pPr>
        <w:pStyle w:val="BodyText"/>
      </w:pPr>
      <w:r>
        <w:t xml:space="preserve">Third, it is common knowledge among all the time-slices of a player that all of the player’s time-slices are rational. At this stage, it’s important that</w:t>
      </w:r>
      <w:r>
        <w:t xml:space="preserve"> </w:t>
      </w:r>
      <w:r>
        <w:t xml:space="preserve">‘</w:t>
      </w:r>
      <w:r>
        <w:t xml:space="preserve">rational</w:t>
      </w:r>
      <w:r>
        <w:t xml:space="preserve">’</w:t>
      </w:r>
      <w:r>
        <w:t xml:space="preserve"> </w:t>
      </w:r>
      <w:r>
        <w:t xml:space="preserve">be left as something of a placeholder, or, perhaps better, a variable. In some sense the aim of the theorising around here is to solve for the value of</w:t>
      </w:r>
      <w:r>
        <w:t xml:space="preserve"> </w:t>
      </w:r>
      <w:r>
        <w:t xml:space="preserve">‘</w:t>
      </w:r>
      <w:r>
        <w:t xml:space="preserve">rational</w:t>
      </w:r>
      <w:r>
        <w:t xml:space="preserve">’</w:t>
      </w:r>
      <w:r>
        <w:t xml:space="preserve"> </w:t>
      </w:r>
      <w:r>
        <w:t xml:space="preserve">given some intuitive data about rational play. But whatever rationality is, we assume the player always has it, they always know they will always have it, they always know that they always know they will always have it, and so on.</w:t>
      </w:r>
    </w:p>
    <w:bookmarkEnd w:id="128"/>
    <w:bookmarkStart w:id="130" w:name="sec-strategies"/>
    <w:p>
      <w:pPr>
        <w:pStyle w:val="Heading3"/>
      </w:pPr>
      <w:r>
        <w:t xml:space="preserve">7.1.2 Strategies</w:t>
      </w:r>
    </w:p>
    <w:p>
      <w:pPr>
        <w:pStyle w:val="FirstParagraph"/>
      </w:pPr>
      <w:r>
        <w:t xml:space="preserve">A</w:t>
      </w:r>
      <w:r>
        <w:t xml:space="preserve"> </w:t>
      </w:r>
      <w:r>
        <w:rPr>
          <w:iCs/>
          <w:i/>
        </w:rPr>
        <w:t xml:space="preserve">strategy</w:t>
      </w:r>
      <w:r>
        <w:t xml:space="preserve"> </w:t>
      </w:r>
      <w:r>
        <w:t xml:space="preserve">for player</w:t>
      </w:r>
      <w:r>
        <w:t xml:space="preserve"> </w:t>
      </w:r>
      <w:r>
        <w:rPr>
          <w:iCs/>
          <w:i/>
        </w:rPr>
        <w:t xml:space="preserve">i</w:t>
      </w:r>
      <w:r>
        <w:t xml:space="preserve"> </w:t>
      </w:r>
      <w:r>
        <w:t xml:space="preserve">is a function from the members of</w:t>
      </w:r>
      <w:r>
        <w:t xml:space="preserve"> </w:t>
      </w:r>
      <m:oMath>
        <m:sSub>
          <m:e>
            <m:r>
              <m:rPr>
                <m:sty m:val="p"/>
                <m:scr m:val="fraktur"/>
              </m:rPr>
              <m:t>D</m:t>
            </m:r>
          </m:e>
          <m:sub>
            <m:r>
              <m:t>i</m:t>
            </m:r>
          </m:sub>
        </m:sSub>
      </m:oMath>
      <w:r>
        <w:t xml:space="preserve"> </w:t>
      </w:r>
      <w:r>
        <w:t xml:space="preserve">to probability distributions over actions. That is, the strategy says which action, or mixed action, a player will do at each information set that they could reach consistent with the rules of the game.</w:t>
      </w:r>
    </w:p>
    <w:p>
      <w:pPr>
        <w:pStyle w:val="BodyText"/>
      </w:pPr>
      <w:r>
        <w:t xml:space="preserve">It will become important that these are extremely fine-grained. A strategy describes what a player will do at nodes that are ruled out by other choices the player makes. Consider a game that consists of two rounds of some simple two-player, two-choice game, like Prisoners’ Dilemma, with the results of the first round revealed before the second round is played. Each player has 32 strategies. (So there are 1024 strategy pairs.) The tree for the game has five information sets where each player might move; the first-round game, then, since there are four ways the first game could go, four more possibilities for what they might know when the second-round game is played. Since there are 2</w:t>
      </w:r>
      <w:r>
        <w:rPr>
          <w:vertAlign w:val="subscript"/>
        </w:rPr>
        <w:t xml:space="preserve">5</w:t>
      </w:r>
      <w:r>
        <w:t xml:space="preserve">, i.e., 32, ways to make binary choices over five possible choices, there are 32 strategies.</w:t>
      </w:r>
      <w:r>
        <w:rPr>
          <w:rStyle w:val="FootnoteReference"/>
        </w:rPr>
        <w:footnoteReference w:id="129"/>
      </w:r>
    </w:p>
    <w:p>
      <w:pPr>
        <w:pStyle w:val="BodyText"/>
      </w:pPr>
      <w:r>
        <w:t xml:space="preserve">I’m going to assume a kind of realism about strategies. Players actually have dispositions about what they will do at nodes that aren’t reached, and even at nodes that couldn’t be reached given their prior dispositions. These dispositions are at least real enough to play the following two roles: they can be the conditions that conditional probabilities are defined over, and they are subject to evaluation as rational or irrational.</w:t>
      </w:r>
    </w:p>
    <w:bookmarkEnd w:id="130"/>
    <w:bookmarkStart w:id="132" w:name="sec-special-players"/>
    <w:p>
      <w:pPr>
        <w:pStyle w:val="Heading3"/>
      </w:pPr>
      <w:r>
        <w:t xml:space="preserve">7.1.3 Special Players</w:t>
      </w:r>
    </w:p>
    <w:p>
      <w:pPr>
        <w:pStyle w:val="FirstParagraph"/>
      </w:pPr>
      <w:r>
        <w:t xml:space="preserve">Trees in game theory textbooks frequently designate one special player: Nature</w:t>
      </w:r>
      <w:r>
        <w:t xml:space="preserve"> </w:t>
      </w:r>
      <w:r>
        <w:t xml:space="preserve">(Bonanno 2018, 134ff)</w:t>
      </w:r>
      <w:r>
        <w:t xml:space="preserve">. Nature is different to human players in two key respects.</w:t>
      </w:r>
    </w:p>
    <w:p>
      <w:pPr>
        <w:pStyle w:val="BodyText"/>
      </w:pPr>
      <w:r>
        <w:t xml:space="preserve">Nature does not care about which outcome the game ends with; formally, we describe an outcome by listing the utilities for the players other than Nature.</w:t>
      </w:r>
    </w:p>
    <w:p>
      <w:pPr>
        <w:pStyle w:val="BodyText"/>
      </w:pPr>
      <w:r>
        <w:t xml:space="preserve">Nature is not rational. It is usually taken to be common knowledge among the other players that they are rational; but Nature is treated differently. Instead of assuming rationality, we assume common knowledge of the externally provided probability distribution over the possible moves Nature might make at each node.</w:t>
      </w:r>
      <w:r>
        <w:rPr>
          <w:rStyle w:val="FootnoteReference"/>
        </w:rPr>
        <w:footnoteReference w:id="131"/>
      </w:r>
    </w:p>
    <w:p>
      <w:pPr>
        <w:pStyle w:val="BodyText"/>
      </w:pPr>
      <w:r>
        <w:t xml:space="preserve">The key formal move in this book is to introduce new players, demons, which behave a bit like rational players, and a bit like Nature.</w:t>
      </w:r>
    </w:p>
    <w:p>
      <w:pPr>
        <w:pStyle w:val="BodyText"/>
      </w:pPr>
      <w:r>
        <w:t xml:space="preserve">A</w:t>
      </w:r>
      <w:r>
        <w:t xml:space="preserve"> </w:t>
      </w:r>
      <w:r>
        <w:rPr>
          <w:bCs/>
          <w:b/>
        </w:rPr>
        <w:t xml:space="preserve">decision tree</w:t>
      </w:r>
      <w:r>
        <w:t xml:space="preserve">, as I’ll understand it in this book, is like a game tree, but with more players that are distinctive in the way Nature is. There is only one player stipulated to be rational: Chooser. (They will be player 1 in what follows, unless stated otherwise.) At most one player is Nature, in the game-theoretic sense. The other players are all demons. If a demon moves at a node, then Chooser knows not the unconditional probability of that demon’s possible actions, but the conditional probability of the demon’s actions given their strategy choice. In more familiar terms, the demon predicts their strategy with a certain probability of accuracy, and has dispositions about what to do given each prediction.</w:t>
      </w:r>
    </w:p>
    <w:p>
      <w:pPr>
        <w:pStyle w:val="BodyText"/>
      </w:pPr>
      <w:r>
        <w:t xml:space="preserve">While these demons are a lot like the demons that have been central to decision theory ever since the introduction of Newcomb’s Problem, there are two things I’m doing differently here that I want to note up front. First, there may be more than one demon. In the examples to follow, there will occasionally be four players: Chooser, two demons, and Nature. Second, the conditional probabilities are conditional on strategies, not just choices. This will matter in two stage games; to make the second stage game be just like the familiar games in decision theory (like Newcomb’s Problem), it will be important that Demon’s dispositions are sensitive to Chooser’s dispositions about the second game. And this is important even in cases (of which there will be a few below) where Chooser can choose whether to play that second-round game.</w:t>
      </w:r>
    </w:p>
    <w:bookmarkEnd w:id="132"/>
    <w:bookmarkStart w:id="141" w:name="sec-equivalence-intro"/>
    <w:p>
      <w:pPr>
        <w:pStyle w:val="Heading3"/>
      </w:pPr>
      <w:r>
        <w:t xml:space="preserve">7.1.4 Extensive Form and Strategic Form</w:t>
      </w:r>
    </w:p>
    <w:p>
      <w:pPr>
        <w:pStyle w:val="FirstParagraph"/>
      </w:pPr>
      <w:r>
        <w:t xml:space="preserve">Given a decision tree, we can generate a related game where each player has precisely one choice: what strategy they will play. This sometimes called the</w:t>
      </w:r>
      <w:r>
        <w:t xml:space="preserve"> </w:t>
      </w:r>
      <w:r>
        <w:rPr>
          <w:bCs/>
          <w:b/>
        </w:rPr>
        <w:t xml:space="preserve">strategic form</w:t>
      </w:r>
      <w:r>
        <w:t xml:space="preserve"> </w:t>
      </w:r>
      <w:r>
        <w:t xml:space="preserve">of the game, and sometimes called the</w:t>
      </w:r>
      <w:r>
        <w:t xml:space="preserve"> </w:t>
      </w:r>
      <w:r>
        <w:rPr>
          <w:bCs/>
          <w:b/>
        </w:rPr>
        <w:t xml:space="preserve">normal form</w:t>
      </w:r>
      <w:r>
        <w:t xml:space="preserve">. I’ll primarily use the earlier, more evocative, term.</w:t>
      </w:r>
      <w:r>
        <w:rPr>
          <w:rStyle w:val="FootnoteReference"/>
        </w:rPr>
        <w:footnoteReference w:id="133"/>
      </w:r>
      <w:r>
        <w:t xml:space="preserve"> </w:t>
      </w:r>
      <w:r>
        <w:t xml:space="preserve">The contrast, the decision tree where the players act over time, is called the</w:t>
      </w:r>
      <w:r>
        <w:t xml:space="preserve"> </w:t>
      </w:r>
      <w:r>
        <w:rPr>
          <w:bCs/>
          <w:b/>
        </w:rPr>
        <w:t xml:space="preserve">extensive form</w:t>
      </w:r>
      <w:r>
        <w:t xml:space="preserve"> </w:t>
      </w:r>
      <w:r>
        <w:t xml:space="preserve">of the game. I said the strategic form of a game is to its extensive form, but you might wonder how closely related it is. Is it, in some sense, the same game?</w:t>
      </w:r>
    </w:p>
    <w:p>
      <w:pPr>
        <w:pStyle w:val="BodyText"/>
      </w:pPr>
      <w:r>
        <w:t xml:space="preserve">One way to make progress on this question is to ask whether the strategic form and extensive form are equivalent, in the sense that the following thesis is true.</w:t>
      </w:r>
    </w:p>
    <w:p>
      <w:pPr>
        <w:pStyle w:val="DefinitionTerm"/>
      </w:pPr>
      <w:r>
        <w:t xml:space="preserve">Strategic Form - Extensive Form Equivalence</w:t>
      </w:r>
    </w:p>
    <w:p>
      <w:pPr>
        <w:pStyle w:val="Definition"/>
      </w:pPr>
      <w:r>
        <w:t xml:space="preserve">Some moves in an extensive form of a decision tree are rational (both individually and collectively) iff they are part of some strategy that can be rationally played in the corresponding strategic form decision.</w:t>
      </w:r>
    </w:p>
    <w:p>
      <w:pPr>
        <w:pStyle w:val="FirstParagraph"/>
      </w:pPr>
      <w:r>
        <w:t xml:space="preserve">Most game theorists deny this equivalence.</w:t>
      </w:r>
      <w:r>
        <w:rPr>
          <w:rStyle w:val="FootnoteReference"/>
        </w:rPr>
        <w:footnoteReference w:id="134"/>
      </w:r>
      <w:r>
        <w:t xml:space="preserve"> </w:t>
      </w:r>
      <w:r>
        <w:t xml:space="preserve">The examples used to motivate this are fairly simple. In</w:t>
      </w:r>
      <w:r>
        <w:t xml:space="preserve"> </w:t>
      </w:r>
      <w:hyperlink w:anchor="fig-subgame-example">
        <w:r>
          <w:rPr>
            <w:rStyle w:val="Hyperlink"/>
          </w:rPr>
          <w:t xml:space="preserve">Figure 7.1</w:t>
        </w:r>
      </w:hyperlink>
      <w:r>
        <w:t xml:space="preserve">, Demon moves first, and Chooser moves second. Chooser can play A or B, Demon can play PA or PB. Demon wants these predictions to be correct. Chooser gets a reward iff Demon’s prediction is correct. Chooser gets a higher reward if they both choose A than if they both choose B. Demon is arbitrarily good at predicting Chooser’s</w:t>
      </w:r>
      <w:r>
        <w:t xml:space="preserve"> </w:t>
      </w:r>
      <w:hyperlink w:anchor="sec-strategies">
        <w:r>
          <w:rPr>
            <w:rStyle w:val="Hyperlink"/>
          </w:rPr>
          <w:t xml:space="preserve">strategy</w:t>
        </w:r>
      </w:hyperlink>
      <w:r>
        <w:t xml:space="preserve">, and this is common knowledge to both players. Demon will do whatever makes it most likely that their prediction is correct, or flip a coin if their choice does not affect the probability that they will make a correct prediction.</w:t>
      </w:r>
    </w:p>
    <w:tbl>
      <w:tblPr>
        <w:tblStyle w:val="Table"/>
        <w:tblW w:type="pct" w:w="5000"/>
        <w:tblLook w:firstRow="0" w:lastRow="0" w:firstColumn="0" w:lastColumn="0" w:noHBand="0" w:noVBand="0" w:val="0000"/>
        <w:jc w:val="start"/>
        <w:tblLayout w:type="fixed"/>
      </w:tblPr>
      <w:tblGrid>
        <w:gridCol w:w="7920"/>
      </w:tblGrid>
      <w:tr>
        <w:tc>
          <w:tcPr/>
          <w:bookmarkStart w:id="138" w:name="fig-subgame-example"/>
          <w:p>
            <w:pPr>
              <w:pStyle w:val="Compact"/>
              <w:jc w:val="center"/>
            </w:pPr>
            <w:r>
              <w:drawing>
                <wp:inline>
                  <wp:extent cx="2006175" cy="1363954"/>
                  <wp:effectExtent b="0" l="0" r="0" t="0"/>
                  <wp:docPr descr="" title="" id="136" name="Picture"/>
                  <a:graphic>
                    <a:graphicData uri="http://schemas.openxmlformats.org/drawingml/2006/picture">
                      <pic:pic>
                        <pic:nvPicPr>
                          <pic:cNvPr descr="dual_files/figure-docx/fig-subgame-example-1.png" id="137" name="Picture"/>
                          <pic:cNvPicPr>
                            <a:picLocks noChangeArrowheads="1" noChangeAspect="1"/>
                          </pic:cNvPicPr>
                        </pic:nvPicPr>
                        <pic:blipFill>
                          <a:blip r:embed="rId135"/>
                          <a:stretch>
                            <a:fillRect/>
                          </a:stretch>
                        </pic:blipFill>
                        <pic:spPr bwMode="auto">
                          <a:xfrm>
                            <a:off x="0" y="0"/>
                            <a:ext cx="2006175"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Tree Diagram of the Non-Equivalence Game.</w:t>
            </w:r>
          </w:p>
          <w:bookmarkEnd w:id="138"/>
        </w:tc>
      </w:tr>
    </w:tbl>
    <w:p>
      <w:pPr>
        <w:pStyle w:val="BodyText"/>
      </w:pPr>
      <w:r>
        <w:t xml:space="preserve">Here is how to understand graphs like</w:t>
      </w:r>
      <w:r>
        <w:t xml:space="preserve"> </w:t>
      </w:r>
      <w:hyperlink w:anchor="fig-subgame-example">
        <w:r>
          <w:rPr>
            <w:rStyle w:val="Hyperlink"/>
          </w:rPr>
          <w:t xml:space="preserve">Figure 7.1</w:t>
        </w:r>
      </w:hyperlink>
      <w:r>
        <w:t xml:space="preserve">. The circles are nodes where one or other player (Chooser, Demon, or Nature) has to make a choice. The open circle, here at the top of the tree, is the first such choice. Where possible, I’ll draw trees where later choices are lower on the page than earlier choices, but this isn’t always possible. What is always the case is that the open circle is the opening move. The small square nodes are terminal nodes; at that point the game ends, and Chooser collects their payout.</w:t>
      </w:r>
    </w:p>
    <w:p>
      <w:pPr>
        <w:pStyle w:val="BodyText"/>
      </w:pPr>
      <w:r>
        <w:t xml:space="preserve">The strategic form of this game is given in</w:t>
      </w:r>
      <w:r>
        <w:t xml:space="preserve"> </w:t>
      </w:r>
      <w:hyperlink w:anchor="tbl-subgame-example">
        <w:r>
          <w:rPr>
            <w:rStyle w:val="Hyperlink"/>
          </w:rPr>
          <w:t xml:space="preserve">Table 7.1</w:t>
        </w:r>
      </w:hyperlink>
      <w:r>
        <w:t xml:space="preserve">. Demon clearly has two strategies, PA and PB. But Chooser has four; since they have to plan for a binary choice in two possibilities. I’ve written LXRY for the strategy of doing X on the left hand part of the tree, i.e., if Demon predicts A, and doing Y on the right hand part of the tree, i.e., if Demon predicts B.</w:t>
      </w:r>
    </w:p>
    <w:tbl>
      <w:tblPr>
        <w:tblStyle w:val="Table"/>
        <w:tblW w:type="pct" w:w="5000"/>
        <w:tblLook w:firstRow="0" w:lastRow="0" w:firstColumn="0" w:lastColumn="0" w:noHBand="0" w:noVBand="0" w:val="0000"/>
        <w:jc w:val="start"/>
        <w:tblLayout w:type="fixed"/>
      </w:tblPr>
      <w:tblGrid>
        <w:gridCol w:w="7920"/>
      </w:tblGrid>
      <w:tr>
        <w:tc>
          <w:tcPr/>
          <w:bookmarkStart w:id="139" w:name="tbl-subgame-example"/>
          <w:p>
            <w:pPr>
              <w:jc w:val="center"/>
            </w:pPr>
            <w:pPr>
              <w:jc w:val="start"/>
              <w:spacing w:before="200"/>
              <w:pStyle w:val="ImageCaption"/>
            </w:pPr>
            <w:r>
              <w:t xml:space="preserve">Table 7.1: Strategic form of the Non-Equivalence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PA</w:t>
                  </w:r>
                </w:p>
              </w:tc>
              <w:tc>
                <w:tcPr/>
                <w:p>
                  <w:pPr>
                    <w:pStyle w:val="Compact"/>
                    <w:jc w:val="center"/>
                    <w:jc w:val="center"/>
                  </w:pPr>
                  <w:r>
                    <w:t xml:space="preserve">PB</w:t>
                  </w:r>
                </w:p>
              </w:tc>
            </w:tr>
            <w:tr>
              <w:tc>
                <w:tcPr/>
                <w:p>
                  <w:pPr>
                    <w:pStyle w:val="Compact"/>
                    <w:jc w:val="center"/>
                    <w:jc w:val="center"/>
                  </w:pPr>
                  <w:r>
                    <w:rPr>
                      <w:bCs/>
                      <w:b/>
                    </w:rPr>
                    <w:t xml:space="preserve">LARA</w:t>
                  </w:r>
                </w:p>
              </w:tc>
              <w:tc>
                <w:tcPr/>
                <w:p>
                  <w:pPr>
                    <w:pStyle w:val="Compact"/>
                    <w:jc w:val="center"/>
                    <w:jc w:val="center"/>
                  </w:pPr>
                  <w:r>
                    <w:t xml:space="preserve">2</w:t>
                  </w:r>
                </w:p>
              </w:tc>
              <w:tc>
                <w:tcPr/>
                <w:p>
                  <w:pPr>
                    <w:pStyle w:val="Compact"/>
                    <w:jc w:val="center"/>
                    <w:jc w:val="center"/>
                  </w:pPr>
                  <w:r>
                    <w:t xml:space="preserve">0</w:t>
                  </w:r>
                </w:p>
              </w:tc>
            </w:tr>
            <w:tr>
              <w:tc>
                <w:tcPr/>
                <w:p>
                  <w:pPr>
                    <w:pStyle w:val="Compact"/>
                    <w:jc w:val="center"/>
                    <w:jc w:val="center"/>
                  </w:pPr>
                  <w:r>
                    <w:rPr>
                      <w:bCs/>
                      <w:b/>
                    </w:rPr>
                    <w:t xml:space="preserve">LARB</w:t>
                  </w:r>
                </w:p>
              </w:tc>
              <w:tc>
                <w:tcPr/>
                <w:p>
                  <w:pPr>
                    <w:pStyle w:val="Compact"/>
                    <w:jc w:val="center"/>
                    <w:jc w:val="center"/>
                  </w:pPr>
                  <w:r>
                    <w:t xml:space="preserve">2</w:t>
                  </w:r>
                </w:p>
              </w:tc>
              <w:tc>
                <w:tcPr/>
                <w:p>
                  <w:pPr>
                    <w:pStyle w:val="Compact"/>
                    <w:jc w:val="center"/>
                    <w:jc w:val="center"/>
                  </w:pPr>
                  <w:r>
                    <w:t xml:space="preserve">1</w:t>
                  </w:r>
                </w:p>
              </w:tc>
            </w:tr>
            <w:tr>
              <w:tc>
                <w:tcPr/>
                <w:p>
                  <w:pPr>
                    <w:pStyle w:val="Compact"/>
                    <w:jc w:val="center"/>
                    <w:jc w:val="center"/>
                  </w:pPr>
                  <w:r>
                    <w:rPr>
                      <w:bCs/>
                      <w:b/>
                    </w:rPr>
                    <w:t xml:space="preserve">LBRA</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rPr>
                      <w:bCs/>
                      <w:b/>
                    </w:rPr>
                    <w:t xml:space="preserve">LBRB</w:t>
                  </w:r>
                </w:p>
              </w:tc>
              <w:tc>
                <w:tcPr/>
                <w:p>
                  <w:pPr>
                    <w:pStyle w:val="Compact"/>
                    <w:jc w:val="center"/>
                    <w:jc w:val="center"/>
                  </w:pPr>
                  <w:r>
                    <w:t xml:space="preserve">0</w:t>
                  </w:r>
                </w:p>
              </w:tc>
              <w:tc>
                <w:tcPr/>
                <w:p>
                  <w:pPr>
                    <w:pStyle w:val="Compact"/>
                    <w:jc w:val="center"/>
                    <w:jc w:val="center"/>
                  </w:pPr>
                  <w:r>
                    <w:t xml:space="preserve">1</w:t>
                  </w:r>
                </w:p>
              </w:tc>
            </w:tr>
          </w:tbl>
          <w:bookmarkEnd w:id="139"/>
          <w:p/>
        </w:tc>
      </w:tr>
    </w:tbl>
    <w:p>
      <w:pPr>
        <w:pStyle w:val="BodyText"/>
      </w:pPr>
      <w:r>
        <w:t xml:space="preserve">The argument against Strategic Form - Extensive Form Equivalence is now fairly simple. In</w:t>
      </w:r>
      <w:r>
        <w:t xml:space="preserve"> </w:t>
      </w:r>
      <w:hyperlink w:anchor="fig-subgame-example">
        <w:r>
          <w:rPr>
            <w:rStyle w:val="Hyperlink"/>
          </w:rPr>
          <w:t xml:space="preserve">Figure 7.1</w:t>
        </w:r>
      </w:hyperlink>
      <w:r>
        <w:t xml:space="preserve">, there is only one rational choice: LARB. Whatever happens, Chooser has an option between getting something and getting nothing, and it’s better to get something than nothing. But in</w:t>
      </w:r>
      <w:r>
        <w:t xml:space="preserve"> </w:t>
      </w:r>
      <w:hyperlink w:anchor="tbl-subgame-example">
        <w:r>
          <w:rPr>
            <w:rStyle w:val="Hyperlink"/>
          </w:rPr>
          <w:t xml:space="preserve">Table 7.1</w:t>
        </w:r>
      </w:hyperlink>
      <w:r>
        <w:t xml:space="preserve">, there are many rational choices. The pair of Chooser playing LARA and Demon playing PA is a Nash equilibrium. If one’s theory of rational choice for strategic games is that any Nash equilibrium is rational, then playing LARA in</w:t>
      </w:r>
      <w:r>
        <w:t xml:space="preserve"> </w:t>
      </w:r>
      <w:hyperlink w:anchor="tbl-subgame-example">
        <w:r>
          <w:rPr>
            <w:rStyle w:val="Hyperlink"/>
          </w:rPr>
          <w:t xml:space="preserve">Table 7.1</w:t>
        </w:r>
      </w:hyperlink>
      <w:r>
        <w:t xml:space="preserve"> </w:t>
      </w:r>
      <w:r>
        <w:t xml:space="preserve">is rational. Hence different strategies are rational in</w:t>
      </w:r>
      <w:r>
        <w:t xml:space="preserve"> </w:t>
      </w:r>
      <w:hyperlink w:anchor="fig-subgame-example">
        <w:r>
          <w:rPr>
            <w:rStyle w:val="Hyperlink"/>
          </w:rPr>
          <w:t xml:space="preserve">Figure 7.1</w:t>
        </w:r>
      </w:hyperlink>
      <w:r>
        <w:t xml:space="preserve"> </w:t>
      </w:r>
      <w:r>
        <w:t xml:space="preserve">and</w:t>
      </w:r>
      <w:r>
        <w:t xml:space="preserve"> </w:t>
      </w:r>
      <w:hyperlink w:anchor="tbl-subgame-example">
        <w:r>
          <w:rPr>
            <w:rStyle w:val="Hyperlink"/>
          </w:rPr>
          <w:t xml:space="preserve">Table 7.1</w:t>
        </w:r>
      </w:hyperlink>
      <w:r>
        <w:t xml:space="preserve">, so Equivalence fails.</w:t>
      </w:r>
    </w:p>
    <w:p>
      <w:pPr>
        <w:pStyle w:val="BodyText"/>
      </w:pPr>
      <w:r>
        <w:t xml:space="preserve">There are a bunch of ways one could reply to this. One could argue that in fact LARA is rational in</w:t>
      </w:r>
      <w:r>
        <w:t xml:space="preserve"> </w:t>
      </w:r>
      <w:hyperlink w:anchor="fig-subgame-example">
        <w:r>
          <w:rPr>
            <w:rStyle w:val="Hyperlink"/>
          </w:rPr>
          <w:t xml:space="preserve">Figure 7.1</w:t>
        </w:r>
      </w:hyperlink>
      <w:r>
        <w:t xml:space="preserve">. We’ll see a theory that says that in</w:t>
      </w:r>
      <w:r>
        <w:t xml:space="preserve"> </w:t>
      </w:r>
      <w:hyperlink w:anchor="sec-against-pure-strategy">
        <w:r>
          <w:rPr>
            <w:rStyle w:val="Hyperlink"/>
          </w:rPr>
          <w:t xml:space="preserve">Section 7.4</w:t>
        </w:r>
      </w:hyperlink>
      <w:r>
        <w:t xml:space="preserve">. One could argue that LARB is the only rational play in</w:t>
      </w:r>
      <w:r>
        <w:t xml:space="preserve"> </w:t>
      </w:r>
      <w:hyperlink w:anchor="tbl-subgame-example">
        <w:r>
          <w:rPr>
            <w:rStyle w:val="Hyperlink"/>
          </w:rPr>
          <w:t xml:space="preserve">Table 7.1</w:t>
        </w:r>
      </w:hyperlink>
      <w:r>
        <w:t xml:space="preserve">. This possibility complicates the dialectic around here, because while GDT</w:t>
      </w:r>
      <w:r>
        <w:t xml:space="preserve"> </w:t>
      </w:r>
      <w:r>
        <w:rPr>
          <w:iCs/>
          <w:i/>
        </w:rPr>
        <w:t xml:space="preserve">rejects</w:t>
      </w:r>
      <w:r>
        <w:t xml:space="preserve"> </w:t>
      </w:r>
      <w:r>
        <w:t xml:space="preserve">Equivalence, it also rejects this example. It agrees that LARB is the only rational choice in</w:t>
      </w:r>
      <w:r>
        <w:t xml:space="preserve"> </w:t>
      </w:r>
      <w:hyperlink w:anchor="tbl-subgame-example">
        <w:r>
          <w:rPr>
            <w:rStyle w:val="Hyperlink"/>
          </w:rPr>
          <w:t xml:space="preserve">Table 7.1</w:t>
        </w:r>
      </w:hyperlink>
      <w:r>
        <w:t xml:space="preserve">, because it weakly dominates LARA.</w:t>
      </w:r>
      <w:r>
        <w:rPr>
          <w:rStyle w:val="FootnoteReference"/>
        </w:rPr>
        <w:footnoteReference w:id="140"/>
      </w:r>
      <w:r>
        <w:t xml:space="preserve"> </w:t>
      </w:r>
      <w:r>
        <w:t xml:space="preserve">The examples that motivate rejecting Equivalence within GDT are more complicated, and I’ll come back to them in</w:t>
      </w:r>
      <w:r>
        <w:t xml:space="preserve"> </w:t>
      </w:r>
      <w:hyperlink w:anchor="sec-against-equivalence">
        <w:r>
          <w:rPr>
            <w:rStyle w:val="Hyperlink"/>
          </w:rPr>
          <w:t xml:space="preserve">Section 7.3</w:t>
        </w:r>
      </w:hyperlink>
      <w:r>
        <w:t xml:space="preserve">.</w:t>
      </w:r>
    </w:p>
    <w:p>
      <w:pPr>
        <w:pStyle w:val="BodyText"/>
      </w:pPr>
      <w:r>
        <w:t xml:space="preserve">Note that to save Equivalence, it’s not enough to merely deny that there are multiple permissible moves in</w:t>
      </w:r>
      <w:r>
        <w:t xml:space="preserve"> </w:t>
      </w:r>
      <w:hyperlink w:anchor="tbl-subgame-example">
        <w:r>
          <w:rPr>
            <w:rStyle w:val="Hyperlink"/>
          </w:rPr>
          <w:t xml:space="preserve">Table 7.1</w:t>
        </w:r>
      </w:hyperlink>
      <w:r>
        <w:t xml:space="preserve">. Evidential Decision Theory says that there is only one rational move in that game, and it’s LARA. That has an expected return of 2, while LARB has an expected return of 1.5. But EDT agrees that in</w:t>
      </w:r>
      <w:r>
        <w:t xml:space="preserve"> </w:t>
      </w:r>
      <w:hyperlink w:anchor="fig-subgame-example">
        <w:r>
          <w:rPr>
            <w:rStyle w:val="Hyperlink"/>
          </w:rPr>
          <w:t xml:space="preserve">Figure 7.1</w:t>
        </w:r>
      </w:hyperlink>
      <w:r>
        <w:t xml:space="preserve">, the only rational strategy is LARB. So EDT agrees with the game theory textbooks that this is a counterexample to Equivalence, even though it disagrees about why it is a counterexample.</w:t>
      </w:r>
    </w:p>
    <w:bookmarkEnd w:id="141"/>
    <w:bookmarkEnd w:id="142"/>
    <w:bookmarkStart w:id="149" w:name="sec-four-options"/>
    <w:p>
      <w:pPr>
        <w:pStyle w:val="Heading2"/>
      </w:pPr>
      <w:r>
        <w:t xml:space="preserve">7.2 Four Options</w:t>
      </w:r>
    </w:p>
    <w:bookmarkStart w:id="146" w:name="sec-contestants"/>
    <w:p>
      <w:pPr>
        <w:pStyle w:val="Heading3"/>
      </w:pPr>
      <w:r>
        <w:t xml:space="preserve">7.2.1 Introducing the Contestants</w:t>
      </w:r>
    </w:p>
    <w:p>
      <w:pPr>
        <w:pStyle w:val="FirstParagraph"/>
      </w:pPr>
      <w:r>
        <w:t xml:space="preserve">I’ve already briefly alluded to these, but it’s time to set out in more detail the four approaches to dynamic choice that I’ll consider at greater length over this chapter.</w:t>
      </w:r>
    </w:p>
    <w:p>
      <w:pPr>
        <w:pStyle w:val="BodyText"/>
      </w:pPr>
      <w:r>
        <w:rPr>
          <w:bCs/>
          <w:b/>
        </w:rPr>
        <w:t xml:space="preserve">Purely Strategic</w:t>
      </w:r>
      <w:r>
        <w:t xml:space="preserve"> </w:t>
      </w:r>
      <w:r>
        <w:t xml:space="preserve">approaches say that Chooser uses decision theory to choose a strategy, and then implements that strategy at each node. This is sometimes known in philosophy as the resolute approach to decision theory.</w:t>
      </w:r>
      <w:r>
        <w:rPr>
          <w:rStyle w:val="FootnoteReference"/>
        </w:rPr>
        <w:footnoteReference w:id="143"/>
      </w:r>
      <w:r>
        <w:t xml:space="preserve"> </w:t>
      </w:r>
      <w:r>
        <w:t xml:space="preserve">In a finite game, there will be finitely many strategies. This finite number may be very large, but it can be calculated. And similarly there are finitely many strategies for each of the non-human players, and Chooser can work out the conditional probability for each such strategy given their choice of strategy. So we have a very large, but finite, game, and most decision theories on the market in philosophy will have something to say about what Chooser should do in this large game. All that’s then left to do is to carry the strategy out.</w:t>
      </w:r>
    </w:p>
    <w:p>
      <w:pPr>
        <w:pStyle w:val="BodyText"/>
      </w:pPr>
      <w:r>
        <w:rPr>
          <w:bCs/>
          <w:b/>
        </w:rPr>
        <w:t xml:space="preserve">Purely Consequentialist</w:t>
      </w:r>
      <w:r>
        <w:t xml:space="preserve"> </w:t>
      </w:r>
      <w:r>
        <w:t xml:space="preserve">approaches say that Chooser will consider every decision at a node on its own merits, solely thinking about the consequences of that particular decision. This is sometimes called the</w:t>
      </w:r>
      <w:r>
        <w:t xml:space="preserve"> </w:t>
      </w:r>
      <w:r>
        <w:t xml:space="preserve">‘</w:t>
      </w:r>
      <w:r>
        <w:t xml:space="preserve">sophisticated</w:t>
      </w:r>
      <w:r>
        <w:t xml:space="preserve">’</w:t>
      </w:r>
      <w:r>
        <w:t xml:space="preserve"> </w:t>
      </w:r>
      <w:r>
        <w:t xml:space="preserve">approach to dynamic choice in philosophical discussions, but I prefer calling it the Purely Consequentialist approach. I don’t like the implicit endorsement in calling something sophisticated, and given that I’ve already called the rival approach strategic, having two names starting with the same letter is bad. The name I’m using echoes the influential understanding of consequentialism in</w:t>
      </w:r>
      <w:r>
        <w:t xml:space="preserve"> </w:t>
      </w:r>
      <w:r>
        <w:t xml:space="preserve">Hammond (1988)</w:t>
      </w:r>
      <w:r>
        <w:t xml:space="preserve">. And it gets at what is important about the view; that it rules out looking back.</w:t>
      </w:r>
    </w:p>
    <w:p>
      <w:pPr>
        <w:pStyle w:val="BodyText"/>
      </w:pPr>
      <w:r>
        <w:t xml:space="preserve">If Chooser is Purely Consequentialist and they face a series of choices, they will work backwards.</w:t>
      </w:r>
      <w:r>
        <w:rPr>
          <w:rStyle w:val="FootnoteReference"/>
        </w:rPr>
        <w:footnoteReference w:id="144"/>
      </w:r>
      <w:r>
        <w:t xml:space="preserve"> </w:t>
      </w:r>
      <w:r>
        <w:t xml:space="preserve">They will work out what they will do at terminal stages of the game, i.e., at stages where they will have no more decisions whatever they do. When they are making a decision at a non-terminal stage, they will treat their own future decisions as something to be predicted, not planned for. So they will have a probability distribution over the possible choices, and act as if Nature is (randomly) selecting which choice. Now we’ve stipulated that Chooser knows they will be rational in future stages, so in cases where there is only one rational choice, Chooser will assign probability 1 to them making that choice, and 0 to the alternatives. But in the cases where there are multiple options that are rationally permissible, this probability assignment might be more interesting, and I’ll have more to say in</w:t>
      </w:r>
      <w:r>
        <w:t xml:space="preserve"> </w:t>
      </w:r>
      <w:hyperlink w:anchor="sec-against-pure-consequence">
        <w:r>
          <w:rPr>
            <w:rStyle w:val="Hyperlink"/>
          </w:rPr>
          <w:t xml:space="preserve">Section 7.5</w:t>
        </w:r>
      </w:hyperlink>
      <w:r>
        <w:t xml:space="preserve"> </w:t>
      </w:r>
      <w:r>
        <w:t xml:space="preserve">about the effects of this.</w:t>
      </w:r>
    </w:p>
    <w:p>
      <w:pPr>
        <w:pStyle w:val="BodyText"/>
      </w:pPr>
      <w:r>
        <w:rPr>
          <w:bCs/>
          <w:b/>
        </w:rPr>
        <w:t xml:space="preserve">Equivalence</w:t>
      </w:r>
      <w:r>
        <w:t xml:space="preserve"> </w:t>
      </w:r>
      <w:r>
        <w:t xml:space="preserve">approaches say that Chooser does not have to adopt one or other of these approaches, because once we have the right theory of choice in one-shot games, it will turn out that the two approaches issue in the same verdicts. That is, it will turn out that Strategic Form - Normal Form Equivalence is true. Robert</w:t>
      </w:r>
      <w:r>
        <w:t xml:space="preserve"> </w:t>
      </w:r>
      <w:r>
        <w:t xml:space="preserve">Stalnaker (1999)</w:t>
      </w:r>
      <w:r>
        <w:t xml:space="preserve"> </w:t>
      </w:r>
      <w:r>
        <w:t xml:space="preserve">defends this view in game theory. I’ll argue that the differences between demonic decisions problems and games are just big enough that his defence can’t be adopted to the puzzles I’m looking at.</w:t>
      </w:r>
      <w:r>
        <w:rPr>
          <w:rStyle w:val="FootnoteReference"/>
        </w:rPr>
        <w:footnoteReference w:id="145"/>
      </w:r>
    </w:p>
    <w:p>
      <w:pPr>
        <w:pStyle w:val="BodyText"/>
      </w:pPr>
      <w:r>
        <w:t xml:space="preserve">Finally, the</w:t>
      </w:r>
      <w:r>
        <w:t xml:space="preserve"> </w:t>
      </w:r>
      <w:r>
        <w:rPr>
          <w:bCs/>
          <w:b/>
        </w:rPr>
        <w:t xml:space="preserve">Dual Mandate</w:t>
      </w:r>
      <w:r>
        <w:t xml:space="preserve"> </w:t>
      </w:r>
      <w:r>
        <w:t xml:space="preserve">approach says that both of the first two approaches were partly correct. Both of them correctly state necessary conditions for rational action. Where they go wrong is the</w:t>
      </w:r>
      <w:r>
        <w:t xml:space="preserve"> </w:t>
      </w:r>
      <w:r>
        <w:t xml:space="preserve">‘</w:t>
      </w:r>
      <w:r>
        <w:t xml:space="preserve">pure</w:t>
      </w:r>
      <w:r>
        <w:t xml:space="preserve">’</w:t>
      </w:r>
      <w:r>
        <w:t xml:space="preserve"> </w:t>
      </w:r>
      <w:r>
        <w:t xml:space="preserve">part, i.e., by saying that these are sufficient conditions for rational action. And that’s what GDT says, and what I’m going to defend.</w:t>
      </w:r>
    </w:p>
    <w:bookmarkEnd w:id="146"/>
    <w:bookmarkStart w:id="147" w:name="sec-four-pictures"/>
    <w:p>
      <w:pPr>
        <w:pStyle w:val="Heading3"/>
      </w:pPr>
      <w:r>
        <w:t xml:space="preserve">7.2.2 Picturing the Views</w:t>
      </w:r>
    </w:p>
    <w:p>
      <w:pPr>
        <w:pStyle w:val="FirstParagraph"/>
      </w:pPr>
      <w:r>
        <w:t xml:space="preserve">Chooser has to act now, and which action is best depends in part on what they’ll do tomorrow? How should they think of tomorrow’s action?</w:t>
      </w:r>
    </w:p>
    <w:p>
      <w:pPr>
        <w:pStyle w:val="BodyText"/>
      </w:pPr>
      <w:r>
        <w:t xml:space="preserve">Not as something they can control; they are a free and rational agent, who can’t simply be bound.</w:t>
      </w:r>
    </w:p>
    <w:p>
      <w:pPr>
        <w:pStyle w:val="BodyText"/>
      </w:pPr>
      <w:r>
        <w:t xml:space="preserve">Not as something like the weather that they can merely predict; they don’t see themselves as simply a thing to be predicted.</w:t>
      </w:r>
    </w:p>
    <w:p>
      <w:pPr>
        <w:pStyle w:val="BodyText"/>
      </w:pPr>
      <w:r>
        <w:t xml:space="preserve">Quote Stalnaker at length, can’t remember which paper.</w:t>
      </w:r>
    </w:p>
    <w:p>
      <w:pPr>
        <w:pStyle w:val="BodyText"/>
      </w:pPr>
      <w:r>
        <w:t xml:space="preserve">Agree - we need something in between.</w:t>
      </w:r>
    </w:p>
    <w:p>
      <w:pPr>
        <w:pStyle w:val="BodyText"/>
      </w:pPr>
      <w:r>
        <w:t xml:space="preserve">Strategic views as Strangelove; I bind myself into a position, the position that I would most like to be bound into.</w:t>
      </w:r>
    </w:p>
    <w:p>
      <w:pPr>
        <w:pStyle w:val="BodyText"/>
      </w:pPr>
      <w:r>
        <w:t xml:space="preserve">Consequentialist views as Zaphod; future me is just this guy.</w:t>
      </w:r>
    </w:p>
    <w:p>
      <w:pPr>
        <w:pStyle w:val="BodyText"/>
      </w:pPr>
      <w:r>
        <w:t xml:space="preserve">Neither is good.</w:t>
      </w:r>
    </w:p>
    <w:bookmarkEnd w:id="147"/>
    <w:bookmarkStart w:id="148" w:name="sec-binding"/>
    <w:p>
      <w:pPr>
        <w:pStyle w:val="Heading3"/>
      </w:pPr>
      <w:r>
        <w:t xml:space="preserve">7.2.3 Binding</w:t>
      </w:r>
    </w:p>
    <w:p>
      <w:pPr>
        <w:pStyle w:val="FirstParagraph"/>
      </w:pPr>
      <w:r>
        <w:t xml:space="preserve">Is it part of our theory of rationality that people can bind themselves?</w:t>
      </w:r>
    </w:p>
    <w:p>
      <w:pPr>
        <w:pStyle w:val="BodyText"/>
      </w:pPr>
      <w:r>
        <w:t xml:space="preserve">Quote Spencer on this.</w:t>
      </w:r>
    </w:p>
    <w:p>
      <w:pPr>
        <w:pStyle w:val="BodyText"/>
      </w:pPr>
      <w:r>
        <w:t xml:space="preserve">Not a great argument; even if we can’t bind, maybe ideal people can.</w:t>
      </w:r>
    </w:p>
    <w:p>
      <w:pPr>
        <w:pStyle w:val="BodyText"/>
      </w:pPr>
      <w:r>
        <w:t xml:space="preserve">But it seems, and this is a judgment call, that we don’t get any extra explanatory power from doing that. Maybe we do, but most people will give up on plans that they are sure have failed, if the stakes are high enough.</w:t>
      </w:r>
    </w:p>
    <w:p>
      <w:pPr>
        <w:pStyle w:val="BodyText"/>
      </w:pPr>
      <w:r>
        <w:t xml:space="preserve">GDT view: people can bind themselves to plans that make sense. If asked now whether I want to bet on heads or tails in an hour, I can bind myself to heads. I can form an intention, in the Bratman-Holton sense, to bet on heads, and simply carry it out. What was permissible, betting on tails, becomes impermissible. That seems to be possible, and add predictive weight.</w:t>
      </w:r>
    </w:p>
    <w:p>
      <w:pPr>
        <w:pStyle w:val="BodyText"/>
      </w:pPr>
      <w:r>
        <w:t xml:space="preserve">In normal theories, this is just a weird edge case. Who cares? But for GDT, it’s the main case, since there are lots of times there are multiple permissible options.</w:t>
      </w:r>
    </w:p>
    <w:bookmarkEnd w:id="148"/>
    <w:bookmarkEnd w:id="149"/>
    <w:bookmarkStart w:id="159" w:name="sec-against-equivalence"/>
    <w:p>
      <w:pPr>
        <w:pStyle w:val="Heading2"/>
      </w:pPr>
      <w:r>
        <w:t xml:space="preserve">7.3 Against Equivalence</w:t>
      </w:r>
    </w:p>
    <w:p>
      <w:pPr>
        <w:pStyle w:val="FirstParagraph"/>
      </w:pPr>
      <w:r>
        <w:t xml:space="preserve">I’ll start with arguing against Equivalence. This is the view that we don’t have to choose between Strategic and Consequentialist approaches to dynamic choice, because once we get the details of each theory right, we’ll see that they are equivalent.</w:t>
      </w:r>
    </w:p>
    <w:p>
      <w:pPr>
        <w:pStyle w:val="BodyText"/>
      </w:pPr>
      <w:r>
        <w:t xml:space="preserve">Earlier I mentioned that this is usually rejected in game theory textbooks on the basis of examples like</w:t>
      </w:r>
      <w:r>
        <w:t xml:space="preserve"> </w:t>
      </w:r>
      <w:hyperlink w:anchor="fig-subgame-example">
        <w:r>
          <w:rPr>
            <w:rStyle w:val="Hyperlink"/>
          </w:rPr>
          <w:t xml:space="preserve">Figure 7.1</w:t>
        </w:r>
      </w:hyperlink>
      <w:r>
        <w:t xml:space="preserve"> </w:t>
      </w:r>
      <w:r>
        <w:t xml:space="preserve">and</w:t>
      </w:r>
      <w:r>
        <w:t xml:space="preserve"> </w:t>
      </w:r>
      <w:hyperlink w:anchor="tbl-subgame-example">
        <w:r>
          <w:rPr>
            <w:rStyle w:val="Hyperlink"/>
          </w:rPr>
          <w:t xml:space="preserve">Table 7.1</w:t>
        </w:r>
      </w:hyperlink>
      <w:r>
        <w:t xml:space="preserve">. The strategic form of that game has a Nash equilibrium that seems obviously bad to play in the extensive form of the game.</w:t>
      </w:r>
    </w:p>
    <w:p>
      <w:pPr>
        <w:pStyle w:val="BodyText"/>
      </w:pPr>
      <w:r>
        <w:t xml:space="preserve">This is a bad argument against equivalence because it’s easy to fix the theory of strategic choice to avoid the problem. If we say that weakly dominated strategies are not choice-worthy, then the strategies that can be rationally chosen in</w:t>
      </w:r>
      <w:r>
        <w:t xml:space="preserve"> </w:t>
      </w:r>
      <w:hyperlink w:anchor="tbl-subgame-example">
        <w:r>
          <w:rPr>
            <w:rStyle w:val="Hyperlink"/>
          </w:rPr>
          <w:t xml:space="preserve">Table 7.1</w:t>
        </w:r>
      </w:hyperlink>
      <w:r>
        <w:t xml:space="preserve"> </w:t>
      </w:r>
      <w:r>
        <w:t xml:space="preserve">are exactly the strategies that can be rationally played in</w:t>
      </w:r>
      <w:r>
        <w:t xml:space="preserve"> </w:t>
      </w:r>
      <w:hyperlink w:anchor="fig-subgame-example">
        <w:r>
          <w:rPr>
            <w:rStyle w:val="Hyperlink"/>
          </w:rPr>
          <w:t xml:space="preserve">Figure 7.1</w:t>
        </w:r>
      </w:hyperlink>
      <w:r>
        <w:t xml:space="preserve">.</w:t>
      </w:r>
    </w:p>
    <w:p>
      <w:pPr>
        <w:pStyle w:val="BodyText"/>
      </w:pPr>
      <w:r>
        <w:t xml:space="preserve">But this only shows that this example is not a counterexample to Equivalence. It could be that there are other cases that are counterexamples.</w:t>
      </w:r>
      <w:r>
        <w:t xml:space="preserve"> </w:t>
      </w:r>
      <w:hyperlink w:anchor="fig-stalnaker-centipede">
        <w:r>
          <w:rPr>
            <w:rStyle w:val="Hyperlink"/>
          </w:rPr>
          <w:t xml:space="preserve">Figure 7.2</w:t>
        </w:r>
      </w:hyperlink>
      <w:r>
        <w:t xml:space="preserve"> </w:t>
      </w:r>
      <w:r>
        <w:t xml:space="preserve">is the game tree (in the sense described in</w:t>
      </w:r>
      <w:r>
        <w:t xml:space="preserve"> </w:t>
      </w:r>
      <w:hyperlink w:anchor="sec-decision-tree">
        <w:r>
          <w:rPr>
            <w:rStyle w:val="Hyperlink"/>
          </w:rPr>
          <w:t xml:space="preserve">Section 7.1.1</w:t>
        </w:r>
      </w:hyperlink>
      <w:r>
        <w:t xml:space="preserve">) for one such example.</w:t>
      </w:r>
    </w:p>
    <w:tbl>
      <w:tblPr>
        <w:tblStyle w:val="Table"/>
        <w:tblW w:type="pct" w:w="5000"/>
        <w:tblLook w:firstRow="0" w:lastRow="0" w:firstColumn="0" w:lastColumn="0" w:noHBand="0" w:noVBand="0" w:val="0000"/>
        <w:jc w:val="start"/>
        <w:tblLayout w:type="fixed"/>
      </w:tblPr>
      <w:tblGrid>
        <w:gridCol w:w="7920"/>
      </w:tblGrid>
      <w:tr>
        <w:tc>
          <w:tcPr/>
          <w:bookmarkStart w:id="153" w:name="fig-stalnaker-centipede"/>
          <w:p>
            <w:pPr>
              <w:pStyle w:val="Compact"/>
              <w:jc w:val="center"/>
            </w:pPr>
            <w:r>
              <w:drawing>
                <wp:inline>
                  <wp:extent cx="3422119" cy="1367012"/>
                  <wp:effectExtent b="0" l="0" r="0" t="0"/>
                  <wp:docPr descr="" title="" id="151" name="Picture"/>
                  <a:graphic>
                    <a:graphicData uri="http://schemas.openxmlformats.org/drawingml/2006/picture">
                      <pic:pic>
                        <pic:nvPicPr>
                          <pic:cNvPr descr="dual_files/figure-docx/fig-stalnaker-centipede-1.png" id="152" name="Picture"/>
                          <pic:cNvPicPr>
                            <a:picLocks noChangeArrowheads="1" noChangeAspect="1"/>
                          </pic:cNvPicPr>
                        </pic:nvPicPr>
                        <pic:blipFill>
                          <a:blip r:embed="rId150"/>
                          <a:stretch>
                            <a:fillRect/>
                          </a:stretch>
                        </pic:blipFill>
                        <pic:spPr bwMode="auto">
                          <a:xfrm>
                            <a:off x="0" y="0"/>
                            <a:ext cx="3422119" cy="13670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7.2: Tree Diagram of the Centipede Game</w:t>
            </w:r>
          </w:p>
          <w:bookmarkEnd w:id="153"/>
        </w:tc>
      </w:tr>
    </w:tbl>
    <w:p>
      <w:pPr>
        <w:pStyle w:val="BodyText"/>
      </w:pPr>
      <w:r>
        <w:t xml:space="preserve">In</w:t>
      </w:r>
      <w:r>
        <w:t xml:space="preserve"> </w:t>
      </w:r>
      <w:hyperlink w:anchor="fig-stalnaker-centipede">
        <w:r>
          <w:rPr>
            <w:rStyle w:val="Hyperlink"/>
          </w:rPr>
          <w:t xml:space="preserve">Figure 7.2</w:t>
        </w:r>
      </w:hyperlink>
      <w:r>
        <w:t xml:space="preserve"> </w:t>
      </w:r>
      <w:r>
        <w:t xml:space="preserve">are three stages, though the game might end at any stage. Chooser is the mover at stage 1 and, if the game gets that far, stage 3. Demon is the mover at stage 2, again if the game gets that far. At stage 1 and 2, if the mover moves down, the game ends. After stage 3, the game ends either way. Chooser’s payouts are given on the tree. Demon’s disposition is to do whatever they predict Chooser will do at stage 3, and they are arbitrarily good at predicting Chooser’s strategy.</w:t>
      </w:r>
      <w:r>
        <w:rPr>
          <w:rStyle w:val="FootnoteReference"/>
        </w:rPr>
        <w:footnoteReference w:id="154"/>
      </w:r>
    </w:p>
    <w:p>
      <w:pPr>
        <w:pStyle w:val="BodyText"/>
      </w:pPr>
      <w:r>
        <w:t xml:space="preserve">In this dynamic game, the only sensible thing for Chooser to do at stage 1 is to play A</w:t>
      </w:r>
      <w:r>
        <w:rPr>
          <w:vertAlign w:val="subscript"/>
        </w:rPr>
        <w:t xml:space="preserve">1</w:t>
      </w:r>
      <w:r>
        <w:t xml:space="preserve">. That’s because they know that if they get to stage 3, they will play A</w:t>
      </w:r>
      <w:r>
        <w:rPr>
          <w:vertAlign w:val="subscript"/>
        </w:rPr>
        <w:t xml:space="preserve">2</w:t>
      </w:r>
      <w:r>
        <w:t xml:space="preserve">, getting 3, rather than D</w:t>
      </w:r>
      <w:r>
        <w:rPr>
          <w:vertAlign w:val="subscript"/>
        </w:rPr>
        <w:t xml:space="preserve">2</w:t>
      </w:r>
      <w:r>
        <w:t xml:space="preserve">, getting 0.</w:t>
      </w:r>
      <w:r>
        <w:rPr>
          <w:rStyle w:val="FootnoteReference"/>
        </w:rPr>
        <w:footnoteReference w:id="155"/>
      </w:r>
      <w:r>
        <w:t xml:space="preserve"> </w:t>
      </w:r>
      <w:r>
        <w:t xml:space="preserve">So they should believe that Demon will predict that they will play A</w:t>
      </w:r>
      <w:r>
        <w:rPr>
          <w:vertAlign w:val="subscript"/>
        </w:rPr>
        <w:t xml:space="preserve">2</w:t>
      </w:r>
      <w:r>
        <w:t xml:space="preserve">, and hence will play a. So they should believe at stage 1 that playing A</w:t>
      </w:r>
      <w:r>
        <w:rPr>
          <w:vertAlign w:val="subscript"/>
        </w:rPr>
        <w:t xml:space="preserve">1</w:t>
      </w:r>
      <w:r>
        <w:t xml:space="preserve"> </w:t>
      </w:r>
      <w:r>
        <w:t xml:space="preserve">will get 3, while playing D</w:t>
      </w:r>
      <w:r>
        <w:rPr>
          <w:vertAlign w:val="subscript"/>
        </w:rPr>
        <w:t xml:space="preserve">1</w:t>
      </w:r>
      <w:r>
        <w:t xml:space="preserve"> </w:t>
      </w:r>
      <w:r>
        <w:t xml:space="preserve">will get 2, so they should play A</w:t>
      </w:r>
      <w:r>
        <w:rPr>
          <w:vertAlign w:val="subscript"/>
        </w:rPr>
        <w:t xml:space="preserve">1</w:t>
      </w:r>
      <w:r>
        <w:t xml:space="preserve"> </w:t>
      </w:r>
      <w:r>
        <w:t xml:space="preserve">at stage 1.</w:t>
      </w:r>
    </w:p>
    <w:p>
      <w:pPr>
        <w:pStyle w:val="BodyText"/>
      </w:pPr>
      <w:r>
        <w:t xml:space="preserve">None of that should be too surprising; it’s the standard backward induction solution of the game.</w:t>
      </w:r>
      <w:r>
        <w:rPr>
          <w:rStyle w:val="FootnoteReference"/>
        </w:rPr>
        <w:footnoteReference w:id="156"/>
      </w:r>
      <w:r>
        <w:t xml:space="preserve"> </w:t>
      </w:r>
      <w:r>
        <w:t xml:space="preserve">But now consider what happens in the strategic form of the game. Chooser has four strategies: A</w:t>
      </w:r>
      <w:r>
        <w:rPr>
          <w:vertAlign w:val="subscript"/>
        </w:rPr>
        <w:t xml:space="preserve">1</w:t>
      </w:r>
      <w:r>
        <w:t xml:space="preserve"> </w:t>
      </w:r>
      <w:r>
        <w:t xml:space="preserve">or D</w:t>
      </w:r>
      <w:r>
        <w:rPr>
          <w:vertAlign w:val="subscript"/>
        </w:rPr>
        <w:t xml:space="preserve">1</w:t>
      </w:r>
      <w:r>
        <w:t xml:space="preserve">, crossed with A</w:t>
      </w:r>
      <w:r>
        <w:rPr>
          <w:vertAlign w:val="subscript"/>
        </w:rPr>
        <w:t xml:space="preserve">2</w:t>
      </w:r>
      <w:r>
        <w:t xml:space="preserve"> </w:t>
      </w:r>
      <w:r>
        <w:t xml:space="preserve">or D</w:t>
      </w:r>
      <w:r>
        <w:rPr>
          <w:vertAlign w:val="subscript"/>
        </w:rPr>
        <w:t xml:space="preserve">2</w:t>
      </w:r>
      <w:r>
        <w:t xml:space="preserve">. Let’s simply give these strategies names, as follows.</w:t>
      </w:r>
    </w:p>
    <w:tbl>
      <w:tblPr>
        <w:tblStyle w:val="Table"/>
        <w:tblW w:type="pct" w:w="5000"/>
        <w:tblLook w:firstRow="0" w:lastRow="0" w:firstColumn="0" w:lastColumn="0" w:noHBand="0" w:noVBand="0" w:val="0000"/>
        <w:jc w:val="start"/>
        <w:tblLayout w:type="fixed"/>
      </w:tblPr>
      <w:tblGrid>
        <w:gridCol w:w="7920"/>
      </w:tblGrid>
      <w:tr>
        <w:tc>
          <w:tcPr/>
          <w:bookmarkStart w:id="157" w:name="tbl-stalnaker-centipede-strategies"/>
          <w:p>
            <w:pPr>
              <w:jc w:val="center"/>
            </w:pPr>
            <w:pPr>
              <w:jc w:val="start"/>
              <w:spacing w:before="200"/>
              <w:pStyle w:val="ImageCaption"/>
            </w:pPr>
            <w:r>
              <w:t xml:space="preserve">Table 7.2: The possible strategies for Chooser in</w:t>
            </w:r>
            <w:r>
              <w:t xml:space="preserve"> </w:t>
            </w:r>
            <w:hyperlink w:anchor="fig-stalnaker-centipede">
              <w:r>
                <w:rPr>
                  <w:rStyle w:val="Hyperlink"/>
                </w:rPr>
                <w:t xml:space="preserve">Figure 7.2</w:t>
              </w:r>
            </w:hyperlink>
            <w: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center"/>
                    <w:jc w:val="center"/>
                  </w:pPr>
                  <w:r>
                    <w:t xml:space="preserve">Strategy</w:t>
                  </w:r>
                </w:p>
              </w:tc>
              <w:tc>
                <w:tcPr/>
                <w:p>
                  <w:pPr>
                    <w:pStyle w:val="Compact"/>
                    <w:jc w:val="center"/>
                    <w:jc w:val="center"/>
                  </w:pPr>
                  <w:r>
                    <w:t xml:space="preserve">Move 1</w:t>
                  </w:r>
                </w:p>
              </w:tc>
              <w:tc>
                <w:tcPr/>
                <w:p>
                  <w:pPr>
                    <w:pStyle w:val="Compact"/>
                    <w:jc w:val="center"/>
                    <w:jc w:val="center"/>
                  </w:pPr>
                  <w:r>
                    <w:t xml:space="preserve">Move 2</w:t>
                  </w:r>
                </w:p>
              </w:tc>
            </w:tr>
            <w:tr>
              <w:tc>
                <w:tcPr/>
                <w:p>
                  <w:pPr>
                    <w:pStyle w:val="Compact"/>
                    <w:jc w:val="center"/>
                    <w:jc w:val="center"/>
                  </w:pPr>
                  <w:r>
                    <w:t xml:space="preserve">S</w:t>
                  </w:r>
                  <w:r>
                    <w:rPr>
                      <w:vertAlign w:val="subscript"/>
                    </w:rPr>
                    <w:t xml:space="preserve">1</w:t>
                  </w:r>
                </w:p>
              </w:tc>
              <w:tc>
                <w:tcPr/>
                <w:p>
                  <w:pPr>
                    <w:pStyle w:val="Compact"/>
                    <w:jc w:val="center"/>
                    <w:jc w:val="center"/>
                  </w:pPr>
                  <w:r>
                    <w:t xml:space="preserve">D</w:t>
                  </w:r>
                  <w:r>
                    <w:rPr>
                      <w:vertAlign w:val="subscript"/>
                    </w:rPr>
                    <w:t xml:space="preserve">1</w:t>
                  </w:r>
                </w:p>
              </w:tc>
              <w:tc>
                <w:tcPr/>
                <w:p>
                  <w:pPr>
                    <w:pStyle w:val="Compact"/>
                    <w:jc w:val="center"/>
                    <w:jc w:val="center"/>
                  </w:pPr>
                  <w:r>
                    <w:t xml:space="preserve">D</w:t>
                  </w:r>
                  <w:r>
                    <w:rPr>
                      <w:vertAlign w:val="subscript"/>
                    </w:rPr>
                    <w:t xml:space="preserve">2</w:t>
                  </w:r>
                </w:p>
              </w:tc>
            </w:tr>
            <w:tr>
              <w:tc>
                <w:tcPr/>
                <w:p>
                  <w:pPr>
                    <w:pStyle w:val="Compact"/>
                    <w:jc w:val="center"/>
                    <w:jc w:val="center"/>
                  </w:pPr>
                  <w:r>
                    <w:t xml:space="preserve">S</w:t>
                  </w:r>
                  <w:r>
                    <w:rPr>
                      <w:vertAlign w:val="subscript"/>
                    </w:rPr>
                    <w:t xml:space="preserve">2</w:t>
                  </w:r>
                </w:p>
              </w:tc>
              <w:tc>
                <w:tcPr/>
                <w:p>
                  <w:pPr>
                    <w:pStyle w:val="Compact"/>
                    <w:jc w:val="center"/>
                    <w:jc w:val="center"/>
                  </w:pPr>
                  <w:r>
                    <w:t xml:space="preserve">D</w:t>
                  </w:r>
                  <w:r>
                    <w:rPr>
                      <w:vertAlign w:val="subscript"/>
                    </w:rPr>
                    <w:t xml:space="preserve">1</w:t>
                  </w:r>
                </w:p>
              </w:tc>
              <w:tc>
                <w:tcPr/>
                <w:p>
                  <w:pPr>
                    <w:pStyle w:val="Compact"/>
                    <w:jc w:val="center"/>
                    <w:jc w:val="center"/>
                  </w:pPr>
                  <w:r>
                    <w:t xml:space="preserve">A</w:t>
                  </w:r>
                  <w:r>
                    <w:rPr>
                      <w:vertAlign w:val="subscript"/>
                    </w:rPr>
                    <w:t xml:space="preserve">2</w:t>
                  </w:r>
                </w:p>
              </w:tc>
            </w:tr>
            <w:tr>
              <w:tc>
                <w:tcPr/>
                <w:p>
                  <w:pPr>
                    <w:pStyle w:val="Compact"/>
                    <w:jc w:val="center"/>
                    <w:jc w:val="center"/>
                  </w:pPr>
                  <w:r>
                    <w:t xml:space="preserve">S</w:t>
                  </w:r>
                  <w:r>
                    <w:rPr>
                      <w:vertAlign w:val="subscript"/>
                    </w:rPr>
                    <w:t xml:space="preserve">3</w:t>
                  </w:r>
                </w:p>
              </w:tc>
              <w:tc>
                <w:tcPr/>
                <w:p>
                  <w:pPr>
                    <w:pStyle w:val="Compact"/>
                    <w:jc w:val="center"/>
                    <w:jc w:val="center"/>
                  </w:pPr>
                  <w:r>
                    <w:t xml:space="preserve">A</w:t>
                  </w:r>
                  <w:r>
                    <w:rPr>
                      <w:vertAlign w:val="subscript"/>
                    </w:rPr>
                    <w:t xml:space="preserve">1</w:t>
                  </w:r>
                </w:p>
              </w:tc>
              <w:tc>
                <w:tcPr/>
                <w:p>
                  <w:pPr>
                    <w:pStyle w:val="Compact"/>
                    <w:jc w:val="center"/>
                    <w:jc w:val="center"/>
                  </w:pPr>
                  <w:r>
                    <w:t xml:space="preserve">D</w:t>
                  </w:r>
                  <w:r>
                    <w:rPr>
                      <w:vertAlign w:val="subscript"/>
                    </w:rPr>
                    <w:t xml:space="preserve">2</w:t>
                  </w:r>
                </w:p>
              </w:tc>
            </w:tr>
            <w:tr>
              <w:tc>
                <w:tcPr/>
                <w:p>
                  <w:pPr>
                    <w:pStyle w:val="Compact"/>
                    <w:jc w:val="center"/>
                    <w:jc w:val="center"/>
                  </w:pPr>
                  <w:r>
                    <w:t xml:space="preserve">S</w:t>
                  </w:r>
                  <w:r>
                    <w:rPr>
                      <w:vertAlign w:val="subscript"/>
                    </w:rPr>
                    <w:t xml:space="preserve">4</w:t>
                  </w:r>
                </w:p>
              </w:tc>
              <w:tc>
                <w:tcPr/>
                <w:p>
                  <w:pPr>
                    <w:pStyle w:val="Compact"/>
                    <w:jc w:val="center"/>
                    <w:jc w:val="center"/>
                  </w:pPr>
                  <w:r>
                    <w:t xml:space="preserve">A</w:t>
                  </w:r>
                  <w:r>
                    <w:rPr>
                      <w:vertAlign w:val="subscript"/>
                    </w:rPr>
                    <w:t xml:space="preserve">1</w:t>
                  </w:r>
                </w:p>
              </w:tc>
              <w:tc>
                <w:tcPr/>
                <w:p>
                  <w:pPr>
                    <w:pStyle w:val="Compact"/>
                    <w:jc w:val="center"/>
                    <w:jc w:val="center"/>
                  </w:pPr>
                  <w:r>
                    <w:t xml:space="preserve">A</w:t>
                  </w:r>
                  <w:r>
                    <w:rPr>
                      <w:vertAlign w:val="subscript"/>
                    </w:rPr>
                    <w:t xml:space="preserve">2</w:t>
                  </w:r>
                </w:p>
              </w:tc>
            </w:tr>
          </w:tbl>
          <w:bookmarkEnd w:id="157"/>
          <w:p/>
        </w:tc>
      </w:tr>
    </w:tbl>
    <w:p>
      <w:pPr>
        <w:pStyle w:val="BodyText"/>
      </w:pPr>
      <w:r>
        <w:t xml:space="preserve">Then Demon has two moves as well, which I’ll call PO and PE. PO means that Demon predicts that Chooser will play an odd numbered strategy, i.e., S</w:t>
      </w:r>
      <w:r>
        <w:rPr>
          <w:vertAlign w:val="subscript"/>
        </w:rPr>
        <w:t xml:space="preserve">1</w:t>
      </w:r>
      <w:r>
        <w:t xml:space="preserve"> </w:t>
      </w:r>
      <w:r>
        <w:t xml:space="preserve">or S</w:t>
      </w:r>
      <w:r>
        <w:rPr>
          <w:vertAlign w:val="subscript"/>
        </w:rPr>
        <w:t xml:space="preserve">3</w:t>
      </w:r>
      <w:r>
        <w:t xml:space="preserve">. That is, Demon predicts that Chooser will play (or be disposed to play) D</w:t>
      </w:r>
      <w:r>
        <w:rPr>
          <w:vertAlign w:val="subscript"/>
        </w:rPr>
        <w:t xml:space="preserve">2</w:t>
      </w:r>
      <w:r>
        <w:t xml:space="preserve">. So PO is equivalent to Demon playing (or being disposed to play) d. PE means that Demon predicts that Chooser will play an even numbered strategy, i.e., S</w:t>
      </w:r>
      <w:r>
        <w:rPr>
          <w:vertAlign w:val="subscript"/>
        </w:rPr>
        <w:t xml:space="preserve">2</w:t>
      </w:r>
      <w:r>
        <w:t xml:space="preserve"> </w:t>
      </w:r>
      <w:r>
        <w:t xml:space="preserve">or S</w:t>
      </w:r>
      <w:r>
        <w:rPr>
          <w:vertAlign w:val="subscript"/>
        </w:rPr>
        <w:t xml:space="preserve">4</w:t>
      </w:r>
      <w:r>
        <w:t xml:space="preserve">. That is, Demon predicts that Chooser will play (or be disposed to play) A</w:t>
      </w:r>
      <w:r>
        <w:rPr>
          <w:vertAlign w:val="subscript"/>
        </w:rPr>
        <w:t xml:space="preserve">2</w:t>
      </w:r>
      <w:r>
        <w:t xml:space="preserve">. So PO is equivalent to Demon playing (or being disposed to play) a. Given that, we can describe the strategic form of the decision problem. That is, we can set out the strategies for Chooser and Demon, and say what payout Chooser gets for each possible pair of choices.</w:t>
      </w:r>
    </w:p>
    <w:tbl>
      <w:tblPr>
        <w:tblStyle w:val="Table"/>
        <w:tblW w:type="pct" w:w="5000"/>
        <w:tblLook w:firstRow="0" w:lastRow="0" w:firstColumn="0" w:lastColumn="0" w:noHBand="0" w:noVBand="0" w:val="0000"/>
        <w:jc w:val="start"/>
        <w:tblLayout w:type="fixed"/>
      </w:tblPr>
      <w:tblGrid>
        <w:gridCol w:w="7920"/>
      </w:tblGrid>
      <w:tr>
        <w:tc>
          <w:tcPr/>
          <w:bookmarkStart w:id="158" w:name="tbl-stalnaker-centipede"/>
          <w:p>
            <w:pPr>
              <w:jc w:val="center"/>
            </w:pPr>
            <w:pPr>
              <w:jc w:val="start"/>
              <w:spacing w:before="200"/>
              <w:pStyle w:val="ImageCaption"/>
            </w:pPr>
            <w:r>
              <w:t xml:space="preserve">Table 7.3: The strategic form of</w:t>
            </w:r>
            <w:r>
              <w:t xml:space="preserve"> </w:t>
            </w:r>
            <w:hyperlink w:anchor="fig-stalnaker-centipede">
              <w:r>
                <w:rPr>
                  <w:rStyle w:val="Hyperlink"/>
                </w:rPr>
                <w:t xml:space="preserve">Figure 7.2</w:t>
              </w:r>
            </w:hyperlink>
            <w: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PO</w:t>
                  </w:r>
                </w:p>
              </w:tc>
              <w:tc>
                <w:tcPr/>
                <w:p>
                  <w:pPr>
                    <w:pStyle w:val="Compact"/>
                    <w:jc w:val="center"/>
                    <w:jc w:val="center"/>
                  </w:pPr>
                  <w:r>
                    <w:t xml:space="preserve">PE</w:t>
                  </w:r>
                </w:p>
              </w:tc>
            </w:tr>
            <w:tr>
              <w:tc>
                <w:tcPr/>
                <w:p>
                  <w:pPr>
                    <w:pStyle w:val="Compact"/>
                    <w:jc w:val="center"/>
                    <w:jc w:val="center"/>
                  </w:pPr>
                  <w:r>
                    <w:rPr>
                      <w:bCs/>
                      <w:b/>
                    </w:rPr>
                    <w:t xml:space="preserve">S</w:t>
                  </w:r>
                  <w:r>
                    <w:rPr>
                      <w:vertAlign w:val="subscript"/>
                      <w:bCs/>
                      <w:b/>
                    </w:rPr>
                    <w:t xml:space="preserve">1</w:t>
                  </w:r>
                </w:p>
              </w:tc>
              <w:tc>
                <w:tcPr/>
                <w:p>
                  <w:pPr>
                    <w:pStyle w:val="Compact"/>
                    <w:jc w:val="center"/>
                    <w:jc w:val="center"/>
                  </w:pPr>
                  <w:r>
                    <w:t xml:space="preserve">2</w:t>
                  </w:r>
                </w:p>
              </w:tc>
              <w:tc>
                <w:tcPr/>
                <w:p>
                  <w:pPr>
                    <w:pStyle w:val="Compact"/>
                    <w:jc w:val="center"/>
                    <w:jc w:val="center"/>
                  </w:pPr>
                  <w:r>
                    <w:t xml:space="preserve">2</w:t>
                  </w:r>
                </w:p>
              </w:tc>
            </w:tr>
            <w:tr>
              <w:tc>
                <w:tcPr/>
                <w:p>
                  <w:pPr>
                    <w:pStyle w:val="Compact"/>
                    <w:jc w:val="center"/>
                    <w:jc w:val="center"/>
                  </w:pPr>
                  <w:r>
                    <w:rPr>
                      <w:bCs/>
                      <w:b/>
                    </w:rPr>
                    <w:t xml:space="preserve">S</w:t>
                  </w:r>
                  <w:r>
                    <w:rPr>
                      <w:vertAlign w:val="subscript"/>
                      <w:bCs/>
                      <w:b/>
                    </w:rPr>
                    <w:t xml:space="preserve">2</w:t>
                  </w:r>
                </w:p>
              </w:tc>
              <w:tc>
                <w:tcPr/>
                <w:p>
                  <w:pPr>
                    <w:pStyle w:val="Compact"/>
                    <w:jc w:val="center"/>
                    <w:jc w:val="center"/>
                  </w:pPr>
                  <w:r>
                    <w:t xml:space="preserve">2</w:t>
                  </w:r>
                </w:p>
              </w:tc>
              <w:tc>
                <w:tcPr/>
                <w:p>
                  <w:pPr>
                    <w:pStyle w:val="Compact"/>
                    <w:jc w:val="center"/>
                    <w:jc w:val="center"/>
                  </w:pPr>
                  <w:r>
                    <w:t xml:space="preserve">2</w:t>
                  </w:r>
                </w:p>
              </w:tc>
            </w:tr>
            <w:tr>
              <w:tc>
                <w:tcPr/>
                <w:p>
                  <w:pPr>
                    <w:pStyle w:val="Compact"/>
                    <w:jc w:val="center"/>
                    <w:jc w:val="center"/>
                  </w:pPr>
                  <w:r>
                    <w:rPr>
                      <w:bCs/>
                      <w:b/>
                    </w:rPr>
                    <w:t xml:space="preserve">S</w:t>
                  </w:r>
                  <w:r>
                    <w:rPr>
                      <w:vertAlign w:val="subscript"/>
                      <w:bCs/>
                      <w:b/>
                    </w:rPr>
                    <w:t xml:space="preserve">3</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rPr>
                      <w:bCs/>
                      <w:b/>
                    </w:rPr>
                    <w:t xml:space="preserve">S</w:t>
                  </w:r>
                  <w:r>
                    <w:rPr>
                      <w:vertAlign w:val="subscript"/>
                      <w:bCs/>
                      <w:b/>
                    </w:rPr>
                    <w:t xml:space="preserve">4</w:t>
                  </w:r>
                </w:p>
              </w:tc>
              <w:tc>
                <w:tcPr/>
                <w:p>
                  <w:pPr>
                    <w:pStyle w:val="Compact"/>
                    <w:jc w:val="center"/>
                    <w:jc w:val="center"/>
                  </w:pPr>
                  <w:r>
                    <w:t xml:space="preserve">3</w:t>
                  </w:r>
                </w:p>
              </w:tc>
              <w:tc>
                <w:tcPr/>
                <w:p>
                  <w:pPr>
                    <w:pStyle w:val="Compact"/>
                    <w:jc w:val="center"/>
                    <w:jc w:val="center"/>
                  </w:pPr>
                  <w:r>
                    <w:t xml:space="preserve">1</w:t>
                  </w:r>
                </w:p>
              </w:tc>
            </w:tr>
          </w:tbl>
          <w:bookmarkEnd w:id="158"/>
          <w:p/>
        </w:tc>
      </w:tr>
    </w:tbl>
    <w:p>
      <w:pPr>
        <w:pStyle w:val="BodyText"/>
      </w:pPr>
      <w:r>
        <w:t xml:space="preserve">If Chooser was making a one-off choice in</w:t>
      </w:r>
      <w:r>
        <w:t xml:space="preserve"> </w:t>
      </w:r>
      <w:hyperlink w:anchor="tbl-stalnaker-centipede">
        <w:r>
          <w:rPr>
            <w:rStyle w:val="Hyperlink"/>
          </w:rPr>
          <w:t xml:space="preserve">Table 7.3</w:t>
        </w:r>
      </w:hyperlink>
      <w:r>
        <w:t xml:space="preserve">, it would be rational, according to GDT, to choose S</w:t>
      </w:r>
      <w:r>
        <w:rPr>
          <w:vertAlign w:val="subscript"/>
        </w:rPr>
        <w:t xml:space="preserve">2</w:t>
      </w:r>
      <w:r>
        <w:t xml:space="preserve">. That is ratifiable and not weakly dominated. It wouldn’t be rational to choose S</w:t>
      </w:r>
      <w:r>
        <w:rPr>
          <w:vertAlign w:val="subscript"/>
        </w:rPr>
        <w:t xml:space="preserve">1</w:t>
      </w:r>
      <w:r>
        <w:t xml:space="preserve">, because given S</w:t>
      </w:r>
      <w:r>
        <w:rPr>
          <w:vertAlign w:val="subscript"/>
        </w:rPr>
        <w:t xml:space="preserve">1</w:t>
      </w:r>
      <w:r>
        <w:t xml:space="preserve"> </w:t>
      </w:r>
      <w:r>
        <w:t xml:space="preserve">it would be better to choose S</w:t>
      </w:r>
      <w:r>
        <w:rPr>
          <w:vertAlign w:val="subscript"/>
        </w:rPr>
        <w:t xml:space="preserve">4</w:t>
      </w:r>
      <w:r>
        <w:t xml:space="preserve">. But given S</w:t>
      </w:r>
      <w:r>
        <w:rPr>
          <w:vertAlign w:val="subscript"/>
        </w:rPr>
        <w:t xml:space="preserve">2</w:t>
      </w:r>
      <w:r>
        <w:t xml:space="preserve"> </w:t>
      </w:r>
      <w:r>
        <w:t xml:space="preserve">is chosen, it is optimal, since once S</w:t>
      </w:r>
      <w:r>
        <w:rPr>
          <w:vertAlign w:val="subscript"/>
        </w:rPr>
        <w:t xml:space="preserve">2</w:t>
      </w:r>
      <w:r>
        <w:t xml:space="preserve"> </w:t>
      </w:r>
      <w:r>
        <w:t xml:space="preserve">is chosen, Chooser should believe that Demon is playing PE. So in this one-shot game, where one just chooses a strategy, it is rational (according to GDT) to play S</w:t>
      </w:r>
      <w:r>
        <w:rPr>
          <w:vertAlign w:val="subscript"/>
        </w:rPr>
        <w:t xml:space="preserve">2</w:t>
      </w:r>
      <w:r>
        <w:t xml:space="preserve">.</w:t>
      </w:r>
    </w:p>
    <w:p>
      <w:pPr>
        <w:pStyle w:val="BodyText"/>
      </w:pPr>
      <w:r>
        <w:t xml:space="preserve">That’s my argument against Equivalence. In</w:t>
      </w:r>
      <w:r>
        <w:t xml:space="preserve"> </w:t>
      </w:r>
      <w:hyperlink w:anchor="tbl-stalnaker-centipede">
        <w:r>
          <w:rPr>
            <w:rStyle w:val="Hyperlink"/>
          </w:rPr>
          <w:t xml:space="preserve">Table 7.3</w:t>
        </w:r>
      </w:hyperlink>
      <w:r>
        <w:t xml:space="preserve"> </w:t>
      </w:r>
      <w:r>
        <w:t xml:space="preserve">it is rational to choose S</w:t>
      </w:r>
      <w:r>
        <w:rPr>
          <w:vertAlign w:val="subscript"/>
        </w:rPr>
        <w:t xml:space="preserve">2</w:t>
      </w:r>
      <w:r>
        <w:t xml:space="preserve">. But in</w:t>
      </w:r>
      <w:r>
        <w:t xml:space="preserve"> </w:t>
      </w:r>
      <w:hyperlink w:anchor="fig-stalnaker-centipede">
        <w:r>
          <w:rPr>
            <w:rStyle w:val="Hyperlink"/>
          </w:rPr>
          <w:t xml:space="preserve">Figure 7.2</w:t>
        </w:r>
      </w:hyperlink>
      <w:r>
        <w:t xml:space="preserve"> </w:t>
      </w:r>
      <w:r>
        <w:t xml:space="preserve">it is not rational to play that strategy, i.e., to play D</w:t>
      </w:r>
      <w:r>
        <w:rPr>
          <w:vertAlign w:val="subscript"/>
        </w:rPr>
        <w:t xml:space="preserve">1</w:t>
      </w:r>
      <w:r>
        <w:t xml:space="preserve">, because the backward induction argument for playing A</w:t>
      </w:r>
      <w:r>
        <w:rPr>
          <w:vertAlign w:val="subscript"/>
        </w:rPr>
        <w:t xml:space="preserve">1</w:t>
      </w:r>
      <w:r>
        <w:t xml:space="preserve"> </w:t>
      </w:r>
      <w:r>
        <w:t xml:space="preserve">is sound. So the strategic and extensive forms of the game are not equivalent.</w:t>
      </w:r>
    </w:p>
    <w:p>
      <w:pPr>
        <w:pStyle w:val="BodyText"/>
      </w:pPr>
      <w:r>
        <w:t xml:space="preserve">I could try to turn this into an argument against Purely Strategic approaches to decision theory as well, using the following reasoning.</w:t>
      </w:r>
    </w:p>
    <w:p>
      <w:pPr>
        <w:numPr>
          <w:ilvl w:val="0"/>
          <w:numId w:val="1010"/>
        </w:numPr>
        <w:pStyle w:val="Compact"/>
      </w:pPr>
      <w:r>
        <w:t xml:space="preserve">In</w:t>
      </w:r>
      <w:r>
        <w:t xml:space="preserve"> </w:t>
      </w:r>
      <w:hyperlink w:anchor="tbl-stalnaker-centipede">
        <w:r>
          <w:rPr>
            <w:rStyle w:val="Hyperlink"/>
          </w:rPr>
          <w:t xml:space="preserve">Table 7.3</w:t>
        </w:r>
      </w:hyperlink>
      <w:r>
        <w:t xml:space="preserve">, it is rational to play S</w:t>
      </w:r>
      <w:r>
        <w:rPr>
          <w:vertAlign w:val="subscript"/>
        </w:rPr>
        <w:t xml:space="preserve">2</w:t>
      </w:r>
      <w:r>
        <w:t xml:space="preserve">.</w:t>
      </w:r>
    </w:p>
    <w:p>
      <w:pPr>
        <w:numPr>
          <w:ilvl w:val="0"/>
          <w:numId w:val="1010"/>
        </w:numPr>
        <w:pStyle w:val="Compact"/>
      </w:pPr>
      <w:r>
        <w:t xml:space="preserve">In</w:t>
      </w:r>
      <w:r>
        <w:t xml:space="preserve"> </w:t>
      </w:r>
      <w:hyperlink w:anchor="fig-stalnaker-centipede">
        <w:r>
          <w:rPr>
            <w:rStyle w:val="Hyperlink"/>
          </w:rPr>
          <w:t xml:space="preserve">Figure 7.2</w:t>
        </w:r>
      </w:hyperlink>
      <w:r>
        <w:t xml:space="preserve">, it is not rational to play S</w:t>
      </w:r>
      <w:r>
        <w:rPr>
          <w:vertAlign w:val="subscript"/>
        </w:rPr>
        <w:t xml:space="preserve">2</w:t>
      </w:r>
      <w:r>
        <w:t xml:space="preserve">.</w:t>
      </w:r>
    </w:p>
    <w:p>
      <w:pPr>
        <w:numPr>
          <w:ilvl w:val="0"/>
          <w:numId w:val="1010"/>
        </w:numPr>
        <w:pStyle w:val="Compact"/>
      </w:pPr>
      <w:r>
        <w:t xml:space="preserve">If Purely Strategic approaches to decision theory are correct, then the same choices are rational in</w:t>
      </w:r>
      <w:r>
        <w:t xml:space="preserve"> </w:t>
      </w:r>
      <w:hyperlink w:anchor="tbl-stalnaker-centipede">
        <w:r>
          <w:rPr>
            <w:rStyle w:val="Hyperlink"/>
          </w:rPr>
          <w:t xml:space="preserve">Table 7.3</w:t>
        </w:r>
      </w:hyperlink>
      <w:r>
        <w:t xml:space="preserve"> </w:t>
      </w:r>
      <w:r>
        <w:t xml:space="preserve">and</w:t>
      </w:r>
      <w:r>
        <w:t xml:space="preserve"> </w:t>
      </w:r>
      <w:hyperlink w:anchor="fig-stalnaker-centipede">
        <w:r>
          <w:rPr>
            <w:rStyle w:val="Hyperlink"/>
          </w:rPr>
          <w:t xml:space="preserve">Figure 7.2</w:t>
        </w:r>
      </w:hyperlink>
      <w:r>
        <w:t xml:space="preserve">.</w:t>
      </w:r>
    </w:p>
    <w:p>
      <w:pPr>
        <w:numPr>
          <w:ilvl w:val="0"/>
          <w:numId w:val="1010"/>
        </w:numPr>
        <w:pStyle w:val="Compact"/>
      </w:pPr>
      <w:r>
        <w:t xml:space="preserve">Therefore, Purely Strategic approaches are incorrect.</w:t>
      </w:r>
    </w:p>
    <w:p>
      <w:pPr>
        <w:pStyle w:val="FirstParagraph"/>
      </w:pPr>
      <w:r>
        <w:t xml:space="preserve">But this argument would be blatantly question-begging. The argument for premise 2 relies on backward induction reasoning, and people who endorse Purely Strategic reasoning do so because they reject backward induction reasoning. So it wouldn’t be at all convincing. (Probably many people who endorse Purely Strategic approaches would reject premise 1 as well.) So in</w:t>
      </w:r>
      <w:r>
        <w:t xml:space="preserve"> </w:t>
      </w:r>
      <w:hyperlink w:anchor="sec-against-pure-strategy">
        <w:r>
          <w:rPr>
            <w:rStyle w:val="Hyperlink"/>
          </w:rPr>
          <w:t xml:space="preserve">Section 7.4</w:t>
        </w:r>
      </w:hyperlink>
      <w:r>
        <w:t xml:space="preserve"> </w:t>
      </w:r>
      <w:r>
        <w:t xml:space="preserve">I’ll offer some arguments against Purely Strategic approaches that are not so obviously question-begging.</w:t>
      </w:r>
    </w:p>
    <w:bookmarkEnd w:id="159"/>
    <w:bookmarkStart w:id="166" w:name="sec-against-pure-strategy"/>
    <w:p>
      <w:pPr>
        <w:pStyle w:val="Heading2"/>
      </w:pPr>
      <w:r>
        <w:t xml:space="preserve">7.4 Against Purely Strategic Approaches</w:t>
      </w:r>
    </w:p>
    <w:p>
      <w:pPr>
        <w:pStyle w:val="FirstParagraph"/>
      </w:pPr>
      <w:r>
        <w:t xml:space="preserve">From now on I’ll assume that rival theories are rejecting Equivalence, and rejecting Dual Mandate. So in this section I’ll focus on theories that say the right thing to do is to select a rational strategy, and then carry it out. And I take it to be part of this theory that sometimes this means making choices that do not make sense, by the theory’s own lights, if they were</w:t>
      </w:r>
      <w:r>
        <w:t xml:space="preserve"> </w:t>
      </w:r>
      <w:r>
        <w:t xml:space="preserve">‘</w:t>
      </w:r>
      <w:r>
        <w:t xml:space="preserve">one-off</w:t>
      </w:r>
      <w:r>
        <w:t xml:space="preserve">’</w:t>
      </w:r>
      <w:r>
        <w:t xml:space="preserve"> </w:t>
      </w:r>
      <w:r>
        <w:t xml:space="preserve">choices. If there are no such cases, the theory is either a version of Equivalence, or of the Dual Mandate.</w:t>
      </w:r>
    </w:p>
    <w:p>
      <w:pPr>
        <w:pStyle w:val="BodyText"/>
      </w:pPr>
      <w:r>
        <w:t xml:space="preserve">For this reason, I won’t spend any time on versions of Causal Decision Theory that are Purely Strategic. Such theories would be unmotivated. Causal Decision Theorists think that in Newcomb’s Problem, one reason that it doesn’t make sense to choose the dominated option is that if one knew what Demon had predicted, one would definitely take the dominating option. That’s to say, they think the fact that one knows that some choice would be rational given further information is a reason to make the choice. And that’s in tension with the idea that it’s rational to play a strategy that will not make sense when it’s being carried out, just because at the start of the tree it looks like the best strategy.</w:t>
      </w:r>
    </w:p>
    <w:p>
      <w:pPr>
        <w:pStyle w:val="BodyText"/>
      </w:pPr>
      <w:r>
        <w:t xml:space="preserve">In practice, defenders of Purely Strategic views do not normally assume CDT. There are, instead, two main motivations for Purely Strategic views. One of them won’t matter to this project. It is the idea that in non-ideal settings, particularly when preferences might change, or one might be irrational later, it might be better to simply choose a strategy and stick to it. Since I’m only talking about ideal theory here, I’ll set that aside. The other motivation is more interesting. It is that the reasons behind Evidential Decision Theory (EDT) are in fact better reasons to choose Strategic Evidential Decision Theory (SEDT).</w:t>
      </w:r>
    </w:p>
    <w:p>
      <w:pPr>
        <w:pStyle w:val="BodyText"/>
      </w:pPr>
      <w:r>
        <w:t xml:space="preserve">SEDT is a fairly simple theory. It has two rules.</w:t>
      </w:r>
    </w:p>
    <w:p>
      <w:pPr>
        <w:numPr>
          <w:ilvl w:val="0"/>
          <w:numId w:val="1011"/>
        </w:numPr>
        <w:pStyle w:val="Compact"/>
      </w:pPr>
      <w:r>
        <w:t xml:space="preserve">In dynamic choices, one should choose an optimal strategy at the start of the tree, and carry that strategy out the rest of the way.</w:t>
      </w:r>
    </w:p>
    <w:p>
      <w:pPr>
        <w:numPr>
          <w:ilvl w:val="0"/>
          <w:numId w:val="1011"/>
        </w:numPr>
        <w:pStyle w:val="Compact"/>
      </w:pPr>
      <w:r>
        <w:t xml:space="preserve">The right way to evaluate strategies is to use Evidential Decision Theory.</w:t>
      </w:r>
    </w:p>
    <w:p>
      <w:pPr>
        <w:pStyle w:val="FirstParagraph"/>
      </w:pPr>
      <w:r>
        <w:t xml:space="preserve">SEDT is very similar to the Functional Decision Theory defended by</w:t>
      </w:r>
      <w:r>
        <w:t xml:space="preserve"> </w:t>
      </w:r>
      <w:r>
        <w:t xml:space="preserve">Levinstein and Soares (2020)</w:t>
      </w:r>
      <w:r>
        <w:t xml:space="preserve">. My excuses for using a new name are that (a) this name is a little more descriptive, and (b) I’m not quite sure that the theories are the same. I think they say the same things about every case I’ll discuss in this section, but Levinstein and Soares don’t discuss cases of demons who make imperfect predictions, so I’m guessing a little bit about what they’d say. And possibly my understanding of what a single decision problem is doesn’t exactly match theirs. So rather than do more exegesis, I’ll focus on SEDT, which is in any case an interesting theory.</w:t>
      </w:r>
    </w:p>
    <w:p>
      <w:pPr>
        <w:pStyle w:val="BodyText"/>
      </w:pPr>
      <w:r>
        <w:t xml:space="preserve">One way to motivate SEDT is by thinking about a version of</w:t>
      </w:r>
      <w:r>
        <w:t xml:space="preserve"> </w:t>
      </w:r>
      <w:hyperlink w:anchor="tbl-newcomb">
        <w:r>
          <w:rPr>
            <w:rStyle w:val="Hyperlink"/>
          </w:rPr>
          <w:t xml:space="preserve">Newcomb’s Problem</w:t>
        </w:r>
      </w:hyperlink>
      <w:r>
        <w:t xml:space="preserve"> </w:t>
      </w:r>
      <w:r>
        <w:t xml:space="preserve">where Demon’s predictions are revealed to Chooser. The game tree for this variant on Newcomb’s Problem is in</w:t>
      </w:r>
      <w:r>
        <w:t xml:space="preserve"> </w:t>
      </w:r>
      <w:hyperlink w:anchor="fig-open-newcomb">
        <w:r>
          <w:rPr>
            <w:rStyle w:val="Hyperlink"/>
          </w:rPr>
          <w:t xml:space="preserve">Figure 7.3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63" w:name="fig-open-newcomb"/>
          <w:p>
            <w:pPr>
              <w:pStyle w:val="Compact"/>
              <w:jc w:val="center"/>
            </w:pPr>
            <w:r>
              <w:drawing>
                <wp:inline>
                  <wp:extent cx="2006175" cy="1363954"/>
                  <wp:effectExtent b="0" l="0" r="0" t="0"/>
                  <wp:docPr descr="" title="" id="161" name="Picture"/>
                  <a:graphic>
                    <a:graphicData uri="http://schemas.openxmlformats.org/drawingml/2006/picture">
                      <pic:pic>
                        <pic:nvPicPr>
                          <pic:cNvPr descr="dual_files/figure-docx/fig-open-newcomb-1.png" id="162" name="Picture"/>
                          <pic:cNvPicPr>
                            <a:picLocks noChangeArrowheads="1" noChangeAspect="1"/>
                          </pic:cNvPicPr>
                        </pic:nvPicPr>
                        <pic:blipFill>
                          <a:blip r:embed="rId160"/>
                          <a:stretch>
                            <a:fillRect/>
                          </a:stretch>
                        </pic:blipFill>
                        <pic:spPr bwMode="auto">
                          <a:xfrm>
                            <a:off x="0" y="0"/>
                            <a:ext cx="2006175"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7.3: Tree Diagram of the Open Newcomb game.</w:t>
            </w:r>
          </w:p>
          <w:bookmarkEnd w:id="163"/>
        </w:tc>
      </w:tr>
    </w:tbl>
    <w:p>
      <w:pPr>
        <w:pStyle w:val="BodyText"/>
      </w:pPr>
      <w:r>
        <w:t xml:space="preserve">In</w:t>
      </w:r>
      <w:r>
        <w:t xml:space="preserve"> </w:t>
      </w:r>
      <w:hyperlink w:anchor="fig-open-newcomb">
        <w:r>
          <w:rPr>
            <w:rStyle w:val="Hyperlink"/>
          </w:rPr>
          <w:t xml:space="preserve">Figure 7.3</w:t>
        </w:r>
      </w:hyperlink>
      <w:r>
        <w:t xml:space="preserve">, regular EDT says to choose B. After all, no matter which node one is at, the best thing to do given that one is there is to take the extra 1 on offer. But it’s surprisingly hard to come up with reasons to choose A in the original problem that do not extend to this problem. The main reason which is offered, that people who choose A end up richer, applies equally well here. And the main objection that opponents make, that choosing A is strange because one knows that one would choose B once one discovered what prediction was made, does not have any bite if one would follow SEDT and not in fact choose B were the prediction revealed.</w:t>
      </w:r>
    </w:p>
    <w:p>
      <w:pPr>
        <w:pStyle w:val="BodyText"/>
      </w:pPr>
      <w:r>
        <w:t xml:space="preserve">It’s a little amusing to imagine a proponent of regular EDT playing a version of</w:t>
      </w:r>
      <w:r>
        <w:t xml:space="preserve"> </w:t>
      </w:r>
      <w:hyperlink w:anchor="fig-open-newcomb">
        <w:r>
          <w:rPr>
            <w:rStyle w:val="Hyperlink"/>
          </w:rPr>
          <w:t xml:space="preserve">Figure 7.3</w:t>
        </w:r>
      </w:hyperlink>
      <w:r>
        <w:t xml:space="preserve">. Presumably they would do whatever they could to not learn what the prediction was until they could make a choice. After all, by their own lights, learning what the prediction was would cost them, in expectation, 999. So depending on how this information will be revealed, they will close their eyes, sing</w:t>
      </w:r>
      <w:r>
        <w:t xml:space="preserve"> </w:t>
      </w:r>
      <w:r>
        <w:t xml:space="preserve">“</w:t>
      </w:r>
      <w:r>
        <w:t xml:space="preserve">La la la I can’t hear you</w:t>
      </w:r>
      <w:r>
        <w:t xml:space="preserve">”</w:t>
      </w:r>
      <w:r>
        <w:t xml:space="preserve"> </w:t>
      </w:r>
      <w:r>
        <w:t xml:space="preserve">to block out noises, maybe hold their breath if the information will be revealed by distinctive smells, and so on. This doesn’t seem like an image of a practically rational Chooser, and SEDT avoids all these problems.</w:t>
      </w:r>
    </w:p>
    <w:p>
      <w:pPr>
        <w:pStyle w:val="BodyText"/>
      </w:pPr>
      <w:r>
        <w:t xml:space="preserve">That’s not to say that SEDT is entirely without its own intuitive costs, even in simple cases like</w:t>
      </w:r>
      <w:r>
        <w:t xml:space="preserve"> </w:t>
      </w:r>
      <w:hyperlink w:anchor="fig-open-newcomb">
        <w:r>
          <w:rPr>
            <w:rStyle w:val="Hyperlink"/>
          </w:rPr>
          <w:t xml:space="preserve">Figure 7.3</w:t>
        </w:r>
      </w:hyperlink>
      <w:r>
        <w:t xml:space="preserve">. The person carrying out SEDT will give the following speech.</w:t>
      </w:r>
      <w:r>
        <w:t xml:space="preserve"> </w:t>
      </w:r>
      <w:r>
        <w:t xml:space="preserve">“</w:t>
      </w:r>
      <w:r>
        <w:t xml:space="preserve">I am not here to be a hero; I’m not following some philosophical theory just because it’s cool. My job is making money. And, now that the prediction is revealed, I can see that I’ll make more money choosing B. But I’m taking A.</w:t>
      </w:r>
      <w:r>
        <w:t xml:space="preserve">”</w:t>
      </w:r>
      <w:r>
        <w:t xml:space="preserve"> </w:t>
      </w:r>
      <w:r>
        <w:t xml:space="preserve">Again, this doesn’t sound great. But, they argue, it does in fact lead to getting more money, on average, so maybe there is something to it. And SEDT does not agree with EDT in the cases I described in</w:t>
      </w:r>
      <w:r>
        <w:t xml:space="preserve"> </w:t>
      </w:r>
      <w:hyperlink w:anchor="sec-war-on-war">
        <w:r>
          <w:rPr>
            <w:rStyle w:val="Hyperlink"/>
          </w:rPr>
          <w:t xml:space="preserve">Section 4.3</w:t>
        </w:r>
      </w:hyperlink>
      <w:r>
        <w:t xml:space="preserve">, so I can’t say that they are relying, as EDT relies, on too narrow a diet of cases.</w:t>
      </w:r>
    </w:p>
    <w:p>
      <w:pPr>
        <w:pStyle w:val="BodyText"/>
      </w:pPr>
      <w:r>
        <w:t xml:space="preserve">Still, SEDT is not defensible in all somewhat realistic situations. The example I’ll use to demonstrate this is rather more violent than the other examples in this book. But it needs to be rather violent in order to rule out the possibility of there being strategic or reputational considerations that are being left out.</w:t>
      </w:r>
    </w:p>
    <w:p>
      <w:pPr>
        <w:pStyle w:val="BodyText"/>
      </w:pPr>
      <w:r>
        <w:t xml:space="preserve">Chooser is the Prime Minister of a small country, and they are threatened by a large nearby country, Neighbour. Unfortunately, Neighbour is thinking of carpet bombing Chooser’s capital, in retaliation for some perceived slight during trade negotiations. Chooser has no air defences to stop the bombing, and no allies who will rally to help.</w:t>
      </w:r>
    </w:p>
    <w:p>
      <w:pPr>
        <w:pStyle w:val="BodyText"/>
      </w:pPr>
      <w:r>
        <w:t xml:space="preserve">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Demon who is at least 99% accurate in predicting what military plans Chooser will take.</w:t>
      </w:r>
      <w:r>
        <w:rPr>
          <w:rStyle w:val="FootnoteReference"/>
        </w:rPr>
        <w:footnoteReference w:id="164"/>
      </w:r>
      <w:r>
        <w:t xml:space="preserve"> </w:t>
      </w:r>
      <w:r>
        <w:t xml:space="preserve">In practice, all Demon has to do is predict So Chooser can do Nothing (N), or use the Doomsday device (D), should neighbour attack. Chooser would obviously prefer no attack, and would certainly not use the device preemptively. And Neighbour will attack iff Demon predicts that Chooser will do Nothing. Given all that the decision table that Chooser faces is in</w:t>
      </w:r>
      <w:r>
        <w:t xml:space="preserve"> </w:t>
      </w:r>
      <w:hyperlink w:anchor="tbl-retaliation">
        <w:r>
          <w:rPr>
            <w:rStyle w:val="Hyperlink"/>
          </w:rPr>
          <w:t xml:space="preserve">Table 7.4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65" w:name="tbl-retaliation"/>
          <w:p>
            <w:pPr>
              <w:jc w:val="center"/>
            </w:pPr>
            <w:pPr>
              <w:jc w:val="start"/>
              <w:spacing w:before="200"/>
              <w:pStyle w:val="ImageCaption"/>
            </w:pPr>
            <w:r>
              <w:t xml:space="preserve">Table 7.4: Deciding whether to retaliate.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PN</w:t>
                  </w:r>
                </w:p>
              </w:tc>
              <w:tc>
                <w:tcPr/>
                <w:p>
                  <w:pPr>
                    <w:pStyle w:val="Compact"/>
                    <w:jc w:val="center"/>
                    <w:jc w:val="center"/>
                  </w:pPr>
                  <w:r>
                    <w:t xml:space="preserve">PD</w:t>
                  </w:r>
                </w:p>
              </w:tc>
            </w:tr>
            <w:tr>
              <w:tc>
                <w:tcPr/>
                <w:p>
                  <w:pPr>
                    <w:pStyle w:val="Compact"/>
                    <w:jc w:val="center"/>
                    <w:jc w:val="center"/>
                  </w:pPr>
                  <w:r>
                    <w:rPr>
                      <w:bCs/>
                      <w:b/>
                    </w:rPr>
                    <w:t xml:space="preserve">N</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rPr>
                      <w:bCs/>
                      <w:b/>
                    </w:rPr>
                    <w:t xml:space="preserve">D</w:t>
                  </w:r>
                </w:p>
              </w:tc>
              <w:tc>
                <w:tcPr/>
                <w:p>
                  <w:pPr>
                    <w:pStyle w:val="Compact"/>
                    <w:jc w:val="center"/>
                    <w:jc w:val="center"/>
                  </w:pPr>
                  <w:r>
                    <w:t xml:space="preserve">-50</w:t>
                  </w:r>
                </w:p>
              </w:tc>
              <w:tc>
                <w:tcPr/>
                <w:p>
                  <w:pPr>
                    <w:pStyle w:val="Compact"/>
                    <w:jc w:val="center"/>
                    <w:jc w:val="center"/>
                  </w:pPr>
                  <w:r>
                    <w:t xml:space="preserve">0</w:t>
                  </w:r>
                </w:p>
              </w:tc>
            </w:tr>
          </w:tbl>
          <w:bookmarkEnd w:id="165"/>
          <w:p/>
        </w:tc>
      </w:tr>
    </w:tbl>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value, according to EDT, is to plan to use the Doomsday device. This has an expected return of -0.5; since one time in a hundred it returns -50, and otherwise it returns 0. That’s what SEDT says one should do. And it says Chooser should quite literally stick to their guns, even if they see the bombers coming, and they realise their bluff has failed.</w:t>
      </w:r>
    </w:p>
    <w:p>
      <w:pPr>
        <w:pStyle w:val="BodyText"/>
      </w:pPr>
      <w:r>
        <w:t xml:space="preserve">This seems absurd to me, and it is the kind of result that drives game theorists to the dual mandate. In case that example isn’t decisive enough, let’s consider two more variants on it.</w:t>
      </w:r>
    </w:p>
    <w:p>
      <w:pPr>
        <w:pStyle w:val="BodyText"/>
      </w:pPr>
      <w:r>
        <w:t xml:space="preserve">Change the example so that Chooser has two advisors who are talking to them as the bombers come in. One of them says that the Demon is 99% reliable. The other says that the Demon is 97% reliable. Whether Chooser launches the Doomsday device should, according to SEDT,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use the Doomsday device, because right now that’s the strategy with highest expected return. But having made that decision, much to everyone’s surprise, Neighbour attacks. SEDT now says to launch the Doomsday device.</w:t>
      </w:r>
    </w:p>
    <w:p>
      <w:pPr>
        <w:pStyle w:val="BodyText"/>
      </w:pPr>
      <w:r>
        <w:t xml:space="preserve">But think about how the choice of plans looks to Chooser now. The actions of Neighbour are evidence about the reliability of Demon. And a simple application of Bayes’ Rule says that Chooser should now think the advisor who thought the demon was 97% reliable is 2/3 likely to be right. That is, given Chooser’s current evidence merely about the Demon’s reliability (and not about what the Demon actually did), SEDT says not to use the Doomsday device. Yet despite it not being either the utility maximising strategy, or the utility maximising choice, SEDT says to launch the Doomsday device. This seems completely absurd, and enough to have us move to a new theory.</w:t>
      </w:r>
    </w:p>
    <w:bookmarkEnd w:id="166"/>
    <w:bookmarkStart w:id="174" w:name="sec-against-pure-consequence"/>
    <w:p>
      <w:pPr>
        <w:pStyle w:val="Heading2"/>
      </w:pPr>
      <w:r>
        <w:t xml:space="preserve">7.5 Against Purely Consequentialist Approaches</w:t>
      </w:r>
    </w:p>
    <w:tbl>
      <w:tblPr>
        <w:tblStyle w:val="Table"/>
        <w:tblW w:type="pct" w:w="5000"/>
        <w:tblLook w:firstRow="0" w:lastRow="0" w:firstColumn="0" w:lastColumn="0" w:noHBand="0" w:noVBand="0" w:val="0000"/>
        <w:jc w:val="start"/>
        <w:tblLayout w:type="fixed"/>
      </w:tblPr>
      <w:tblGrid>
        <w:gridCol w:w="7920"/>
      </w:tblGrid>
      <w:tr>
        <w:tc>
          <w:tcPr/>
          <w:bookmarkStart w:id="170" w:name="fig-against-consequence"/>
          <w:p>
            <w:pPr>
              <w:pStyle w:val="Compact"/>
              <w:jc w:val="center"/>
            </w:pPr>
            <w:r>
              <w:drawing>
                <wp:inline>
                  <wp:extent cx="2287529" cy="2379274"/>
                  <wp:effectExtent b="0" l="0" r="0" t="0"/>
                  <wp:docPr descr="" title="" id="168" name="Picture"/>
                  <a:graphic>
                    <a:graphicData uri="http://schemas.openxmlformats.org/drawingml/2006/picture">
                      <pic:pic>
                        <pic:nvPicPr>
                          <pic:cNvPr descr="dual_files/figure-docx/fig-against-consequence-1.png" id="169" name="Picture"/>
                          <pic:cNvPicPr>
                            <a:picLocks noChangeArrowheads="1" noChangeAspect="1"/>
                          </pic:cNvPicPr>
                        </pic:nvPicPr>
                        <pic:blipFill>
                          <a:blip r:embed="rId167"/>
                          <a:stretch>
                            <a:fillRect/>
                          </a:stretch>
                        </pic:blipFill>
                        <pic:spPr bwMode="auto">
                          <a:xfrm>
                            <a:off x="0" y="0"/>
                            <a:ext cx="2287529" cy="23792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Tree Diagram of the Open Newcomb game.</w:t>
            </w:r>
          </w:p>
          <w:bookmarkEnd w:id="170"/>
        </w:tc>
      </w:tr>
    </w:tbl>
    <w:tbl>
      <w:tblPr>
        <w:tblStyle w:val="Table"/>
        <w:tblW w:type="pct" w:w="5000"/>
        <w:tblLook w:firstRow="0" w:lastRow="0" w:firstColumn="0" w:lastColumn="0" w:noHBand="0" w:noVBand="0" w:val="0000"/>
        <w:jc w:val="start"/>
        <w:tblLayout w:type="fixed"/>
      </w:tblPr>
      <w:tblGrid>
        <w:gridCol w:w="7920"/>
      </w:tblGrid>
      <w:tr>
        <w:tc>
          <w:tcPr/>
          <w:bookmarkStart w:id="171" w:name="tbl-against-consequence-short"/>
          <w:p>
            <w:pPr>
              <w:jc w:val="center"/>
            </w:pPr>
            <w:pPr>
              <w:jc w:val="start"/>
              <w:spacing w:before="200"/>
              <w:pStyle w:val="ImageCaption"/>
            </w:pPr>
            <w:r>
              <w:t xml:space="preserve">Table 7.5: The second round game in</w:t>
            </w:r>
            <w:r>
              <w:t xml:space="preserve"> </w:t>
            </w:r>
            <w:hyperlink w:anchor="fig-against-consequence">
              <w:r>
                <w:rPr>
                  <w:rStyle w:val="Hyperlink"/>
                </w:rPr>
                <w:t xml:space="preserve">Figure 7.4</w:t>
              </w:r>
            </w:hyperlink>
            <w: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PA</w:t>
                  </w:r>
                </w:p>
              </w:tc>
              <w:tc>
                <w:tcPr/>
                <w:p>
                  <w:pPr>
                    <w:pStyle w:val="Compact"/>
                    <w:jc w:val="center"/>
                    <w:jc w:val="center"/>
                  </w:pPr>
                  <w:r>
                    <w:t xml:space="preserve">PB</w:t>
                  </w:r>
                </w:p>
              </w:tc>
            </w:tr>
            <w:tr>
              <w:tc>
                <w:tcPr/>
                <w:p>
                  <w:pPr>
                    <w:pStyle w:val="Compact"/>
                    <w:jc w:val="center"/>
                    <w:jc w:val="center"/>
                  </w:pPr>
                  <w:r>
                    <w:rPr>
                      <w:bCs/>
                      <w:b/>
                    </w:rPr>
                    <w:t xml:space="preserve">A</w:t>
                  </w:r>
                </w:p>
              </w:tc>
              <w:tc>
                <w:tcPr/>
                <w:p>
                  <w:pPr>
                    <w:pStyle w:val="Compact"/>
                    <w:jc w:val="center"/>
                    <w:jc w:val="center"/>
                  </w:pPr>
                  <w:r>
                    <w:t xml:space="preserve">8</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4</w:t>
                  </w:r>
                </w:p>
              </w:tc>
              <w:tc>
                <w:tcPr/>
                <w:p>
                  <w:pPr>
                    <w:pStyle w:val="Compact"/>
                    <w:jc w:val="center"/>
                    <w:jc w:val="center"/>
                  </w:pPr>
                  <w:r>
                    <w:t xml:space="preserve">4</w:t>
                  </w:r>
                </w:p>
              </w:tc>
            </w:tr>
          </w:tbl>
          <w:bookmarkEnd w:id="171"/>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2" w:name="tbl-against-consequence-long"/>
          <w:p>
            <w:pPr>
              <w:jc w:val="center"/>
            </w:pPr>
            <w:pPr>
              <w:jc w:val="start"/>
              <w:spacing w:before="200"/>
              <w:pStyle w:val="ImageCaption"/>
            </w:pPr>
            <w:r>
              <w:t xml:space="preserve">Table 7.6: The strategy table for</w:t>
            </w:r>
            <w:r>
              <w:t xml:space="preserve"> </w:t>
            </w:r>
            <w:hyperlink w:anchor="fig-against-consequence">
              <w:r>
                <w:rPr>
                  <w:rStyle w:val="Hyperlink"/>
                </w:rPr>
                <w:t xml:space="preserve">Figure 7.4</w:t>
              </w:r>
            </w:hyperlink>
            <w: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PA</w:t>
                  </w:r>
                </w:p>
              </w:tc>
              <w:tc>
                <w:tcPr/>
                <w:p>
                  <w:pPr>
                    <w:pStyle w:val="Compact"/>
                    <w:jc w:val="center"/>
                    <w:jc w:val="center"/>
                  </w:pPr>
                  <w:r>
                    <w:t xml:space="preserve">PB</w:t>
                  </w:r>
                </w:p>
              </w:tc>
            </w:tr>
            <w:tr>
              <w:tc>
                <w:tcPr/>
                <w:p>
                  <w:pPr>
                    <w:pStyle w:val="Compact"/>
                    <w:jc w:val="center"/>
                    <w:jc w:val="center"/>
                  </w:pPr>
                  <w:r>
                    <w:rPr>
                      <w:bCs/>
                      <w:b/>
                    </w:rPr>
                    <w:t xml:space="preserve">EA</w:t>
                  </w:r>
                </w:p>
              </w:tc>
              <w:tc>
                <w:tcPr/>
                <w:p>
                  <w:pPr>
                    <w:pStyle w:val="Compact"/>
                    <w:jc w:val="center"/>
                    <w:jc w:val="center"/>
                  </w:pPr>
                  <w:r>
                    <w:t xml:space="preserve">5</w:t>
                  </w:r>
                </w:p>
              </w:tc>
              <w:tc>
                <w:tcPr/>
                <w:p>
                  <w:pPr>
                    <w:pStyle w:val="Compact"/>
                    <w:jc w:val="center"/>
                    <w:jc w:val="center"/>
                  </w:pPr>
                  <w:r>
                    <w:t xml:space="preserve">5</w:t>
                  </w:r>
                </w:p>
              </w:tc>
            </w:tr>
            <w:tr>
              <w:tc>
                <w:tcPr/>
                <w:p>
                  <w:pPr>
                    <w:pStyle w:val="Compact"/>
                    <w:jc w:val="center"/>
                    <w:jc w:val="center"/>
                  </w:pPr>
                  <w:r>
                    <w:rPr>
                      <w:bCs/>
                      <w:b/>
                    </w:rPr>
                    <w:t xml:space="preserve">EB</w:t>
                  </w:r>
                </w:p>
              </w:tc>
              <w:tc>
                <w:tcPr/>
                <w:p>
                  <w:pPr>
                    <w:pStyle w:val="Compact"/>
                    <w:jc w:val="center"/>
                    <w:jc w:val="center"/>
                  </w:pPr>
                  <w:r>
                    <w:t xml:space="preserve">5</w:t>
                  </w:r>
                </w:p>
              </w:tc>
              <w:tc>
                <w:tcPr/>
                <w:p>
                  <w:pPr>
                    <w:pStyle w:val="Compact"/>
                    <w:jc w:val="center"/>
                    <w:jc w:val="center"/>
                  </w:pPr>
                  <w:r>
                    <w:t xml:space="preserve">5</w:t>
                  </w:r>
                </w:p>
              </w:tc>
            </w:tr>
            <w:tr>
              <w:tc>
                <w:tcPr/>
                <w:p>
                  <w:pPr>
                    <w:pStyle w:val="Compact"/>
                    <w:jc w:val="center"/>
                    <w:jc w:val="center"/>
                  </w:pPr>
                  <w:r>
                    <w:rPr>
                      <w:bCs/>
                      <w:b/>
                    </w:rPr>
                    <w:t xml:space="preserve">CA</w:t>
                  </w:r>
                </w:p>
              </w:tc>
              <w:tc>
                <w:tcPr/>
                <w:p>
                  <w:pPr>
                    <w:pStyle w:val="Compact"/>
                    <w:jc w:val="center"/>
                    <w:jc w:val="center"/>
                  </w:pPr>
                  <w:r>
                    <w:t xml:space="preserve">8</w:t>
                  </w:r>
                </w:p>
              </w:tc>
              <w:tc>
                <w:tcPr/>
                <w:p>
                  <w:pPr>
                    <w:pStyle w:val="Compact"/>
                    <w:jc w:val="center"/>
                    <w:jc w:val="center"/>
                  </w:pPr>
                  <w:r>
                    <w:t xml:space="preserve">0</w:t>
                  </w:r>
                </w:p>
              </w:tc>
            </w:tr>
            <w:tr>
              <w:tc>
                <w:tcPr/>
                <w:p>
                  <w:pPr>
                    <w:pStyle w:val="Compact"/>
                    <w:jc w:val="center"/>
                    <w:jc w:val="center"/>
                  </w:pPr>
                  <w:r>
                    <w:rPr>
                      <w:bCs/>
                      <w:b/>
                    </w:rPr>
                    <w:t xml:space="preserve">CB</w:t>
                  </w:r>
                </w:p>
              </w:tc>
              <w:tc>
                <w:tcPr/>
                <w:p>
                  <w:pPr>
                    <w:pStyle w:val="Compact"/>
                    <w:jc w:val="center"/>
                    <w:jc w:val="center"/>
                  </w:pPr>
                  <w:r>
                    <w:t xml:space="preserve">4</w:t>
                  </w:r>
                </w:p>
              </w:tc>
              <w:tc>
                <w:tcPr/>
                <w:p>
                  <w:pPr>
                    <w:pStyle w:val="Compact"/>
                    <w:jc w:val="center"/>
                    <w:jc w:val="center"/>
                  </w:pPr>
                  <w:r>
                    <w:t xml:space="preserve">4</w:t>
                  </w:r>
                </w:p>
              </w:tc>
            </w:tr>
          </w:tbl>
          <w:bookmarkEnd w:id="172"/>
          <w:p/>
        </w:tc>
      </w:tr>
    </w:tbl>
    <w:p>
      <w:pPr>
        <w:pStyle w:val="BodyText"/>
      </w:pPr>
      <w:r>
        <w:t xml:space="preserve">First against CEDT - breaches the spirit of EDT.</w:t>
      </w:r>
    </w:p>
    <w:p>
      <w:pPr>
        <w:pStyle w:val="BodyText"/>
      </w:pPr>
      <w:r>
        <w:t xml:space="preserve">Then against Gallow + Consequence: Could lead to choosing dominated option.</w:t>
      </w:r>
    </w:p>
    <w:p>
      <w:pPr>
        <w:pStyle w:val="BodyText"/>
      </w:pPr>
      <w:r>
        <w:t xml:space="preserve">What about Hunting + Consequence? Not sure I have an argument there.</w:t>
      </w:r>
    </w:p>
    <w:p>
      <w:pPr>
        <w:pStyle w:val="BodyText"/>
      </w:pPr>
      <w:r>
        <w:t xml:space="preserve">This has an important technical consequence: Purely Consequentialist theories are</w:t>
      </w:r>
      <w:r>
        <w:t xml:space="preserve"> </w:t>
      </w:r>
      <w:r>
        <w:rPr>
          <w:iCs/>
          <w:i/>
        </w:rPr>
        <w:t xml:space="preserve">unstable</w:t>
      </w:r>
      <w:r>
        <w:t xml:space="preserve"> </w:t>
      </w:r>
      <w:r>
        <w:t xml:space="preserve">in the sense Dmitri</w:t>
      </w:r>
      <w:r>
        <w:t xml:space="preserve"> </w:t>
      </w:r>
      <w:r>
        <w:t xml:space="preserve">Gallow (n.d.)</w:t>
      </w:r>
      <w:r>
        <w:t xml:space="preserve"> </w:t>
      </w:r>
      <w:r>
        <w:t xml:space="preserve">has described. If the pure consequentialist changes their own probability distribution over what they will do, what act is rational for them changes.</w:t>
      </w:r>
      <w:r>
        <w:rPr>
          <w:rStyle w:val="FootnoteReference"/>
        </w:rPr>
        <w:footnoteReference w:id="173"/>
      </w:r>
      <w:r>
        <w:t xml:space="preserve"> </w:t>
      </w:r>
      <w:r>
        <w:t xml:space="preserve">I don’t think this is ever an issue for CEDT, but it is an issue for other Purely Consequentialist theories. For instance, GDT says that either A or B is a permissible choice in</w:t>
      </w:r>
      <w:r>
        <w:t xml:space="preserve"> </w:t>
      </w:r>
      <w:hyperlink w:anchor="tbl-first-dynamic-example">
        <w:r>
          <w:rPr>
            <w:rStyle w:val="Hyperlink"/>
          </w:rPr>
          <w:t xml:space="preserve">Table 1.5</w:t>
        </w:r>
      </w:hyperlink>
      <w:r>
        <w:t xml:space="preserve">.</w:t>
      </w:r>
    </w:p>
    <w:bookmarkEnd w:id="174"/>
    <w:bookmarkEnd w:id="175"/>
    <w:bookmarkStart w:id="197" w:name="sec-indecisive"/>
    <w:p>
      <w:pPr>
        <w:pStyle w:val="Heading1"/>
      </w:pPr>
      <w:r>
        <w:t xml:space="preserve">8. Indecisive</w:t>
      </w:r>
    </w:p>
    <w:bookmarkStart w:id="176" w:name="sec-indecisive-intro"/>
    <w:p>
      <w:pPr>
        <w:pStyle w:val="Heading2"/>
      </w:pPr>
      <w:r>
        <w:t xml:space="preserve">8.1 Introducing Indecision</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in philosophical decision theory where we are used to the idea that some theory, typically a variant on expected utility maximisation, will rule all cases. More complex solution concepts tend to give more intuitive results on more cases. But the complexity is a cost, and in any case no solution concept gets all the intuitions about all the cases. The other thing is that these solution concepts will often say that there are multiple possible outcomes for a game, and that knowing the players are rational doesn’t suffice to know what they will do. This chapter will argue that in this respect game theory is right and philosophical decision theory has typically been wrong; theory should not always give a unique answer as to what rational agents will do.</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small increases in value to one option, what Chang calls sweetenings, are incompatible with the options having the same value both before and after the increase. So these theories do not allow indecisiveness.</w:t>
      </w:r>
    </w:p>
    <w:bookmarkEnd w:id="176"/>
    <w:bookmarkStart w:id="179" w:name="sec-stag-hunt"/>
    <w:p>
      <w:pPr>
        <w:pStyle w:val="Heading2"/>
      </w:pPr>
      <w:r>
        <w:t xml:space="preserve">8.2 Stag Hunt Decisions</w:t>
      </w:r>
    </w:p>
    <w:p>
      <w:pPr>
        <w:pStyle w:val="FirstParagraph"/>
      </w:pPr>
      <w:r>
        <w:t xml:space="preserve">Perhaps the most intuitive case for indecisiveness involves what I’ll call Stag Hunt decisions.</w:t>
      </w:r>
      <w:r>
        <w:rPr>
          <w:rStyle w:val="FootnoteReference"/>
        </w:rPr>
        <w:footnoteReference w:id="177"/>
      </w:r>
      <w:r>
        <w:t xml:space="preserve"> </w:t>
      </w:r>
      <w:r>
        <w:t xml:space="preserve">Here is an example of a Stag Hunt decision.</w:t>
      </w:r>
    </w:p>
    <w:tbl>
      <w:tblPr>
        <w:tblStyle w:val="Table"/>
        <w:tblW w:type="pct" w:w="5000"/>
        <w:tblLook w:firstRow="0" w:lastRow="0" w:firstColumn="0" w:lastColumn="0" w:noHBand="0" w:noVBand="0" w:val="0000"/>
        <w:jc w:val="start"/>
        <w:tblLayout w:type="fixed"/>
      </w:tblPr>
      <w:tblGrid>
        <w:gridCol w:w="7920"/>
      </w:tblGrid>
      <w:tr>
        <w:tc>
          <w:tcPr/>
          <w:bookmarkStart w:id="178" w:name="tbl-stag-hunt"/>
          <w:p>
            <w:pPr>
              <w:jc w:val="center"/>
            </w:pPr>
            <w:pPr>
              <w:jc w:val="start"/>
              <w:spacing w:before="200"/>
              <w:pStyle w:val="ImageCaption"/>
            </w:pPr>
            <w:r>
              <w:t xml:space="preserve">Table 8.1: An example of a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6</w:t>
                  </w:r>
                </w:p>
              </w:tc>
              <w:tc>
                <w:tcPr/>
                <w:p>
                  <w:pPr>
                    <w:pStyle w:val="Compact"/>
                    <w:jc w:val="center"/>
                    <w:jc w:val="center"/>
                  </w:pPr>
                  <w:r>
                    <w:t xml:space="preserve">0</w:t>
                  </w:r>
                </w:p>
              </w:tc>
            </w:tr>
            <w:tr>
              <w:tc>
                <w:tcPr/>
                <w:p>
                  <w:pPr>
                    <w:pStyle w:val="Compact"/>
                    <w:jc w:val="center"/>
                    <w:jc w:val="center"/>
                  </w:pPr>
                  <w:r>
                    <w:rPr>
                      <w:bCs/>
                      <w:b/>
                    </w:rPr>
                    <w:t xml:space="preserve">Down</w:t>
                  </w:r>
                </w:p>
              </w:tc>
              <w:tc>
                <w:tcPr/>
                <w:p>
                  <w:pPr>
                    <w:pStyle w:val="Compact"/>
                    <w:jc w:val="center"/>
                    <w:jc w:val="center"/>
                  </w:pPr>
                  <w:r>
                    <w:t xml:space="preserve">5</w:t>
                  </w:r>
                </w:p>
              </w:tc>
              <w:tc>
                <w:tcPr/>
                <w:p>
                  <w:pPr>
                    <w:pStyle w:val="Compact"/>
                    <w:jc w:val="center"/>
                    <w:jc w:val="center"/>
                  </w:pPr>
                  <w:r>
                    <w:t xml:space="preserve">2</w:t>
                  </w:r>
                </w:p>
              </w:tc>
            </w:tr>
          </w:tbl>
          <w:bookmarkEnd w:id="178"/>
          <w:p/>
        </w:tc>
      </w:tr>
    </w:tbl>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Some causal decision theorists, such as</w:t>
      </w:r>
      <w:r>
        <w:t xml:space="preserve"> </w:t>
      </w:r>
      <w:r>
        <w:t xml:space="preserve">Arntzenius (2008)</w:t>
      </w:r>
      <w:r>
        <w:t xml:space="preserve"> </w:t>
      </w:r>
      <w:r>
        <w:t xml:space="preserve">and</w:t>
      </w:r>
      <w:r>
        <w:t xml:space="preserve"> </w:t>
      </w:r>
      <w:r>
        <w:t xml:space="preserve">Gustafsson (2011)</w:t>
      </w:r>
      <w:r>
        <w:t xml:space="preserve">, also say Chooser should play Up. On the other hand, several other causal decision theorists,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permissible.[^indecisive-2] 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I think the right treatment of these games is indecisive.</w:t>
      </w:r>
    </w:p>
    <w:bookmarkEnd w:id="179"/>
    <w:bookmarkStart w:id="184" w:name="sec-exit-games"/>
    <w:p>
      <w:pPr>
        <w:pStyle w:val="Heading2"/>
      </w:pPr>
      <w:r>
        <w:t xml:space="preserve">8.3 Exit Games</w:t>
      </w:r>
    </w:p>
    <w:p>
      <w:pPr>
        <w:pStyle w:val="FirstParagraph"/>
      </w:pPr>
      <w:r>
        <w:t xml:space="preserve">My argument for indecisiveness will turn on a case that all seven of the views mentioned in the last paragraph agree on, namely</w:t>
      </w:r>
      <w:r>
        <w:t xml:space="preserve"> </w:t>
      </w:r>
      <w:hyperlink w:anchor="tbl-coord">
        <w:r>
          <w:rPr>
            <w:rStyle w:val="Hyperlink"/>
          </w:rPr>
          <w:t xml:space="preserve">Table 8.2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80" w:name="tbl-coord"/>
          <w:p>
            <w:pPr>
              <w:jc w:val="center"/>
            </w:pPr>
            <w:pPr>
              <w:jc w:val="start"/>
              <w:spacing w:before="200"/>
              <w:pStyle w:val="ImageCaption"/>
            </w:pPr>
            <w:r>
              <w:t xml:space="preserve">Table 8.2: An example of a coordination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center"/>
                    <w:jc w:val="center"/>
                  </w:pPr>
                  <w:r>
                    <w:rPr>
                      <w:bCs/>
                      <w:b/>
                    </w:rPr>
                    <w:t xml:space="preserve">Down</w:t>
                  </w:r>
                </w:p>
              </w:tc>
              <w:tc>
                <w:tcPr/>
                <w:p>
                  <w:pPr>
                    <w:pStyle w:val="Compact"/>
                    <w:jc w:val="center"/>
                    <w:jc w:val="center"/>
                  </w:pPr>
                  <w:r>
                    <w:t xml:space="preserve">0</w:t>
                  </w:r>
                </w:p>
              </w:tc>
              <w:tc>
                <w:tcPr/>
                <w:p>
                  <w:pPr>
                    <w:pStyle w:val="Compact"/>
                    <w:jc w:val="center"/>
                    <w:jc w:val="center"/>
                  </w:pPr>
                  <w:r>
                    <w:t xml:space="preserve">3</w:t>
                  </w:r>
                </w:p>
              </w:tc>
            </w:tr>
          </w:tbl>
          <w:bookmarkEnd w:id="180"/>
          <w:p/>
        </w:tc>
      </w:tr>
    </w:tbl>
    <w:p>
      <w:pPr>
        <w:pStyle w:val="BodyText"/>
      </w:pPr>
      <w:r>
        <w:t xml:space="preserve">All of them agree that Up is the uniquely rational play in this example, and I think intuition agrees with them. I’ll argue, however, that Down is permissible. The argument turns on a variation that embeds</w:t>
      </w:r>
      <w:r>
        <w:t xml:space="preserve"> </w:t>
      </w:r>
      <w:hyperlink w:anchor="tbl-coord">
        <w:r>
          <w:rPr>
            <w:rStyle w:val="Hyperlink"/>
          </w:rPr>
          <w:t xml:space="preserve">Table 8.2</w:t>
        </w:r>
      </w:hyperlink>
      <w:r>
        <w:t xml:space="preserve"> </w:t>
      </w:r>
      <w:r>
        <w:t xml:space="preserve">in a more complicated problem. This problem involves two demons, each of whom are arbitrarily good at predicting Chooser. The (first version of) the problem involves the following sequence.</w:t>
      </w:r>
    </w:p>
    <w:p>
      <w:pPr>
        <w:numPr>
          <w:ilvl w:val="0"/>
          <w:numId w:val="1012"/>
        </w:numPr>
        <w:pStyle w:val="Compact"/>
      </w:pPr>
      <w:r>
        <w:t xml:space="preserve">Both Demon-1 and Demon-2 predict Chooser, but do not reveal their prediction.</w:t>
      </w:r>
    </w:p>
    <w:p>
      <w:pPr>
        <w:numPr>
          <w:ilvl w:val="0"/>
          <w:numId w:val="101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12"/>
        </w:numPr>
        <w:pStyle w:val="Compact"/>
      </w:pPr>
      <w:r>
        <w:t xml:space="preserve">Chooser chooses Up or Down.</w:t>
      </w:r>
    </w:p>
    <w:p>
      <w:pPr>
        <w:numPr>
          <w:ilvl w:val="0"/>
          <w:numId w:val="1012"/>
        </w:numPr>
        <w:pStyle w:val="Compact"/>
      </w:pPr>
      <w:r>
        <w:t xml:space="preserve">Demon-2’s prediction is revealed, and that determines whether we are in state PU or state PD.</w:t>
      </w:r>
    </w:p>
    <w:p>
      <w:pPr>
        <w:numPr>
          <w:ilvl w:val="0"/>
          <w:numId w:val="1012"/>
        </w:numPr>
        <w:pStyle w:val="Compact"/>
      </w:pPr>
      <w:r>
        <w:t xml:space="preserve">Chooser’s payouts are given by</w:t>
      </w:r>
      <w:r>
        <w:t xml:space="preserve"> </w:t>
      </w:r>
      <w:hyperlink w:anchor="tbl-coord">
        <w:r>
          <w:rPr>
            <w:rStyle w:val="Hyperlink"/>
          </w:rPr>
          <w:t xml:space="preserve">Table 8.2</w:t>
        </w:r>
      </w:hyperlink>
      <w:r>
        <w:t xml:space="preserve">.</w:t>
      </w:r>
    </w:p>
    <w:p>
      <w:pPr>
        <w:pStyle w:val="FirstParagraph"/>
      </w:pPr>
      <w:r>
        <w:t xml:space="preserve">I’ll call these Exit Problems, and</w:t>
      </w:r>
      <w:r>
        <w:t xml:space="preserve"> </w:t>
      </w:r>
      <w:hyperlink w:anchor="tbl-general-exit">
        <w:r>
          <w:rPr>
            <w:rStyle w:val="Hyperlink"/>
          </w:rPr>
          <w:t xml:space="preserve">Table 8.3</w:t>
        </w:r>
      </w:hyperlink>
      <w:r>
        <w:t xml:space="preserve"> </w:t>
      </w:r>
      <w:r>
        <w:t xml:space="preserve">gives the general form of such a problem. Our problem can be generated from</w:t>
      </w:r>
      <w:r>
        <w:t xml:space="preserve"> </w:t>
      </w:r>
      <w:hyperlink w:anchor="tbl-general-exit">
        <w:r>
          <w:rPr>
            <w:rStyle w:val="Hyperlink"/>
          </w:rPr>
          <w:t xml:space="preserve">Table 8.3</w:t>
        </w:r>
      </w:hyperlink>
      <w:r>
        <w:t xml:space="preserve"> </w:t>
      </w:r>
      <w:r>
        <w:t xml:space="preserve">by setting</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and 4,</w:t>
      </w:r>
      <w:r>
        <w:t xml:space="preserve"> </w:t>
      </w:r>
      <w:r>
        <w:rPr>
          <w:iCs/>
          <w:i/>
        </w:rPr>
        <w:t xml:space="preserve">d</w:t>
      </w:r>
      <w:r>
        <w:t xml:space="preserve"> </w:t>
      </w:r>
      <w:r>
        <w:t xml:space="preserve">= 3.</w:t>
      </w:r>
    </w:p>
    <w:bookmarkStart w:id="183" w:name="tbl-general-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81" w:name="tbl-exit-param"/>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rPr>
                            <w:iCs/>
                            <w:i/>
                          </w:rPr>
                          <w:t xml:space="preserve">e</w:t>
                        </w:r>
                      </w:p>
                    </w:tc>
                  </w:tr>
                  <w:tr>
                    <w:tc>
                      <w:tcPr/>
                      <w:p>
                        <w:pPr>
                          <w:pStyle w:val="Compact"/>
                          <w:jc w:val="center"/>
                          <w:jc w:val="center"/>
                          <w:jc w:val="left"/>
                        </w:pPr>
                        <w:r>
                          <w:t xml:space="preserve">Pr(Exit | PUp)</w:t>
                        </w:r>
                      </w:p>
                    </w:tc>
                    <w:tc>
                      <w:tcPr/>
                      <w:p>
                        <w:pPr>
                          <w:pStyle w:val="Compact"/>
                          <w:jc w:val="center"/>
                          <w:jc w:val="center"/>
                          <w:jc w:val="left"/>
                        </w:pPr>
                        <w:r>
                          <w:rPr>
                            <w:iCs/>
                            <w:i/>
                          </w:rPr>
                          <w:t xml:space="preserve">x</w:t>
                        </w:r>
                      </w:p>
                    </w:tc>
                  </w:tr>
                  <w:tr>
                    <w:tc>
                      <w:tcPr/>
                      <w:p>
                        <w:pPr>
                          <w:pStyle w:val="Compact"/>
                          <w:jc w:val="center"/>
                          <w:jc w:val="center"/>
                          <w:jc w:val="left"/>
                        </w:pPr>
                        <w:r>
                          <w:t xml:space="preserve">Pr(Exit | PDown)</w:t>
                        </w:r>
                      </w:p>
                    </w:tc>
                    <w:tc>
                      <w:tcPr/>
                      <w:p>
                        <w:pPr>
                          <w:pStyle w:val="Compact"/>
                          <w:jc w:val="center"/>
                          <w:jc w:val="center"/>
                          <w:jc w:val="left"/>
                        </w:pPr>
                        <w:r>
                          <w:rPr>
                            <w:iCs/>
                            <w:i/>
                          </w:rPr>
                          <w:t xml:space="preserve">y</w:t>
                        </w:r>
                      </w:p>
                    </w:tc>
                  </w:tr>
                </w:tbl>
                <w:bookmarkEnd w:id="181"/>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82" w:name="tbl-exit-r2g"/>
                <w:p>
                  <w:pPr>
                    <w:jc w:val="center"/>
                    <w:jc w:val="left"/>
                  </w:pPr>
                  <w:pPr>
                    <w:jc w:val="start"/>
                    <w:spacing w:before="200"/>
                    <w:pStyle w:val="ImageCaption"/>
                  </w:pPr>
                  <w:r>
                    <w:t xml:space="preserve">(b) Round 2 game</w:t>
                  </w:r>
                </w:p>
                <w:tbl>
                  <w:tblPr>
                    <w:tblStyle w:val="Table"/>
                    <w:tblW w:type="pct" w:w="4900"/>
                    <w:tblLook w:firstRow="0" w:lastRow="0" w:firstColumn="0" w:lastColumn="0" w:noHBand="0" w:noVBand="0" w:val="0000"/>
                    <w:jc w:val="start"/>
                    <w:tblLayout w:type="fixed"/>
                  </w:tblPr>
                  <w:tblGrid>
                    <w:gridCol w:w="2587"/>
                    <w:gridCol w:w="2587"/>
                    <w:gridCol w:w="2587"/>
                  </w:tblGrid>
                  <w:tr>
                    <w:tc>
                      <w:tcPr/>
                      <w:p>
                        <w:pPr>
                          <w:pStyle w:val="Compact"/>
                        </w:pPr>
                      </w:p>
                    </w:tc>
                    <w:tc>
                      <w:tcPr/>
                      <w:p>
                        <w:pPr>
                          <w:pStyle w:val="Compact"/>
                          <w:jc w:val="center"/>
                          <w:jc w:val="center"/>
                          <w:jc w:val="left"/>
                        </w:pPr>
                        <w:r>
                          <w:rPr>
                            <w:bCs/>
                            <w:b/>
                          </w:rPr>
                          <w:t xml:space="preserve">PUp</w:t>
                        </w:r>
                      </w:p>
                    </w:tc>
                    <w:tc>
                      <w:tcPr/>
                      <w:p>
                        <w:pPr>
                          <w:pStyle w:val="Compact"/>
                          <w:jc w:val="center"/>
                          <w:jc w:val="center"/>
                          <w:jc w:val="left"/>
                        </w:pPr>
                        <w:r>
                          <w:rPr>
                            <w:bCs/>
                            <w:b/>
                          </w:rPr>
                          <w:t xml:space="preserve">PDown</w:t>
                        </w:r>
                      </w:p>
                    </w:tc>
                  </w:tr>
                  <w:tr>
                    <w:tc>
                      <w:tcPr/>
                      <w:p>
                        <w:pPr>
                          <w:pStyle w:val="Compact"/>
                          <w:jc w:val="center"/>
                          <w:jc w:val="center"/>
                          <w:jc w:val="left"/>
                        </w:pPr>
                        <w:r>
                          <w:rPr>
                            <w:bCs/>
                            <w:b/>
                          </w:rPr>
                          <w:t xml:space="preserve">Up</w:t>
                        </w:r>
                      </w:p>
                    </w:tc>
                    <w:tc>
                      <w:tcPr/>
                      <w:p>
                        <w:pPr>
                          <w:pStyle w:val="Compact"/>
                          <w:jc w:val="center"/>
                          <w:jc w:val="center"/>
                          <w:jc w:val="left"/>
                        </w:pPr>
                        <w:r>
                          <w:rPr>
                            <w:iCs/>
                            <w:i/>
                          </w:rPr>
                          <w:t xml:space="preserve">a</w:t>
                        </w:r>
                      </w:p>
                    </w:tc>
                    <w:tc>
                      <w:tcPr/>
                      <w:p>
                        <w:pPr>
                          <w:pStyle w:val="Compact"/>
                          <w:jc w:val="center"/>
                          <w:jc w:val="center"/>
                          <w:jc w:val="left"/>
                        </w:pPr>
                        <w:r>
                          <w:rPr>
                            <w:iCs/>
                            <w:i/>
                          </w:rPr>
                          <w:t xml:space="preserve">b</w:t>
                        </w:r>
                      </w:p>
                    </w:tc>
                  </w:tr>
                  <w:tr>
                    <w:tc>
                      <w:tcPr/>
                      <w:p>
                        <w:pPr>
                          <w:pStyle w:val="Compact"/>
                          <w:jc w:val="center"/>
                          <w:jc w:val="center"/>
                          <w:jc w:val="left"/>
                        </w:pPr>
                        <w:r>
                          <w:rPr>
                            <w:bCs/>
                            <w:b/>
                          </w:rPr>
                          <w:t xml:space="preserve">Down</w:t>
                        </w:r>
                      </w:p>
                    </w:tc>
                    <w:tc>
                      <w:tcPr/>
                      <w:p>
                        <w:pPr>
                          <w:pStyle w:val="Compact"/>
                          <w:jc w:val="center"/>
                          <w:jc w:val="center"/>
                          <w:jc w:val="left"/>
                        </w:pPr>
                        <w:r>
                          <w:rPr>
                            <w:iCs/>
                            <w:i/>
                          </w:rPr>
                          <w:t xml:space="preserve">c</w:t>
                        </w:r>
                      </w:p>
                    </w:tc>
                    <w:tc>
                      <w:tcPr/>
                      <w:p>
                        <w:pPr>
                          <w:pStyle w:val="Compact"/>
                          <w:jc w:val="center"/>
                          <w:jc w:val="center"/>
                          <w:jc w:val="left"/>
                        </w:pPr>
                        <w:r>
                          <w:rPr>
                            <w:iCs/>
                            <w:i/>
                          </w:rPr>
                          <w:t xml:space="preserve">d</w:t>
                        </w:r>
                      </w:p>
                    </w:tc>
                  </w:tr>
                </w:tbl>
                <w:bookmarkEnd w:id="182"/>
                <w:p/>
              </w:tc>
            </w:tr>
          </w:tbl>
          <w:p/>
        </w:tc>
      </w:tr>
    </w:tbl>
    <w:p>
      <w:pPr>
        <w:pStyle w:val="BodyText"/>
      </w:pPr>
      <w:pPr>
        <w:spacing w:before="200"/>
        <w:pStyle w:val="ImageCaption"/>
      </w:pPr>
      <w:r>
        <w:t xml:space="preserve">Table 8.3: The abstract form of an Exit Problem.</w:t>
      </w:r>
    </w:p>
    <w:bookmarkEnd w:id="183"/>
    <w:p>
      <w:pPr>
        <w:pStyle w:val="BodyText"/>
      </w:pPr>
      <w:r>
        <w:t xml:space="preserve">Now consider a simple variant of the above 5 step problem. The same things happen, but steps 2 and 3 are reversed. That is, Chooser decides on Up or Down after the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pStyle w:val="DefinitionTerm"/>
      </w:pPr>
      <w:r>
        <w:t xml:space="preserve">Exit Principle</w:t>
      </w:r>
    </w:p>
    <w:p>
      <w:pPr>
        <w:pStyle w:val="Definition"/>
      </w:pPr>
      <w:r>
        <w:t xml:space="preserve">In any Exit Problem, the same choices are permissible in the Early Choice and Late Choice variants.</w:t>
      </w:r>
    </w:p>
    <w:p>
      <w:pPr>
        <w:pStyle w:val="FirstParagraph"/>
      </w:pPr>
      <w:r>
        <w:t xml:space="preserve">This principle will be enough to argue that that the right account of</w:t>
      </w:r>
      <w:r>
        <w:t xml:space="preserve"> </w:t>
      </w:r>
      <w:hyperlink w:anchor="tbl-coord">
        <w:r>
          <w:rPr>
            <w:rStyle w:val="Hyperlink"/>
          </w:rPr>
          <w:t xml:space="preserve">Table 8.2</w:t>
        </w:r>
      </w:hyperlink>
      <w:r>
        <w:t xml:space="preserve"> </w:t>
      </w:r>
      <w:r>
        <w:t xml:space="preserve">is indecisive. Before I show that, I’ll argue for Exit principle. In the next section I’ll give a direct argument for it, then show how it can be derived from two other important general principles.</w:t>
      </w:r>
    </w:p>
    <w:bookmarkEnd w:id="184"/>
    <w:bookmarkStart w:id="186" w:name="sec-exit-principle-argument"/>
    <w:p>
      <w:pPr>
        <w:pStyle w:val="Heading2"/>
      </w:pPr>
      <w:r>
        <w:t xml:space="preserve">8.4 Arguing for Exit Principle</w:t>
      </w:r>
    </w:p>
    <w:p>
      <w:pPr>
        <w:pStyle w:val="FirstParagraph"/>
      </w:pPr>
      <w:r>
        <w:t xml:space="preserve">The simplest reason to endorse Exit Principle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In general, the following two questions should have the same answers.</w:t>
      </w:r>
    </w:p>
    <w:p>
      <w:pPr>
        <w:numPr>
          <w:ilvl w:val="0"/>
          <w:numId w:val="1013"/>
        </w:numPr>
        <w:pStyle w:val="Compact"/>
      </w:pPr>
      <w:r>
        <w:t xml:space="preserve">If</w:t>
      </w:r>
      <w:r>
        <w:t xml:space="preserve"> </w:t>
      </w:r>
      <w:r>
        <w:rPr>
          <w:iCs/>
          <w:i/>
        </w:rPr>
        <w:t xml:space="preserve">p</w:t>
      </w:r>
      <w:r>
        <w:t xml:space="preserve"> </w:t>
      </w:r>
      <w:r>
        <w:t xml:space="preserve">happens, what do you want to do?</w:t>
      </w:r>
    </w:p>
    <w:p>
      <w:pPr>
        <w:numPr>
          <w:ilvl w:val="0"/>
          <w:numId w:val="1013"/>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Here</w:t>
      </w:r>
      <w:r>
        <w:t xml:space="preserve"> </w:t>
      </w:r>
      <w:r>
        <w:rPr>
          <w:iCs/>
          <w:i/>
        </w:rPr>
        <w:t xml:space="preserve">p</w:t>
      </w:r>
      <w:r>
        <w:t xml:space="preserve"> </w:t>
      </w:r>
      <w:r>
        <w:t xml:space="preserve">is that Demon-1 doesn’t exit. All that Chooser is asked to do in the Early Variant is to say what they want to do if they have to make a choice, i.e., if Demon-1 doesn’t exit. In the Late Variant, they are either told they got nothing, or asked what they want to do now that it is public that Demon-1 didn’t exit. They should give the same answer as they gave to the conditional question.</w:t>
      </w:r>
    </w:p>
    <w:p>
      <w:pPr>
        <w:pStyle w:val="BodyText"/>
      </w:pPr>
      <w:r>
        <w:t xml:space="preserve">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Exit Principle can also be derived from some other more general principles. One of these is that the Dual Mandate approach to dynamic choice, as defended in</w:t>
      </w:r>
      <w:r>
        <w:t xml:space="preserve"> </w:t>
      </w:r>
      <w:hyperlink w:anchor="sec-dual">
        <w:r>
          <w:rPr>
            <w:rStyle w:val="Hyperlink"/>
          </w:rPr>
          <w:t xml:space="preserve">Chapter 7</w:t>
        </w:r>
      </w:hyperlink>
      <w:r>
        <w:t xml:space="preserve">, is correct. The other is that a restricted version of Strategic Form - Extensive Form Equivalence is correct. In</w:t>
      </w:r>
      <w:r>
        <w:t xml:space="preserve"> </w:t>
      </w:r>
      <w:hyperlink w:anchor="sec-equivalence-intro">
        <w:r>
          <w:rPr>
            <w:rStyle w:val="Hyperlink"/>
          </w:rPr>
          <w:t xml:space="preserve">Section 7.1.4</w:t>
        </w:r>
      </w:hyperlink>
      <w:r>
        <w:t xml:space="preserve"> </w:t>
      </w:r>
      <w:r>
        <w:t xml:space="preserve">I introduced this equivalence and defined it as follows.</w:t>
      </w:r>
    </w:p>
    <w:p>
      <w:pPr>
        <w:pStyle w:val="DefinitionTerm"/>
      </w:pPr>
      <w:r>
        <w:t xml:space="preserve">Strategic Form - Extensive Form Equivalence</w:t>
      </w:r>
    </w:p>
    <w:p>
      <w:pPr>
        <w:pStyle w:val="Definition"/>
      </w:pPr>
      <w:r>
        <w:t xml:space="preserve">Some moves in an extensive form of a decision tree are rational (both individually and collectively) iff they are part of some strategy that can be rationally played in the corresponding strategic form decision.</w:t>
      </w:r>
    </w:p>
    <w:p>
      <w:pPr>
        <w:pStyle w:val="FirstParagraph"/>
      </w:pPr>
      <w:r>
        <w:t xml:space="preserve">As I noted there, this is widely rejected by game theory textbooks, though it does have notable defenders in philosophy (e.g.,</w:t>
      </w:r>
      <w:r>
        <w:t xml:space="preserve"> </w:t>
      </w:r>
      <w:r>
        <w:t xml:space="preserve">Stalnaker (1998)</w:t>
      </w:r>
      <w:r>
        <w:t xml:space="preserve">). But there is a special case of it that is at least implicitly endorsed.</w:t>
      </w:r>
    </w:p>
    <w:p>
      <w:pPr>
        <w:pStyle w:val="DefinitionTerm"/>
      </w:pPr>
      <w:r>
        <w:t xml:space="preserve">Restricted Strategic Form - Extensive Form Equivalence</w:t>
      </w:r>
    </w:p>
    <w:p>
      <w:pPr>
        <w:pStyle w:val="Definition"/>
      </w:pPr>
      <w:r>
        <w:t xml:space="preserve">Consider any decision tree where for each agent, either Chooser or Demon, there is at most one information set where they have to move. In such a tree, some moves are rational (both individually and collectively) iff they are part of some strategy that can be rationally played in the corresponding strategic form game.</w:t>
      </w:r>
    </w:p>
    <w:p>
      <w:pPr>
        <w:pStyle w:val="FirstParagraph"/>
      </w:pPr>
      <w:r>
        <w:t xml:space="preserve">I haven’t seen textbook explicitly endorse that, but I wouldn’t be surprised if one has somewhere. The reason I say that it is implicitly endorsed is that it is a consequence of every solution concept for dynamic games that are discussed. Indeed, it’s hard to even imagine a solution concept that would treat them differently.</w:t>
      </w:r>
    </w:p>
    <w:p>
      <w:pPr>
        <w:pStyle w:val="BodyText"/>
      </w:pPr>
      <w:r>
        <w:t xml:space="preserve">Finally, one could argue, I think correctly, that anyone who violates Exit Principle will violate a plausible version of the Sure Thing Principle.</w:t>
      </w:r>
      <w:r>
        <w:rPr>
          <w:rStyle w:val="FootnoteReference"/>
        </w:rPr>
        <w:footnoteReference w:id="185"/>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bookmarkEnd w:id="186"/>
    <w:bookmarkStart w:id="196" w:name="sec-exit-to-indecisive"/>
    <w:p>
      <w:pPr>
        <w:pStyle w:val="Heading2"/>
      </w:pPr>
      <w:r>
        <w:t xml:space="preserve">8.5 From Exit Principle to Indecisiveness</w:t>
      </w:r>
    </w:p>
    <w:p>
      <w:pPr>
        <w:pStyle w:val="FirstParagraph"/>
      </w:pPr>
      <w:r>
        <w:t xml:space="preserve">Any plausible theory that says that only Up is rationally playable in problems like</w:t>
      </w:r>
      <w:r>
        <w:t xml:space="preserve"> </w:t>
      </w:r>
      <w:hyperlink w:anchor="tbl-coord">
        <w:r>
          <w:rPr>
            <w:rStyle w:val="Hyperlink"/>
          </w:rPr>
          <w:t xml:space="preserve">Table 8.2</w:t>
        </w:r>
      </w:hyperlink>
      <w:r>
        <w:t xml:space="preserve"> </w:t>
      </w:r>
      <w:r>
        <w:t xml:space="preserve">cite above table will violate Exit Principle. Think about what they will say</w:t>
      </w:r>
      <w:r>
        <w:t xml:space="preserve"> </w:t>
      </w:r>
      <w:hyperlink w:anchor="tbl-early-choice">
        <w:r>
          <w:rPr>
            <w:rStyle w:val="Hyperlink"/>
          </w:rPr>
          <w:t xml:space="preserve">Table 8.4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87" w:name="tbl-early-choice"/>
          <w:p>
            <w:pPr>
              <w:jc w:val="center"/>
            </w:pPr>
            <w:pPr>
              <w:jc w:val="start"/>
              <w:spacing w:before="200"/>
              <w:pStyle w:val="ImageCaption"/>
            </w:pPr>
            <w:r>
              <w:t xml:space="preserve">Table 8.4: The Early Choice decision.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PMixed</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0</w:t>
                  </w:r>
                </w:p>
              </w:tc>
            </w:tr>
            <w:tr>
              <w:tc>
                <w:tcPr/>
                <w:p>
                  <w:pPr>
                    <w:pStyle w:val="Compact"/>
                    <w:jc w:val="center"/>
                    <w:jc w:val="center"/>
                  </w:pPr>
                  <w:r>
                    <w:rPr>
                      <w:bCs/>
                      <w:b/>
                    </w:rPr>
                    <w:t xml:space="preserve">Down</w:t>
                  </w:r>
                </w:p>
              </w:tc>
              <w:tc>
                <w:tcPr/>
                <w:p>
                  <w:pPr>
                    <w:pStyle w:val="Compact"/>
                    <w:jc w:val="center"/>
                    <w:jc w:val="center"/>
                  </w:pPr>
                  <w:r>
                    <w:t xml:space="preserve">0</w:t>
                  </w:r>
                </w:p>
              </w:tc>
              <w:tc>
                <w:tcPr/>
                <w:p>
                  <w:pPr>
                    <w:pStyle w:val="Compact"/>
                    <w:jc w:val="center"/>
                    <w:jc w:val="center"/>
                  </w:pPr>
                  <w:r>
                    <w:t xml:space="preserve">3</w:t>
                  </w:r>
                </w:p>
              </w:tc>
              <w:tc>
                <w:tcPr/>
                <w:p>
                  <w:pPr>
                    <w:pStyle w:val="Compact"/>
                    <w:jc w:val="center"/>
                    <w:jc w:val="center"/>
                  </w:pPr>
                  <w:r>
                    <w:t xml:space="preserve">3</w:t>
                  </w:r>
                </w:p>
              </w:tc>
            </w:tr>
          </w:tbl>
          <w:bookmarkEnd w:id="187"/>
          <w:p/>
        </w:tc>
      </w:tr>
    </w:tbl>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8.5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88" w:name="tbl-early-choice-simplified"/>
          <w:p>
            <w:pPr>
              <w:jc w:val="center"/>
            </w:pPr>
            <w:pPr>
              <w:jc w:val="start"/>
              <w:spacing w:before="200"/>
              <w:pStyle w:val="ImageCaption"/>
            </w:pPr>
            <w:r>
              <w:t xml:space="preserve">Table 8.5: The Early Choice decision simplified.</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2</w:t>
                  </w:r>
                </w:p>
              </w:tc>
              <w:tc>
                <w:tcPr/>
                <w:p>
                  <w:pPr>
                    <w:pStyle w:val="Compact"/>
                    <w:jc w:val="center"/>
                    <w:jc w:val="center"/>
                  </w:pPr>
                  <w:r>
                    <w:t xml:space="preserve">0</w:t>
                  </w:r>
                </w:p>
              </w:tc>
            </w:tr>
            <w:tr>
              <w:tc>
                <w:tcPr/>
                <w:p>
                  <w:pPr>
                    <w:pStyle w:val="Compact"/>
                    <w:jc w:val="center"/>
                    <w:jc w:val="center"/>
                  </w:pPr>
                  <w:r>
                    <w:rPr>
                      <w:bCs/>
                      <w:b/>
                    </w:rPr>
                    <w:t xml:space="preserve">Down</w:t>
                  </w:r>
                </w:p>
              </w:tc>
              <w:tc>
                <w:tcPr/>
                <w:p>
                  <w:pPr>
                    <w:pStyle w:val="Compact"/>
                    <w:jc w:val="center"/>
                    <w:jc w:val="center"/>
                  </w:pPr>
                  <w:r>
                    <w:t xml:space="preserve">0</w:t>
                  </w:r>
                </w:p>
              </w:tc>
              <w:tc>
                <w:tcPr/>
                <w:p>
                  <w:pPr>
                    <w:pStyle w:val="Compact"/>
                    <w:jc w:val="center"/>
                    <w:jc w:val="center"/>
                  </w:pPr>
                  <w:r>
                    <w:t xml:space="preserve">3</w:t>
                  </w:r>
                </w:p>
              </w:tc>
            </w:tr>
          </w:tbl>
          <w:bookmarkEnd w:id="188"/>
          <w:p/>
        </w:tc>
      </w:tr>
    </w:tbl>
    <w:p>
      <w:pPr>
        <w:pStyle w:val="BodyText"/>
      </w:pPr>
      <w:r>
        <w:t xml:space="preserve">Now presumably if one prefers Up in above table, it is because one prefers Up in any game like</w:t>
      </w:r>
      <w:r>
        <w:t xml:space="preserve"> </w:t>
      </w:r>
      <w:hyperlink w:anchor="tbl-general-coord">
        <w:r>
          <w:rPr>
            <w:rStyle w:val="Hyperlink"/>
          </w:rPr>
          <w:t xml:space="preserve">Table 8.6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tbl>
      <w:tblPr>
        <w:tblStyle w:val="Table"/>
        <w:tblW w:type="pct" w:w="5000"/>
        <w:tblLook w:firstRow="0" w:lastRow="0" w:firstColumn="0" w:lastColumn="0" w:noHBand="0" w:noVBand="0" w:val="0000"/>
        <w:jc w:val="start"/>
        <w:tblLayout w:type="fixed"/>
      </w:tblPr>
      <w:tblGrid>
        <w:gridCol w:w="7920"/>
      </w:tblGrid>
      <w:tr>
        <w:tc>
          <w:tcPr/>
          <w:bookmarkStart w:id="189" w:name="tbl-general-coord"/>
          <w:p>
            <w:pPr>
              <w:jc w:val="center"/>
            </w:pPr>
            <w:pPr>
              <w:jc w:val="start"/>
              <w:spacing w:before="200"/>
              <w:pStyle w:val="ImageCaption"/>
            </w:pPr>
            <w:r>
              <w:t xml:space="preserve">Table 8.6: General coordination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rPr>
                      <w:iCs/>
                      <w:i/>
                    </w:rPr>
                    <w:t xml:space="preserve">x</w:t>
                  </w:r>
                </w:p>
              </w:tc>
              <w:tc>
                <w:tcPr/>
                <w:p>
                  <w:pPr>
                    <w:pStyle w:val="Compact"/>
                    <w:jc w:val="center"/>
                    <w:jc w:val="center"/>
                  </w:pPr>
                  <w:r>
                    <w:t xml:space="preserve">0</w:t>
                  </w:r>
                </w:p>
              </w:tc>
            </w:tr>
            <w:tr>
              <w:tc>
                <w:tcPr/>
                <w:p>
                  <w:pPr>
                    <w:pStyle w:val="Compact"/>
                    <w:jc w:val="center"/>
                    <w:jc w:val="center"/>
                  </w:pPr>
                  <w:r>
                    <w:rPr>
                      <w:bCs/>
                      <w:b/>
                    </w:rPr>
                    <w:t xml:space="preserve">Down</w:t>
                  </w:r>
                </w:p>
              </w:tc>
              <w:tc>
                <w:tcPr/>
                <w:p>
                  <w:pPr>
                    <w:pStyle w:val="Compact"/>
                    <w:jc w:val="center"/>
                    <w:jc w:val="center"/>
                  </w:pPr>
                  <w:r>
                    <w:t xml:space="preserve">0</w:t>
                  </w:r>
                </w:p>
              </w:tc>
              <w:tc>
                <w:tcPr/>
                <w:p>
                  <w:pPr>
                    <w:pStyle w:val="Compact"/>
                    <w:jc w:val="center"/>
                    <w:jc w:val="center"/>
                  </w:pPr>
                  <w:r>
                    <w:rPr>
                      <w:iCs/>
                      <w:i/>
                    </w:rPr>
                    <w:t xml:space="preserve">y</w:t>
                  </w:r>
                </w:p>
              </w:tc>
            </w:tr>
          </w:tbl>
          <w:bookmarkEnd w:id="189"/>
          <w:p/>
        </w:tc>
      </w:tr>
    </w:tbl>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8.5</w:t>
        </w:r>
      </w:hyperlink>
      <w:r>
        <w:t xml:space="preserve"> </w:t>
      </w:r>
      <w:r>
        <w:t xml:space="preserve">and so, presumably, in</w:t>
      </w:r>
      <w:r>
        <w:t xml:space="preserve"> </w:t>
      </w:r>
      <w:hyperlink w:anchor="tbl-early-choice">
        <w:r>
          <w:rPr>
            <w:rStyle w:val="Hyperlink"/>
          </w:rPr>
          <w:t xml:space="preserve">Table 8.4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8.6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8.7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2007b)</w:t>
      </w:r>
      <w:r>
        <w:t xml:space="preserve">, the asymmetric Death in Damascus case</w:t>
      </w:r>
      <w:r>
        <w:t xml:space="preserve"> </w:t>
      </w:r>
      <w:r>
        <w:t xml:space="preserve">(Richter 1984)</w:t>
      </w:r>
      <w:r>
        <w:t xml:space="preserve">, and other puzzles for CDT.</w:t>
      </w:r>
    </w:p>
    <w:tbl>
      <w:tblPr>
        <w:tblStyle w:val="Table"/>
        <w:tblW w:type="pct" w:w="5000"/>
        <w:tblLook w:firstRow="0" w:lastRow="0" w:firstColumn="0" w:lastColumn="0" w:noHBand="0" w:noVBand="0" w:val="0000"/>
        <w:jc w:val="start"/>
        <w:tblLayout w:type="fixed"/>
      </w:tblPr>
      <w:tblGrid>
        <w:gridCol w:w="7920"/>
      </w:tblGrid>
      <w:tr>
        <w:tc>
          <w:tcPr/>
          <w:bookmarkStart w:id="190" w:name="tbl-frustrating-button"/>
          <w:p>
            <w:pPr>
              <w:jc w:val="center"/>
            </w:pPr>
            <w:pPr>
              <w:jc w:val="start"/>
              <w:spacing w:before="200"/>
              <w:pStyle w:val="ImageCaption"/>
            </w:pPr>
            <w:r>
              <w:t xml:space="preserve">Table 8.7: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10</w:t>
                  </w:r>
                </w:p>
              </w:tc>
              <w:tc>
                <w:tcPr/>
                <w:p>
                  <w:pPr>
                    <w:pStyle w:val="Compact"/>
                    <w:jc w:val="center"/>
                    <w:jc w:val="center"/>
                  </w:pPr>
                  <w:r>
                    <w:t xml:space="preserve">10</w:t>
                  </w:r>
                </w:p>
              </w:tc>
            </w:tr>
            <w:tr>
              <w:tc>
                <w:tcPr/>
                <w:p>
                  <w:pPr>
                    <w:pStyle w:val="Compact"/>
                    <w:jc w:val="center"/>
                    <w:jc w:val="center"/>
                  </w:pPr>
                  <w:r>
                    <w:rPr>
                      <w:bCs/>
                      <w:b/>
                    </w:rPr>
                    <w:t xml:space="preserve">Down</w:t>
                  </w:r>
                </w:p>
              </w:tc>
              <w:tc>
                <w:tcPr/>
                <w:p>
                  <w:pPr>
                    <w:pStyle w:val="Compact"/>
                    <w:jc w:val="center"/>
                    <w:jc w:val="center"/>
                  </w:pPr>
                  <w:r>
                    <w:t xml:space="preserve">15</w:t>
                  </w:r>
                </w:p>
              </w:tc>
              <w:tc>
                <w:tcPr/>
                <w:p>
                  <w:pPr>
                    <w:pStyle w:val="Compact"/>
                    <w:jc w:val="center"/>
                    <w:jc w:val="center"/>
                  </w:pPr>
                  <w:r>
                    <w:t xml:space="preserve">0</w:t>
                  </w:r>
                </w:p>
              </w:tc>
            </w:tr>
          </w:tbl>
          <w:bookmarkEnd w:id="190"/>
          <w:p/>
        </w:tc>
      </w:tr>
    </w:tbl>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8.8</w:t>
        </w:r>
      </w:hyperlink>
      <w:r>
        <w:t xml:space="preserve">, the intuitions shift.</w:t>
      </w:r>
    </w:p>
    <w:bookmarkStart w:id="193" w:name="tbl-frustrating-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91" w:name="tbl-exit-param-fb"/>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t xml:space="preserve">-50</w:t>
                        </w:r>
                      </w:p>
                    </w:tc>
                  </w:tr>
                  <w:tr>
                    <w:tc>
                      <w:tcPr/>
                      <w:p>
                        <w:pPr>
                          <w:pStyle w:val="Compact"/>
                          <w:jc w:val="center"/>
                          <w:jc w:val="center"/>
                          <w:jc w:val="left"/>
                        </w:pPr>
                        <w:r>
                          <w:t xml:space="preserve">Pr(Exit | PUp)</w:t>
                        </w:r>
                      </w:p>
                    </w:tc>
                    <w:tc>
                      <w:tcPr/>
                      <w:p>
                        <w:pPr>
                          <w:pStyle w:val="Compact"/>
                          <w:jc w:val="center"/>
                          <w:jc w:val="center"/>
                          <w:jc w:val="left"/>
                        </w:pPr>
                        <w:r>
                          <w:t xml:space="preserve">0.8</w:t>
                        </w:r>
                      </w:p>
                    </w:tc>
                  </w:tr>
                  <w:tr>
                    <w:tc>
                      <w:tcPr/>
                      <w:p>
                        <w:pPr>
                          <w:pStyle w:val="Compact"/>
                          <w:jc w:val="center"/>
                          <w:jc w:val="center"/>
                          <w:jc w:val="left"/>
                        </w:pPr>
                        <w:r>
                          <w:t xml:space="preserve">Pr(Exit | PDown)</w:t>
                        </w:r>
                      </w:p>
                    </w:tc>
                    <w:tc>
                      <w:tcPr/>
                      <w:p>
                        <w:pPr>
                          <w:pStyle w:val="Compact"/>
                          <w:jc w:val="center"/>
                          <w:jc w:val="center"/>
                          <w:jc w:val="left"/>
                        </w:pPr>
                        <w:r>
                          <w:t xml:space="preserve">0</w:t>
                        </w:r>
                      </w:p>
                    </w:tc>
                  </w:tr>
                </w:tbl>
                <w:bookmarkEnd w:id="191"/>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92" w:name="tbl-exit-r2g-fb"/>
                <w:p>
                  <w:pPr>
                    <w:jc w:val="center"/>
                    <w:jc w:val="left"/>
                  </w:pPr>
                  <w:pPr>
                    <w:jc w:val="start"/>
                    <w:spacing w:before="200"/>
                    <w:pStyle w:val="ImageCaption"/>
                  </w:pPr>
                  <w:r>
                    <w:t xml:space="preserve">(b) Frustrating Button</w:t>
                  </w:r>
                </w:p>
                <w:tbl>
                  <w:tblPr>
                    <w:tblStyle w:val="Table"/>
                    <w:tblW w:type="pct" w:w="4900"/>
                    <w:tblLook w:firstRow="0" w:lastRow="0" w:firstColumn="0" w:lastColumn="0" w:noHBand="0" w:noVBand="0" w:val="0000"/>
                    <w:jc w:val="start"/>
                    <w:tblLayout w:type="fixed"/>
                  </w:tblPr>
                  <w:tblGrid>
                    <w:gridCol w:w="2587"/>
                    <w:gridCol w:w="2587"/>
                    <w:gridCol w:w="2587"/>
                  </w:tblGrid>
                  <w:tr>
                    <w:tc>
                      <w:tcPr/>
                      <w:p>
                        <w:pPr>
                          <w:pStyle w:val="Compact"/>
                        </w:pPr>
                      </w:p>
                    </w:tc>
                    <w:tc>
                      <w:tcPr/>
                      <w:p>
                        <w:pPr>
                          <w:pStyle w:val="Compact"/>
                          <w:jc w:val="center"/>
                          <w:jc w:val="center"/>
                          <w:jc w:val="left"/>
                        </w:pPr>
                        <w:r>
                          <w:rPr>
                            <w:bCs/>
                            <w:b/>
                          </w:rPr>
                          <w:t xml:space="preserve">PUp</w:t>
                        </w:r>
                      </w:p>
                    </w:tc>
                    <w:tc>
                      <w:tcPr/>
                      <w:p>
                        <w:pPr>
                          <w:pStyle w:val="Compact"/>
                          <w:jc w:val="center"/>
                          <w:jc w:val="center"/>
                          <w:jc w:val="left"/>
                        </w:pPr>
                        <w:r>
                          <w:rPr>
                            <w:bCs/>
                            <w:b/>
                          </w:rPr>
                          <w:t xml:space="preserve">PDown</w:t>
                        </w:r>
                      </w:p>
                    </w:tc>
                  </w:tr>
                  <w:tr>
                    <w:tc>
                      <w:tcPr/>
                      <w:p>
                        <w:pPr>
                          <w:pStyle w:val="Compact"/>
                          <w:jc w:val="center"/>
                          <w:jc w:val="center"/>
                          <w:jc w:val="left"/>
                        </w:pPr>
                        <w:r>
                          <w:rPr>
                            <w:bCs/>
                            <w:b/>
                          </w:rPr>
                          <w:t xml:space="preserve">Up</w:t>
                        </w:r>
                      </w:p>
                    </w:tc>
                    <w:tc>
                      <w:tcPr/>
                      <w:p>
                        <w:pPr>
                          <w:pStyle w:val="Compact"/>
                          <w:jc w:val="center"/>
                          <w:jc w:val="center"/>
                          <w:jc w:val="left"/>
                        </w:pPr>
                        <w:r>
                          <w:t xml:space="preserve">10</w:t>
                        </w:r>
                      </w:p>
                    </w:tc>
                    <w:tc>
                      <w:tcPr/>
                      <w:p>
                        <w:pPr>
                          <w:pStyle w:val="Compact"/>
                          <w:jc w:val="center"/>
                          <w:jc w:val="center"/>
                          <w:jc w:val="left"/>
                        </w:pPr>
                        <w:r>
                          <w:t xml:space="preserve">10</w:t>
                        </w:r>
                      </w:p>
                    </w:tc>
                  </w:tr>
                  <w:tr>
                    <w:tc>
                      <w:tcPr/>
                      <w:p>
                        <w:pPr>
                          <w:pStyle w:val="Compact"/>
                          <w:jc w:val="center"/>
                          <w:jc w:val="center"/>
                          <w:jc w:val="left"/>
                        </w:pPr>
                        <w:r>
                          <w:rPr>
                            <w:bCs/>
                            <w:b/>
                          </w:rPr>
                          <w:t xml:space="preserve">Down</w:t>
                        </w:r>
                      </w:p>
                    </w:tc>
                    <w:tc>
                      <w:tcPr/>
                      <w:p>
                        <w:pPr>
                          <w:pStyle w:val="Compact"/>
                          <w:jc w:val="center"/>
                          <w:jc w:val="center"/>
                          <w:jc w:val="left"/>
                        </w:pPr>
                        <w:r>
                          <w:t xml:space="preserve">15</w:t>
                        </w:r>
                      </w:p>
                    </w:tc>
                    <w:tc>
                      <w:tcPr/>
                      <w:p>
                        <w:pPr>
                          <w:pStyle w:val="Compact"/>
                          <w:jc w:val="center"/>
                          <w:jc w:val="center"/>
                          <w:jc w:val="left"/>
                        </w:pPr>
                        <w:r>
                          <w:t xml:space="preserve">0</w:t>
                        </w:r>
                      </w:p>
                    </w:tc>
                  </w:tr>
                </w:tbl>
                <w:bookmarkEnd w:id="192"/>
                <w:p/>
              </w:tc>
            </w:tr>
          </w:tbl>
          <w:p/>
        </w:tc>
      </w:tr>
    </w:tbl>
    <w:p>
      <w:pPr>
        <w:pStyle w:val="BodyText"/>
      </w:pPr>
      <w:pPr>
        <w:spacing w:before="200"/>
        <w:pStyle w:val="ImageCaption"/>
      </w:pPr>
      <w:r>
        <w:t xml:space="preserve">Table 8.8: An exit problem with Frustrating Button in round 2.</w:t>
      </w:r>
    </w:p>
    <w:bookmarkEnd w:id="193"/>
    <w:p>
      <w:pPr>
        <w:pStyle w:val="BodyText"/>
      </w:pPr>
      <w:r>
        <w:t xml:space="preserve">The Early Version of</w:t>
      </w:r>
      <w:r>
        <w:t xml:space="preserve"> </w:t>
      </w:r>
      <w:hyperlink w:anchor="tbl-frustrating-exit">
        <w:r>
          <w:rPr>
            <w:rStyle w:val="Hyperlink"/>
          </w:rPr>
          <w:t xml:space="preserve">Table 8.8</w:t>
        </w:r>
      </w:hyperlink>
      <w:r>
        <w:t xml:space="preserve"> </w:t>
      </w:r>
      <w:r>
        <w:t xml:space="preserve">is</w:t>
      </w:r>
      <w:r>
        <w:t xml:space="preserve"> </w:t>
      </w:r>
      <w:hyperlink w:anchor="tbl-ev-fe">
        <w:r>
          <w:rPr>
            <w:rStyle w:val="Hyperlink"/>
          </w:rPr>
          <w:t xml:space="preserve">Table 8.9</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4" w:name="tbl-ev-fe"/>
          <w:p>
            <w:pPr>
              <w:jc w:val="center"/>
            </w:pPr>
            <w:pPr>
              <w:jc w:val="start"/>
              <w:spacing w:before="200"/>
              <w:pStyle w:val="ImageCaption"/>
            </w:pPr>
            <w:r>
              <w:t xml:space="preserve">Table 8.9: Early Version of</w:t>
            </w:r>
            <w:r>
              <w:t xml:space="preserve"> </w:t>
            </w:r>
            <w:hyperlink w:anchor="tbl-frustrating-exit">
              <w:r>
                <w:rPr>
                  <w:rStyle w:val="Hyperlink"/>
                </w:rPr>
                <w:t xml:space="preserve">Table 8.8</w:t>
              </w:r>
            </w:hyperlink>
            <w:r>
              <w:t xml:space="preserv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-38</w:t>
                  </w:r>
                </w:p>
              </w:tc>
              <w:tc>
                <w:tcPr/>
                <w:p>
                  <w:pPr>
                    <w:pStyle w:val="Compact"/>
                    <w:jc w:val="center"/>
                    <w:jc w:val="center"/>
                  </w:pPr>
                  <w:r>
                    <w:t xml:space="preserve">10</w:t>
                  </w:r>
                </w:p>
              </w:tc>
            </w:tr>
            <w:tr>
              <w:tc>
                <w:tcPr/>
                <w:p>
                  <w:pPr>
                    <w:pStyle w:val="Compact"/>
                    <w:jc w:val="center"/>
                    <w:jc w:val="center"/>
                  </w:pPr>
                  <w:r>
                    <w:rPr>
                      <w:bCs/>
                      <w:b/>
                    </w:rPr>
                    <w:t xml:space="preserve">Down</w:t>
                  </w:r>
                </w:p>
              </w:tc>
              <w:tc>
                <w:tcPr/>
                <w:p>
                  <w:pPr>
                    <w:pStyle w:val="Compact"/>
                    <w:jc w:val="center"/>
                    <w:jc w:val="center"/>
                  </w:pPr>
                  <w:r>
                    <w:t xml:space="preserve">-37</w:t>
                  </w:r>
                </w:p>
              </w:tc>
              <w:tc>
                <w:tcPr/>
                <w:p>
                  <w:pPr>
                    <w:pStyle w:val="Compact"/>
                    <w:jc w:val="center"/>
                    <w:jc w:val="center"/>
                  </w:pPr>
                  <w:r>
                    <w:t xml:space="preserve">0</w:t>
                  </w:r>
                </w:p>
              </w:tc>
            </w:tr>
          </w:tbl>
          <w:bookmarkEnd w:id="194"/>
          <w:p/>
        </w:tc>
      </w:tr>
    </w:tbl>
    <w:p>
      <w:r>
        <w:br w:type="page"/>
      </w:r>
    </w:p>
    <w:p>
      <w:pPr>
        <w:pStyle w:val="BodyText"/>
      </w:pPr>
      <w:r>
        <w:t xml:space="preserve">And if there is an intuition here, it is that it’s better to choose Down rather than Up.</w:t>
      </w:r>
      <w:r>
        <w:rPr>
          <w:rStyle w:val="FootnoteReference"/>
        </w:rPr>
        <w:footnoteReference w:id="195"/>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196"/>
    <w:bookmarkEnd w:id="197"/>
    <w:bookmarkStart w:id="206" w:name="sec-select"/>
    <w:p>
      <w:pPr>
        <w:pStyle w:val="Heading1"/>
      </w:pPr>
      <w:r>
        <w:t xml:space="preserve">9. Selection</w:t>
      </w:r>
    </w:p>
    <w:bookmarkStart w:id="198" w:name="sec-selection-functions"/>
    <w:p>
      <w:pPr>
        <w:pStyle w:val="Heading2"/>
      </w:pPr>
      <w:r>
        <w:t xml:space="preserve">9.1 Selection Functions</w:t>
      </w:r>
    </w:p>
    <w:p>
      <w:pPr>
        <w:pStyle w:val="FirstParagraph"/>
      </w:pPr>
      <w:r>
        <w:t xml:space="preserve">Some decision theories, most notably EDT, output a valuation of all possible choices. From that valuation a preference function over choices can be easily generated; choices that are more highly valued are preferred to those that are less highly valued. Indeed, that preference ordering will be a total preorder. Other theories, especially the theories that recommend Gathering in Stag Decisions, do not output valuations of all choices, but they do output a preference ordering over all choices. In some cases that is a total preorder, but often it is simply a preorder. Still, they share with EDT the idea that a decision theory outputs a preference ordering over the choices.</w:t>
      </w:r>
    </w:p>
    <w:p>
      <w:pPr>
        <w:pStyle w:val="BodyText"/>
      </w:pPr>
      <w:r>
        <w:t xml:space="preserve">GDT rejects this assumption. A decision theory says what the idealised chooser will choose, given some options. It does not go on to say that the chooser will think this option is 7th best, and that one is 9th best. Such further claims would be pointless because they don’t explain behaviour, and explaining behaviour is the aim of the project. One does not behave differently whether this or that unchosen option is preferred.</w:t>
      </w:r>
    </w:p>
    <w:p>
      <w:pPr>
        <w:pStyle w:val="BodyText"/>
      </w:pPr>
      <w:r>
        <w:t xml:space="preserve">So we should think of GDT as outputting not a preference function, but a choice function in the sense of</w:t>
      </w:r>
      <w:r>
        <w:t xml:space="preserve"> </w:t>
      </w:r>
      <w:r>
        <w:t xml:space="preserve">Samuelson (1938)</w:t>
      </w:r>
      <w:r>
        <w:t xml:space="preserve">,</w:t>
      </w:r>
      <w:r>
        <w:t xml:space="preserve"> </w:t>
      </w:r>
      <w:r>
        <w:t xml:space="preserve">Chernoff (1954)</w:t>
      </w:r>
      <w:r>
        <w:t xml:space="preserve">, and</w:t>
      </w:r>
      <w:r>
        <w:t xml:space="preserve"> </w:t>
      </w:r>
      <w:r>
        <w:t xml:space="preserve">Sen (1971)</w:t>
      </w:r>
      <w:r>
        <w:t xml:space="preserve">. This is consistent with the practice in game theory. Think about the use of solution concepts like subgame perfect equilibrium</w:t>
      </w:r>
      <w:r>
        <w:t xml:space="preserve"> </w:t>
      </w:r>
      <w:r>
        <w:t xml:space="preserve">(Bonanno 2018, sec 4.4)</w:t>
      </w:r>
      <w:r>
        <w:t xml:space="preserve"> </w:t>
      </w:r>
      <w:r>
        <w:t xml:space="preserve">or Perfect Bayesian equilibrium</w:t>
      </w:r>
      <w:r>
        <w:t xml:space="preserve"> </w:t>
      </w:r>
      <w:r>
        <w:t xml:space="preserve">(Bonanno 2018, ch. 13)</w:t>
      </w:r>
      <w:r>
        <w:t xml:space="preserve">. These describe which choices are acceptable in dynamic situations. But they don’t even purport to offer a ranking over the unchosen options. All the theory says is that given a situation, these options are choice-worthy, and these ones are not.</w:t>
      </w:r>
    </w:p>
    <w:p>
      <w:pPr>
        <w:pStyle w:val="BodyText"/>
      </w:pPr>
      <w:r>
        <w:t xml:space="preserve">The algorithms one uses to solve games using these concepts don’t suggest that this or that unchosen option is better than some others. If one option is guaranteed to be epsilon worse than the best option in all circumstances, then it will be the first one eliminated by most algorithms, even if in some good sense it is second-best.</w:t>
      </w:r>
    </w:p>
    <w:p>
      <w:pPr>
        <w:pStyle w:val="BodyText"/>
      </w:pPr>
      <w:r>
        <w:t xml:space="preserve">That doesn’t mean that anything goes when it comes to choice. We can put some substantive constraints on what a choice function looks like. Following standard practice, when</w:t>
      </w:r>
      <w:r>
        <w:t xml:space="preserve"> </w:t>
      </w:r>
      <w:r>
        <w:rPr>
          <w:iCs/>
          <w:i/>
        </w:rPr>
        <w:t xml:space="preserve">X</w:t>
      </w:r>
      <w:r>
        <w:t xml:space="preserve"> </w:t>
      </w:r>
      <w:r>
        <w:t xml:space="preserve">is a set of options, let</w:t>
      </w:r>
      <w:r>
        <w:t xml:space="preserve"> </w:t>
      </w:r>
      <w:r>
        <w:rPr>
          <w:iCs/>
          <w:i/>
        </w:rPr>
        <w:t xml:space="preserve">c</w:t>
      </w:r>
      <w:r>
        <w:t xml:space="preserve">(</w:t>
      </w:r>
      <w:r>
        <w:rPr>
          <w:iCs/>
          <w:i/>
        </w:rPr>
        <w:t xml:space="preserve">X</w:t>
      </w:r>
      <w:r>
        <w:t xml:space="preserve">) be the set of choice-worthy options in</w:t>
      </w:r>
      <w:r>
        <w:t xml:space="preserve"> </w:t>
      </w:r>
      <w:r>
        <w:rPr>
          <w:iCs/>
          <w:i/>
        </w:rPr>
        <w:t xml:space="preserve">X</w:t>
      </w:r>
      <w:r>
        <w:t xml:space="preserve">. (Call this the</w:t>
      </w:r>
      <w:r>
        <w:t xml:space="preserve"> </w:t>
      </w:r>
      <w:r>
        <w:t xml:space="preserve">‘</w:t>
      </w:r>
      <w:r>
        <w:t xml:space="preserve">choice set</w:t>
      </w:r>
      <w:r>
        <w:t xml:space="preserve">’</w:t>
      </w:r>
      <w:r>
        <w:t xml:space="preserve">.) One plausible principle is that if</w:t>
      </w:r>
      <w:r>
        <w:t xml:space="preserve"> </w:t>
      </w:r>
      <w:r>
        <w:rPr>
          <w:iCs/>
          <w:i/>
        </w:rPr>
        <w:t xml:space="preserve">Y</w:t>
      </w:r>
      <w:r>
        <w:t xml:space="preserve"> </w:t>
      </w:r>
      <w:r>
        <w:t xml:space="preserve">is a subset of</w:t>
      </w:r>
      <w:r>
        <w:t xml:space="preserve"> </w:t>
      </w:r>
      <w:r>
        <w:rPr>
          <w:iCs/>
          <w:i/>
        </w:rPr>
        <w:t xml:space="preserve">X</w:t>
      </w:r>
      <w:r>
        <w:t xml:space="preserve">, i.e., it is generated from</w:t>
      </w:r>
      <w:r>
        <w:t xml:space="preserve"> </w:t>
      </w:r>
      <w:r>
        <w:rPr>
          <w:iCs/>
          <w:i/>
        </w:rPr>
        <w:t xml:space="preserve">X</w:t>
      </w:r>
      <w:r>
        <w:t xml:space="preserve"> </w:t>
      </w:r>
      <w:r>
        <w:t xml:space="preserve">by deleting alternatives, then anything in</w:t>
      </w:r>
      <w:r>
        <w:t xml:space="preserve"> </w:t>
      </w:r>
      <w:r>
        <w:rPr>
          <w:iCs/>
          <w:i/>
        </w:rPr>
        <w:t xml:space="preserve">c</w:t>
      </w:r>
      <w:r>
        <w:t xml:space="preserve">(</w:t>
      </w:r>
      <w:r>
        <w:rPr>
          <w:iCs/>
          <w:i/>
        </w:rPr>
        <w:t xml:space="preserve">X</w:t>
      </w:r>
      <w:r>
        <w:t xml:space="preserve">) that is also in</w:t>
      </w:r>
      <w:r>
        <w:t xml:space="preserve"> </w:t>
      </w:r>
      <w:r>
        <w:rPr>
          <w:iCs/>
          <w:i/>
        </w:rPr>
        <w:t xml:space="preserve">Y</w:t>
      </w:r>
      <w:r>
        <w:t xml:space="preserve"> </w:t>
      </w:r>
      <w:r>
        <w:t xml:space="preserve">is in</w:t>
      </w:r>
      <w:r>
        <w:t xml:space="preserve"> </w:t>
      </w:r>
      <w:r>
        <w:rPr>
          <w:iCs/>
          <w:i/>
        </w:rPr>
        <w:t xml:space="preserve">c</w:t>
      </w:r>
      <w:r>
        <w:t xml:space="preserve">(</w:t>
      </w:r>
      <w:r>
        <w:rPr>
          <w:iCs/>
          <w:i/>
        </w:rPr>
        <w:t xml:space="preserve">Y</w:t>
      </w:r>
      <w:r>
        <w:t xml:space="preserve">). That is, deleting options does not turn something choice-worthy into something non-choice-worthy, unless it is indeed deleted. This is called principle</w:t>
      </w:r>
      <w:r>
        <w:t xml:space="preserve"> </w:t>
      </w:r>
      <m:oMath>
        <m:r>
          <m:t>α</m:t>
        </m:r>
      </m:oMath>
      <w:r>
        <w:t xml:space="preserve"> </w:t>
      </w:r>
      <w:r>
        <w:t xml:space="preserve">by</w:t>
      </w:r>
      <w:r>
        <w:t xml:space="preserve"> </w:t>
      </w:r>
      <w:r>
        <w:t xml:space="preserve">Sen (1971)</w:t>
      </w:r>
      <w:r>
        <w:t xml:space="preserve">, though it is often also (following</w:t>
      </w:r>
      <w:r>
        <w:t xml:space="preserve"> </w:t>
      </w:r>
      <w:r>
        <w:t xml:space="preserve">Moulin (1985)</w:t>
      </w:r>
      <w:r>
        <w:t xml:space="preserve">) called the Chernoff condition. This name is used because it is equivalent to one of Chernoff’s postulates for choice. And this principle is important in game theory, for without it the method of solving games by deleting rejected options would not make sense.</w:t>
      </w:r>
    </w:p>
    <w:bookmarkEnd w:id="198"/>
    <w:bookmarkStart w:id="199" w:name="sec-generating-orderings"/>
    <w:p>
      <w:pPr>
        <w:pStyle w:val="Heading2"/>
      </w:pPr>
      <w:r>
        <w:t xml:space="preserve">9.2 Generating Preference Orderings</w:t>
      </w:r>
    </w:p>
    <w:p>
      <w:pPr>
        <w:pStyle w:val="FirstParagraph"/>
      </w:pPr>
      <w:r>
        <w:t xml:space="preserve">I made a lot of assertions in</w:t>
      </w:r>
      <w:r>
        <w:t xml:space="preserve"> </w:t>
      </w:r>
      <w:hyperlink w:anchor="sec-selection-functions">
        <w:r>
          <w:rPr>
            <w:rStyle w:val="Hyperlink"/>
          </w:rPr>
          <w:t xml:space="preserve">Section 9.1</w:t>
        </w:r>
      </w:hyperlink>
      <w:r>
        <w:t xml:space="preserve"> </w:t>
      </w:r>
      <w:r>
        <w:t xml:space="preserve">that one might reject. Among other things, one might reject the idea that a selection function does not determine a preference ordering. After all, there are many ways to get from a choice function to a preference ordering. Here is one such way.</w:t>
      </w:r>
    </w:p>
    <w:p>
      <w:pPr>
        <w:numPr>
          <w:ilvl w:val="0"/>
          <w:numId w:val="1014"/>
        </w:numPr>
        <w:pStyle w:val="Compact"/>
      </w:pPr>
      <w:r>
        <w:t xml:space="preserve">If</w:t>
      </w:r>
      <w:r>
        <w:t xml:space="preserve"> </w:t>
      </w:r>
      <w:r>
        <w:rPr>
          <w:iCs/>
          <w:i/>
        </w:rPr>
        <w:t xml:space="preserve">o</w:t>
      </w:r>
      <w:r>
        <w:rPr>
          <w:vertAlign w:val="subscript"/>
        </w:rPr>
        <w:t xml:space="preserve">1</w:t>
      </w:r>
      <w:r>
        <w:t xml:space="preserve"> </w:t>
      </w:r>
      <m:oMath>
        <m:r>
          <m:rPr>
            <m:sty m:val="p"/>
          </m:rPr>
          <m:t>∈</m:t>
        </m:r>
      </m:oMath>
      <w:r>
        <w:t xml:space="preserve"> </w:t>
      </w:r>
      <w:r>
        <w:rPr>
          <w:iCs/>
          <w:i/>
        </w:rPr>
        <w:t xml:space="preserve">c</w:t>
      </w:r>
      <w:r>
        <w:t xml:space="preserve">(</w:t>
      </w:r>
      <w:r>
        <w:rPr>
          <w:iCs/>
          <w:i/>
        </w:rPr>
        <w:t xml:space="preserve">X</w:t>
      </w:r>
      <w:r>
        <w:t xml:space="preserve">) and</w:t>
      </w:r>
      <w:r>
        <w:t xml:space="preserve"> </w:t>
      </w:r>
      <w:r>
        <w:rPr>
          <w:iCs/>
          <w:i/>
        </w:rPr>
        <w:t xml:space="preserve">o</w:t>
      </w:r>
      <w:r>
        <w:rPr>
          <w:vertAlign w:val="subscript"/>
        </w:rPr>
        <w:t xml:space="preserve">2</w:t>
      </w:r>
      <w:r>
        <w:t xml:space="preserve"> </w:t>
      </w:r>
      <m:oMath>
        <m:r>
          <m:rPr>
            <m:sty m:val="p"/>
          </m:rPr>
          <m:t>∉</m:t>
        </m:r>
      </m:oMath>
      <w:r>
        <w:t xml:space="preserve"> </w:t>
      </w:r>
      <w:r>
        <w:rPr>
          <w:iCs/>
          <w:i/>
        </w:rPr>
        <w:t xml:space="preserve">c</w:t>
      </w:r>
      <w:r>
        <w:t xml:space="preserve">(</w:t>
      </w:r>
      <w:r>
        <w:rPr>
          <w:iCs/>
          <w:i/>
        </w:rPr>
        <w:t xml:space="preserve">X</w:t>
      </w:r>
      <w:r>
        <w:t xml:space="preserve">), then</w:t>
      </w:r>
      <w:r>
        <w:t xml:space="preserve"> </w:t>
      </w:r>
      <w:r>
        <w:rPr>
          <w:iCs/>
          <w:i/>
        </w:rPr>
        <w:t xml:space="preserve">o</w:t>
      </w:r>
      <w:r>
        <w:rPr>
          <w:vertAlign w:val="subscript"/>
        </w:rPr>
        <w:t xml:space="preserve">1</w:t>
      </w:r>
      <w:r>
        <w:t xml:space="preserve"> </w:t>
      </w:r>
      <w:r>
        <w:t xml:space="preserve">is strictly preferred to</w:t>
      </w:r>
      <w:r>
        <w:t xml:space="preserve"> </w:t>
      </w:r>
      <w:r>
        <w:rPr>
          <w:iCs/>
          <w:i/>
        </w:rPr>
        <w:t xml:space="preserve">o</w:t>
      </w:r>
      <w:r>
        <w:rPr>
          <w:vertAlign w:val="subscript"/>
        </w:rPr>
        <w:t xml:space="preserve">2</w:t>
      </w:r>
      <w:r>
        <w:t xml:space="preserve">.</w:t>
      </w:r>
    </w:p>
    <w:p>
      <w:pPr>
        <w:numPr>
          <w:ilvl w:val="0"/>
          <w:numId w:val="1014"/>
        </w:numPr>
        <w:pStyle w:val="Compact"/>
      </w:pPr>
      <w:r>
        <w:t xml:space="preserve">Otherwise,</w:t>
      </w:r>
      <w:r>
        <w:t xml:space="preserve"> </w:t>
      </w:r>
      <w:r>
        <w:rPr>
          <w:iCs/>
          <w:i/>
        </w:rPr>
        <w:t xml:space="preserve">o</w:t>
      </w:r>
      <w:r>
        <w:rPr>
          <w:vertAlign w:val="subscript"/>
        </w:rPr>
        <w:t xml:space="preserve">1</w:t>
      </w:r>
      <w:r>
        <w:t xml:space="preserve"> </w:t>
      </w:r>
      <w:r>
        <w:t xml:space="preserve">is not strictly preferred to</w:t>
      </w:r>
      <w:r>
        <w:t xml:space="preserve"> </w:t>
      </w:r>
      <w:r>
        <w:rPr>
          <w:iCs/>
          <w:i/>
        </w:rPr>
        <w:t xml:space="preserve">o</w:t>
      </w:r>
      <w:r>
        <w:rPr>
          <w:vertAlign w:val="subscript"/>
        </w:rPr>
        <w:t xml:space="preserve">2</w:t>
      </w:r>
      <w:r>
        <w:t xml:space="preserve">.</w:t>
      </w:r>
    </w:p>
    <w:p>
      <w:pPr>
        <w:pStyle w:val="FirstParagraph"/>
      </w:pPr>
      <w:r>
        <w:t xml:space="preserve">There’s nothing wrong with point 1 here, but point 2 is implausible. Consider the following</w:t>
      </w:r>
      <w:r>
        <w:t xml:space="preserve"> </w:t>
      </w:r>
      <w:r>
        <w:t xml:space="preserve">‘</w:t>
      </w:r>
      <w:r>
        <w:t xml:space="preserve">game</w:t>
      </w:r>
      <w:r>
        <w:t xml:space="preserve">’</w:t>
      </w:r>
      <w:r>
        <w:t xml:space="preserve">. Chooser is presented three options: a $20 bill, a $10 bill, and a $5 bill, and told they can choose any one of them. Their choice set is just the $20 bill. But, contra point 2, they strictly prefer the $10 bill, to the $5 bill.</w:t>
      </w:r>
    </w:p>
    <w:p>
      <w:pPr>
        <w:pStyle w:val="BodyText"/>
      </w:pPr>
      <w:r>
        <w:t xml:space="preserve">So if we want to turn a selection function into a preference ordering, we need something more sophisticated than this.</w:t>
      </w:r>
    </w:p>
    <w:p>
      <w:pPr>
        <w:pStyle w:val="BodyText"/>
      </w:pPr>
      <w:r>
        <w:t xml:space="preserve">I could at this point run through all the possible ways of generating a preference ordering from a selection function, and argue that none of them are adequate. But I suspect this approach would suffer from three problems.</w:t>
      </w:r>
    </w:p>
    <w:p>
      <w:pPr>
        <w:pStyle w:val="BodyText"/>
      </w:pPr>
      <w:r>
        <w:t xml:space="preserve">First, there would be enough different things to try that every reader would find my response to at least one of them unconvincing.</w:t>
      </w:r>
    </w:p>
    <w:p>
      <w:pPr>
        <w:pStyle w:val="BodyText"/>
      </w:pPr>
      <w:r>
        <w:t xml:space="preserve">Second, it’s not really true that I could survey</w:t>
      </w:r>
      <w:r>
        <w:t xml:space="preserve"> </w:t>
      </w:r>
      <w:r>
        <w:rPr>
          <w:iCs/>
          <w:i/>
        </w:rPr>
        <w:t xml:space="preserve">every</w:t>
      </w:r>
      <w:r>
        <w:t xml:space="preserve"> </w:t>
      </w:r>
      <w:r>
        <w:t xml:space="preserve">response one might take, and a moderately enterprising reader would come up with one I’d missed.</w:t>
      </w:r>
    </w:p>
    <w:p>
      <w:pPr>
        <w:pStyle w:val="BodyText"/>
      </w:pPr>
      <w:r>
        <w:t xml:space="preserve">Third, and this is the most important, one might agree with everything I say about the problems of each attempt, and conclude</w:t>
      </w:r>
      <w:r>
        <w:t xml:space="preserve"> </w:t>
      </w:r>
      <w:r>
        <w:t xml:space="preserve">“</w:t>
      </w:r>
      <w:r>
        <w:t xml:space="preserve">Ah well, all the worse for the selection function approach.</w:t>
      </w:r>
      <w:r>
        <w:t xml:space="preserve">”</w:t>
      </w:r>
      <w:r>
        <w:t xml:space="preserve">. If one is convinced that preference orderings are needed, and I’ve argued successfully that every way of generating them from selection functions fails, then one will conclude that decision theory needs more than selection functions. I need a way to convince you that the right conclusion to draw here is that we don’t in fact need preference orderings.</w:t>
      </w:r>
    </w:p>
    <w:bookmarkEnd w:id="199"/>
    <w:bookmarkStart w:id="200" w:name="sec-counterfactual-selections"/>
    <w:p>
      <w:pPr>
        <w:pStyle w:val="Heading2"/>
      </w:pPr>
      <w:r>
        <w:t xml:space="preserve">9.3 Counterfactual Selections</w:t>
      </w:r>
    </w:p>
    <w:p>
      <w:pPr>
        <w:pStyle w:val="FirstParagraph"/>
      </w:pPr>
      <w:r>
        <w:t xml:space="preserve">To that end, let’s start with a slightly different way of generating preference orderings from selection functions.</w:t>
      </w:r>
    </w:p>
    <w:p>
      <w:pPr>
        <w:numPr>
          <w:ilvl w:val="0"/>
          <w:numId w:val="1015"/>
        </w:numPr>
        <w:pStyle w:val="Compact"/>
      </w:pPr>
      <w:r>
        <w:t xml:space="preserve">If</w:t>
      </w:r>
      <w:r>
        <w:t xml:space="preserve"> </w:t>
      </w:r>
      <w:r>
        <w:rPr>
          <w:iCs/>
          <w:i/>
        </w:rPr>
        <w:t xml:space="preserve">o</w:t>
      </w:r>
      <w:r>
        <w:rPr>
          <w:vertAlign w:val="subscript"/>
        </w:rPr>
        <w:t xml:space="preserve">1</w:t>
      </w:r>
      <w:r>
        <w:t xml:space="preserve"> </w:t>
      </w:r>
      <m:oMath>
        <m:r>
          <m:rPr>
            <m:sty m:val="p"/>
          </m:rPr>
          <m:t>∈</m:t>
        </m:r>
      </m:oMath>
      <w:r>
        <w:t xml:space="preserve"> </w:t>
      </w:r>
      <w:r>
        <w:rPr>
          <w:iCs/>
          <w:i/>
        </w:rPr>
        <w:t xml:space="preserve">c</w:t>
      </w:r>
      <w:r>
        <w:t xml:space="preserve">({</w:t>
      </w:r>
      <w:r>
        <w:rPr>
          <w:iCs/>
          <w:i/>
        </w:rPr>
        <w:t xml:space="preserve">o</w:t>
      </w:r>
      <w:r>
        <w:rPr>
          <w:vertAlign w:val="subscript"/>
        </w:rPr>
        <w:t xml:space="preserve">1</w:t>
      </w:r>
      <w:r>
        <w:t xml:space="preserve">,</w:t>
      </w:r>
      <w:r>
        <w:t xml:space="preserve"> </w:t>
      </w:r>
      <w:r>
        <w:rPr>
          <w:iCs/>
          <w:i/>
        </w:rPr>
        <w:t xml:space="preserve">o</w:t>
      </w:r>
      <w:r>
        <w:rPr>
          <w:vertAlign w:val="subscript"/>
        </w:rPr>
        <w:t xml:space="preserve">2</w:t>
      </w:r>
      <w:r>
        <w:t xml:space="preserve">}) and</w:t>
      </w:r>
      <w:r>
        <w:t xml:space="preserve"> </w:t>
      </w:r>
      <w:r>
        <w:rPr>
          <w:iCs/>
          <w:i/>
        </w:rPr>
        <w:t xml:space="preserve">o</w:t>
      </w:r>
      <w:r>
        <w:rPr>
          <w:vertAlign w:val="subscript"/>
        </w:rPr>
        <w:t xml:space="preserve">2</w:t>
      </w:r>
      <w:r>
        <w:t xml:space="preserve"> </w:t>
      </w:r>
      <m:oMath>
        <m:r>
          <m:rPr>
            <m:sty m:val="p"/>
          </m:rPr>
          <m:t>∉</m:t>
        </m:r>
      </m:oMath>
      <w:r>
        <w:t xml:space="preserve"> </w:t>
      </w:r>
      <w:r>
        <w:rPr>
          <w:iCs/>
          <w:i/>
        </w:rPr>
        <w:t xml:space="preserve">c</w:t>
      </w:r>
      <w:r>
        <w:t xml:space="preserve">({</w:t>
      </w:r>
      <w:r>
        <w:rPr>
          <w:iCs/>
          <w:i/>
        </w:rPr>
        <w:t xml:space="preserve">o</w:t>
      </w:r>
      <w:r>
        <w:rPr>
          <w:vertAlign w:val="subscript"/>
        </w:rPr>
        <w:t xml:space="preserve">1</w:t>
      </w:r>
      <w:r>
        <w:t xml:space="preserve">,</w:t>
      </w:r>
      <w:r>
        <w:t xml:space="preserve"> </w:t>
      </w:r>
      <w:r>
        <w:rPr>
          <w:iCs/>
          <w:i/>
        </w:rPr>
        <w:t xml:space="preserve">o</w:t>
      </w:r>
      <w:r>
        <w:rPr>
          <w:vertAlign w:val="subscript"/>
        </w:rPr>
        <w:t xml:space="preserve">2</w:t>
      </w:r>
      <w:r>
        <w:t xml:space="preserve">}), then</w:t>
      </w:r>
      <w:r>
        <w:t xml:space="preserve"> </w:t>
      </w:r>
      <w:r>
        <w:rPr>
          <w:iCs/>
          <w:i/>
        </w:rPr>
        <w:t xml:space="preserve">o</w:t>
      </w:r>
      <w:r>
        <w:rPr>
          <w:vertAlign w:val="subscript"/>
        </w:rPr>
        <w:t xml:space="preserve">1</w:t>
      </w:r>
      <w:r>
        <w:t xml:space="preserve"> </w:t>
      </w:r>
      <w:r>
        <w:t xml:space="preserve">is strictly preferred to</w:t>
      </w:r>
      <w:r>
        <w:t xml:space="preserve"> </w:t>
      </w:r>
      <w:r>
        <w:rPr>
          <w:iCs/>
          <w:i/>
        </w:rPr>
        <w:t xml:space="preserve">o</w:t>
      </w:r>
      <w:r>
        <w:rPr>
          <w:vertAlign w:val="subscript"/>
        </w:rPr>
        <w:t xml:space="preserve">2</w:t>
      </w:r>
      <w:r>
        <w:t xml:space="preserve">.</w:t>
      </w:r>
    </w:p>
    <w:p>
      <w:pPr>
        <w:numPr>
          <w:ilvl w:val="0"/>
          <w:numId w:val="1015"/>
        </w:numPr>
        <w:pStyle w:val="Compact"/>
      </w:pPr>
      <w:r>
        <w:t xml:space="preserve">Otherwise,</w:t>
      </w:r>
      <w:r>
        <w:t xml:space="preserve"> </w:t>
      </w:r>
      <w:r>
        <w:rPr>
          <w:iCs/>
          <w:i/>
        </w:rPr>
        <w:t xml:space="preserve">o</w:t>
      </w:r>
      <w:r>
        <w:rPr>
          <w:vertAlign w:val="subscript"/>
        </w:rPr>
        <w:t xml:space="preserve">1</w:t>
      </w:r>
      <w:r>
        <w:t xml:space="preserve"> </w:t>
      </w:r>
      <w:r>
        <w:t xml:space="preserve">is not strictly preferred to</w:t>
      </w:r>
      <w:r>
        <w:t xml:space="preserve"> </w:t>
      </w:r>
      <w:r>
        <w:rPr>
          <w:iCs/>
          <w:i/>
        </w:rPr>
        <w:t xml:space="preserve">o</w:t>
      </w:r>
      <w:r>
        <w:rPr>
          <w:vertAlign w:val="subscript"/>
        </w:rPr>
        <w:t xml:space="preserve">2</w:t>
      </w:r>
      <w:r>
        <w:t xml:space="preserve">.</w:t>
      </w:r>
    </w:p>
    <w:p>
      <w:pPr>
        <w:pStyle w:val="FirstParagraph"/>
      </w:pPr>
      <w:r>
        <w:t xml:space="preserve">This approach has several nice features. First, it gets the case of the three bank notes correct. Second, it captures something intuitively right about what it means to say that one option is preferred to another; it would be chosen over it in a binary choice. Third, it promises to have some explanatory power, as the following case indicates.</w:t>
      </w:r>
    </w:p>
    <w:p>
      <w:pPr>
        <w:pStyle w:val="BodyText"/>
      </w:pPr>
      <w:r>
        <w:t xml:space="preserve">Chooser has two unpainted wooden toys, a bus and a truck. Chooser’s job is to paint one of them red, and the other blue, and offer them to Child. Child will then pick one. Chooser will get $2 if Child picks the blue one, and a further $1 if Child picks the bus. Chooser just cares about money, and does not care about Child’s preferences. Child’s preference ordering over toys is common knowledge, and it is:</w:t>
      </w:r>
    </w:p>
    <w:p>
      <w:pPr>
        <w:pStyle w:val="BlockText"/>
      </w:pPr>
      <w:r>
        <w:t xml:space="preserve">Blue truck &gt; red bus &gt; blue bus &gt; red truck</w:t>
      </w:r>
    </w:p>
    <w:p>
      <w:pPr>
        <w:pStyle w:val="FirstParagraph"/>
      </w:pPr>
      <w:r>
        <w:t xml:space="preserve">Chooser will disappoint Child by painting the bus blue, and the truck red, and getting the $3. And the explanation for this is that if they painted things the other way around, Child would select the truck, and Chooser would only get $2.</w:t>
      </w:r>
    </w:p>
    <w:p>
      <w:pPr>
        <w:pStyle w:val="BodyText"/>
      </w:pPr>
      <w:r>
        <w:t xml:space="preserve">So it looks like we need choices over counterfactual settings to explain behaviour. It’s because Child would choose blue truck from the options {blue truck, red bus} that Chooser paints the bus blue and the truck red. And this in turn motivates the thought that choices from restricted option sets is exactly the kind of thing we should appeal to in explanations.</w:t>
      </w:r>
    </w:p>
    <w:p>
      <w:pPr>
        <w:pStyle w:val="BodyText"/>
      </w:pPr>
      <w:r>
        <w:t xml:space="preserve">Everything I’ve said so far in this section is plausible, but, I hope to convince you, ultimately mistaken. I’ll briefly say why there is a different explanation for what happens in this game, and then spend the rest of the chapter arguing that choices from restricted sets are not something we should include in explanations.</w:t>
      </w:r>
    </w:p>
    <w:p>
      <w:pPr>
        <w:pStyle w:val="BodyText"/>
      </w:pPr>
      <w:r>
        <w:t xml:space="preserve">In the Chooser-Child game, we should think of both players as adopting one or other kind of</w:t>
      </w:r>
      <w:r>
        <w:t xml:space="preserve"> </w:t>
      </w:r>
      <w:r>
        <w:rPr>
          <w:iCs/>
          <w:i/>
        </w:rPr>
        <w:t xml:space="preserve">strategy</w:t>
      </w:r>
      <w:r>
        <w:t xml:space="preserve">. As noted back in [include cross-ref here] a strategy includes a plan for what to do at every node in the tree where it is one’s responsibility to choose. So child has to plan for what to do whichever choice Chooser makes. Given their preferences, the only rational plan is to always take the blue toy. And given that, Chooser’s only rational play is to paint the truck blue, and hence the bus red. That pair of strategies is the unique sub-game perfect equilibrium of the game.</w:t>
      </w:r>
    </w:p>
    <w:p>
      <w:pPr>
        <w:pStyle w:val="BodyText"/>
      </w:pPr>
      <w:r>
        <w:t xml:space="preserve">Crucially, this explanation just appeals to the strategy that Child adopts, and why it is preferable to the other three strategies they might have adopted. It doesn’t appeal at any point to Child’s preferences over the three unadopted strategies. So once we are clear about what the options are, i.e., strategies, there is a possible explanation of the outcome of the game that makes no appeal to preferences over unchosen options.</w:t>
      </w:r>
    </w:p>
    <w:p>
      <w:pPr>
        <w:pStyle w:val="BodyText"/>
      </w:pPr>
      <w:r>
        <w:t xml:space="preserve">In the rest of this chapter I’ll run through three reasons for thinking that we should not in fact use things like</w:t>
      </w:r>
      <w:r>
        <w:t xml:space="preserve"> </w:t>
      </w:r>
      <w:r>
        <w:rPr>
          <w:iCs/>
          <w:i/>
        </w:rPr>
        <w:t xml:space="preserve">c</w:t>
      </w:r>
      <w:r>
        <w:t xml:space="preserve">({</w:t>
      </w:r>
      <w:r>
        <w:rPr>
          <w:iCs/>
          <w:i/>
        </w:rPr>
        <w:t xml:space="preserve">o</w:t>
      </w:r>
      <w:r>
        <w:rPr>
          <w:vertAlign w:val="subscript"/>
        </w:rPr>
        <w:t xml:space="preserve">1</w:t>
      </w:r>
      <w:r>
        <w:t xml:space="preserve">,</w:t>
      </w:r>
      <w:r>
        <w:t xml:space="preserve"> </w:t>
      </w:r>
      <w:r>
        <w:rPr>
          <w:iCs/>
          <w:i/>
        </w:rPr>
        <w:t xml:space="preserve">o</w:t>
      </w:r>
      <w:r>
        <w:rPr>
          <w:vertAlign w:val="subscript"/>
        </w:rPr>
        <w:t xml:space="preserve">2</w:t>
      </w:r>
      <w:r>
        <w:t xml:space="preserve">}) in our explanations of what happens in games. As in the Chooser-Child example, I’ll pay particular attention to what happens in dynamic games.</w:t>
      </w:r>
    </w:p>
    <w:bookmarkEnd w:id="200"/>
    <w:bookmarkStart w:id="202" w:name="sec-held-fixed"/>
    <w:p>
      <w:pPr>
        <w:pStyle w:val="Heading2"/>
      </w:pPr>
      <w:r>
        <w:t xml:space="preserve">9.4 What is Held Fixed?</w:t>
      </w:r>
    </w:p>
    <w:p>
      <w:pPr>
        <w:pStyle w:val="FirstParagraph"/>
      </w:pPr>
      <w:r>
        <w:t xml:space="preserve">The first puzzle concerns figuring what</w:t>
      </w:r>
      <w:r>
        <w:t xml:space="preserve"> </w:t>
      </w:r>
      <w:r>
        <w:rPr>
          <w:iCs/>
          <w:i/>
        </w:rPr>
        <w:t xml:space="preserve">c</w:t>
      </w:r>
      <w:r>
        <w:t xml:space="preserve">({</w:t>
      </w:r>
      <w:r>
        <w:rPr>
          <w:iCs/>
          <w:i/>
        </w:rPr>
        <w:t xml:space="preserve">o</w:t>
      </w:r>
      <w:r>
        <w:rPr>
          <w:vertAlign w:val="subscript"/>
        </w:rPr>
        <w:t xml:space="preserve">1</w:t>
      </w:r>
      <w:r>
        <w:t xml:space="preserve">,</w:t>
      </w:r>
      <w:r>
        <w:t xml:space="preserve"> </w:t>
      </w:r>
      <w:r>
        <w:rPr>
          <w:iCs/>
          <w:i/>
        </w:rPr>
        <w:t xml:space="preserve">o</w:t>
      </w:r>
      <w:r>
        <w:rPr>
          <w:vertAlign w:val="subscript"/>
        </w:rPr>
        <w:t xml:space="preserve">2</w:t>
      </w:r>
      <w:r>
        <w:t xml:space="preserve">}) even means. Is it what Chooser would select if those were the only options and (a) everything else is held fixed; or (b) it is common knowledge that those are the only choices, and everything else is held fixed? These two can come apart, as when Chooser is Row in</w:t>
      </w:r>
      <w:r>
        <w:t xml:space="preserve"> </w:t>
      </w:r>
      <w:hyperlink w:anchor="tbl-held-fixed">
        <w:r>
          <w:rPr>
            <w:rStyle w:val="Hyperlink"/>
          </w:rPr>
          <w:t xml:space="preserve">Table 9.1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01" w:name="tbl-held-fixed"/>
          <w:p>
            <w:pPr>
              <w:jc w:val="center"/>
            </w:pPr>
            <w:pPr>
              <w:jc w:val="start"/>
              <w:spacing w:before="200"/>
              <w:pStyle w:val="ImageCaption"/>
            </w:pPr>
            <w:r>
              <w:t xml:space="preserve">Table 9.1: Which is better for Row: B or C?</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c>
                <w:tcPr/>
                <w:p>
                  <w:pPr>
                    <w:pStyle w:val="Compact"/>
                    <w:jc w:val="center"/>
                    <w:jc w:val="center"/>
                  </w:pPr>
                  <w:r>
                    <w:rPr>
                      <w:bCs/>
                      <w:b/>
                    </w:rPr>
                    <w:t xml:space="preserve">C</w:t>
                  </w:r>
                </w:p>
              </w:tc>
            </w:tr>
            <w:tr>
              <w:tc>
                <w:tcPr/>
                <w:p>
                  <w:pPr>
                    <w:pStyle w:val="Compact"/>
                    <w:jc w:val="center"/>
                    <w:jc w:val="center"/>
                  </w:pPr>
                  <w:r>
                    <w:rPr>
                      <w:bCs/>
                      <w:b/>
                    </w:rPr>
                    <w:t xml:space="preserve">A</w:t>
                  </w:r>
                </w:p>
              </w:tc>
              <w:tc>
                <w:tcPr/>
                <w:p>
                  <w:pPr>
                    <w:pStyle w:val="Compact"/>
                    <w:jc w:val="center"/>
                    <w:jc w:val="center"/>
                  </w:pPr>
                  <w:r>
                    <w:t xml:space="preserve">7,1</w:t>
                  </w:r>
                </w:p>
              </w:tc>
              <w:tc>
                <w:tcPr/>
                <w:p>
                  <w:pPr>
                    <w:pStyle w:val="Compact"/>
                    <w:jc w:val="center"/>
                    <w:jc w:val="center"/>
                  </w:pPr>
                  <w:r>
                    <w:t xml:space="preserve">2,0</w:t>
                  </w:r>
                </w:p>
              </w:tc>
              <w:tc>
                <w:tcPr/>
                <w:p>
                  <w:pPr>
                    <w:pStyle w:val="Compact"/>
                    <w:jc w:val="center"/>
                    <w:jc w:val="center"/>
                  </w:pPr>
                  <w:r>
                    <w:t xml:space="preserve">6,0</w:t>
                  </w:r>
                </w:p>
              </w:tc>
            </w:tr>
            <w:tr>
              <w:tc>
                <w:tcPr/>
                <w:p>
                  <w:pPr>
                    <w:pStyle w:val="Compact"/>
                    <w:jc w:val="center"/>
                    <w:jc w:val="center"/>
                  </w:pPr>
                  <w:r>
                    <w:rPr>
                      <w:bCs/>
                      <w:b/>
                    </w:rPr>
                    <w:t xml:space="preserve">B</w:t>
                  </w:r>
                </w:p>
              </w:tc>
              <w:tc>
                <w:tcPr/>
                <w:p>
                  <w:pPr>
                    <w:pStyle w:val="Compact"/>
                    <w:jc w:val="center"/>
                    <w:jc w:val="center"/>
                  </w:pPr>
                  <w:r>
                    <w:t xml:space="preserve">1,0</w:t>
                  </w:r>
                </w:p>
              </w:tc>
              <w:tc>
                <w:tcPr/>
                <w:p>
                  <w:pPr>
                    <w:pStyle w:val="Compact"/>
                    <w:jc w:val="center"/>
                    <w:jc w:val="center"/>
                  </w:pPr>
                  <w:r>
                    <w:t xml:space="preserve">1,1</w:t>
                  </w:r>
                </w:p>
              </w:tc>
              <w:tc>
                <w:tcPr/>
                <w:p>
                  <w:pPr>
                    <w:pStyle w:val="Compact"/>
                    <w:jc w:val="center"/>
                    <w:jc w:val="center"/>
                  </w:pPr>
                  <w:r>
                    <w:t xml:space="preserve">5,0</w:t>
                  </w:r>
                </w:p>
              </w:tc>
            </w:tr>
            <w:tr>
              <w:tc>
                <w:tcPr/>
                <w:p>
                  <w:pPr>
                    <w:pStyle w:val="Compact"/>
                    <w:jc w:val="center"/>
                    <w:jc w:val="center"/>
                  </w:pPr>
                  <w:r>
                    <w:rPr>
                      <w:bCs/>
                      <w:b/>
                    </w:rPr>
                    <w:t xml:space="preserve">C</w:t>
                  </w:r>
                </w:p>
              </w:tc>
              <w:tc>
                <w:tcPr/>
                <w:p>
                  <w:pPr>
                    <w:pStyle w:val="Compact"/>
                    <w:jc w:val="center"/>
                    <w:jc w:val="center"/>
                  </w:pPr>
                  <w:r>
                    <w:t xml:space="preserve">4,0</w:t>
                  </w:r>
                </w:p>
              </w:tc>
              <w:tc>
                <w:tcPr/>
                <w:p>
                  <w:pPr>
                    <w:pStyle w:val="Compact"/>
                    <w:jc w:val="center"/>
                    <w:jc w:val="center"/>
                  </w:pPr>
                  <w:r>
                    <w:t xml:space="preserve">0,0</w:t>
                  </w:r>
                </w:p>
              </w:tc>
              <w:tc>
                <w:tcPr/>
                <w:p>
                  <w:pPr>
                    <w:pStyle w:val="Compact"/>
                    <w:jc w:val="center"/>
                    <w:jc w:val="center"/>
                  </w:pPr>
                  <w:r>
                    <w:t xml:space="preserve">3,1</w:t>
                  </w:r>
                </w:p>
              </w:tc>
            </w:tr>
          </w:tbl>
          <w:bookmarkEnd w:id="201"/>
          <w:p/>
        </w:tc>
      </w:tr>
    </w:tbl>
    <w:p>
      <w:pPr>
        <w:pStyle w:val="BodyText"/>
      </w:pPr>
      <w:r>
        <w:t xml:space="preserve">The only ratifiable option is A, and that’s pretty clearly what Chooser will play. But which will they choose if B and C are the only options? Well, that depends on what is held fixed.</w:t>
      </w:r>
    </w:p>
    <w:p>
      <w:pPr>
        <w:pStyle w:val="BodyText"/>
      </w:pPr>
      <w:r>
        <w:t xml:space="preserve">As things stand Chooser will expect that Column will play A, so holding everything fixed, they prefer C to B. After all, it gets 4 and B only gets 1.</w:t>
      </w:r>
    </w:p>
    <w:p>
      <w:pPr>
        <w:pStyle w:val="BodyText"/>
      </w:pPr>
      <w:r>
        <w:t xml:space="preserve">If it was common knowledge that B and C were the only choices, then Column will not play A, since it is now weakly dominated, and given that, B strongly dominates C. So Chooser will play B.</w:t>
      </w:r>
    </w:p>
    <w:p>
      <w:pPr>
        <w:pStyle w:val="BodyText"/>
      </w:pPr>
      <w:r>
        <w:t xml:space="preserve">So the proposal needs to be refined to make clear what</w:t>
      </w:r>
      <w:r>
        <w:t xml:space="preserve"> </w:t>
      </w:r>
      <w:r>
        <w:rPr>
          <w:iCs/>
          <w:i/>
        </w:rPr>
        <w:t xml:space="preserve">c</w:t>
      </w:r>
      <w:r>
        <w:t xml:space="preserve">({B, C}) even is in this context. Whichever way that is done, the refined concept seems more ad hoc, and a little less explanatorily powerful, than the initial concept did.</w:t>
      </w:r>
    </w:p>
    <w:bookmarkEnd w:id="202"/>
    <w:bookmarkStart w:id="204" w:name="sec-mixed-restricted"/>
    <w:p>
      <w:pPr>
        <w:pStyle w:val="Heading2"/>
      </w:pPr>
      <w:r>
        <w:t xml:space="preserve">9.5 Mixed Strategies and Restricted Choice</w:t>
      </w:r>
    </w:p>
    <w:p>
      <w:pPr>
        <w:pStyle w:val="FirstParagraph"/>
      </w:pPr>
      <w:r>
        <w:t xml:space="preserve">Recall</w:t>
      </w:r>
      <w:r>
        <w:t xml:space="preserve"> </w:t>
      </w:r>
      <w:hyperlink w:anchor="tbl-frustrator">
        <w:r>
          <w:rPr>
            <w:rStyle w:val="Hyperlink"/>
          </w:rPr>
          <w:t xml:space="preserve">The Frustrator</w:t>
        </w:r>
      </w:hyperlink>
      <w:r>
        <w:t xml:space="preserve"> </w:t>
      </w:r>
      <w:r>
        <w:t xml:space="preserve">from</w:t>
      </w:r>
      <w:r>
        <w:t xml:space="preserve"> </w:t>
      </w:r>
      <w:hyperlink w:anchor="sec-no-ratify">
        <w:r>
          <w:rPr>
            <w:rStyle w:val="Hyperlink"/>
          </w:rPr>
          <w:t xml:space="preserve">Section 4.1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03" w:name="tbl-frustrator"/>
          <w:p>
            <w:pPr>
              <w:jc w:val="center"/>
            </w:pPr>
            <w:pPr>
              <w:jc w:val="start"/>
              <w:spacing w:before="200"/>
              <w:pStyle w:val="ImageCaption"/>
            </w:pPr>
            <w:r>
              <w:t xml:space="preserve">Table 9.2: The Frustrator</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c>
                <w:tcPr/>
                <w:p>
                  <w:pPr>
                    <w:pStyle w:val="Compact"/>
                    <w:jc w:val="center"/>
                    <w:jc w:val="center"/>
                  </w:pPr>
                  <w:r>
                    <w:rPr>
                      <w:bCs/>
                      <w:b/>
                    </w:rPr>
                    <w:t xml:space="preserve">PX</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100</w:t>
                  </w:r>
                </w:p>
              </w:tc>
              <w:tc>
                <w:tcPr/>
                <w:p>
                  <w:pPr>
                    <w:pStyle w:val="Compact"/>
                    <w:jc w:val="center"/>
                    <w:jc w:val="center"/>
                  </w:pPr>
                  <w:r>
                    <w:t xml:space="preserve">50</w:t>
                  </w:r>
                </w:p>
              </w:tc>
            </w:tr>
            <w:tr>
              <w:tc>
                <w:tcPr/>
                <w:p>
                  <w:pPr>
                    <w:pStyle w:val="Compact"/>
                    <w:jc w:val="center"/>
                    <w:jc w:val="center"/>
                  </w:pPr>
                  <w:r>
                    <w:rPr>
                      <w:bCs/>
                      <w:b/>
                    </w:rPr>
                    <w:t xml:space="preserve">B</w:t>
                  </w:r>
                </w:p>
              </w:tc>
              <w:tc>
                <w:tcPr/>
                <w:p>
                  <w:pPr>
                    <w:pStyle w:val="Compact"/>
                    <w:jc w:val="center"/>
                    <w:jc w:val="center"/>
                  </w:pPr>
                  <w:r>
                    <w:t xml:space="preserve">100</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center"/>
                    <w:jc w:val="center"/>
                  </w:pPr>
                  <w:r>
                    <w:rPr>
                      <w:bCs/>
                      <w:b/>
                    </w:rPr>
                    <w:t xml:space="preserve">X</w:t>
                  </w:r>
                </w:p>
              </w:tc>
              <w:tc>
                <w:tcPr/>
                <w:p>
                  <w:pPr>
                    <w:pStyle w:val="Compact"/>
                    <w:jc w:val="center"/>
                    <w:jc w:val="center"/>
                  </w:pPr>
                  <w:r>
                    <w:t xml:space="preserve">40</w:t>
                  </w:r>
                </w:p>
              </w:tc>
              <w:tc>
                <w:tcPr/>
                <w:p>
                  <w:pPr>
                    <w:pStyle w:val="Compact"/>
                    <w:jc w:val="center"/>
                    <w:jc w:val="center"/>
                  </w:pPr>
                  <w:r>
                    <w:t xml:space="preserve">40</w:t>
                  </w:r>
                </w:p>
              </w:tc>
              <w:tc>
                <w:tcPr/>
                <w:p>
                  <w:pPr>
                    <w:pStyle w:val="Compact"/>
                    <w:jc w:val="center"/>
                    <w:jc w:val="center"/>
                  </w:pPr>
                  <w:r>
                    <w:t xml:space="preserve">40</w:t>
                  </w:r>
                </w:p>
              </w:tc>
            </w:tr>
          </w:tbl>
          <w:bookmarkEnd w:id="203"/>
          <w:p/>
        </w:tc>
      </w:tr>
    </w:tbl>
    <w:p>
      <w:pPr>
        <w:pStyle w:val="BodyText"/>
      </w:pPr>
      <w:r>
        <w:t xml:space="preserve">I argued that the only rational choice there is a 50/50 mixture of A and B. But if we say that</w:t>
      </w:r>
      <w:r>
        <w:t xml:space="preserve"> </w:t>
      </w:r>
      <w:r>
        <w:rPr>
          <w:iCs/>
          <w:i/>
        </w:rPr>
        <w:t xml:space="preserve">c</w:t>
      </w:r>
      <w:r>
        <w:t xml:space="preserve"> </w:t>
      </w:r>
      <w:r>
        <w:t xml:space="preserve">is defined over arbitrary sets of possible choices, we might go on to ask, which is the best pure strategy here? Put another way, what is</w:t>
      </w:r>
      <w:r>
        <w:t xml:space="preserve"> </w:t>
      </w:r>
      <w:r>
        <w:rPr>
          <w:iCs/>
          <w:i/>
        </w:rPr>
        <w:t xml:space="preserve">c</w:t>
      </w:r>
      <w:r>
        <w:t xml:space="preserve">({A, B, X})?</w:t>
      </w:r>
    </w:p>
    <w:p>
      <w:pPr>
        <w:pStyle w:val="BodyText"/>
      </w:pPr>
      <w:r>
        <w:t xml:space="preserve">That question has no sensible answer. The point of</w:t>
      </w:r>
      <w:r>
        <w:t xml:space="preserve"> </w:t>
      </w:r>
      <w:r>
        <w:rPr>
          <w:iCs/>
          <w:i/>
        </w:rPr>
        <w:t xml:space="preserve">c</w:t>
      </w:r>
      <w:r>
        <w:t xml:space="preserve"> </w:t>
      </w:r>
      <w:r>
        <w:t xml:space="preserve">is that it is what idealised, perfectly rational, Chooser will select. And idealised, perfectly rational, Chooser cannot possibly be facing just that menu of choices. To say they are facing this choice is to say that they are not perfectly rational. And that means that</w:t>
      </w:r>
      <w:r>
        <w:t xml:space="preserve"> </w:t>
      </w:r>
      <w:r>
        <w:rPr>
          <w:iCs/>
          <w:i/>
        </w:rPr>
        <w:t xml:space="preserve">c</w:t>
      </w:r>
      <w:r>
        <w:t xml:space="preserve"> </w:t>
      </w:r>
      <w:r>
        <w:t xml:space="preserve">is not defined.</w:t>
      </w:r>
    </w:p>
    <w:bookmarkEnd w:id="204"/>
    <w:bookmarkStart w:id="205" w:name="sec-dynamic-restricted"/>
    <w:p>
      <w:pPr>
        <w:pStyle w:val="Heading2"/>
      </w:pPr>
      <w:r>
        <w:t xml:space="preserve">9.6 Dynamic Games and Restricted Choice</w:t>
      </w:r>
    </w:p>
    <w:p>
      <w:pPr>
        <w:pStyle w:val="FirstParagraph"/>
      </w:pPr>
      <w:r>
        <w:t xml:space="preserve">The argument in</w:t>
      </w:r>
      <w:r>
        <w:t xml:space="preserve"> </w:t>
      </w:r>
      <w:hyperlink w:anchor="sec-mixed-restricted">
        <w:r>
          <w:rPr>
            <w:rStyle w:val="Hyperlink"/>
          </w:rPr>
          <w:t xml:space="preserve">Section 9.5</w:t>
        </w:r>
      </w:hyperlink>
      <w:r>
        <w:t xml:space="preserve"> </w:t>
      </w:r>
      <w:r>
        <w:t xml:space="preserve">appealed to my earlier arguments about mixed strategies. There is another version of this argument that makes no such appeal. Consider the following two-stage game.</w:t>
      </w:r>
    </w:p>
    <w:p>
      <w:pPr>
        <w:numPr>
          <w:ilvl w:val="0"/>
          <w:numId w:val="1016"/>
        </w:numPr>
        <w:pStyle w:val="Compact"/>
      </w:pPr>
      <w:r>
        <w:t xml:space="preserve">At stage 1, a dollar bill will be placed in front of Chooser. Their option is to take it or leave it.</w:t>
      </w:r>
    </w:p>
    <w:p>
      <w:pPr>
        <w:numPr>
          <w:ilvl w:val="0"/>
          <w:numId w:val="1016"/>
        </w:numPr>
        <w:pStyle w:val="Compact"/>
      </w:pPr>
      <w:r>
        <w:t xml:space="preserve">Whatever they do at stage 1, at stage 2, a new dollar bill will be placed in front of Chooser. Their option is to take it or leave it.</w:t>
      </w:r>
    </w:p>
    <w:p>
      <w:pPr>
        <w:pStyle w:val="FirstParagraph"/>
      </w:pPr>
      <w:r>
        <w:t xml:space="preserve">At the end, Chooser will have some amount between $2 and $0. Chooser has eight possible strategies, which we’ll denote as XYZ, where X is T if they will take at stage 1, and L otherwise; Y is T if they will take at stage 2 after taking at stage 1, and L if they will leave at stage 2 after taking at stage 1; and Z is T if they will take at stage 2 after leaving at stage 1, and L if they will leave at stage 2 after leaving at stage 1.</w:t>
      </w:r>
    </w:p>
    <w:p>
      <w:pPr>
        <w:pStyle w:val="BodyText"/>
      </w:pPr>
      <w:r>
        <w:t xml:space="preserve">The only rational choice here is TTT. That is, given the eight options, Chooser will select TTT. Now we might ask ourselves a new question. If TTT is unavailable, what will Chooser select?</w:t>
      </w:r>
    </w:p>
    <w:p>
      <w:pPr>
        <w:pStyle w:val="BodyText"/>
      </w:pPr>
      <w:r>
        <w:t xml:space="preserve">If we think of this as a static game, the answer is easy. Choosing TTL gets $2, all the other options get less than $2, so TTL is best.</w:t>
      </w:r>
    </w:p>
    <w:p>
      <w:pPr>
        <w:pStyle w:val="BodyText"/>
      </w:pPr>
      <w:r>
        <w:t xml:space="preserve">But the game is not a static game, it is a dynamic game. And there isn’t any dynamic game where it is meaningful to ask what Chooser will do if TTT is not available. What things can Chooser do or not do under the assumption that TTT is not available? There isn’t a natural answer to this which respects the dynamic nature of the game.</w:t>
      </w:r>
    </w:p>
    <w:p>
      <w:pPr>
        <w:pStyle w:val="BodyText"/>
      </w:pPr>
      <w:r>
        <w:t xml:space="preserve">That’s the general case for dynamic games. In general, dynamic games have structural constraints on what choices are available. If some choices are available, some others must be available as well. If TTL is available, TTT must be available too. After all, there is no instruction you can give Chooser which implements a differential restriction on these strategies.</w:t>
      </w:r>
    </w:p>
    <w:p>
      <w:pPr>
        <w:pStyle w:val="BodyText"/>
      </w:pPr>
      <w:r>
        <w:t xml:space="preserve">So in general we should not think that if</w:t>
      </w:r>
      <w:r>
        <w:t xml:space="preserve"> </w:t>
      </w:r>
      <w:r>
        <w:rPr>
          <w:iCs/>
          <w:i/>
        </w:rPr>
        <w:t xml:space="preserve">c</w:t>
      </w:r>
      <w:r>
        <w:t xml:space="preserve">(</w:t>
      </w:r>
      <w:r>
        <w:rPr>
          <w:iCs/>
          <w:i/>
        </w:rPr>
        <w:t xml:space="preserve">S</w:t>
      </w:r>
      <w:r>
        <w:t xml:space="preserve">) is meaningful, then</w:t>
      </w:r>
      <w:r>
        <w:t xml:space="preserve"> </w:t>
      </w:r>
      <w:r>
        <w:rPr>
          <w:iCs/>
          <w:i/>
        </w:rPr>
        <w:t xml:space="preserve">c</w:t>
      </w:r>
      <w:r>
        <w:t xml:space="preserve"> </w:t>
      </w:r>
      <w:r>
        <w:t xml:space="preserve">will also be defined for arbitrary subsets of</w:t>
      </w:r>
      <w:r>
        <w:t xml:space="preserve"> </w:t>
      </w:r>
      <w:r>
        <w:rPr>
          <w:iCs/>
          <w:i/>
        </w:rPr>
        <w:t xml:space="preserve">c</w:t>
      </w:r>
      <w:r>
        <w:t xml:space="preserve">. And that means we shouldn’t think that</w:t>
      </w:r>
      <w:r>
        <w:t xml:space="preserve"> </w:t>
      </w:r>
      <w:r>
        <w:rPr>
          <w:iCs/>
          <w:i/>
        </w:rPr>
        <w:t xml:space="preserve">c</w:t>
      </w:r>
      <w:r>
        <w:t xml:space="preserve">({</w:t>
      </w:r>
      <w:r>
        <w:rPr>
          <w:iCs/>
          <w:i/>
        </w:rPr>
        <w:t xml:space="preserve">o</w:t>
      </w:r>
      <w:r>
        <w:rPr>
          <w:vertAlign w:val="subscript"/>
        </w:rPr>
        <w:t xml:space="preserve">1</w:t>
      </w:r>
      <w:r>
        <w:t xml:space="preserve">,</w:t>
      </w:r>
      <w:r>
        <w:t xml:space="preserve"> </w:t>
      </w:r>
      <w:r>
        <w:rPr>
          <w:iCs/>
          <w:i/>
        </w:rPr>
        <w:t xml:space="preserve">o</w:t>
      </w:r>
      <w:r>
        <w:rPr>
          <w:vertAlign w:val="subscript"/>
        </w:rPr>
        <w:t xml:space="preserve">2</w:t>
      </w:r>
      <w:r>
        <w:t xml:space="preserve">}) is in general well-defined. So we shouldn’t think that it is how preference orderings are defined given selection functions. And, relatedly, we shouldn’t think that preferences over non-chosen options are explanatorily important.</w:t>
      </w:r>
    </w:p>
    <w:bookmarkEnd w:id="205"/>
    <w:bookmarkEnd w:id="206"/>
    <w:bookmarkStart w:id="220" w:name="sec-substantive"/>
    <w:p>
      <w:pPr>
        <w:pStyle w:val="Heading1"/>
      </w:pPr>
      <w:r>
        <w:t xml:space="preserve">10.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207"/>
      </w:r>
    </w:p>
    <w:p>
      <w:pPr>
        <w:pStyle w:val="BlockText"/>
      </w:pPr>
      <w:r>
        <w:t xml:space="preserve">The central question of decision theory is: which choices are the ones that serve one’s desires according to one’s beliefs?</w:t>
      </w:r>
      <w:r>
        <w:t xml:space="preserve"> </w:t>
      </w:r>
      <w:r>
        <w:t xml:space="preserve">(Lewis 2020b,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The point of this chapter is to argue that this is not enough. Decision theory is a theory of what rational agents do. And rational agents are rational; they don’t have beliefs that are unsupported by their evidence. I also suspect they don’t have bedrock desires for saucers of mud, but here I’ll focus on the constraints about belief.</w:t>
      </w:r>
    </w:p>
    <w:p>
      <w:pPr>
        <w:pStyle w:val="BodyText"/>
      </w:pPr>
      <w:r>
        <w:t xml:space="preserve">The opposing view is that decision theory is part of the theory of structural rationality. Not doing what maximises expected utility according to one’s beliefs is like not believing the logical consequences of one’s beliefs. It is, according to the theorist of structural rationality, bad even if the initial beliefs are bad.</w:t>
      </w:r>
    </w:p>
    <w:p>
      <w:pPr>
        <w:pStyle w:val="BodyText"/>
      </w:pPr>
      <w:r>
        <w:t xml:space="preserve">I’m going to offer two arguments against this. First, I’ll argue that this notion of structural rationality, if it is even coherent, is not philosophically interesting. This is a big debate, and I don’t suspect I’ll convince many people of something this sweeping.</w:t>
      </w:r>
      <w:r>
        <w:rPr>
          <w:rStyle w:val="FootnoteReference"/>
        </w:rPr>
        <w:footnoteReference w:id="208"/>
      </w:r>
      <w:r>
        <w:t xml:space="preserve"> </w:t>
      </w:r>
      <w:r>
        <w:t xml:space="preserve">Hopefully I’ll convince some, but I don’t want to rest the argument on these general considerations. So second, I’ll focus more on decision theory, and argue that reflecting on an important case from the game theory literature, the beer-quiche game due to</w:t>
      </w:r>
      <w:r>
        <w:t xml:space="preserve"> </w:t>
      </w:r>
      <w:r>
        <w:t xml:space="preserve">Cho and Kreps (1987)</w:t>
      </w:r>
      <w:r>
        <w:t xml:space="preserve">, gives us reason to deny that decision theory is part of the theory of structural rationality.</w:t>
      </w:r>
    </w:p>
    <w:bookmarkStart w:id="210" w:name="sec-against-structural"/>
    <w:p>
      <w:pPr>
        <w:pStyle w:val="Heading2"/>
      </w:pPr>
      <w:r>
        <w:t xml:space="preserve">10.1 Against Structural Rationality</w:t>
      </w:r>
    </w:p>
    <w:p>
      <w:pPr>
        <w:pStyle w:val="FirstParagraph"/>
      </w:pPr>
      <w:r>
        <w:t xml:space="preserve">In this section I’ll note some general reasons for scepticism about this use of the substantive-structural distinction. One obvious reason is that Piz and Za do not look like rational choosers.</w:t>
      </w:r>
    </w:p>
    <w:p>
      <w:pPr>
        <w:pStyle w:val="BodyText"/>
      </w:pPr>
      <w:r>
        <w:t xml:space="preserve">Another reason is that distinguishing structural from substantive rationality this draws distinctions where we should be seeing similarities. To see this, consider two more characters: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w:t>
      </w:r>
    </w:p>
    <w:p>
      <w:pPr>
        <w:pStyle w:val="BodyText"/>
      </w:pPr>
      <w:r>
        <w:t xml:space="preserve">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w:t>
      </w:r>
    </w:p>
    <w:p>
      <w:pPr>
        <w:pStyle w:val="BodyText"/>
      </w:pPr>
      <w:r>
        <w:t xml:space="preserve">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As much as I find the dialethist solution to the Liar implausible, I think the dialethists I know have been perfectly sincere in offering it.</w:t>
      </w:r>
    </w:p>
    <w:p>
      <w:pPr>
        <w:pStyle w:val="BodyText"/>
      </w:pPr>
      <w:r>
        <w:t xml:space="preserve">Maybe there is some theory of coherence waiting to be found, but the search for one feels like a degenerating research program.</w:t>
      </w:r>
      <w:r>
        <w:rPr>
          <w:rStyle w:val="FootnoteReference"/>
        </w:rPr>
        <w:footnoteReference w:id="209"/>
      </w:r>
    </w:p>
    <w:bookmarkEnd w:id="210"/>
    <w:bookmarkStart w:id="219" w:name="sec-beer-quiche"/>
    <w:p>
      <w:pPr>
        <w:pStyle w:val="Heading2"/>
      </w:pPr>
      <w:r>
        <w:t xml:space="preserve">10.2 The Beer-Quiche Game</w:t>
      </w:r>
    </w:p>
    <w:p>
      <w:pPr>
        <w:pStyle w:val="FirstParagraph"/>
      </w:pPr>
      <w:r>
        <w:t xml:space="preserve">Even if the substantive/structural distinction can be made precise, and shown to do philosophical work, it won’t track the notion game theorists most care about. We can see this with a version of the beer-quiche game developed by</w:t>
      </w:r>
      <w:r>
        <w:t xml:space="preserve"> </w:t>
      </w:r>
      <w:r>
        <w:t xml:space="preserve">Cho and Kreps (1987)</w:t>
      </w:r>
      <w:r>
        <w:t xml:space="preserve">. In this section I’ll translate that game into decision-theoretic language, and say why it shows that decision theory should care about substantive, and not just structural, rationality.</w:t>
      </w:r>
    </w:p>
    <w:p>
      <w:pPr>
        <w:pStyle w:val="BodyText"/>
      </w:pPr>
      <w:r>
        <w:t xml:space="preserve">There are five steps in the game. (I’m going to call it the beer-quiche game to refer back to Cho and Kreps, and to distinguish it from the similar game earlier that is shown in</w:t>
      </w:r>
      <w:r>
        <w:t xml:space="preserve"> </w:t>
      </w:r>
      <w:hyperlink w:anchor="fig-second-anti-war">
        <w:r>
          <w:rPr>
            <w:rStyle w:val="Hyperlink"/>
          </w:rPr>
          <w:t xml:space="preserve">Figure D.1</w:t>
        </w:r>
      </w:hyperlink>
      <w:r>
        <w:t xml:space="preserve">.)</w:t>
      </w:r>
    </w:p>
    <w:p>
      <w:pPr>
        <w:numPr>
          <w:ilvl w:val="0"/>
          <w:numId w:val="1017"/>
        </w:numPr>
        <w:pStyle w:val="Compact"/>
      </w:pPr>
      <w:r>
        <w:t xml:space="preserve">A coin will be flipped, landing Heads or Tails. It is biased, 60% likely to land Heads. It will be shown to Chooser, but not to Demon.</w:t>
      </w:r>
    </w:p>
    <w:p>
      <w:pPr>
        <w:numPr>
          <w:ilvl w:val="0"/>
          <w:numId w:val="1017"/>
        </w:numPr>
        <w:pStyle w:val="Compact"/>
      </w:pPr>
      <w:r>
        <w:t xml:space="preserve">Chooser will say either Heads or Tails.</w:t>
      </w:r>
    </w:p>
    <w:p>
      <w:pPr>
        <w:numPr>
          <w:ilvl w:val="0"/>
          <w:numId w:val="1017"/>
        </w:numPr>
        <w:pStyle w:val="Compact"/>
      </w:pPr>
      <w:r>
        <w:t xml:space="preserve">Demon, knowing what Chooser has said, and being arbitrarily good at predicting Chooser’s strategy</w:t>
      </w:r>
      <w:r>
        <w:rPr>
          <w:rStyle w:val="FootnoteReference"/>
        </w:rPr>
        <w:footnoteReference w:id="211"/>
      </w:r>
      <w:r>
        <w:t xml:space="preserve">. will say Heads if it is more probable the coin landed Heads, and Tails if it is more probable the coin landed Tails.</w:t>
      </w:r>
      <w:r>
        <w:rPr>
          <w:rStyle w:val="FootnoteReference"/>
        </w:rPr>
        <w:footnoteReference w:id="212"/>
      </w:r>
    </w:p>
    <w:p>
      <w:pPr>
        <w:numPr>
          <w:ilvl w:val="0"/>
          <w:numId w:val="1017"/>
        </w:numPr>
        <w:pStyle w:val="Compact"/>
      </w:pPr>
      <w:r>
        <w:t xml:space="preserve">Chooser is paid $30 if Demon says Heads, and nothing if Demon says Tails.</w:t>
      </w:r>
    </w:p>
    <w:p>
      <w:pPr>
        <w:numPr>
          <w:ilvl w:val="0"/>
          <w:numId w:val="1017"/>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the payouts of the game are in</w:t>
      </w:r>
      <w:r>
        <w:t xml:space="preserve"> </w:t>
      </w:r>
      <w:hyperlink w:anchor="tbl-cho-kreps">
        <w:r>
          <w:rPr>
            <w:rStyle w:val="Hyperlink"/>
          </w:rPr>
          <w:t xml:space="preserve">Table 10.1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3" w:name="tbl-cho-kreps"/>
          <w:p>
            <w:pPr>
              <w:jc w:val="center"/>
            </w:pPr>
            <w:pPr>
              <w:jc w:val="start"/>
              <w:spacing w:before="200"/>
              <w:pStyle w:val="ImageCaption"/>
            </w:pPr>
            <w:r>
              <w:t xml:space="preserve">Table 10.1: The beer-quiche game in table form.</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center"/>
                    <w:jc w:val="center"/>
                  </w:pPr>
                  <w:r>
                    <w:t xml:space="preserve">Coin</w:t>
                  </w:r>
                </w:p>
              </w:tc>
              <w:tc>
                <w:tcPr/>
                <w:p>
                  <w:pPr>
                    <w:pStyle w:val="Compact"/>
                    <w:jc w:val="center"/>
                    <w:jc w:val="center"/>
                  </w:pPr>
                  <w:r>
                    <w:t xml:space="preserve">Chooser</w:t>
                  </w:r>
                </w:p>
              </w:tc>
              <w:tc>
                <w:tcPr/>
                <w:p>
                  <w:pPr>
                    <w:pStyle w:val="Compact"/>
                    <w:jc w:val="center"/>
                    <w:jc w:val="center"/>
                  </w:pPr>
                  <w:r>
                    <w:t xml:space="preserve">Demon</w:t>
                  </w:r>
                </w:p>
              </w:tc>
              <w:tc>
                <w:tcPr/>
                <w:p>
                  <w:pPr>
                    <w:pStyle w:val="Compact"/>
                    <w:jc w:val="center"/>
                    <w:jc w:val="center"/>
                  </w:pPr>
                  <w:r>
                    <w:t xml:space="preserve">Dollars</w:t>
                  </w:r>
                </w:p>
              </w:tc>
            </w:tr>
            <w:tr>
              <w:tc>
                <w:tcPr/>
                <w:p>
                  <w:pPr>
                    <w:pStyle w:val="Compact"/>
                    <w:jc w:val="center"/>
                    <w:jc w:val="center"/>
                  </w:pPr>
                  <w:r>
                    <w:t xml:space="preserve">H</w:t>
                  </w:r>
                </w:p>
              </w:tc>
              <w:tc>
                <w:tcPr/>
                <w:p>
                  <w:pPr>
                    <w:pStyle w:val="Compact"/>
                    <w:jc w:val="center"/>
                    <w:jc w:val="center"/>
                  </w:pPr>
                  <w:r>
                    <w:t xml:space="preserve">H</w:t>
                  </w:r>
                </w:p>
              </w:tc>
              <w:tc>
                <w:tcPr/>
                <w:p>
                  <w:pPr>
                    <w:pStyle w:val="Compact"/>
                    <w:jc w:val="center"/>
                    <w:jc w:val="center"/>
                  </w:pPr>
                  <w:r>
                    <w:t xml:space="preserve">H</w:t>
                  </w:r>
                </w:p>
              </w:tc>
              <w:tc>
                <w:tcPr/>
                <w:p>
                  <w:pPr>
                    <w:pStyle w:val="Compact"/>
                    <w:jc w:val="center"/>
                    <w:jc w:val="center"/>
                  </w:pPr>
                  <w:r>
                    <w:t xml:space="preserve">40</w:t>
                  </w:r>
                </w:p>
              </w:tc>
            </w:tr>
            <w:tr>
              <w:tc>
                <w:tcPr/>
                <w:p>
                  <w:pPr>
                    <w:pStyle w:val="Compact"/>
                    <w:jc w:val="center"/>
                    <w:jc w:val="center"/>
                  </w:pPr>
                  <w:r>
                    <w:t xml:space="preserve">H</w:t>
                  </w:r>
                </w:p>
              </w:tc>
              <w:tc>
                <w:tcPr/>
                <w:p>
                  <w:pPr>
                    <w:pStyle w:val="Compact"/>
                    <w:jc w:val="center"/>
                    <w:jc w:val="center"/>
                  </w:pPr>
                  <w:r>
                    <w:t xml:space="preserve">H</w:t>
                  </w:r>
                </w:p>
              </w:tc>
              <w:tc>
                <w:tcPr/>
                <w:p>
                  <w:pPr>
                    <w:pStyle w:val="Compact"/>
                    <w:jc w:val="center"/>
                    <w:jc w:val="center"/>
                  </w:pPr>
                  <w:r>
                    <w:t xml:space="preserve">T</w:t>
                  </w:r>
                </w:p>
              </w:tc>
              <w:tc>
                <w:tcPr/>
                <w:p>
                  <w:pPr>
                    <w:pStyle w:val="Compact"/>
                    <w:jc w:val="center"/>
                    <w:jc w:val="center"/>
                  </w:pPr>
                  <w:r>
                    <w:t xml:space="preserve">10</w:t>
                  </w:r>
                </w:p>
              </w:tc>
            </w:tr>
            <w:tr>
              <w:tc>
                <w:tcPr/>
                <w:p>
                  <w:pPr>
                    <w:pStyle w:val="Compact"/>
                    <w:jc w:val="center"/>
                    <w:jc w:val="center"/>
                  </w:pPr>
                  <w:r>
                    <w:t xml:space="preserve">H</w:t>
                  </w:r>
                </w:p>
              </w:tc>
              <w:tc>
                <w:tcPr/>
                <w:p>
                  <w:pPr>
                    <w:pStyle w:val="Compact"/>
                    <w:jc w:val="center"/>
                    <w:jc w:val="center"/>
                  </w:pPr>
                  <w:r>
                    <w:t xml:space="preserve">T</w:t>
                  </w:r>
                </w:p>
              </w:tc>
              <w:tc>
                <w:tcPr/>
                <w:p>
                  <w:pPr>
                    <w:pStyle w:val="Compact"/>
                    <w:jc w:val="center"/>
                    <w:jc w:val="center"/>
                  </w:pPr>
                  <w:r>
                    <w:t xml:space="preserve">H</w:t>
                  </w:r>
                </w:p>
              </w:tc>
              <w:tc>
                <w:tcPr/>
                <w:p>
                  <w:pPr>
                    <w:pStyle w:val="Compact"/>
                    <w:jc w:val="center"/>
                    <w:jc w:val="center"/>
                  </w:pPr>
                  <w:r>
                    <w:t xml:space="preserve">30</w:t>
                  </w:r>
                </w:p>
              </w:tc>
            </w:tr>
            <w:tr>
              <w:tc>
                <w:tcPr/>
                <w:p>
                  <w:pPr>
                    <w:pStyle w:val="Compact"/>
                    <w:jc w:val="center"/>
                    <w:jc w:val="center"/>
                  </w:pPr>
                  <w:r>
                    <w:t xml:space="preserve">H</w:t>
                  </w:r>
                </w:p>
              </w:tc>
              <w:tc>
                <w:tcPr/>
                <w:p>
                  <w:pPr>
                    <w:pStyle w:val="Compact"/>
                    <w:jc w:val="center"/>
                    <w:jc w:val="center"/>
                  </w:pPr>
                  <w:r>
                    <w:t xml:space="preserve">T</w:t>
                  </w:r>
                </w:p>
              </w:tc>
              <w:tc>
                <w:tcPr/>
                <w:p>
                  <w:pPr>
                    <w:pStyle w:val="Compact"/>
                    <w:jc w:val="center"/>
                    <w:jc w:val="center"/>
                  </w:pPr>
                  <w:r>
                    <w:t xml:space="preserve">T</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H</w:t>
                  </w:r>
                </w:p>
              </w:tc>
              <w:tc>
                <w:tcPr/>
                <w:p>
                  <w:pPr>
                    <w:pStyle w:val="Compact"/>
                    <w:jc w:val="center"/>
                    <w:jc w:val="center"/>
                  </w:pPr>
                  <w:r>
                    <w:t xml:space="preserve">H</w:t>
                  </w:r>
                </w:p>
              </w:tc>
              <w:tc>
                <w:tcPr/>
                <w:p>
                  <w:pPr>
                    <w:pStyle w:val="Compact"/>
                    <w:jc w:val="center"/>
                    <w:jc w:val="center"/>
                  </w:pPr>
                  <w:r>
                    <w:t xml:space="preserve">30</w:t>
                  </w:r>
                </w:p>
              </w:tc>
            </w:tr>
            <w:tr>
              <w:tc>
                <w:tcPr/>
                <w:p>
                  <w:pPr>
                    <w:pStyle w:val="Compact"/>
                    <w:jc w:val="center"/>
                    <w:jc w:val="center"/>
                  </w:pPr>
                  <w:r>
                    <w:t xml:space="preserve">T</w:t>
                  </w:r>
                </w:p>
              </w:tc>
              <w:tc>
                <w:tcPr/>
                <w:p>
                  <w:pPr>
                    <w:pStyle w:val="Compact"/>
                    <w:jc w:val="center"/>
                    <w:jc w:val="center"/>
                  </w:pPr>
                  <w:r>
                    <w:t xml:space="preserve">H</w:t>
                  </w:r>
                </w:p>
              </w:tc>
              <w:tc>
                <w:tcPr/>
                <w:p>
                  <w:pPr>
                    <w:pStyle w:val="Compact"/>
                    <w:jc w:val="center"/>
                    <w:jc w:val="center"/>
                  </w:pPr>
                  <w:r>
                    <w:t xml:space="preserve">T</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T</w:t>
                  </w:r>
                </w:p>
              </w:tc>
              <w:tc>
                <w:tcPr/>
                <w:p>
                  <w:pPr>
                    <w:pStyle w:val="Compact"/>
                    <w:jc w:val="center"/>
                    <w:jc w:val="center"/>
                  </w:pPr>
                  <w:r>
                    <w:t xml:space="preserve">H</w:t>
                  </w:r>
                </w:p>
              </w:tc>
              <w:tc>
                <w:tcPr/>
                <w:p>
                  <w:pPr>
                    <w:pStyle w:val="Compact"/>
                    <w:jc w:val="center"/>
                    <w:jc w:val="center"/>
                  </w:pPr>
                  <w:r>
                    <w:t xml:space="preserve">40</w:t>
                  </w:r>
                </w:p>
              </w:tc>
            </w:tr>
            <w:tr>
              <w:tc>
                <w:tcPr/>
                <w:p>
                  <w:pPr>
                    <w:pStyle w:val="Compact"/>
                    <w:jc w:val="center"/>
                    <w:jc w:val="center"/>
                  </w:pPr>
                  <w:r>
                    <w:t xml:space="preserve">T</w:t>
                  </w:r>
                </w:p>
              </w:tc>
              <w:tc>
                <w:tcPr/>
                <w:p>
                  <w:pPr>
                    <w:pStyle w:val="Compact"/>
                    <w:jc w:val="center"/>
                    <w:jc w:val="center"/>
                  </w:pPr>
                  <w:r>
                    <w:t xml:space="preserve">T</w:t>
                  </w:r>
                </w:p>
              </w:tc>
              <w:tc>
                <w:tcPr/>
                <w:p>
                  <w:pPr>
                    <w:pStyle w:val="Compact"/>
                    <w:jc w:val="center"/>
                    <w:jc w:val="center"/>
                  </w:pPr>
                  <w:r>
                    <w:t xml:space="preserve">T</w:t>
                  </w:r>
                </w:p>
              </w:tc>
              <w:tc>
                <w:tcPr/>
                <w:p>
                  <w:pPr>
                    <w:pStyle w:val="Compact"/>
                    <w:jc w:val="center"/>
                    <w:jc w:val="center"/>
                  </w:pPr>
                  <w:r>
                    <w:t xml:space="preserve">10</w:t>
                  </w:r>
                </w:p>
              </w:tc>
            </w:tr>
          </w:tbl>
          <w:bookmarkEnd w:id="213"/>
          <w:p/>
        </w:tc>
      </w:tr>
    </w:tbl>
    <w:p>
      <w:pPr>
        <w:pStyle w:val="BodyText"/>
      </w:pPr>
      <w:r>
        <w:t xml:space="preserve">Or in graphical form the game looks like</w:t>
      </w:r>
      <w:r>
        <w:t xml:space="preserve"> </w:t>
      </w:r>
      <w:hyperlink w:anchor="fig-cho-kreps">
        <w:r>
          <w:rPr>
            <w:rStyle w:val="Hyperlink"/>
          </w:rPr>
          <w:t xml:space="preserve">Figure 10.1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7" w:name="fig-cho-kreps"/>
          <w:p>
            <w:pPr>
              <w:pStyle w:val="Compact"/>
              <w:jc w:val="center"/>
            </w:pPr>
            <w:r>
              <w:drawing>
                <wp:inline>
                  <wp:extent cx="2250830" cy="3168288"/>
                  <wp:effectExtent b="0" l="0" r="0" t="0"/>
                  <wp:docPr descr="" title="" id="215" name="Picture"/>
                  <a:graphic>
                    <a:graphicData uri="http://schemas.openxmlformats.org/drawingml/2006/picture">
                      <pic:pic>
                        <pic:nvPicPr>
                          <pic:cNvPr descr="substantive_files/figure-docx/fig-cho-kreps-1.png" id="216" name="Picture"/>
                          <pic:cNvPicPr>
                            <a:picLocks noChangeArrowheads="1" noChangeAspect="1"/>
                          </pic:cNvPicPr>
                        </pic:nvPicPr>
                        <pic:blipFill>
                          <a:blip r:embed="rId214"/>
                          <a:stretch>
                            <a:fillRect/>
                          </a:stretch>
                        </pic:blipFill>
                        <pic:spPr bwMode="auto">
                          <a:xfrm>
                            <a:off x="0" y="0"/>
                            <a:ext cx="2250830" cy="31682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10.1: Tree diagram of the beer-quiche game.</w:t>
            </w:r>
          </w:p>
          <w:bookmarkEnd w:id="217"/>
        </w:tc>
      </w:tr>
    </w:tbl>
    <w:p>
      <w:pPr>
        <w:pStyle w:val="BodyText"/>
      </w:pPr>
      <w:r>
        <w:t xml:space="preserve">What will Chooser do? There are two coherent things for Chooser to do, though each of them is only coherent given a background belief that isn’t entailed by the evidence.</w:t>
      </w:r>
    </w:p>
    <w:p>
      <w:pPr>
        <w:numPr>
          <w:ilvl w:val="0"/>
          <w:numId w:val="1018"/>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18"/>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218"/>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219"/>
    <w:bookmarkEnd w:id="220"/>
    <w:bookmarkStart w:id="232" w:name="sec-weak"/>
    <w:p>
      <w:pPr>
        <w:pStyle w:val="Heading1"/>
      </w:pPr>
      <w:r>
        <w:t xml:space="preserve">11.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bookmarkStart w:id="223" w:name="sec-weak-avoid"/>
    <w:p>
      <w:pPr>
        <w:pStyle w:val="Heading2"/>
      </w:pPr>
      <w:r>
        <w:t xml:space="preserve">11.1 Avoid Weakly Dominated Options</w:t>
      </w:r>
    </w:p>
    <w:p>
      <w:pPr>
        <w:pStyle w:val="FirstParagraph"/>
      </w:pPr>
      <w:r>
        <w:t xml:space="preserve">Start with</w:t>
      </w:r>
      <w:r>
        <w:t xml:space="preserve"> </w:t>
      </w:r>
      <w:hyperlink w:anchor="tbl-first-wd">
        <w:r>
          <w:rPr>
            <w:rStyle w:val="Hyperlink"/>
          </w:rPr>
          <w:t xml:space="preserve">Table 11.1</w:t>
        </w:r>
      </w:hyperlink>
      <w:r>
        <w:t xml:space="preserve">; what would ideal Chooser do?</w:t>
      </w:r>
    </w:p>
    <w:tbl>
      <w:tblPr>
        <w:tblStyle w:val="Table"/>
        <w:tblW w:type="pct" w:w="5000"/>
        <w:tblLook w:firstRow="0" w:lastRow="0" w:firstColumn="0" w:lastColumn="0" w:noHBand="0" w:noVBand="0" w:val="0000"/>
        <w:jc w:val="start"/>
        <w:tblLayout w:type="fixed"/>
      </w:tblPr>
      <w:tblGrid>
        <w:gridCol w:w="7920"/>
      </w:tblGrid>
      <w:tr>
        <w:tc>
          <w:tcPr/>
          <w:bookmarkStart w:id="221" w:name="tbl-first-wd"/>
          <w:p>
            <w:pPr>
              <w:jc w:val="center"/>
            </w:pPr>
            <w:pPr>
              <w:jc w:val="start"/>
              <w:spacing w:before="200"/>
              <w:pStyle w:val="ImageCaption"/>
            </w:pPr>
            <w:r>
              <w:t xml:space="preserve">Table 11.1: A ratifiable, weakly dominated, option.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rPr>
                      <w:bCs/>
                      <w:b/>
                    </w:rPr>
                    <w:t xml:space="preserve">B</w:t>
                  </w:r>
                </w:p>
              </w:tc>
              <w:tc>
                <w:tcPr/>
                <w:p>
                  <w:pPr>
                    <w:pStyle w:val="Compact"/>
                    <w:jc w:val="center"/>
                    <w:jc w:val="center"/>
                  </w:pPr>
                  <w:r>
                    <w:t xml:space="preserve">0</w:t>
                  </w:r>
                </w:p>
              </w:tc>
              <w:tc>
                <w:tcPr/>
                <w:p>
                  <w:pPr>
                    <w:pStyle w:val="Compact"/>
                    <w:jc w:val="center"/>
                    <w:jc w:val="center"/>
                  </w:pPr>
                  <w:r>
                    <w:t xml:space="preserve">1</w:t>
                  </w:r>
                </w:p>
              </w:tc>
            </w:tr>
          </w:tbl>
          <w:bookmarkEnd w:id="221"/>
          <w:p/>
        </w:tc>
      </w:tr>
    </w:tbl>
    <w:p>
      <w:pPr>
        <w:pStyle w:val="BodyText"/>
      </w:pPr>
      <w:r>
        <w:t xml:space="preserve">On the one hand, B is ratifiable, as long as Demon is sufficiently reliable. If Demon will in fact get the predictions right, B gets a return of 1, and had Chooser played A, they would have still received 1. So they would not regret playing B, so by ratifiability it is fine to play it. Against this, there are two reasons to not play B.</w:t>
      </w:r>
    </w:p>
    <w:p>
      <w:pPr>
        <w:pStyle w:val="BodyText"/>
      </w:pPr>
      <w:r>
        <w:t xml:space="preserve">First, if we don’t say that Demon is perfectly accurate, but only that their accuracy is arbitrarily close to being perfect, the argument that B is ratifiable doesn’t go through.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B only makes sense if the probability of an error by Demon is 0, that means B should not be played.</w:t>
      </w:r>
    </w:p>
    <w:p>
      <w:pPr>
        <w:pStyle w:val="BodyText"/>
      </w:pPr>
      <w:r>
        <w:t xml:space="preserve">Second, playing B involves taking on an uncompensated risk. It might be that we don’t have a good way of capturing within probability theory just what this risk is. Perhaps you think that it makes sense to say that Demon is correct with probability 1 without this raising questions about backwards causation. Still, in some sense B has a risk of failure that A lacks. One should not take on a risk without some compensation. So one should not play B in this case. This, I think, is the most persuasive argument against B.</w:t>
      </w:r>
      <w:r>
        <w:rPr>
          <w:rStyle w:val="FootnoteReference"/>
        </w:rPr>
        <w:footnoteReference w:id="222"/>
      </w:r>
    </w:p>
    <w:bookmarkEnd w:id="223"/>
    <w:bookmarkStart w:id="229" w:name="sec-weak-iterate"/>
    <w:p>
      <w:pPr>
        <w:pStyle w:val="Heading2"/>
      </w:pPr>
      <w:r>
        <w:t xml:space="preserve">11.2 Against Iterative Deletion</w:t>
      </w:r>
    </w:p>
    <w:p>
      <w:pPr>
        <w:pStyle w:val="FirstParagraph"/>
      </w:pPr>
      <w:r>
        <w:t xml:space="preserve">If it is good to remove weakly dominated options, then one might think it follows straight away that it is good to keep doing this.</w:t>
      </w:r>
      <w:r>
        <w:rPr>
          <w:rStyle w:val="FootnoteReference"/>
        </w:rPr>
        <w:footnoteReference w:id="224"/>
      </w:r>
      <w:r>
        <w:t xml:space="preserve"> </w:t>
      </w:r>
      <w:r>
        <w:t xml:space="preserve">Think about</w:t>
      </w:r>
      <w:r>
        <w:t xml:space="preserve"> </w:t>
      </w:r>
      <w:hyperlink w:anchor="tbl-wd-itd">
        <w:r>
          <w:rPr>
            <w:rStyle w:val="Hyperlink"/>
          </w:rPr>
          <w:t xml:space="preserve">Table 11.2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5" w:name="tbl-wd-itd"/>
          <w:p>
            <w:pPr>
              <w:jc w:val="center"/>
            </w:pPr>
            <w:pPr>
              <w:jc w:val="start"/>
              <w:spacing w:before="200"/>
              <w:pStyle w:val="ImageCaption"/>
            </w:pPr>
            <w:r>
              <w:t xml:space="preserve">Table 11.2: An example of iterated weak dominance.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jc w:val="center"/>
                  </w:pPr>
                  <w:r>
                    <w:t xml:space="preserve">PU</w:t>
                  </w:r>
                </w:p>
              </w:tc>
              <w:tc>
                <w:tcPr/>
                <w:p>
                  <w:pPr>
                    <w:pStyle w:val="Compact"/>
                    <w:jc w:val="center"/>
                    <w:jc w:val="center"/>
                  </w:pPr>
                  <w:r>
                    <w:t xml:space="preserve">PD</w:t>
                  </w:r>
                </w:p>
              </w:tc>
              <w:tc>
                <w:tcPr/>
                <w:p>
                  <w:pPr>
                    <w:pStyle w:val="Compact"/>
                    <w:jc w:val="center"/>
                    <w:jc w:val="center"/>
                  </w:pPr>
                  <w:r>
                    <w:t xml:space="preserve">PX</w:t>
                  </w:r>
                </w:p>
              </w:tc>
            </w:tr>
            <w:tr>
              <w:tc>
                <w:tcPr/>
                <w:p>
                  <w:pPr>
                    <w:pStyle w:val="Compact"/>
                    <w:jc w:val="center"/>
                    <w:jc w:val="center"/>
                  </w:pPr>
                  <w:r>
                    <w:rPr>
                      <w:bCs/>
                      <w:b/>
                    </w:rPr>
                    <w:t xml:space="preserve">U</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rPr>
                      <w:bCs/>
                      <w:b/>
                    </w:rPr>
                    <w:t xml:space="preserve">D</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rPr>
                      <w:bCs/>
                      <w:b/>
                    </w:rPr>
                    <w:t xml:space="preserve">X</w:t>
                  </w:r>
                </w:p>
              </w:tc>
              <w:tc>
                <w:tcPr/>
                <w:p>
                  <w:pPr>
                    <w:pStyle w:val="Compact"/>
                    <w:jc w:val="center"/>
                    <w:jc w:val="center"/>
                  </w:pPr>
                  <w:r>
                    <w:t xml:space="preserve">0</w:t>
                  </w:r>
                </w:p>
              </w:tc>
              <w:tc>
                <w:tcPr/>
                <w:p>
                  <w:pPr>
                    <w:pStyle w:val="Compact"/>
                    <w:jc w:val="center"/>
                    <w:jc w:val="center"/>
                  </w:pPr>
                  <w:r>
                    <w:t xml:space="preserve">0</w:t>
                  </w:r>
                </w:p>
              </w:tc>
              <w:tc>
                <w:tcPr/>
                <w:p>
                  <w:pPr>
                    <w:pStyle w:val="Compact"/>
                    <w:jc w:val="center"/>
                    <w:jc w:val="center"/>
                  </w:pPr>
                  <w:r>
                    <w:t xml:space="preserve">1</w:t>
                  </w:r>
                </w:p>
              </w:tc>
            </w:tr>
          </w:tbl>
          <w:bookmarkEnd w:id="225"/>
          <w:p/>
        </w:tc>
      </w:tr>
    </w:tbl>
    <w:p>
      <w:pPr>
        <w:pStyle w:val="BodyText"/>
      </w:pPr>
      <w:r>
        <w:t xml:space="preserve">In</w:t>
      </w:r>
      <w:r>
        <w:t xml:space="preserve"> </w:t>
      </w:r>
      <w:hyperlink w:anchor="tbl-wd-itd">
        <w:r>
          <w:rPr>
            <w:rStyle w:val="Hyperlink"/>
          </w:rPr>
          <w:t xml:space="preserve">Table 11.2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11.1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11.2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the reasons we gave for avoiding the weakly dominated option in</w:t>
      </w:r>
      <w:r>
        <w:t xml:space="preserve"> </w:t>
      </w:r>
      <w:hyperlink w:anchor="tbl-first-wd">
        <w:r>
          <w:rPr>
            <w:rStyle w:val="Hyperlink"/>
          </w:rPr>
          <w:t xml:space="preserve">Table 11.1</w:t>
        </w:r>
      </w:hyperlink>
      <w:r>
        <w:t xml:space="preserve"> </w:t>
      </w:r>
      <w:r>
        <w:t xml:space="preserve">simply don’t carry over to</w:t>
      </w:r>
      <w:r>
        <w:t xml:space="preserve"> </w:t>
      </w:r>
      <w:hyperlink w:anchor="tbl-wd-itd">
        <w:r>
          <w:rPr>
            <w:rStyle w:val="Hyperlink"/>
          </w:rPr>
          <w:t xml:space="preserve">Table 11.2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Third, iterative deletion of weakly dominated strategies (combined with the</w:t>
      </w:r>
      <w:r>
        <w:t xml:space="preserve"> </w:t>
      </w:r>
      <w:hyperlink r:id="rId226">
        <w:r>
          <w:rPr>
            <w:rStyle w:val="Hyperlink"/>
          </w:rPr>
          <w:t xml:space="preserve">dual mandate</w:t>
        </w:r>
      </w:hyperlink>
      <w:r>
        <w:t xml:space="preserve"> </w:t>
      </w:r>
      <w:r>
        <w:t xml:space="preserve">approach to dynamic choice) leads to a single solution to the</w:t>
      </w:r>
      <w:r>
        <w:t xml:space="preserve"> </w:t>
      </w:r>
      <w:hyperlink w:anchor="tbl-money-burning">
        <w:r>
          <w:rPr>
            <w:rStyle w:val="Hyperlink"/>
          </w:rPr>
          <w:t xml:space="preserve">money burning game</w:t>
        </w:r>
      </w:hyperlink>
      <w:r>
        <w:t xml:space="preserve"> </w:t>
      </w:r>
      <w:r>
        <w:t xml:space="preserve">described by</w:t>
      </w:r>
      <w:r>
        <w:t xml:space="preserve"> </w:t>
      </w:r>
      <w:r>
        <w:t xml:space="preserve">Ben-Porath and Dekel (1992)</w:t>
      </w:r>
      <w:r>
        <w:t xml:space="preserve">. The money burning game has two players, and two stages. At stage 1, Column will have the choice to burn or not burn $20. The burning will be public, so Row will see what Column does, or does not do. At stage 2, Row and Column will play the simultaneous move game in</w:t>
      </w:r>
      <w:r>
        <w:t xml:space="preserve"> </w:t>
      </w:r>
      <w:hyperlink w:anchor="tbl-money-burning-part-two">
        <w:r>
          <w:rPr>
            <w:rStyle w:val="Hyperlink"/>
          </w:rPr>
          <w:t xml:space="preserve">Table 11.3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7" w:name="tbl-money-burning-part-two"/>
          <w:p>
            <w:pPr>
              <w:jc w:val="center"/>
            </w:pPr>
            <w:pPr>
              <w:jc w:val="start"/>
              <w:spacing w:before="200"/>
              <w:pStyle w:val="ImageCaption"/>
            </w:pPr>
            <w:r>
              <w:t xml:space="preserve">Table 11.3: The second stage of the money burning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A</w:t>
                  </w:r>
                </w:p>
              </w:tc>
              <w:tc>
                <w:tcPr/>
                <w:p>
                  <w:pPr>
                    <w:pStyle w:val="Compact"/>
                    <w:jc w:val="center"/>
                    <w:jc w:val="center"/>
                  </w:pPr>
                  <w:r>
                    <w:t xml:space="preserve">B</w:t>
                  </w:r>
                </w:p>
              </w:tc>
            </w:tr>
            <w:tr>
              <w:tc>
                <w:tcPr/>
                <w:p>
                  <w:pPr>
                    <w:pStyle w:val="Compact"/>
                    <w:jc w:val="center"/>
                    <w:jc w:val="center"/>
                  </w:pPr>
                  <w:r>
                    <w:rPr>
                      <w:bCs/>
                      <w:b/>
                    </w:rPr>
                    <w:t xml:space="preserve">A</w:t>
                  </w:r>
                </w:p>
              </w:tc>
              <w:tc>
                <w:tcPr/>
                <w:p>
                  <w:pPr>
                    <w:pStyle w:val="Compact"/>
                    <w:jc w:val="center"/>
                    <w:jc w:val="center"/>
                  </w:pPr>
                  <w:r>
                    <w:t xml:space="preserve">$10, $40</w:t>
                  </w:r>
                </w:p>
              </w:tc>
              <w:tc>
                <w:tcPr/>
                <w:p>
                  <w:pPr>
                    <w:pStyle w:val="Compact"/>
                    <w:jc w:val="center"/>
                    <w:jc w:val="center"/>
                  </w:pPr>
                  <w:r>
                    <w:t xml:space="preserve">$0, $0</w:t>
                  </w:r>
                </w:p>
              </w:tc>
            </w:tr>
            <w:tr>
              <w:tc>
                <w:tcPr/>
                <w:p>
                  <w:pPr>
                    <w:pStyle w:val="Compact"/>
                    <w:jc w:val="center"/>
                    <w:jc w:val="center"/>
                  </w:pPr>
                  <w:r>
                    <w:rPr>
                      <w:bCs/>
                      <w:b/>
                    </w:rPr>
                    <w:t xml:space="preserve">B</w:t>
                  </w:r>
                </w:p>
              </w:tc>
              <w:tc>
                <w:tcPr/>
                <w:p>
                  <w:pPr>
                    <w:pStyle w:val="Compact"/>
                    <w:jc w:val="center"/>
                    <w:jc w:val="center"/>
                  </w:pPr>
                  <w:r>
                    <w:t xml:space="preserve">$0, $0</w:t>
                  </w:r>
                </w:p>
              </w:tc>
              <w:tc>
                <w:tcPr/>
                <w:p>
                  <w:pPr>
                    <w:pStyle w:val="Compact"/>
                    <w:jc w:val="center"/>
                    <w:jc w:val="center"/>
                  </w:pPr>
                  <w:r>
                    <w:t xml:space="preserve">$40, $10</w:t>
                  </w:r>
                </w:p>
              </w:tc>
            </w:tr>
          </w:tbl>
          <w:bookmarkEnd w:id="227"/>
          <w:p/>
        </w:tc>
      </w:tr>
    </w:tbl>
    <w:p>
      <w:pPr>
        <w:pStyle w:val="BodyText"/>
      </w:pPr>
      <w:r>
        <w:t xml:space="preserve">Here is one way to think about the game. I’m going to number the steps here so we can refer back to them later.</w:t>
      </w:r>
    </w:p>
    <w:p>
      <w:pPr>
        <w:numPr>
          <w:ilvl w:val="0"/>
          <w:numId w:val="1019"/>
        </w:numPr>
        <w:pStyle w:val="Compact"/>
      </w:pPr>
      <w:r>
        <w:t xml:space="preserve">It would be irrational to burn the money and play B, since that results in a maximum possible payout to Column of -$10, when any strategy that involves not burning the money results in a minimum payout of $0.</w:t>
      </w:r>
    </w:p>
    <w:p>
      <w:pPr>
        <w:numPr>
          <w:ilvl w:val="0"/>
          <w:numId w:val="1019"/>
        </w:numPr>
        <w:pStyle w:val="Compact"/>
      </w:pPr>
      <w:r>
        <w:t xml:space="preserve">So Row can infer that if Column burns the money, they are playing A. So if Column burns the money, Row would maximise their own return by also playing A.</w:t>
      </w:r>
    </w:p>
    <w:p>
      <w:pPr>
        <w:numPr>
          <w:ilvl w:val="0"/>
          <w:numId w:val="1019"/>
        </w:numPr>
        <w:pStyle w:val="Compact"/>
      </w:pPr>
      <w:r>
        <w:t xml:space="preserve">Since Column can figure out everything in steps 1-2, it follows that burning the money will get them a return of $20, while playing B gets at most $10, so it is irrational to ever play B.</w:t>
      </w:r>
    </w:p>
    <w:p>
      <w:pPr>
        <w:numPr>
          <w:ilvl w:val="0"/>
          <w:numId w:val="1019"/>
        </w:numPr>
        <w:pStyle w:val="Compact"/>
      </w:pPr>
      <w:r>
        <w:t xml:space="preserve">Since Row can figure out steps 1-3, it follows that Row knows that Column will play A, hence it is always rational for Row to play A.</w:t>
      </w:r>
    </w:p>
    <w:p>
      <w:pPr>
        <w:numPr>
          <w:ilvl w:val="0"/>
          <w:numId w:val="1019"/>
        </w:numPr>
        <w:pStyle w:val="Compact"/>
      </w:pPr>
      <w:r>
        <w:t xml:space="preserve">Hence Column does not need to burn the money, since Row will play A, and hence playing A without burning will get them $40.</w:t>
      </w:r>
    </w:p>
    <w:p>
      <w:pPr>
        <w:pStyle w:val="FirstParagraph"/>
      </w:pPr>
      <w:r>
        <w:t xml:space="preserve">So this looks like an interesting result. By just giving Column the option of burning the money, we guarantee that Column will get their best possible outcome, even though they don’t actually use that option. We’ll come back to whether this reasoning works. (Spoiler alert: I’m going to endorse an existing objection to it.)</w:t>
      </w:r>
    </w:p>
    <w:p>
      <w:pPr>
        <w:pStyle w:val="BodyText"/>
      </w:pPr>
      <w:r>
        <w:t xml:space="preserve">Let’s look at the argument in something like strategic form. For simplicity, I’m going to assume Column has four strategies: whether to burn or not burn, crossed with whether to play A or B in</w:t>
      </w:r>
      <w:r>
        <w:t xml:space="preserve"> </w:t>
      </w:r>
      <w:hyperlink w:anchor="tbl-money-burning-part-two">
        <w:r>
          <w:rPr>
            <w:rStyle w:val="Hyperlink"/>
          </w:rPr>
          <w:t xml:space="preserve">Table 11.3</w:t>
        </w:r>
      </w:hyperlink>
      <w:r>
        <w:t xml:space="preserve">. Strictly speaking, we should distinguish strategies that differ in what Column is disposed to do in the non-taken option at stage 1, but such distinctions don’t matter to the analysis, and end up cluttering the table. Row has four strategies: two choices for what to do if Column burns the money, crossed with two choices for what to do if Column keeps the money.</w:t>
      </w:r>
    </w:p>
    <w:p>
      <w:pPr>
        <w:pStyle w:val="BodyText"/>
      </w:pPr>
      <w:r>
        <w:t xml:space="preserve">So as not to confuse the Burning with playing option B, I’ll write</w:t>
      </w:r>
      <w:r>
        <w:t xml:space="preserve"> </w:t>
      </w:r>
      <w:r>
        <w:rPr>
          <w:bCs/>
          <w:b/>
        </w:rPr>
        <w:t xml:space="preserve">L</w:t>
      </w:r>
      <w:r>
        <w:t xml:space="preserve"> </w:t>
      </w:r>
      <w:r>
        <w:t xml:space="preserve">for Lighting the money on fire, and</w:t>
      </w:r>
      <w:r>
        <w:t xml:space="preserve"> </w:t>
      </w:r>
      <w:r>
        <w:rPr>
          <w:bCs/>
          <w:b/>
        </w:rPr>
        <w:t xml:space="preserve">K</w:t>
      </w:r>
      <w:r>
        <w:t xml:space="preserve"> </w:t>
      </w:r>
      <w:r>
        <w:t xml:space="preserve">for Keeping the money. So Column’s strategies will be one of L and K, followed by one of A and B. For Row, I’ll write XY for the strategy of doing option X if Column keeps the money, and option Y if Column lights it on fire. So AB is the strategy of doing A iff they don’t see the money on fire. Given that, here is the payout table. (To reduce clutter, I’ll write the payouts in dollars, but will leave off the dollar signs.)</w:t>
      </w:r>
    </w:p>
    <w:tbl>
      <w:tblPr>
        <w:tblStyle w:val="Table"/>
        <w:tblW w:type="pct" w:w="5000"/>
        <w:tblLook w:firstRow="0" w:lastRow="0" w:firstColumn="0" w:lastColumn="0" w:noHBand="0" w:noVBand="0" w:val="0000"/>
        <w:jc w:val="start"/>
        <w:tblLayout w:type="fixed"/>
      </w:tblPr>
      <w:tblGrid>
        <w:gridCol w:w="7920"/>
      </w:tblGrid>
      <w:tr>
        <w:tc>
          <w:tcPr/>
          <w:bookmarkStart w:id="228" w:name="tbl-money-burning"/>
          <w:p>
            <w:pPr>
              <w:jc w:val="center"/>
            </w:pPr>
            <w:pPr>
              <w:jc w:val="start"/>
              <w:spacing w:before="200"/>
              <w:pStyle w:val="ImageCaption"/>
            </w:pPr>
            <w:r>
              <w:t xml:space="preserve">Table 11.4: Simplified strategic form of the money burning game.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jc w:val="center"/>
                  </w:pPr>
                  <w:r>
                    <w:t xml:space="preserve">KA</w:t>
                  </w:r>
                </w:p>
              </w:tc>
              <w:tc>
                <w:tcPr/>
                <w:p>
                  <w:pPr>
                    <w:pStyle w:val="Compact"/>
                    <w:jc w:val="center"/>
                    <w:jc w:val="center"/>
                  </w:pPr>
                  <w:r>
                    <w:t xml:space="preserve">KB</w:t>
                  </w:r>
                </w:p>
              </w:tc>
              <w:tc>
                <w:tcPr/>
                <w:p>
                  <w:pPr>
                    <w:pStyle w:val="Compact"/>
                    <w:jc w:val="center"/>
                    <w:jc w:val="center"/>
                  </w:pPr>
                  <w:r>
                    <w:t xml:space="preserve">LA</w:t>
                  </w:r>
                </w:p>
              </w:tc>
              <w:tc>
                <w:tcPr/>
                <w:p>
                  <w:pPr>
                    <w:pStyle w:val="Compact"/>
                    <w:jc w:val="center"/>
                    <w:jc w:val="center"/>
                  </w:pPr>
                  <w:r>
                    <w:t xml:space="preserve">LB</w:t>
                  </w:r>
                </w:p>
              </w:tc>
            </w:tr>
            <w:tr>
              <w:tc>
                <w:tcPr/>
                <w:p>
                  <w:pPr>
                    <w:pStyle w:val="Compact"/>
                    <w:jc w:val="center"/>
                    <w:jc w:val="center"/>
                  </w:pPr>
                  <w:r>
                    <w:rPr>
                      <w:bCs/>
                      <w:b/>
                    </w:rPr>
                    <w:t xml:space="preserve">AA</w:t>
                  </w:r>
                </w:p>
              </w:tc>
              <w:tc>
                <w:tcPr/>
                <w:p>
                  <w:pPr>
                    <w:pStyle w:val="Compact"/>
                    <w:jc w:val="center"/>
                    <w:jc w:val="center"/>
                  </w:pPr>
                  <w:r>
                    <w:t xml:space="preserve">10, 40</w:t>
                  </w:r>
                </w:p>
              </w:tc>
              <w:tc>
                <w:tcPr/>
                <w:p>
                  <w:pPr>
                    <w:pStyle w:val="Compact"/>
                    <w:jc w:val="center"/>
                    <w:jc w:val="center"/>
                  </w:pPr>
                  <w:r>
                    <w:t xml:space="preserve">0, 0</w:t>
                  </w:r>
                </w:p>
              </w:tc>
              <w:tc>
                <w:tcPr/>
                <w:p>
                  <w:pPr>
                    <w:pStyle w:val="Compact"/>
                    <w:jc w:val="center"/>
                    <w:jc w:val="center"/>
                  </w:pPr>
                  <w:r>
                    <w:t xml:space="preserve">10, 20</w:t>
                  </w:r>
                </w:p>
              </w:tc>
              <w:tc>
                <w:tcPr/>
                <w:p>
                  <w:pPr>
                    <w:pStyle w:val="Compact"/>
                    <w:jc w:val="center"/>
                    <w:jc w:val="center"/>
                  </w:pPr>
                  <w:r>
                    <w:t xml:space="preserve">0, -20</w:t>
                  </w:r>
                </w:p>
              </w:tc>
            </w:tr>
            <w:tr>
              <w:tc>
                <w:tcPr/>
                <w:p>
                  <w:pPr>
                    <w:pStyle w:val="Compact"/>
                    <w:jc w:val="center"/>
                    <w:jc w:val="center"/>
                  </w:pPr>
                  <w:r>
                    <w:rPr>
                      <w:bCs/>
                      <w:b/>
                    </w:rPr>
                    <w:t xml:space="preserve">AB</w:t>
                  </w:r>
                </w:p>
              </w:tc>
              <w:tc>
                <w:tcPr/>
                <w:p>
                  <w:pPr>
                    <w:pStyle w:val="Compact"/>
                    <w:jc w:val="center"/>
                    <w:jc w:val="center"/>
                  </w:pPr>
                  <w:r>
                    <w:t xml:space="preserve">10, 40</w:t>
                  </w:r>
                </w:p>
              </w:tc>
              <w:tc>
                <w:tcPr/>
                <w:p>
                  <w:pPr>
                    <w:pStyle w:val="Compact"/>
                    <w:jc w:val="center"/>
                    <w:jc w:val="center"/>
                  </w:pPr>
                  <w:r>
                    <w:t xml:space="preserve">0, 0</w:t>
                  </w:r>
                </w:p>
              </w:tc>
              <w:tc>
                <w:tcPr/>
                <w:p>
                  <w:pPr>
                    <w:pStyle w:val="Compact"/>
                    <w:jc w:val="center"/>
                    <w:jc w:val="center"/>
                  </w:pPr>
                  <w:r>
                    <w:t xml:space="preserve">0, -20</w:t>
                  </w:r>
                </w:p>
              </w:tc>
              <w:tc>
                <w:tcPr/>
                <w:p>
                  <w:pPr>
                    <w:pStyle w:val="Compact"/>
                    <w:jc w:val="center"/>
                    <w:jc w:val="center"/>
                  </w:pPr>
                  <w:r>
                    <w:t xml:space="preserve">40, -10</w:t>
                  </w:r>
                </w:p>
              </w:tc>
            </w:tr>
            <w:tr>
              <w:tc>
                <w:tcPr/>
                <w:p>
                  <w:pPr>
                    <w:pStyle w:val="Compact"/>
                    <w:jc w:val="center"/>
                    <w:jc w:val="center"/>
                  </w:pPr>
                  <w:r>
                    <w:rPr>
                      <w:bCs/>
                      <w:b/>
                    </w:rPr>
                    <w:t xml:space="preserve">BA</w:t>
                  </w:r>
                </w:p>
              </w:tc>
              <w:tc>
                <w:tcPr/>
                <w:p>
                  <w:pPr>
                    <w:pStyle w:val="Compact"/>
                    <w:jc w:val="center"/>
                    <w:jc w:val="center"/>
                  </w:pPr>
                  <w:r>
                    <w:t xml:space="preserve">0, 0</w:t>
                  </w:r>
                </w:p>
              </w:tc>
              <w:tc>
                <w:tcPr/>
                <w:p>
                  <w:pPr>
                    <w:pStyle w:val="Compact"/>
                    <w:jc w:val="center"/>
                    <w:jc w:val="center"/>
                  </w:pPr>
                  <w:r>
                    <w:t xml:space="preserve">40, 10</w:t>
                  </w:r>
                </w:p>
              </w:tc>
              <w:tc>
                <w:tcPr/>
                <w:p>
                  <w:pPr>
                    <w:pStyle w:val="Compact"/>
                    <w:jc w:val="center"/>
                    <w:jc w:val="center"/>
                  </w:pPr>
                  <w:r>
                    <w:t xml:space="preserve">10, 20</w:t>
                  </w:r>
                </w:p>
              </w:tc>
              <w:tc>
                <w:tcPr/>
                <w:p>
                  <w:pPr>
                    <w:pStyle w:val="Compact"/>
                    <w:jc w:val="center"/>
                    <w:jc w:val="center"/>
                  </w:pPr>
                  <w:r>
                    <w:t xml:space="preserve">0, -20</w:t>
                  </w:r>
                </w:p>
              </w:tc>
            </w:tr>
            <w:tr>
              <w:tc>
                <w:tcPr/>
                <w:p>
                  <w:pPr>
                    <w:pStyle w:val="Compact"/>
                    <w:jc w:val="center"/>
                    <w:jc w:val="center"/>
                  </w:pPr>
                  <w:r>
                    <w:rPr>
                      <w:bCs/>
                      <w:b/>
                    </w:rPr>
                    <w:t xml:space="preserve">BB</w:t>
                  </w:r>
                </w:p>
              </w:tc>
              <w:tc>
                <w:tcPr/>
                <w:p>
                  <w:pPr>
                    <w:pStyle w:val="Compact"/>
                    <w:jc w:val="center"/>
                    <w:jc w:val="center"/>
                  </w:pPr>
                  <w:r>
                    <w:t xml:space="preserve">0, 0</w:t>
                  </w:r>
                </w:p>
              </w:tc>
              <w:tc>
                <w:tcPr/>
                <w:p>
                  <w:pPr>
                    <w:pStyle w:val="Compact"/>
                    <w:jc w:val="center"/>
                    <w:jc w:val="center"/>
                  </w:pPr>
                  <w:r>
                    <w:t xml:space="preserve">40, 10</w:t>
                  </w:r>
                </w:p>
              </w:tc>
              <w:tc>
                <w:tcPr/>
                <w:p>
                  <w:pPr>
                    <w:pStyle w:val="Compact"/>
                    <w:jc w:val="center"/>
                    <w:jc w:val="center"/>
                  </w:pPr>
                  <w:r>
                    <w:t xml:space="preserve">0, -20</w:t>
                  </w:r>
                </w:p>
              </w:tc>
              <w:tc>
                <w:tcPr/>
                <w:p>
                  <w:pPr>
                    <w:pStyle w:val="Compact"/>
                    <w:jc w:val="center"/>
                    <w:jc w:val="center"/>
                  </w:pPr>
                  <w:r>
                    <w:t xml:space="preserve">10, -10</w:t>
                  </w:r>
                </w:p>
              </w:tc>
            </w:tr>
          </w:tbl>
          <w:bookmarkEnd w:id="228"/>
          <w:p/>
        </w:tc>
      </w:tr>
    </w:tbl>
    <w:p>
      <w:pPr>
        <w:pStyle w:val="BodyText"/>
      </w:pPr>
      <w:r>
        <w:t xml:space="preserve">We can use weak dominance to then reason as follows.</w:t>
      </w:r>
    </w:p>
    <w:p>
      <w:pPr>
        <w:numPr>
          <w:ilvl w:val="0"/>
          <w:numId w:val="1020"/>
        </w:numPr>
        <w:pStyle w:val="Compact"/>
      </w:pPr>
      <w:r>
        <w:t xml:space="preserve">LB is strongly dominated by both KA and KB, so it won’t be played.</w:t>
      </w:r>
    </w:p>
    <w:p>
      <w:pPr>
        <w:numPr>
          <w:ilvl w:val="0"/>
          <w:numId w:val="1020"/>
        </w:numPr>
        <w:pStyle w:val="Compact"/>
      </w:pPr>
      <w:r>
        <w:t xml:space="preserve">If LB is deleted, then AB is weakly dominated by AA, and BB is weakly dominated by BA, so both AB and BB can be deleted.</w:t>
      </w:r>
    </w:p>
    <w:p>
      <w:pPr>
        <w:numPr>
          <w:ilvl w:val="0"/>
          <w:numId w:val="1020"/>
        </w:numPr>
        <w:pStyle w:val="Compact"/>
      </w:pPr>
      <w:r>
        <w:t xml:space="preserve">Without AB and BB, LA strongly dominates KB, so KB can be deleted.</w:t>
      </w:r>
    </w:p>
    <w:p>
      <w:pPr>
        <w:numPr>
          <w:ilvl w:val="0"/>
          <w:numId w:val="1020"/>
        </w:numPr>
        <w:pStyle w:val="Compact"/>
      </w:pPr>
      <w:r>
        <w:t xml:space="preserve">Without KB and LB, AA weakly dominates BA, so BA can be deleted.</w:t>
      </w:r>
    </w:p>
    <w:p>
      <w:pPr>
        <w:numPr>
          <w:ilvl w:val="0"/>
          <w:numId w:val="1020"/>
        </w:numPr>
        <w:pStyle w:val="Compact"/>
      </w:pPr>
      <w:r>
        <w:t xml:space="preserve">Without AB, BA and BB, KA strongly dominates LA, so LA can be deleted.</w:t>
      </w:r>
    </w:p>
    <w:p>
      <w:pPr>
        <w:pStyle w:val="FirstParagraph"/>
      </w:pPr>
      <w:r>
        <w:t xml:space="preserve">The result is that only AA and KA remain, and that’s the solution to the game. Note that it’s not just that we’ve got the same result by thinking through the strategic form of the game as we’d reached by the earlier dynamic analysis, we’ve reached it in exactly the same way. Whatever one thinks in general about strategic analysis of dynamic games, in this case it seems the two analyses are as good as each other.</w:t>
      </w:r>
    </w:p>
    <w:p>
      <w:pPr>
        <w:pStyle w:val="BodyText"/>
      </w:pPr>
      <w:r>
        <w:t xml:space="preserve">That’s bad news for iterated weak dominance, because in the dynamic argument, step 2 is bad. That implies that in the strategic argument, which uses weak dominance, step 2 is also bad. Notably, that’s the very first step where iterated weak dominance is used, so we have strong evidence that iterated weak dominance is the culprit here.</w:t>
      </w:r>
    </w:p>
    <w:p>
      <w:pPr>
        <w:pStyle w:val="BodyText"/>
      </w:pPr>
      <w:r>
        <w:t xml:space="preserve">The problem with step 2, as</w:t>
      </w:r>
      <w:r>
        <w:t xml:space="preserve"> </w:t>
      </w:r>
      <w:r>
        <w:t xml:space="preserve">Stalnaker (1998)</w:t>
      </w:r>
      <w:r>
        <w:t xml:space="preserve"> </w:t>
      </w:r>
      <w:r>
        <w:t xml:space="preserve">points out, is that it confuses indicative and subjunctive conditionals. What Row knows at that point is the negation of a conjunction: it’s not the case that Column will burn the money and play B. Arguably, that implies the indicative conditional: If Column burns the money, they don’t play B. But what is needed for the next step is the subjunctive: If Column burned the money, they would not play B. And that doesn’t at all follow from the negated conjunction.</w:t>
      </w:r>
    </w:p>
    <w:p>
      <w:pPr>
        <w:pStyle w:val="BodyText"/>
      </w:pPr>
      <w:r>
        <w:t xml:space="preserve">Maybe you don’t agree that a subjunctive conditional is what Row needs this point. That part of Stalnaker’s analysis is unnecessary for the main argument. It’s enough to note that this negated conjunction can’t be enough to derive any inferences about what to do if Column burns the money. That’s because by the end of the derivation, Row knows that column (if rational) won’t burn the money. So here’s another negated conjunction that they know: it’s not the case that Column will burn the money and play A. They know this because they know the first conjunct is false, and they are (on standard assumptions) logically omniscient. Since Row’s knowledge is symmetric in this respect, they know both the negated conjunctions, Column won’t burn and play A, and, Column won’t burn and play B, knowledge of one of them can’t motivate an asymmetric attitude to what Column will do.</w:t>
      </w:r>
    </w:p>
    <w:p>
      <w:pPr>
        <w:pStyle w:val="BodyText"/>
      </w:pPr>
      <w:r>
        <w:t xml:space="preserve">The five-step argument is self-undermining in a related way. It concludes that if Column is rational they won’t burn the money. But it gets there by making substantive inferences about what Column will do if they rationally burn the money. There are no such substantive inferences to draw; rational Column will (according to the argument) not burn the money, so once Row sees the money on fire, they should infer Column is irrational, and stop making any inferences about what Column will or won’t do based on the assumption of rationality.</w:t>
      </w:r>
    </w:p>
    <w:p>
      <w:pPr>
        <w:pStyle w:val="BodyText"/>
      </w:pPr>
      <w:r>
        <w:t xml:space="preserve">From all this, I conclude that iterated weak dominance reasoning rests on a fallacy. I agree with Stalnaker’s diagnosis that the fallacy is confusing indicative and subjunctive conditionals, but as I’ve argued in the last two paragraphs, there is independent reason to accept Stalnaker’s claim that there is a fallacy involved even if you don’t accept his diagnosis.</w:t>
      </w:r>
    </w:p>
    <w:bookmarkEnd w:id="229"/>
    <w:bookmarkStart w:id="230" w:name="sec-weak-strong"/>
    <w:p>
      <w:pPr>
        <w:pStyle w:val="Heading2"/>
      </w:pPr>
      <w:r>
        <w:t xml:space="preserve">11.3 Back to Strong Dominance</w:t>
      </w:r>
    </w:p>
    <w:p>
      <w:pPr>
        <w:pStyle w:val="FirstParagraph"/>
      </w:pPr>
      <w:r>
        <w:t xml:space="preserve">This argument might, for some readers, trigger guilt by association concerns. If initially appealing reasoning like the 1-5 inference in</w:t>
      </w:r>
      <w:r>
        <w:t xml:space="preserve"> </w:t>
      </w:r>
      <w:hyperlink w:anchor="sec-weak-iterate">
        <w:r>
          <w:rPr>
            <w:rStyle w:val="Hyperlink"/>
          </w:rPr>
          <w:t xml:space="preserve">Section 11.2</w:t>
        </w:r>
      </w:hyperlink>
      <w:r>
        <w:t xml:space="preserve"> </w:t>
      </w:r>
      <w:r>
        <w:t xml:space="preserve">is wrong, might it also be that iterated strong dominance reasoning rests on a fallacy?</w:t>
      </w:r>
    </w:p>
    <w:p>
      <w:pPr>
        <w:pStyle w:val="BodyText"/>
      </w:pPr>
      <w:r>
        <w:t xml:space="preserve">I suspect that concern is at least half-right; some informal presentations of iterated strong dominance reasoning probably do commit exactly the same fallacy. But it turns out not to matter; we have independent reason to accept iterated strong dominance</w:t>
      </w:r>
    </w:p>
    <w:p>
      <w:pPr>
        <w:pStyle w:val="BodyText"/>
      </w:pPr>
      <w:r>
        <w:t xml:space="preserve">The reason comes from the theorem of Pearce’s that I mentioned back in</w:t>
      </w:r>
      <w:r>
        <w:t xml:space="preserve"> </w:t>
      </w:r>
      <w:hyperlink w:anchor="sec-no-ratify">
        <w:r>
          <w:rPr>
            <w:rStyle w:val="Hyperlink"/>
          </w:rPr>
          <w:t xml:space="preserve">Section 4.1</w:t>
        </w:r>
      </w:hyperlink>
      <w:r>
        <w:t xml:space="preserve">, in the context of discussing</w:t>
      </w:r>
      <w:r>
        <w:t xml:space="preserve"> </w:t>
      </w:r>
      <w:hyperlink w:anchor="tbl-frustrator">
        <w:r>
          <w:rPr>
            <w:rStyle w:val="Hyperlink"/>
          </w:rPr>
          <w:t xml:space="preserve">The Frustrator</w:t>
        </w:r>
      </w:hyperlink>
      <w:r>
        <w:t xml:space="preserve">. Pearce goes on to show something stronger than what I described there, but it needs a little more terminology to state it.</w:t>
      </w:r>
    </w:p>
    <w:p>
      <w:pPr>
        <w:pStyle w:val="BodyText"/>
      </w:pPr>
      <w:r>
        <w:t xml:space="preserve">Say a strategy</w:t>
      </w:r>
      <w:r>
        <w:t xml:space="preserve"> </w:t>
      </w:r>
      <w:r>
        <w:rPr>
          <w:iCs/>
          <w:i/>
        </w:rPr>
        <w:t xml:space="preserve">S</w:t>
      </w:r>
      <w:r>
        <w:t xml:space="preserve"> </w:t>
      </w:r>
      <w:r>
        <w:t xml:space="preserve">in a two player game is a best-response</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Say a strategy</w:t>
      </w:r>
      <w:r>
        <w:t xml:space="preserve"> </w:t>
      </w:r>
      <w:r>
        <w:rPr>
          <w:iCs/>
          <w:i/>
        </w:rPr>
        <w:t xml:space="preserve">S</w:t>
      </w:r>
      <w:r>
        <w:t xml:space="preserve"> </w:t>
      </w:r>
      <w:r>
        <w:t xml:space="preserve">in a two player game is a best-response</w:t>
      </w:r>
      <w:r>
        <w:rPr>
          <w:iCs/>
          <w:i/>
          <w:vertAlign w:val="subscript"/>
        </w:rPr>
        <w:t xml:space="preserve">k</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(a)</w:t>
      </w:r>
      <w:r>
        <w:t xml:space="preserve"> </w:t>
      </w:r>
      <w:r>
        <w:rPr>
          <w:iCs/>
          <w:i/>
        </w:rPr>
        <w:t xml:space="preserve">Pr</w:t>
      </w:r>
      <w:r>
        <w:t xml:space="preserve"> </w:t>
      </w:r>
      <w:r>
        <w:t xml:space="preserve">only assigns positive probability to the other player choosing strategies which are best-responses</w:t>
      </w:r>
      <w:r>
        <w:rPr>
          <w:iCs/>
          <w:i/>
          <w:vertAlign w:val="subscript"/>
        </w:rPr>
        <w:t xml:space="preserve">k</w:t>
      </w:r>
      <w:r>
        <w:t xml:space="preserve">, and (b)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Finally, say that a strategy</w:t>
      </w:r>
      <w:r>
        <w:t xml:space="preserve"> </w:t>
      </w:r>
      <w:r>
        <w:rPr>
          <w:iCs/>
          <w:i/>
        </w:rPr>
        <w:t xml:space="preserve">S</w:t>
      </w:r>
      <w:r>
        <w:t xml:space="preserve"> </w:t>
      </w:r>
      <w:r>
        <w:t xml:space="preserve">is</w:t>
      </w:r>
      <w:r>
        <w:t xml:space="preserve"> </w:t>
      </w:r>
      <w:r>
        <w:rPr>
          <w:bCs/>
          <w:b/>
        </w:rPr>
        <w:t xml:space="preserve">rationalisable</w:t>
      </w:r>
      <w:r>
        <w:t xml:space="preserve"> </w:t>
      </w:r>
      <w:r>
        <w:t xml:space="preserve">iff for any</w:t>
      </w:r>
      <w:r>
        <w:t xml:space="preserve"> </w:t>
      </w:r>
      <w:r>
        <w:rPr>
          <w:iCs/>
          <w:i/>
        </w:rPr>
        <w:t xml:space="preserve">n</w:t>
      </w:r>
      <w:r>
        <w:t xml:space="preserve">, it is a best-response</w:t>
      </w:r>
      <w:r>
        <w:rPr>
          <w:iCs/>
          <w:i/>
          <w:vertAlign w:val="subscript"/>
        </w:rPr>
        <w:t xml:space="preserve">k</w:t>
      </w:r>
      <w:r>
        <w:t xml:space="preserve">.</w:t>
      </w:r>
    </w:p>
    <w:p>
      <w:pPr>
        <w:pStyle w:val="BodyText"/>
      </w:pPr>
      <w:r>
        <w:t xml:space="preserve">It is very intuitive that given common knowledge of rationality, each player should play rationalisable strategies. Playing rationalisable strategies just means having answers to all of the following questions.</w:t>
      </w:r>
    </w:p>
    <w:p>
      <w:pPr>
        <w:numPr>
          <w:ilvl w:val="0"/>
          <w:numId w:val="1021"/>
        </w:numPr>
        <w:pStyle w:val="Compact"/>
      </w:pPr>
      <w:r>
        <w:t xml:space="preserve">Why are you playing</w:t>
      </w:r>
      <w:r>
        <w:t xml:space="preserve"> </w:t>
      </w:r>
      <w:r>
        <w:rPr>
          <w:iCs/>
          <w:i/>
        </w:rPr>
        <w:t xml:space="preserve">S</w:t>
      </w:r>
      <w:r>
        <w:t xml:space="preserve">? Because my credence distribution over the other player’s strategies is</w:t>
      </w:r>
      <w:r>
        <w:t xml:space="preserve"> </w:t>
      </w:r>
      <w:r>
        <w:rPr>
          <w:iCs/>
          <w:i/>
        </w:rPr>
        <w:t xml:space="preserve">Pr</w:t>
      </w:r>
      <w:r>
        <w:rPr>
          <w:vertAlign w:val="subscript"/>
        </w:rPr>
        <w:t xml:space="preserve">0</w:t>
      </w:r>
      <w:r>
        <w:t xml:space="preserve">, and given</w:t>
      </w:r>
      <w:r>
        <w:t xml:space="preserve"> </w:t>
      </w:r>
      <w:r>
        <w:rPr>
          <w:iCs/>
          <w:i/>
        </w:rPr>
        <w:t xml:space="preserve">Pr</w:t>
      </w:r>
      <w:r>
        <w:rPr>
          <w:vertAlign w:val="subscript"/>
        </w:rPr>
        <w:t xml:space="preserve">0</w:t>
      </w:r>
      <w:r>
        <w:t xml:space="preserve">,</w:t>
      </w:r>
      <w:r>
        <w:t xml:space="preserve"> </w:t>
      </w:r>
      <w:r>
        <w:rPr>
          <w:iCs/>
          <w:i/>
        </w:rPr>
        <w:t xml:space="preserve">S</w:t>
      </w:r>
      <w:r>
        <w:t xml:space="preserve"> </w:t>
      </w:r>
      <w:r>
        <w:t xml:space="preserve">maximises expected returns.</w:t>
      </w:r>
    </w:p>
    <w:p>
      <w:pPr>
        <w:numPr>
          <w:ilvl w:val="0"/>
          <w:numId w:val="1021"/>
        </w:numPr>
        <w:pStyle w:val="Compact"/>
      </w:pPr>
      <w:r>
        <w:t xml:space="preserve">Why is your credence distribution over the other player’s strategies</w:t>
      </w:r>
      <w:r>
        <w:t xml:space="preserve"> </w:t>
      </w:r>
      <w:r>
        <w:rPr>
          <w:iCs/>
          <w:i/>
        </w:rPr>
        <w:t xml:space="preserve">Pr</w:t>
      </w:r>
      <w:r>
        <w:rPr>
          <w:vertAlign w:val="subscript"/>
        </w:rPr>
        <w:t xml:space="preserve">0</w:t>
      </w:r>
      <w:r>
        <w:t xml:space="preserve">? Because for every strategy that</w:t>
      </w:r>
      <w:r>
        <w:t xml:space="preserve"> </w:t>
      </w:r>
      <w:r>
        <w:rPr>
          <w:iCs/>
          <w:i/>
        </w:rPr>
        <w:t xml:space="preserve">Pr</w:t>
      </w:r>
      <w:r>
        <w:rPr>
          <w:vertAlign w:val="subscript"/>
        </w:rPr>
        <w:t xml:space="preserve">0</w:t>
      </w:r>
      <w:r>
        <w:t xml:space="preserve"> </w:t>
      </w:r>
      <w:r>
        <w:t xml:space="preserve">gives positive probability to, there is some probability distribution</w:t>
      </w:r>
      <w:r>
        <w:t xml:space="preserve"> </w:t>
      </w:r>
      <w:r>
        <w:rPr>
          <w:iCs/>
          <w:i/>
        </w:rPr>
        <w:t xml:space="preserve">Pr</w:t>
      </w:r>
      <w:r>
        <w:rPr>
          <w:vertAlign w:val="subscript"/>
        </w:rPr>
        <w:t xml:space="preserve">1</w:t>
      </w:r>
      <w:r>
        <w:t xml:space="preserve"> </w:t>
      </w:r>
      <w:r>
        <w:t xml:space="preserve">that they might have over my strategies such that, given</w:t>
      </w:r>
      <w:r>
        <w:t xml:space="preserve"> </w:t>
      </w:r>
      <w:r>
        <w:rPr>
          <w:iCs/>
          <w:i/>
        </w:rPr>
        <w:t xml:space="preserve">Pr</w:t>
      </w:r>
      <w:r>
        <w:rPr>
          <w:vertAlign w:val="subscript"/>
        </w:rPr>
        <w:t xml:space="preserve">1</w:t>
      </w:r>
      <w:r>
        <w:t xml:space="preserve">, that strategy is optimal.</w:t>
      </w:r>
    </w:p>
    <w:p>
      <w:pPr>
        <w:numPr>
          <w:ilvl w:val="0"/>
          <w:numId w:val="1021"/>
        </w:numPr>
        <w:pStyle w:val="Compact"/>
      </w:pPr>
      <w:r>
        <w:t xml:space="preserve">Why should we think</w:t>
      </w:r>
      <w:r>
        <w:t xml:space="preserve"> </w:t>
      </w:r>
      <w:r>
        <w:rPr>
          <w:iCs/>
          <w:i/>
        </w:rPr>
        <w:t xml:space="preserve">Pr</w:t>
      </w:r>
      <w:r>
        <w:rPr>
          <w:vertAlign w:val="subscript"/>
        </w:rPr>
        <w:t xml:space="preserve">1</w:t>
      </w:r>
      <w:r>
        <w:t xml:space="preserve"> </w:t>
      </w:r>
      <w:r>
        <w:t xml:space="preserve">is their probability distribution? Because for every strategy of mine that</w:t>
      </w:r>
      <w:r>
        <w:t xml:space="preserve"> </w:t>
      </w:r>
      <w:r>
        <w:rPr>
          <w:iCs/>
          <w:i/>
        </w:rPr>
        <w:t xml:space="preserve">Pr</w:t>
      </w:r>
      <w:r>
        <w:rPr>
          <w:vertAlign w:val="subscript"/>
        </w:rPr>
        <w:t xml:space="preserve">1</w:t>
      </w:r>
      <w:r>
        <w:t xml:space="preserve"> </w:t>
      </w:r>
      <w:r>
        <w:t xml:space="preserve">gives positive probability to, there is some probability distribution</w:t>
      </w:r>
      <w:r>
        <w:t xml:space="preserve"> </w:t>
      </w:r>
      <w:r>
        <w:rPr>
          <w:iCs/>
          <w:i/>
        </w:rPr>
        <w:t xml:space="preserve">Pr</w:t>
      </w:r>
      <w:r>
        <w:rPr>
          <w:vertAlign w:val="subscript"/>
        </w:rPr>
        <w:t xml:space="preserve">2</w:t>
      </w:r>
      <w:r>
        <w:t xml:space="preserve"> </w:t>
      </w:r>
      <w:r>
        <w:t xml:space="preserve">such that that strategy is optimal given</w:t>
      </w:r>
      <w:r>
        <w:t xml:space="preserve"> </w:t>
      </w:r>
      <w:r>
        <w:rPr>
          <w:iCs/>
          <w:i/>
        </w:rPr>
        <w:t xml:space="preserve">Pr</w:t>
      </w:r>
      <w:r>
        <w:rPr>
          <w:vertAlign w:val="subscript"/>
        </w:rPr>
        <w:t xml:space="preserve">2</w:t>
      </w:r>
      <w:r>
        <w:t xml:space="preserve">.</w:t>
      </w:r>
    </w:p>
    <w:p>
      <w:pPr>
        <w:pStyle w:val="FirstParagraph"/>
      </w:pPr>
      <w:r>
        <w:t xml:space="preserve">This line of questioning could go on indefinitely. Presumably</w:t>
      </w:r>
      <w:r>
        <w:t xml:space="preserve"> </w:t>
      </w:r>
      <w:r>
        <w:rPr>
          <w:iCs/>
          <w:i/>
        </w:rPr>
        <w:t xml:space="preserve">Pr</w:t>
      </w:r>
      <w:r>
        <w:rPr>
          <w:vertAlign w:val="subscript"/>
        </w:rPr>
        <w:t xml:space="preserve">2</w:t>
      </w:r>
      <w:r>
        <w:t xml:space="preserve"> </w:t>
      </w:r>
      <w:r>
        <w:t xml:space="preserve">isn’t defined over any old things the other player might play. But if the original strategy is rationalisable, it will give positive probabilities to things that it would make some sense for the other player to play. And so on indefinitely.</w:t>
      </w:r>
    </w:p>
    <w:p>
      <w:pPr>
        <w:pStyle w:val="BodyText"/>
      </w:pPr>
      <w:r>
        <w:t xml:space="preserve">This, ultimately, is why I think dominance reasoning, and in particular iterated dominance reasoning, should be incorporated into our decision theory. Using dominance reasoning is a somewhat convenient shorthand for what we should be doing, namely finding rationalisable strategies.</w:t>
      </w:r>
    </w:p>
    <w:p>
      <w:pPr>
        <w:pStyle w:val="BodyText"/>
      </w:pPr>
      <w:r>
        <w:t xml:space="preserve">To be sure, I think we should do somewhat more than find rationalisable strategies. We should also find strategies that are not weakly dominated (as argued in</w:t>
      </w:r>
      <w:r>
        <w:t xml:space="preserve"> </w:t>
      </w:r>
      <w:hyperlink w:anchor="sec-weak-avoid">
        <w:r>
          <w:rPr>
            <w:rStyle w:val="Hyperlink"/>
          </w:rPr>
          <w:t xml:space="preserve">Section 11.1</w:t>
        </w:r>
      </w:hyperlink>
      <w:r>
        <w:t xml:space="preserve">), and which are substantively rational (as argued in</w:t>
      </w:r>
      <w:r>
        <w:t xml:space="preserve"> </w:t>
      </w:r>
      <w:hyperlink w:anchor="sec-substantive">
        <w:r>
          <w:rPr>
            <w:rStyle w:val="Hyperlink"/>
          </w:rPr>
          <w:t xml:space="preserve">Chapter 10</w:t>
        </w:r>
      </w:hyperlink>
      <w:r>
        <w:t xml:space="preserve">). But the first necessary step is to remove the non-rationalisable strategies.</w:t>
      </w:r>
    </w:p>
    <w:bookmarkEnd w:id="230"/>
    <w:bookmarkStart w:id="231" w:name="sec-weak-summary"/>
    <w:p>
      <w:pPr>
        <w:pStyle w:val="Heading2"/>
      </w:pPr>
      <w:r>
        <w:t xml:space="preserve">11.4 Summary</w:t>
      </w:r>
    </w:p>
    <w:p>
      <w:pPr>
        <w:pStyle w:val="FirstParagraph"/>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11.1</w:t>
        </w:r>
      </w:hyperlink>
      <w:r>
        <w:t xml:space="preserve">, but not in</w:t>
      </w:r>
      <w:r>
        <w:t xml:space="preserve"> </w:t>
      </w:r>
      <w:hyperlink w:anchor="tbl-wd-itd">
        <w:r>
          <w:rPr>
            <w:rStyle w:val="Hyperlink"/>
          </w:rPr>
          <w:t xml:space="preserve">Table 11.2</w:t>
        </w:r>
      </w:hyperlink>
      <w:r>
        <w:t xml:space="preserve">. The reasons for not iterating weak dominance reasoning do not apply to strong dominance reasoning, and iterated strong dominance reasoning leads to the same results as reasoning that is unimpeachable, namely finding rationalisable strategies.</w:t>
      </w:r>
    </w:p>
    <w:bookmarkEnd w:id="231"/>
    <w:bookmarkEnd w:id="232"/>
    <w:bookmarkStart w:id="233" w:name="sec-conclusion"/>
    <w:p>
      <w:pPr>
        <w:pStyle w:val="Heading1"/>
      </w:pPr>
      <w:r>
        <w:t xml:space="preserve">12. Conclusion</w:t>
      </w:r>
    </w:p>
    <w:p>
      <w:pPr>
        <w:pStyle w:val="FirstParagraph"/>
      </w:pPr>
      <w:r>
        <w:t xml:space="preserve">TK</w:t>
      </w:r>
    </w:p>
    <w:p>
      <w:pPr>
        <w:pStyle w:val="BodyText"/>
      </w:pPr>
      <w:r>
        <w:t xml:space="preserve">% 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r>
        <w:t xml:space="preserve"> </w:t>
      </w:r>
      <w:r>
        <w:t xml:space="preserve">%</w:t>
      </w:r>
      <w:r>
        <w:t xml:space="preserve"> </w:t>
      </w:r>
      <w:r>
        <w:t xml:space="preserve">% 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r>
        <w:t xml:space="preserve"> </w:t>
      </w:r>
      <w:r>
        <w:t xml:space="preserve">%</w:t>
      </w:r>
      <w:r>
        <w:t xml:space="preserve"> </w:t>
      </w:r>
      <w:r>
        <w:t xml:space="preserve">% 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r>
        <w:t xml:space="preserve"> </w:t>
      </w:r>
      <w:r>
        <w:t xml:space="preserve">%</w:t>
      </w:r>
      <w:r>
        <w:t xml:space="preserve"> </w:t>
      </w:r>
      <w:r>
        <w:t xml:space="preserve">% 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paper.[^33]</w:t>
      </w:r>
      <w:r>
        <w:t xml:space="preserve"> </w:t>
      </w:r>
      <w:r>
        <w:t xml:space="preserve">%</w:t>
      </w:r>
      <w:r>
        <w:t xml:space="preserve"> </w:t>
      </w:r>
      <w:r>
        <w:t xml:space="preserve">% [^33]: Thanks to many people for conversations on these topics, especially Dmitri Gallow and Ishani Maitra, and audiences and ACU and UBC, and students in my group choices classes at University of Michigan.</w:t>
      </w:r>
    </w:p>
    <w:bookmarkEnd w:id="233"/>
    <w:bookmarkStart w:id="425" w:name="references"/>
    <w:p>
      <w:pPr>
        <w:pStyle w:val="Heading1"/>
      </w:pPr>
      <w:r>
        <w:t xml:space="preserve">References</w:t>
      </w:r>
    </w:p>
    <w:bookmarkStart w:id="424" w:name="refs"/>
    <w:bookmarkStart w:id="235"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234">
        <w:r>
          <w:rPr>
            <w:rStyle w:val="Hyperlink"/>
          </w:rPr>
          <w:t xml:space="preserve">https://doi.org/10.1086/666065</w:t>
        </w:r>
      </w:hyperlink>
      <w:r>
        <w:t xml:space="preserve">.</w:t>
      </w:r>
    </w:p>
    <w:bookmarkEnd w:id="235"/>
    <w:bookmarkStart w:id="237" w:name="ref-Ahmed2014a"/>
    <w:p>
      <w:pPr>
        <w:pStyle w:val="Bibliography"/>
      </w:pPr>
      <w:r>
        <w:t xml:space="preserve">———. 2014.</w:t>
      </w:r>
      <w:r>
        <w:t xml:space="preserve"> </w:t>
      </w:r>
      <w:r>
        <w:t xml:space="preserve">“Dicing with Death.”</w:t>
      </w:r>
      <w:r>
        <w:t xml:space="preserve"> </w:t>
      </w:r>
      <w:r>
        <w:rPr>
          <w:iCs/>
          <w:i/>
        </w:rPr>
        <w:t xml:space="preserve">Analysis</w:t>
      </w:r>
      <w:r>
        <w:t xml:space="preserve"> </w:t>
      </w:r>
      <w:r>
        <w:t xml:space="preserve">74 (4): 587–92.</w:t>
      </w:r>
      <w:r>
        <w:t xml:space="preserve"> </w:t>
      </w:r>
      <w:hyperlink r:id="rId236">
        <w:r>
          <w:rPr>
            <w:rStyle w:val="Hyperlink"/>
          </w:rPr>
          <w:t xml:space="preserve">https://doi.org/10.1093/analys/anu084</w:t>
        </w:r>
      </w:hyperlink>
      <w:r>
        <w:t xml:space="preserve">.</w:t>
      </w:r>
    </w:p>
    <w:bookmarkEnd w:id="237"/>
    <w:bookmarkStart w:id="239"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238">
        <w:r>
          <w:rPr>
            <w:rStyle w:val="Hyperlink"/>
          </w:rPr>
          <w:t xml:space="preserve">https://doi.org/10.1093/mind/fzz073</w:t>
        </w:r>
      </w:hyperlink>
      <w:r>
        <w:t xml:space="preserve">.</w:t>
      </w:r>
    </w:p>
    <w:bookmarkEnd w:id="239"/>
    <w:bookmarkStart w:id="241"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240">
        <w:r>
          <w:rPr>
            <w:rStyle w:val="Hyperlink"/>
          </w:rPr>
          <w:t xml:space="preserve">https://doi.org/10.2307/1879431</w:t>
        </w:r>
      </w:hyperlink>
      <w:r>
        <w:t xml:space="preserve">.</w:t>
      </w:r>
    </w:p>
    <w:bookmarkEnd w:id="241"/>
    <w:bookmarkStart w:id="243"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242">
        <w:r>
          <w:rPr>
            <w:rStyle w:val="Hyperlink"/>
          </w:rPr>
          <w:t xml:space="preserve">https://www.nytimes.com/2023/06/19/world/americas/argentina-inflation-peso-restaurants.html</w:t>
        </w:r>
      </w:hyperlink>
      <w:r>
        <w:t xml:space="preserve">.</w:t>
      </w:r>
    </w:p>
    <w:bookmarkEnd w:id="243"/>
    <w:bookmarkStart w:id="245"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244">
        <w:r>
          <w:rPr>
            <w:rStyle w:val="Hyperlink"/>
          </w:rPr>
          <w:t xml:space="preserve">https://doi.org/10.2307/1907921</w:t>
        </w:r>
      </w:hyperlink>
      <w:r>
        <w:t xml:space="preserve">.</w:t>
      </w:r>
    </w:p>
    <w:bookmarkEnd w:id="245"/>
    <w:bookmarkStart w:id="247"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246">
        <w:r>
          <w:rPr>
            <w:rStyle w:val="Hyperlink"/>
          </w:rPr>
          <w:t xml:space="preserve">https://doi.org/10.1007/s10670-007-9084-8</w:t>
        </w:r>
      </w:hyperlink>
      <w:r>
        <w:t xml:space="preserve">.</w:t>
      </w:r>
    </w:p>
    <w:bookmarkEnd w:id="247"/>
    <w:bookmarkStart w:id="249"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248">
        <w:r>
          <w:rPr>
            <w:rStyle w:val="Hyperlink"/>
          </w:rPr>
          <w:t xml:space="preserve">https://doi.org/10.5840/jphil202211925</w:t>
        </w:r>
      </w:hyperlink>
      <w:r>
        <w:t xml:space="preserve">.</w:t>
      </w:r>
    </w:p>
    <w:bookmarkEnd w:id="249"/>
    <w:bookmarkStart w:id="251"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250">
        <w:r>
          <w:rPr>
            <w:rStyle w:val="Hyperlink"/>
          </w:rPr>
          <w:t xml:space="preserve">https://doi.org/10.1016/S0022-0531(05)80039-0</w:t>
        </w:r>
      </w:hyperlink>
      <w:r>
        <w:t xml:space="preserve">.</w:t>
      </w:r>
    </w:p>
    <w:bookmarkEnd w:id="251"/>
    <w:bookmarkStart w:id="252" w:name="ref-Blackwell1951"/>
    <w:p>
      <w:pPr>
        <w:pStyle w:val="Bibliography"/>
      </w:pPr>
      <w:r>
        <w:t xml:space="preserve">Blackwell, David. 1951.</w:t>
      </w:r>
      <w:r>
        <w:t xml:space="preserve"> </w:t>
      </w:r>
      <w:r>
        <w:t xml:space="preserve">“Comparison of Experiments.”</w:t>
      </w:r>
      <w:r>
        <w:t xml:space="preserve"> </w:t>
      </w:r>
      <w:r>
        <w:rPr>
          <w:iCs/>
          <w:i/>
        </w:rPr>
        <w:t xml:space="preserve">Proceedings of the Berkeley Symposium on Mathematical Statistics and Probability</w:t>
      </w:r>
      <w:r>
        <w:t xml:space="preserve"> </w:t>
      </w:r>
      <w:r>
        <w:t xml:space="preserve">2 (1): 93–102.</w:t>
      </w:r>
    </w:p>
    <w:bookmarkEnd w:id="252"/>
    <w:bookmarkStart w:id="254"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253">
        <w:r>
          <w:rPr>
            <w:rStyle w:val="Hyperlink"/>
          </w:rPr>
          <w:t xml:space="preserve">http://faculty.econ.ucdavis.edu/faculty/bonanno/GT_Book.html</w:t>
        </w:r>
      </w:hyperlink>
      <w:r>
        <w:t xml:space="preserve">.</w:t>
      </w:r>
    </w:p>
    <w:bookmarkEnd w:id="254"/>
    <w:bookmarkStart w:id="256"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255">
        <w:r>
          <w:rPr>
            <w:rStyle w:val="Hyperlink"/>
          </w:rPr>
          <w:t xml:space="preserve">https://doi.org/doi.org/10.1111/phpr.13006</w:t>
        </w:r>
      </w:hyperlink>
      <w:r>
        <w:t xml:space="preserve">.</w:t>
      </w:r>
    </w:p>
    <w:bookmarkEnd w:id="256"/>
    <w:bookmarkStart w:id="257" w:name="ref-BuchakRisk"/>
    <w:p>
      <w:pPr>
        <w:pStyle w:val="Bibliography"/>
      </w:pPr>
      <w:r>
        <w:t xml:space="preserve">Buchak, Lara. 2013.</w:t>
      </w:r>
      <w:r>
        <w:t xml:space="preserve"> </w:t>
      </w:r>
      <w:r>
        <w:rPr>
          <w:iCs/>
          <w:i/>
        </w:rPr>
        <w:t xml:space="preserve">Risk and Rationality</w:t>
      </w:r>
      <w:r>
        <w:t xml:space="preserve">. Oxford: Oxford University Press.</w:t>
      </w:r>
    </w:p>
    <w:bookmarkEnd w:id="257"/>
    <w:bookmarkStart w:id="259" w:name="ref-Buchak2017"/>
    <w:p>
      <w:pPr>
        <w:pStyle w:val="Bibliography"/>
      </w:pPr>
      <w:r>
        <w:t xml:space="preserve">———. 2017.</w:t>
      </w:r>
      <w:r>
        <w:t xml:space="preserve"> </w:t>
      </w:r>
      <w:r>
        <w:t xml:space="preserve">“Pr</w:t>
      </w:r>
      <w:r>
        <w:t xml:space="preserve">é</w:t>
      </w:r>
      <w:r>
        <w:t xml:space="preserve">cis of Risk and Rationality.”</w:t>
      </w:r>
      <w:r>
        <w:t xml:space="preserve"> </w:t>
      </w:r>
      <w:r>
        <w:rPr>
          <w:iCs/>
          <w:i/>
        </w:rPr>
        <w:t xml:space="preserve">Philosophical Studies</w:t>
      </w:r>
      <w:r>
        <w:t xml:space="preserve"> </w:t>
      </w:r>
      <w:r>
        <w:t xml:space="preserve">174 (9): 2363–68.</w:t>
      </w:r>
      <w:r>
        <w:t xml:space="preserve"> </w:t>
      </w:r>
      <w:hyperlink r:id="rId258">
        <w:r>
          <w:rPr>
            <w:rStyle w:val="Hyperlink"/>
          </w:rPr>
          <w:t xml:space="preserve">https://doi.org/10.1007/s11098-017-0904-7</w:t>
        </w:r>
      </w:hyperlink>
      <w:r>
        <w:t xml:space="preserve">.</w:t>
      </w:r>
    </w:p>
    <w:bookmarkEnd w:id="259"/>
    <w:bookmarkStart w:id="261" w:name="ref-Callahan2021"/>
    <w:p>
      <w:pPr>
        <w:pStyle w:val="Bibliography"/>
      </w:pPr>
      <w:r>
        <w:t xml:space="preserve">Callahan, Laura Frances. 2021.</w:t>
      </w:r>
      <w:r>
        <w:t xml:space="preserve"> </w:t>
      </w:r>
      <w:r>
        <w:t xml:space="preserve">“Epistemic Existentialism.”</w:t>
      </w:r>
      <w:r>
        <w:t xml:space="preserve"> </w:t>
      </w:r>
      <w:r>
        <w:rPr>
          <w:iCs/>
          <w:i/>
        </w:rPr>
        <w:t xml:space="preserve">Episteme</w:t>
      </w:r>
      <w:r>
        <w:t xml:space="preserve"> </w:t>
      </w:r>
      <w:r>
        <w:t xml:space="preserve">18 (4): 539–54.</w:t>
      </w:r>
      <w:r>
        <w:t xml:space="preserve"> </w:t>
      </w:r>
      <w:hyperlink r:id="rId260">
        <w:r>
          <w:rPr>
            <w:rStyle w:val="Hyperlink"/>
          </w:rPr>
          <w:t xml:space="preserve">https://doi.org/10.1017/epi.2019.25</w:t>
        </w:r>
      </w:hyperlink>
      <w:r>
        <w:t xml:space="preserve">.</w:t>
      </w:r>
    </w:p>
    <w:bookmarkEnd w:id="261"/>
    <w:bookmarkStart w:id="263" w:name="ref-ChandlerSEP"/>
    <w:p>
      <w:pPr>
        <w:pStyle w:val="Bibliography"/>
      </w:pPr>
      <w:r>
        <w:t xml:space="preserve">Chandler, Jake. 2017.</w:t>
      </w:r>
      <w:r>
        <w:t xml:space="preserve"> </w:t>
      </w:r>
      <w:r>
        <w:t xml:space="preserve">“</w:t>
      </w:r>
      <w:r>
        <w:t xml:space="preserve">Descriptive Decision Theory</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2017.</w:t>
      </w:r>
      <w:r>
        <w:t xml:space="preserve"> </w:t>
      </w:r>
      <w:hyperlink r:id="rId262">
        <w:r>
          <w:rPr>
            <w:rStyle w:val="Hyperlink"/>
          </w:rPr>
          <w:t xml:space="preserve">https://plato.stanford.edu/archives/win2017/entries/decision-theory-descriptive/</w:t>
        </w:r>
      </w:hyperlink>
      <w:r>
        <w:t xml:space="preserve">; Metaphysics Research Lab, Stanford University.</w:t>
      </w:r>
    </w:p>
    <w:bookmarkEnd w:id="263"/>
    <w:bookmarkStart w:id="265"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264">
        <w:r>
          <w:rPr>
            <w:rStyle w:val="Hyperlink"/>
          </w:rPr>
          <w:t xml:space="preserve">https://doi.org/10.1086/339673</w:t>
        </w:r>
      </w:hyperlink>
      <w:r>
        <w:t xml:space="preserve">.</w:t>
      </w:r>
    </w:p>
    <w:bookmarkEnd w:id="265"/>
    <w:bookmarkStart w:id="267" w:name="ref-Chernoff1954"/>
    <w:p>
      <w:pPr>
        <w:pStyle w:val="Bibliography"/>
      </w:pPr>
      <w:r>
        <w:t xml:space="preserve">Chernoff, Herman. 1954.</w:t>
      </w:r>
      <w:r>
        <w:t xml:space="preserve"> </w:t>
      </w:r>
      <w:r>
        <w:t xml:space="preserve">“Rational Selection of Decision Functions.”</w:t>
      </w:r>
      <w:r>
        <w:t xml:space="preserve"> </w:t>
      </w:r>
      <w:r>
        <w:rPr>
          <w:iCs/>
          <w:i/>
        </w:rPr>
        <w:t xml:space="preserve">Econometrica</w:t>
      </w:r>
      <w:r>
        <w:t xml:space="preserve"> </w:t>
      </w:r>
      <w:r>
        <w:t xml:space="preserve">22 (4): 422–43.</w:t>
      </w:r>
      <w:r>
        <w:t xml:space="preserve"> </w:t>
      </w:r>
      <w:hyperlink r:id="rId266">
        <w:r>
          <w:rPr>
            <w:rStyle w:val="Hyperlink"/>
          </w:rPr>
          <w:t xml:space="preserve">https://doi.org/10.2307/1907435</w:t>
        </w:r>
      </w:hyperlink>
      <w:r>
        <w:t xml:space="preserve">.</w:t>
      </w:r>
    </w:p>
    <w:bookmarkEnd w:id="267"/>
    <w:bookmarkStart w:id="269"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268">
        <w:r>
          <w:rPr>
            <w:rStyle w:val="Hyperlink"/>
          </w:rPr>
          <w:t xml:space="preserve">https://doi.org/10.2307/1885060</w:t>
        </w:r>
      </w:hyperlink>
      <w:r>
        <w:t xml:space="preserve">.</w:t>
      </w:r>
    </w:p>
    <w:bookmarkEnd w:id="269"/>
    <w:bookmarkStart w:id="271" w:name="ref-cohen2023sequential"/>
    <w:p>
      <w:pPr>
        <w:pStyle w:val="Bibliography"/>
      </w:pPr>
      <w:r>
        <w:t xml:space="preserve">Cohen, Shani, and Shengwu Li. 2023.</w:t>
      </w:r>
      <w:r>
        <w:t xml:space="preserve"> </w:t>
      </w:r>
      <w:r>
        <w:t xml:space="preserve">“Sequential Cursed Equilibrium.”</w:t>
      </w:r>
      <w:r>
        <w:t xml:space="preserve"> </w:t>
      </w:r>
      <w:hyperlink r:id="rId270">
        <w:r>
          <w:rPr>
            <w:rStyle w:val="Hyperlink"/>
          </w:rPr>
          <w:t xml:space="preserve">https://arxiv.org/abs/2212.06025</w:t>
        </w:r>
      </w:hyperlink>
      <w:r>
        <w:t xml:space="preserve">.</w:t>
      </w:r>
    </w:p>
    <w:bookmarkEnd w:id="271"/>
    <w:bookmarkStart w:id="272" w:name="ref-Cohen2013"/>
    <w:p>
      <w:pPr>
        <w:pStyle w:val="Bibliography"/>
      </w:pPr>
      <w:r>
        <w:t xml:space="preserve">Cohen, Stewart. 2013.</w:t>
      </w:r>
      <w:r>
        <w:t xml:space="preserve"> </w:t>
      </w:r>
      <w:r>
        <w:t xml:space="preserve">“A Defence of the (Almost) Equal Weight View.”</w:t>
      </w:r>
      <w:r>
        <w:t xml:space="preserve"> </w:t>
      </w:r>
      <w:r>
        <w:t xml:space="preserve">In</w:t>
      </w:r>
      <w:r>
        <w:t xml:space="preserve"> </w:t>
      </w:r>
      <w:r>
        <w:rPr>
          <w:iCs/>
          <w:i/>
        </w:rPr>
        <w:t xml:space="preserve">The Epistemology of Disagreement: New Essays</w:t>
      </w:r>
      <w:r>
        <w:t xml:space="preserve">, edited by David Christensen and Jennifer Lackey, 98–117. Oxford: Oxford University Press.</w:t>
      </w:r>
    </w:p>
    <w:bookmarkEnd w:id="272"/>
    <w:bookmarkStart w:id="273"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73"/>
    <w:bookmarkStart w:id="275" w:name="ref-Das2023"/>
    <w:p>
      <w:pPr>
        <w:pStyle w:val="Bibliography"/>
      </w:pPr>
      <w:r>
        <w:t xml:space="preserve">Das, Nilanjan. 2023.</w:t>
      </w:r>
      <w:r>
        <w:t xml:space="preserve"> </w:t>
      </w:r>
      <w:r>
        <w:t xml:space="preserve">“The Value of Biased Information.”</w:t>
      </w:r>
      <w:r>
        <w:t xml:space="preserve"> </w:t>
      </w:r>
      <w:r>
        <w:rPr>
          <w:iCs/>
          <w:i/>
        </w:rPr>
        <w:t xml:space="preserve">British Journal for the Philosophy of Science</w:t>
      </w:r>
      <w:r>
        <w:t xml:space="preserve"> </w:t>
      </w:r>
      <w:r>
        <w:t xml:space="preserve">74 (1): 25–55.</w:t>
      </w:r>
      <w:r>
        <w:t xml:space="preserve"> </w:t>
      </w:r>
      <w:hyperlink r:id="rId274">
        <w:r>
          <w:rPr>
            <w:rStyle w:val="Hyperlink"/>
          </w:rPr>
          <w:t xml:space="preserve">https://doi.org/10.1093/bjps/axaa003</w:t>
        </w:r>
      </w:hyperlink>
      <w:r>
        <w:t xml:space="preserve">.</w:t>
      </w:r>
    </w:p>
    <w:bookmarkEnd w:id="275"/>
    <w:bookmarkStart w:id="277"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276">
        <w:r>
          <w:rPr>
            <w:rStyle w:val="Hyperlink"/>
          </w:rPr>
          <w:t xml:space="preserve">https://doi.org/10.1086/658093</w:t>
        </w:r>
      </w:hyperlink>
      <w:r>
        <w:t xml:space="preserve">.</w:t>
      </w:r>
    </w:p>
    <w:bookmarkEnd w:id="277"/>
    <w:bookmarkStart w:id="279" w:name="ref-Dogramaci2012"/>
    <w:p>
      <w:pPr>
        <w:pStyle w:val="Bibliography"/>
      </w:pPr>
      <w:r>
        <w:t xml:space="preserve">Dogramaci, Sinan. 2012.</w:t>
      </w:r>
      <w:r>
        <w:t xml:space="preserve"> </w:t>
      </w:r>
      <w:r>
        <w:t xml:space="preserve">“Reverse Engineering Epistemic Evaluations.”</w:t>
      </w:r>
      <w:r>
        <w:t xml:space="preserve"> </w:t>
      </w:r>
      <w:r>
        <w:rPr>
          <w:iCs/>
          <w:i/>
        </w:rPr>
        <w:t xml:space="preserve">Philosophy and Phenomenological Research</w:t>
      </w:r>
      <w:r>
        <w:t xml:space="preserve"> </w:t>
      </w:r>
      <w:r>
        <w:t xml:space="preserve">84 (3): 513–30.</w:t>
      </w:r>
      <w:r>
        <w:t xml:space="preserve"> </w:t>
      </w:r>
      <w:hyperlink r:id="rId278">
        <w:r>
          <w:rPr>
            <w:rStyle w:val="Hyperlink"/>
          </w:rPr>
          <w:t xml:space="preserve">https://doi.org/10.1111/j.1933-1592.2011.00566.x</w:t>
        </w:r>
      </w:hyperlink>
      <w:r>
        <w:t xml:space="preserve">.</w:t>
      </w:r>
    </w:p>
    <w:bookmarkEnd w:id="279"/>
    <w:bookmarkStart w:id="281" w:name="ref-Egan2007"/>
    <w:p>
      <w:pPr>
        <w:pStyle w:val="Bibliography"/>
      </w:pPr>
      <w:r>
        <w:t xml:space="preserve">Egan, Andy. 2007a.</w:t>
      </w:r>
      <w:r>
        <w:t xml:space="preserve"> </w:t>
      </w:r>
      <w:r>
        <w:t xml:space="preserve">“Some Counterexamples to Causal Decision Theory.”</w:t>
      </w:r>
      <w:r>
        <w:t xml:space="preserve"> </w:t>
      </w:r>
      <w:r>
        <w:rPr>
          <w:iCs/>
          <w:i/>
        </w:rPr>
        <w:t xml:space="preserve">Philosophical Review</w:t>
      </w:r>
      <w:r>
        <w:t xml:space="preserve"> </w:t>
      </w:r>
      <w:r>
        <w:t xml:space="preserve">116 (1): 93–114.</w:t>
      </w:r>
      <w:r>
        <w:t xml:space="preserve"> </w:t>
      </w:r>
      <w:hyperlink r:id="rId280">
        <w:r>
          <w:rPr>
            <w:rStyle w:val="Hyperlink"/>
          </w:rPr>
          <w:t xml:space="preserve">https://doi.org/10.1215/00318108-2006-023</w:t>
        </w:r>
      </w:hyperlink>
      <w:r>
        <w:t xml:space="preserve">.</w:t>
      </w:r>
    </w:p>
    <w:bookmarkEnd w:id="281"/>
    <w:bookmarkStart w:id="282" w:name="ref-Egan2007-EGASCT"/>
    <w:p>
      <w:pPr>
        <w:pStyle w:val="Bibliography"/>
      </w:pPr>
      <w:r>
        <w:t xml:space="preserve">———. 2007b.</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280">
        <w:r>
          <w:rPr>
            <w:rStyle w:val="Hyperlink"/>
          </w:rPr>
          <w:t xml:space="preserve">https://doi.org/10.1215/00318108-2006-023</w:t>
        </w:r>
      </w:hyperlink>
      <w:r>
        <w:t xml:space="preserve">.</w:t>
      </w:r>
    </w:p>
    <w:bookmarkEnd w:id="282"/>
    <w:bookmarkStart w:id="284" w:name="ref-Elga2000"/>
    <w:p>
      <w:pPr>
        <w:pStyle w:val="Bibliography"/>
      </w:pPr>
      <w:r>
        <w:t xml:space="preserve">Elga, Adam. 2000.</w:t>
      </w:r>
      <w:r>
        <w:t xml:space="preserve"> </w:t>
      </w:r>
      <w:r>
        <w:t xml:space="preserve">“Self-Locating Belief and the Sleeping Beauty Problem.”</w:t>
      </w:r>
      <w:r>
        <w:t xml:space="preserve"> </w:t>
      </w:r>
      <w:r>
        <w:rPr>
          <w:iCs/>
          <w:i/>
        </w:rPr>
        <w:t xml:space="preserve">Analysis</w:t>
      </w:r>
      <w:r>
        <w:t xml:space="preserve"> </w:t>
      </w:r>
      <w:r>
        <w:t xml:space="preserve">60 (4): 143–47.</w:t>
      </w:r>
      <w:r>
        <w:t xml:space="preserve"> </w:t>
      </w:r>
      <w:hyperlink r:id="rId283">
        <w:r>
          <w:rPr>
            <w:rStyle w:val="Hyperlink"/>
          </w:rPr>
          <w:t xml:space="preserve">https://doi.org/10.1093/analys/60.2.143</w:t>
        </w:r>
      </w:hyperlink>
      <w:r>
        <w:t xml:space="preserve">.</w:t>
      </w:r>
    </w:p>
    <w:bookmarkEnd w:id="284"/>
    <w:bookmarkStart w:id="286"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285">
        <w:r>
          <w:rPr>
            <w:rStyle w:val="Hyperlink"/>
          </w:rPr>
          <w:t xml:space="preserve">https://doi.org/10.1093/analys/anz059</w:t>
        </w:r>
      </w:hyperlink>
      <w:r>
        <w:t xml:space="preserve">.</w:t>
      </w:r>
    </w:p>
    <w:bookmarkEnd w:id="286"/>
    <w:bookmarkStart w:id="288"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287">
        <w:r>
          <w:rPr>
            <w:rStyle w:val="Hyperlink"/>
          </w:rPr>
          <w:t xml:space="preserve">10.1111/j.1468-0262.2005.00631.x</w:t>
        </w:r>
      </w:hyperlink>
      <w:r>
        <w:t xml:space="preserve">.</w:t>
      </w:r>
    </w:p>
    <w:bookmarkEnd w:id="288"/>
    <w:bookmarkStart w:id="290" w:name="ref-Fey2012"/>
    <w:p>
      <w:pPr>
        <w:pStyle w:val="Bibliography"/>
      </w:pPr>
      <w:r>
        <w:t xml:space="preserve">Fey, Mark. 2012.</w:t>
      </w:r>
      <w:r>
        <w:t xml:space="preserve"> </w:t>
      </w:r>
      <w:r>
        <w:t xml:space="preserve">“Symmetric Games with Only Asymmetric Equilibria.”</w:t>
      </w:r>
      <w:r>
        <w:t xml:space="preserve"> </w:t>
      </w:r>
      <w:r>
        <w:rPr>
          <w:iCs/>
          <w:i/>
        </w:rPr>
        <w:t xml:space="preserve">Games and Economic Behavior</w:t>
      </w:r>
      <w:r>
        <w:t xml:space="preserve"> </w:t>
      </w:r>
      <w:r>
        <w:t xml:space="preserve">75 (1): 424–27.</w:t>
      </w:r>
      <w:r>
        <w:t xml:space="preserve"> </w:t>
      </w:r>
      <w:hyperlink r:id="rId289">
        <w:r>
          <w:rPr>
            <w:rStyle w:val="Hyperlink"/>
          </w:rPr>
          <w:t xml:space="preserve">https://doi.org/10.1016/j.geb.2011.09.008</w:t>
        </w:r>
      </w:hyperlink>
      <w:r>
        <w:t xml:space="preserve">.</w:t>
      </w:r>
    </w:p>
    <w:bookmarkEnd w:id="290"/>
    <w:bookmarkStart w:id="292" w:name="ref-fong2023cursed"/>
    <w:p>
      <w:pPr>
        <w:pStyle w:val="Bibliography"/>
      </w:pPr>
      <w:r>
        <w:t xml:space="preserve">Fong, Meng-Jhang, Po-Hsuan Lin, and Thomas R. Palfrey. 2023.</w:t>
      </w:r>
      <w:r>
        <w:t xml:space="preserve"> </w:t>
      </w:r>
      <w:r>
        <w:t xml:space="preserve">“Cursed Sequential Equilibrium.”</w:t>
      </w:r>
      <w:r>
        <w:t xml:space="preserve"> </w:t>
      </w:r>
      <w:hyperlink r:id="rId291">
        <w:r>
          <w:rPr>
            <w:rStyle w:val="Hyperlink"/>
          </w:rPr>
          <w:t xml:space="preserve">https://arxiv.org/abs/2301.11971</w:t>
        </w:r>
      </w:hyperlink>
      <w:r>
        <w:t xml:space="preserve">.</w:t>
      </w:r>
    </w:p>
    <w:bookmarkEnd w:id="292"/>
    <w:bookmarkStart w:id="294"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293">
        <w:r>
          <w:rPr>
            <w:rStyle w:val="Hyperlink"/>
          </w:rPr>
          <w:t xml:space="preserve">https://doi.org/10.1111/nous.12459</w:t>
        </w:r>
      </w:hyperlink>
      <w:r>
        <w:t xml:space="preserve">.</w:t>
      </w:r>
    </w:p>
    <w:bookmarkEnd w:id="294"/>
    <w:bookmarkStart w:id="296"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295">
        <w:r>
          <w:rPr>
            <w:rStyle w:val="Hyperlink"/>
          </w:rPr>
          <w:t xml:space="preserve">https://doi.org/10.5840/jphil202011739</w:t>
        </w:r>
      </w:hyperlink>
      <w:r>
        <w:t xml:space="preserve">.</w:t>
      </w:r>
    </w:p>
    <w:bookmarkEnd w:id="296"/>
    <w:bookmarkStart w:id="298"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297">
        <w:r>
          <w:rPr>
            <w:rStyle w:val="Hyperlink"/>
          </w:rPr>
          <w:t xml:space="preserve">https://philpapers.org/archive/GALTST-2.pdf</w:t>
        </w:r>
      </w:hyperlink>
      <w:r>
        <w:t xml:space="preserve">.</w:t>
      </w:r>
    </w:p>
    <w:bookmarkEnd w:id="298"/>
    <w:bookmarkStart w:id="299"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299"/>
    <w:bookmarkStart w:id="301" w:name="ref-Good1967"/>
    <w:p>
      <w:pPr>
        <w:pStyle w:val="Bibliography"/>
      </w:pPr>
      <w:r>
        <w:t xml:space="preserve">Good, I. J. 1967.</w:t>
      </w:r>
      <w:r>
        <w:t xml:space="preserve"> </w:t>
      </w:r>
      <w:r>
        <w:t xml:space="preserve">“On the Principle of Total Evidence.”</w:t>
      </w:r>
      <w:r>
        <w:t xml:space="preserve"> </w:t>
      </w:r>
      <w:r>
        <w:rPr>
          <w:iCs/>
          <w:i/>
        </w:rPr>
        <w:t xml:space="preserve">British Journal for the Philosophy of Science</w:t>
      </w:r>
      <w:r>
        <w:t xml:space="preserve"> </w:t>
      </w:r>
      <w:r>
        <w:t xml:space="preserve">17 (4): 319–21.</w:t>
      </w:r>
      <w:r>
        <w:t xml:space="preserve"> </w:t>
      </w:r>
      <w:hyperlink r:id="rId300">
        <w:r>
          <w:rPr>
            <w:rStyle w:val="Hyperlink"/>
          </w:rPr>
          <w:t xml:space="preserve">https://doi.org/10.1093/bjps/17.4.319</w:t>
        </w:r>
      </w:hyperlink>
      <w:r>
        <w:t xml:space="preserve">.</w:t>
      </w:r>
    </w:p>
    <w:bookmarkEnd w:id="301"/>
    <w:bookmarkStart w:id="303"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302">
        <w:r>
          <w:rPr>
            <w:rStyle w:val="Hyperlink"/>
          </w:rPr>
          <w:t xml:space="preserve">https://doi.org/10.1111/nous.12473</w:t>
        </w:r>
      </w:hyperlink>
      <w:r>
        <w:t xml:space="preserve">.</w:t>
      </w:r>
    </w:p>
    <w:bookmarkEnd w:id="303"/>
    <w:bookmarkStart w:id="305"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304">
        <w:r>
          <w:rPr>
            <w:rStyle w:val="Hyperlink"/>
          </w:rPr>
          <w:t xml:space="preserve">https://doi.org/10.1515/bejte-2018-0185</w:t>
        </w:r>
      </w:hyperlink>
      <w:r>
        <w:t xml:space="preserve">.</w:t>
      </w:r>
    </w:p>
    <w:bookmarkEnd w:id="305"/>
    <w:bookmarkStart w:id="307" w:name="ref-GrecoHedden2016"/>
    <w:p>
      <w:pPr>
        <w:pStyle w:val="Bibliography"/>
      </w:pPr>
      <w:r>
        <w:t xml:space="preserve">Greco, Daniel, and Brian Hedden. 2016.</w:t>
      </w:r>
      <w:r>
        <w:t xml:space="preserve"> </w:t>
      </w:r>
      <w:r>
        <w:t xml:space="preserve">“Uniqueness and Metaepistemology.”</w:t>
      </w:r>
      <w:r>
        <w:t xml:space="preserve"> </w:t>
      </w:r>
      <w:r>
        <w:rPr>
          <w:iCs/>
          <w:i/>
        </w:rPr>
        <w:t xml:space="preserve">The Journal of Philosophy</w:t>
      </w:r>
      <w:r>
        <w:t xml:space="preserve"> </w:t>
      </w:r>
      <w:r>
        <w:t xml:space="preserve">113 (8): 365–95.</w:t>
      </w:r>
      <w:r>
        <w:t xml:space="preserve"> </w:t>
      </w:r>
      <w:hyperlink r:id="rId306">
        <w:r>
          <w:rPr>
            <w:rStyle w:val="Hyperlink"/>
          </w:rPr>
          <w:t xml:space="preserve">https://doi.org/10.1111/phc3.12318</w:t>
        </w:r>
      </w:hyperlink>
      <w:r>
        <w:t xml:space="preserve">.</w:t>
      </w:r>
    </w:p>
    <w:bookmarkEnd w:id="307"/>
    <w:bookmarkStart w:id="309"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308">
        <w:r>
          <w:rPr>
            <w:rStyle w:val="Hyperlink"/>
          </w:rPr>
          <w:t xml:space="preserve">https://doi.org/10.1007/s10670-010-9267-6</w:t>
        </w:r>
      </w:hyperlink>
      <w:r>
        <w:t xml:space="preserve">.</w:t>
      </w:r>
    </w:p>
    <w:bookmarkEnd w:id="309"/>
    <w:bookmarkStart w:id="311" w:name="ref-Hammond1988"/>
    <w:p>
      <w:pPr>
        <w:pStyle w:val="Bibliography"/>
      </w:pPr>
      <w:r>
        <w:t xml:space="preserve">Hammond, Peter J. 1988.</w:t>
      </w:r>
      <w:r>
        <w:t xml:space="preserve"> </w:t>
      </w:r>
      <w:r>
        <w:t xml:space="preserve">“Consequentialist Foundations for Expected Utility.”</w:t>
      </w:r>
      <w:r>
        <w:t xml:space="preserve"> </w:t>
      </w:r>
      <w:r>
        <w:rPr>
          <w:iCs/>
          <w:i/>
        </w:rPr>
        <w:t xml:space="preserve">Theory and Decision</w:t>
      </w:r>
      <w:r>
        <w:t xml:space="preserve"> </w:t>
      </w:r>
      <w:r>
        <w:t xml:space="preserve">25 (1): 25–78.</w:t>
      </w:r>
      <w:r>
        <w:t xml:space="preserve"> </w:t>
      </w:r>
      <w:hyperlink r:id="rId310">
        <w:r>
          <w:rPr>
            <w:rStyle w:val="Hyperlink"/>
          </w:rPr>
          <w:t xml:space="preserve">https://doi.org/10.1007/BF00129168</w:t>
        </w:r>
      </w:hyperlink>
      <w:r>
        <w:t xml:space="preserve">.</w:t>
      </w:r>
    </w:p>
    <w:bookmarkEnd w:id="311"/>
    <w:bookmarkStart w:id="313"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312">
        <w:r>
          <w:rPr>
            <w:rStyle w:val="Hyperlink"/>
          </w:rPr>
          <w:t xml:space="preserve">https://doi.org/10.1111/nous.12094</w:t>
        </w:r>
      </w:hyperlink>
      <w:r>
        <w:t xml:space="preserve">.</w:t>
      </w:r>
    </w:p>
    <w:bookmarkEnd w:id="313"/>
    <w:bookmarkStart w:id="315"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314">
        <w:r>
          <w:rPr>
            <w:rStyle w:val="Hyperlink"/>
          </w:rPr>
          <w:t xml:space="preserve">https://doi.org/10.1007/BF00183199</w:t>
        </w:r>
      </w:hyperlink>
      <w:r>
        <w:t xml:space="preserve">.</w:t>
      </w:r>
    </w:p>
    <w:bookmarkEnd w:id="315"/>
    <w:bookmarkStart w:id="317"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316">
        <w:r>
          <w:rPr>
            <w:rStyle w:val="Hyperlink"/>
          </w:rPr>
          <w:t xml:space="preserve">https://doi.org/10.1007/978-94-009-2865-7_2</w:t>
        </w:r>
      </w:hyperlink>
      <w:r>
        <w:t xml:space="preserve">.</w:t>
      </w:r>
    </w:p>
    <w:bookmarkEnd w:id="317"/>
    <w:bookmarkStart w:id="319"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318">
        <w:r>
          <w:rPr>
            <w:rStyle w:val="Hyperlink"/>
          </w:rPr>
          <w:t xml:space="preserve">https://doi.org/10.1093/pq/pqac083</w:t>
        </w:r>
      </w:hyperlink>
      <w:r>
        <w:t xml:space="preserve">.</w:t>
      </w:r>
    </w:p>
    <w:bookmarkEnd w:id="319"/>
    <w:bookmarkStart w:id="321" w:name="ref-Horowitz2014"/>
    <w:p>
      <w:pPr>
        <w:pStyle w:val="Bibliography"/>
      </w:pPr>
      <w:r>
        <w:t xml:space="preserve">Horowitz, Sophie. 2014.</w:t>
      </w:r>
      <w:r>
        <w:t xml:space="preserve"> </w:t>
      </w:r>
      <w:r>
        <w:t xml:space="preserve">“Immoderately Rational.”</w:t>
      </w:r>
      <w:r>
        <w:t xml:space="preserve"> </w:t>
      </w:r>
      <w:r>
        <w:rPr>
          <w:iCs/>
          <w:i/>
        </w:rPr>
        <w:t xml:space="preserve">Philosohical Studies</w:t>
      </w:r>
      <w:r>
        <w:t xml:space="preserve"> </w:t>
      </w:r>
      <w:r>
        <w:t xml:space="preserve">167 (1): 41–56.</w:t>
      </w:r>
      <w:r>
        <w:t xml:space="preserve"> </w:t>
      </w:r>
      <w:hyperlink r:id="rId320">
        <w:r>
          <w:rPr>
            <w:rStyle w:val="Hyperlink"/>
          </w:rPr>
          <w:t xml:space="preserve">https://doi.org/10.1007/s11098-013-0231-6</w:t>
        </w:r>
      </w:hyperlink>
      <w:r>
        <w:t xml:space="preserve">.</w:t>
      </w:r>
    </w:p>
    <w:bookmarkEnd w:id="321"/>
    <w:bookmarkStart w:id="322" w:name="ref-Jackson1998"/>
    <w:p>
      <w:pPr>
        <w:pStyle w:val="Bibliography"/>
      </w:pPr>
      <w:r>
        <w:t xml:space="preserve">Jackson, Frank. 1998.</w:t>
      </w:r>
      <w:r>
        <w:t xml:space="preserve"> </w:t>
      </w:r>
      <w:r>
        <w:rPr>
          <w:iCs/>
          <w:i/>
        </w:rPr>
        <w:t xml:space="preserve">From Metaphysics to Ethics: A Defence of Conceptual Analysis</w:t>
      </w:r>
      <w:r>
        <w:t xml:space="preserve">. Clarendon Press: Oxford.</w:t>
      </w:r>
    </w:p>
    <w:bookmarkEnd w:id="322"/>
    <w:bookmarkStart w:id="323"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323"/>
    <w:bookmarkStart w:id="325"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324">
        <w:r>
          <w:rPr>
            <w:rStyle w:val="Hyperlink"/>
          </w:rPr>
          <w:t xml:space="preserve">https://doi.org/10.1007/s11229-011-0022-6</w:t>
        </w:r>
      </w:hyperlink>
      <w:r>
        <w:t xml:space="preserve">.</w:t>
      </w:r>
    </w:p>
    <w:bookmarkEnd w:id="325"/>
    <w:bookmarkStart w:id="326" w:name="ref-Keynes1921"/>
    <w:p>
      <w:pPr>
        <w:pStyle w:val="Bibliography"/>
      </w:pPr>
      <w:r>
        <w:t xml:space="preserve">Keynes, John Maynard. 1921.</w:t>
      </w:r>
      <w:r>
        <w:t xml:space="preserve"> </w:t>
      </w:r>
      <w:r>
        <w:rPr>
          <w:iCs/>
          <w:i/>
        </w:rPr>
        <w:t xml:space="preserve">Treatise on Probability</w:t>
      </w:r>
      <w:r>
        <w:t xml:space="preserve">. London: Macmillan.</w:t>
      </w:r>
    </w:p>
    <w:bookmarkEnd w:id="326"/>
    <w:bookmarkStart w:id="327" w:name="ref-Keynes1923"/>
    <w:p>
      <w:pPr>
        <w:pStyle w:val="Bibliography"/>
      </w:pPr>
      <w:r>
        <w:t xml:space="preserve">———. 1923.</w:t>
      </w:r>
      <w:r>
        <w:t xml:space="preserve"> </w:t>
      </w:r>
      <w:r>
        <w:rPr>
          <w:iCs/>
          <w:i/>
        </w:rPr>
        <w:t xml:space="preserve">A Tract on Monetary Reform</w:t>
      </w:r>
      <w:r>
        <w:t xml:space="preserve">. London: Macmillan.</w:t>
      </w:r>
    </w:p>
    <w:bookmarkEnd w:id="327"/>
    <w:bookmarkStart w:id="328"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328"/>
    <w:bookmarkStart w:id="329" w:name="ref-KopecTitelbaum2016"/>
    <w:p>
      <w:pPr>
        <w:pStyle w:val="Bibliography"/>
      </w:pPr>
      <w:r>
        <w:t xml:space="preserve">Kopec, Matthew, and Michael G. Titelbaum. 2016.</w:t>
      </w:r>
      <w:r>
        <w:t xml:space="preserve"> </w:t>
      </w:r>
      <w:r>
        <w:t xml:space="preserve">“The Uniqueness Thesis.”</w:t>
      </w:r>
      <w:r>
        <w:t xml:space="preserve"> </w:t>
      </w:r>
      <w:r>
        <w:rPr>
          <w:iCs/>
          <w:i/>
        </w:rPr>
        <w:t xml:space="preserve">Philosophy Compass</w:t>
      </w:r>
      <w:r>
        <w:t xml:space="preserve"> </w:t>
      </w:r>
      <w:r>
        <w:t xml:space="preserve">11 (4): 189–200.</w:t>
      </w:r>
      <w:r>
        <w:t xml:space="preserve"> </w:t>
      </w:r>
      <w:hyperlink r:id="rId306">
        <w:r>
          <w:rPr>
            <w:rStyle w:val="Hyperlink"/>
          </w:rPr>
          <w:t xml:space="preserve">https://doi.org/10.1111/phc3.12318</w:t>
        </w:r>
      </w:hyperlink>
      <w:r>
        <w:t xml:space="preserve">.</w:t>
      </w:r>
    </w:p>
    <w:bookmarkEnd w:id="329"/>
    <w:bookmarkStart w:id="331" w:name="ref-Leend"/>
    <w:p>
      <w:pPr>
        <w:pStyle w:val="Bibliography"/>
      </w:pPr>
      <w:r>
        <w:t xml:space="preserve">Lee, Wooram. n.d.</w:t>
      </w:r>
      <w:r>
        <w:t xml:space="preserve"> </w:t>
      </w:r>
      <w:r>
        <w:t xml:space="preserve">“What Is Structural Rationality?”</w:t>
      </w:r>
      <w:r>
        <w:t xml:space="preserve"> Philosophical Quarterly.</w:t>
      </w:r>
      <w:r>
        <w:t xml:space="preserve"> </w:t>
      </w:r>
      <w:hyperlink r:id="rId330">
        <w:r>
          <w:rPr>
            <w:rStyle w:val="Hyperlink"/>
          </w:rPr>
          <w:t xml:space="preserve">https://doi.org/10.1093/pq/pqad072</w:t>
        </w:r>
      </w:hyperlink>
      <w:r>
        <w:t xml:space="preserve">.</w:t>
      </w:r>
    </w:p>
    <w:bookmarkEnd w:id="331"/>
    <w:bookmarkStart w:id="333"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332">
        <w:r>
          <w:rPr>
            <w:rStyle w:val="Hyperlink"/>
          </w:rPr>
          <w:t xml:space="preserve">https://doi.org/10.5840/jphil2020117516</w:t>
        </w:r>
      </w:hyperlink>
      <w:r>
        <w:t xml:space="preserve">.</w:t>
      </w:r>
    </w:p>
    <w:bookmarkEnd w:id="333"/>
    <w:bookmarkStart w:id="334"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34"/>
    <w:bookmarkStart w:id="335" w:name="ref-Lewis1979e"/>
    <w:p>
      <w:pPr>
        <w:pStyle w:val="Bibliography"/>
      </w:pPr>
      <w:r>
        <w:t xml:space="preserve">———.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335"/>
    <w:bookmarkStart w:id="337"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336">
        <w:r>
          <w:rPr>
            <w:rStyle w:val="Hyperlink"/>
          </w:rPr>
          <w:t xml:space="preserve">https://doi.org/10.2307/2215439</w:t>
        </w:r>
      </w:hyperlink>
      <w:r>
        <w:t xml:space="preserve">.</w:t>
      </w:r>
    </w:p>
    <w:bookmarkEnd w:id="337"/>
    <w:bookmarkStart w:id="338" w:name="ref-Lewis1981Mellor"/>
    <w:p>
      <w:pPr>
        <w:pStyle w:val="Bibliography"/>
      </w:pPr>
      <w:r>
        <w:t xml:space="preserve">———. 2020a.</w:t>
      </w:r>
      <w:r>
        <w:t xml:space="preserve"> </w:t>
      </w:r>
      <w:r>
        <w:t xml:space="preserve">“Letter to Hugh Mellor Dated 14 October 1981.”</w:t>
      </w:r>
      <w:r>
        <w:t xml:space="preserve"> </w:t>
      </w:r>
      <w:r>
        <w:t xml:space="preserve">In</w:t>
      </w:r>
      <w:r>
        <w:t xml:space="preserve"> </w:t>
      </w:r>
      <w:r>
        <w:rPr>
          <w:iCs/>
          <w:i/>
        </w:rPr>
        <w:t xml:space="preserve">Philosophical Letters of David k. Lewis</w:t>
      </w:r>
      <w:r>
        <w:t xml:space="preserve">, edited by Helen Beebee and A. R. J. Fisher, 2: Mind, Language, Epistemology:432–34. Oxford: Oxford University Press.</w:t>
      </w:r>
    </w:p>
    <w:bookmarkEnd w:id="338"/>
    <w:bookmarkStart w:id="339" w:name="ref-Lewis-Gorman-10071979"/>
    <w:p>
      <w:pPr>
        <w:pStyle w:val="Bibliography"/>
      </w:pPr>
      <w:r>
        <w:t xml:space="preserve">———. 2020b.</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339"/>
    <w:bookmarkStart w:id="341"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40">
        <w:r>
          <w:rPr>
            <w:rStyle w:val="Hyperlink"/>
          </w:rPr>
          <w:t xml:space="preserve">https://doi.org/10.2307/2296233</w:t>
        </w:r>
      </w:hyperlink>
      <w:r>
        <w:t xml:space="preserve">.</w:t>
      </w:r>
    </w:p>
    <w:bookmarkEnd w:id="341"/>
    <w:bookmarkStart w:id="343" w:name="ref-Lota2023"/>
    <w:p>
      <w:pPr>
        <w:pStyle w:val="Bibliography"/>
      </w:pPr>
      <w:r>
        <w:t xml:space="preserve">Lota, Kenji, and Ulf Hlobil. 2023.</w:t>
      </w:r>
      <w:r>
        <w:t xml:space="preserve"> </w:t>
      </w:r>
      <w:r>
        <w:t xml:space="preserve">“Resolutions Against Uniqueness.”</w:t>
      </w:r>
      <w:r>
        <w:t xml:space="preserve"> </w:t>
      </w:r>
      <w:r>
        <w:rPr>
          <w:iCs/>
          <w:i/>
        </w:rPr>
        <w:t xml:space="preserve">Erkenntnis</w:t>
      </w:r>
      <w:r>
        <w:t xml:space="preserve"> </w:t>
      </w:r>
      <w:r>
        <w:t xml:space="preserve">88 (3): 1013–33.</w:t>
      </w:r>
      <w:r>
        <w:t xml:space="preserve"> </w:t>
      </w:r>
      <w:hyperlink r:id="rId342">
        <w:r>
          <w:rPr>
            <w:rStyle w:val="Hyperlink"/>
          </w:rPr>
          <w:t xml:space="preserve">https://doi.org/10.1007/s10670-021-00391-z</w:t>
        </w:r>
      </w:hyperlink>
      <w:r>
        <w:t xml:space="preserve">.</w:t>
      </w:r>
    </w:p>
    <w:bookmarkEnd w:id="343"/>
    <w:bookmarkStart w:id="344" w:name="ref-McClennen1990"/>
    <w:p>
      <w:pPr>
        <w:pStyle w:val="Bibliography"/>
      </w:pPr>
      <w:r>
        <w:t xml:space="preserve">McClennan, Edward. 1990b.</w:t>
      </w:r>
      <w:r>
        <w:t xml:space="preserve"> </w:t>
      </w:r>
      <w:r>
        <w:rPr>
          <w:iCs/>
          <w:i/>
        </w:rPr>
        <w:t xml:space="preserve">Rationality and Dynamic Choice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44"/>
    <w:bookmarkStart w:id="345" w:name="ref-McClennan1990"/>
    <w:p>
      <w:pPr>
        <w:pStyle w:val="Bibliography"/>
      </w:pPr>
      <w:r>
        <w:t xml:space="preserve">———. 1990a.</w:t>
      </w:r>
      <w:r>
        <w:t xml:space="preserve"> </w:t>
      </w:r>
      <w:r>
        <w:rPr>
          <w:iCs/>
          <w:i/>
        </w:rPr>
        <w:t xml:space="preserve">Rationality and Dynamic Choice</w:t>
      </w:r>
      <w:r>
        <w:t xml:space="preserve">. Cambridge: Cambridge University Press.</w:t>
      </w:r>
    </w:p>
    <w:bookmarkEnd w:id="345"/>
    <w:bookmarkStart w:id="347" w:name="ref-Meacham2019"/>
    <w:p>
      <w:pPr>
        <w:pStyle w:val="Bibliography"/>
      </w:pPr>
      <w:r>
        <w:t xml:space="preserve">Meacham, Christopher. 2019.</w:t>
      </w:r>
      <w:r>
        <w:t xml:space="preserve"> </w:t>
      </w:r>
      <w:r>
        <w:t xml:space="preserve">“Deference and Uniqueness.”</w:t>
      </w:r>
      <w:r>
        <w:t xml:space="preserve"> </w:t>
      </w:r>
      <w:r>
        <w:rPr>
          <w:iCs/>
          <w:i/>
        </w:rPr>
        <w:t xml:space="preserve">Philosohical Studies</w:t>
      </w:r>
      <w:r>
        <w:t xml:space="preserve"> </w:t>
      </w:r>
      <w:r>
        <w:t xml:space="preserve">176 (3): 709–32.</w:t>
      </w:r>
      <w:r>
        <w:t xml:space="preserve"> </w:t>
      </w:r>
      <w:hyperlink r:id="rId346">
        <w:r>
          <w:rPr>
            <w:rStyle w:val="Hyperlink"/>
          </w:rPr>
          <w:t xml:space="preserve">https://doi.org/10.1007/s11098-018-1036-4</w:t>
        </w:r>
      </w:hyperlink>
      <w:r>
        <w:t xml:space="preserve">.</w:t>
      </w:r>
    </w:p>
    <w:bookmarkEnd w:id="347"/>
    <w:bookmarkStart w:id="349" w:name="ref-Mills2005"/>
    <w:p>
      <w:pPr>
        <w:pStyle w:val="Bibliography"/>
      </w:pPr>
      <w:r>
        <w:t xml:space="preserve">Mills, Charles W. 2005.</w:t>
      </w:r>
      <w:r>
        <w:t xml:space="preserve"> </w:t>
      </w:r>
      <w:r>
        <w:t xml:space="preserve">“"Ideal Theory" as Ideology.”</w:t>
      </w:r>
      <w:r>
        <w:t xml:space="preserve"> </w:t>
      </w:r>
      <w:r>
        <w:rPr>
          <w:iCs/>
          <w:i/>
        </w:rPr>
        <w:t xml:space="preserve">Hypatia</w:t>
      </w:r>
      <w:r>
        <w:t xml:space="preserve"> </w:t>
      </w:r>
      <w:r>
        <w:t xml:space="preserve">20 (3): 165–84.</w:t>
      </w:r>
      <w:r>
        <w:t xml:space="preserve"> </w:t>
      </w:r>
      <w:hyperlink r:id="rId348">
        <w:r>
          <w:rPr>
            <w:rStyle w:val="Hyperlink"/>
          </w:rPr>
          <w:t xml:space="preserve">https://doi.org/10.1111/j.1527-2001.2005.tb00493.x</w:t>
        </w:r>
      </w:hyperlink>
      <w:r>
        <w:t xml:space="preserve">.</w:t>
      </w:r>
    </w:p>
    <w:bookmarkEnd w:id="349"/>
    <w:bookmarkStart w:id="350" w:name="ref-Moulin1985"/>
    <w:p>
      <w:pPr>
        <w:pStyle w:val="Bibliography"/>
      </w:pPr>
      <w:r>
        <w:t xml:space="preserve">Moulin, H. 1985.</w:t>
      </w:r>
      <w:r>
        <w:t xml:space="preserve"> </w:t>
      </w:r>
      <w:r>
        <w:t xml:space="preserve">“Choice Functions over a Finite Set: A Summary.”</w:t>
      </w:r>
      <w:r>
        <w:t xml:space="preserve"> </w:t>
      </w:r>
      <w:r>
        <w:rPr>
          <w:iCs/>
          <w:i/>
        </w:rPr>
        <w:t xml:space="preserve">Social Choice and Welfare</w:t>
      </w:r>
      <w:r>
        <w:t xml:space="preserve"> </w:t>
      </w:r>
      <w:r>
        <w:t xml:space="preserve">2 (2): 147–60.</w:t>
      </w:r>
    </w:p>
    <w:bookmarkEnd w:id="350"/>
    <w:bookmarkStart w:id="352"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351">
        <w:r>
          <w:rPr>
            <w:rStyle w:val="Hyperlink"/>
          </w:rPr>
          <w:t xml:space="preserve">https://doi.org/10.1007/BF01753236</w:t>
        </w:r>
      </w:hyperlink>
      <w:r>
        <w:t xml:space="preserve">.</w:t>
      </w:r>
    </w:p>
    <w:bookmarkEnd w:id="352"/>
    <w:bookmarkStart w:id="353"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353"/>
    <w:bookmarkStart w:id="354"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354"/>
    <w:bookmarkStart w:id="355" w:name="ref-OConnor2019"/>
    <w:p>
      <w:pPr>
        <w:pStyle w:val="Bibliography"/>
      </w:pPr>
      <w:r>
        <w:t xml:space="preserve">O’Connor, Cailin. 2019.</w:t>
      </w:r>
      <w:r>
        <w:t xml:space="preserve"> </w:t>
      </w:r>
      <w:r>
        <w:rPr>
          <w:iCs/>
          <w:i/>
        </w:rPr>
        <w:t xml:space="preserve">The Origins of Unfairness: Social Categories and Cultural 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5"/>
    <w:bookmarkStart w:id="357" w:name="ref-Palmira2023"/>
    <w:p>
      <w:pPr>
        <w:pStyle w:val="Bibliography"/>
      </w:pPr>
      <w:r>
        <w:t xml:space="preserve">Palmira, Michele. 2023.</w:t>
      </w:r>
      <w:r>
        <w:t xml:space="preserve"> </w:t>
      </w:r>
      <w:r>
        <w:t xml:space="preserve">“Permissivism and the Truth Connection.”</w:t>
      </w:r>
      <w:r>
        <w:t xml:space="preserve"> </w:t>
      </w:r>
      <w:r>
        <w:rPr>
          <w:iCs/>
          <w:i/>
        </w:rPr>
        <w:t xml:space="preserve">Erkenntnis</w:t>
      </w:r>
      <w:r>
        <w:t xml:space="preserve"> </w:t>
      </w:r>
      <w:r>
        <w:t xml:space="preserve">88 (2): 641–6556.</w:t>
      </w:r>
      <w:r>
        <w:t xml:space="preserve"> </w:t>
      </w:r>
      <w:hyperlink r:id="rId356">
        <w:r>
          <w:rPr>
            <w:rStyle w:val="Hyperlink"/>
          </w:rPr>
          <w:t xml:space="preserve">https://doi.org/10.1007/s10670-020-00373-7</w:t>
        </w:r>
      </w:hyperlink>
      <w:r>
        <w:t xml:space="preserve">.</w:t>
      </w:r>
    </w:p>
    <w:bookmarkEnd w:id="357"/>
    <w:bookmarkStart w:id="359" w:name="ref-Pearce1984"/>
    <w:p>
      <w:pPr>
        <w:pStyle w:val="Bibliography"/>
      </w:pPr>
      <w:r>
        <w:t xml:space="preserve">Pearce, David G. 1984.</w:t>
      </w:r>
      <w:r>
        <w:t xml:space="preserve"> </w:t>
      </w:r>
      <w:r>
        <w:t xml:space="preserve">“Rationalizable Strategic Behavior and the Problem of Perfection.”</w:t>
      </w:r>
      <w:r>
        <w:t xml:space="preserve"> </w:t>
      </w:r>
      <w:r>
        <w:rPr>
          <w:iCs/>
          <w:i/>
        </w:rPr>
        <w:t xml:space="preserve">Econometrica</w:t>
      </w:r>
      <w:r>
        <w:t xml:space="preserve"> </w:t>
      </w:r>
      <w:r>
        <w:t xml:space="preserve">52 (4): 1029–50.</w:t>
      </w:r>
      <w:r>
        <w:t xml:space="preserve"> </w:t>
      </w:r>
      <w:hyperlink r:id="rId358">
        <w:r>
          <w:rPr>
            <w:rStyle w:val="Hyperlink"/>
          </w:rPr>
          <w:t xml:space="preserve">https://doi.org/10.2307/1911197</w:t>
        </w:r>
      </w:hyperlink>
      <w:r>
        <w:t xml:space="preserve">.</w:t>
      </w:r>
    </w:p>
    <w:bookmarkEnd w:id="359"/>
    <w:bookmarkStart w:id="360" w:name="ref-Peirce1876"/>
    <w:p>
      <w:pPr>
        <w:pStyle w:val="Bibliography"/>
      </w:pPr>
      <w:r>
        <w:t xml:space="preserve">Peirce, C. S. 1967.</w:t>
      </w:r>
      <w:r>
        <w:t xml:space="preserve"> </w:t>
      </w:r>
      <w:r>
        <w:t xml:space="preserve">“Note on the Theory of the Economy of Research.”</w:t>
      </w:r>
      <w:r>
        <w:t xml:space="preserve"> </w:t>
      </w:r>
      <w:r>
        <w:rPr>
          <w:iCs/>
          <w:i/>
        </w:rPr>
        <w:t xml:space="preserve">Operations Research</w:t>
      </w:r>
      <w:r>
        <w:t xml:space="preserve"> </w:t>
      </w:r>
      <w:r>
        <w:t xml:space="preserve">15 (4): 643–48.</w:t>
      </w:r>
    </w:p>
    <w:bookmarkEnd w:id="360"/>
    <w:bookmarkStart w:id="362"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361">
        <w:r>
          <w:rPr>
            <w:rStyle w:val="Hyperlink"/>
          </w:rPr>
          <w:t xml:space="preserve">https://doi.org/10.1111/nous.12353</w:t>
        </w:r>
      </w:hyperlink>
      <w:r>
        <w:t xml:space="preserve">.</w:t>
      </w:r>
    </w:p>
    <w:bookmarkEnd w:id="362"/>
    <w:bookmarkStart w:id="364"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63">
        <w:r>
          <w:rPr>
            <w:rStyle w:val="Hyperlink"/>
          </w:rPr>
          <w:t xml:space="preserve">https://doi.org/10.1016/0167-2681(82)90008-7</w:t>
        </w:r>
      </w:hyperlink>
      <w:r>
        <w:t xml:space="preserve">.</w:t>
      </w:r>
    </w:p>
    <w:bookmarkEnd w:id="364"/>
    <w:bookmarkStart w:id="365"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65"/>
    <w:bookmarkStart w:id="367"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66">
        <w:r>
          <w:rPr>
            <w:rStyle w:val="Hyperlink"/>
          </w:rPr>
          <w:t xml:space="preserve">https://doi.org/10.1080/00048408412341601</w:t>
        </w:r>
      </w:hyperlink>
      <w:r>
        <w:t xml:space="preserve">.</w:t>
      </w:r>
    </w:p>
    <w:bookmarkEnd w:id="367"/>
    <w:bookmarkStart w:id="369" w:name="ref-Risse2000"/>
    <w:p>
      <w:pPr>
        <w:pStyle w:val="Bibliography"/>
      </w:pPr>
      <w:r>
        <w:t xml:space="preserve">Risse, Mathias. 2000.</w:t>
      </w:r>
      <w:r>
        <w:t xml:space="preserve"> </w:t>
      </w:r>
      <w:r>
        <w:t xml:space="preserve">“What Is Rational about Nash Equilibria?”</w:t>
      </w:r>
      <w:r>
        <w:t xml:space="preserve"> </w:t>
      </w:r>
      <w:r>
        <w:rPr>
          <w:iCs/>
          <w:i/>
        </w:rPr>
        <w:t xml:space="preserve">Synthese</w:t>
      </w:r>
      <w:r>
        <w:t xml:space="preserve"> </w:t>
      </w:r>
      <w:r>
        <w:t xml:space="preserve">124 (3): 361–84.</w:t>
      </w:r>
      <w:r>
        <w:t xml:space="preserve"> </w:t>
      </w:r>
      <w:hyperlink r:id="rId368">
        <w:r>
          <w:rPr>
            <w:rStyle w:val="Hyperlink"/>
          </w:rPr>
          <w:t xml:space="preserve">https://doi.org/10.1023/a:1005259701040</w:t>
        </w:r>
      </w:hyperlink>
      <w:r>
        <w:t xml:space="preserve">.</w:t>
      </w:r>
    </w:p>
    <w:bookmarkEnd w:id="369"/>
    <w:bookmarkStart w:id="370"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370"/>
    <w:bookmarkStart w:id="371" w:name="ref-Ross2021"/>
    <w:p>
      <w:pPr>
        <w:pStyle w:val="Bibliography"/>
      </w:pPr>
      <w:r>
        <w:t xml:space="preserve">Ross, Ryan. 2021.</w:t>
      </w:r>
      <w:r>
        <w:t xml:space="preserve"> </w:t>
      </w:r>
      <w:r>
        <w:t xml:space="preserve">“Alleged Counterexamples to Uniqueness.”</w:t>
      </w:r>
      <w:r>
        <w:t xml:space="preserve"> </w:t>
      </w:r>
      <w:r>
        <w:rPr>
          <w:iCs/>
          <w:i/>
        </w:rPr>
        <w:t xml:space="preserve">Logos and Episteme</w:t>
      </w:r>
      <w:r>
        <w:t xml:space="preserve"> </w:t>
      </w:r>
      <w:r>
        <w:t xml:space="preserve">12 (2): 203–13.</w:t>
      </w:r>
    </w:p>
    <w:bookmarkEnd w:id="371"/>
    <w:bookmarkStart w:id="373" w:name="ref-Samuelson1938"/>
    <w:p>
      <w:pPr>
        <w:pStyle w:val="Bibliography"/>
      </w:pPr>
      <w:r>
        <w:t xml:space="preserve">Samuelson, Paul A. 1938.</w:t>
      </w:r>
      <w:r>
        <w:t xml:space="preserve"> </w:t>
      </w:r>
      <w:r>
        <w:t xml:space="preserve">“A Note on the Pure Theory of Consumer’s Behaviour.”</w:t>
      </w:r>
      <w:r>
        <w:t xml:space="preserve"> </w:t>
      </w:r>
      <w:r>
        <w:rPr>
          <w:iCs/>
          <w:i/>
        </w:rPr>
        <w:t xml:space="preserve">Econometrica</w:t>
      </w:r>
      <w:r>
        <w:t xml:space="preserve"> </w:t>
      </w:r>
      <w:r>
        <w:t xml:space="preserve">5 (17): 61–71.</w:t>
      </w:r>
      <w:r>
        <w:t xml:space="preserve"> </w:t>
      </w:r>
      <w:hyperlink r:id="rId372">
        <w:r>
          <w:rPr>
            <w:rStyle w:val="Hyperlink"/>
          </w:rPr>
          <w:t xml:space="preserve">https://doi.org/10.2307/2548836</w:t>
        </w:r>
      </w:hyperlink>
      <w:r>
        <w:t xml:space="preserve">.</w:t>
      </w:r>
    </w:p>
    <w:bookmarkEnd w:id="373"/>
    <w:bookmarkStart w:id="375" w:name="ref-Schrijver2005"/>
    <w:p>
      <w:pPr>
        <w:pStyle w:val="Bibliography"/>
      </w:pPr>
      <w:r>
        <w:t xml:space="preserve">Schrijver, Alexander. 2005.</w:t>
      </w:r>
      <w:r>
        <w:t xml:space="preserve"> </w:t>
      </w:r>
      <w:r>
        <w:t xml:space="preserve">“On the History of Combinatorial Optimization (till 1960).”</w:t>
      </w:r>
      <w:r>
        <w:t xml:space="preserve"> </w:t>
      </w:r>
      <w:r>
        <w:rPr>
          <w:iCs/>
          <w:i/>
        </w:rPr>
        <w:t xml:space="preserve">Handbooks in Operations Research and Management Science</w:t>
      </w:r>
      <w:r>
        <w:t xml:space="preserve"> </w:t>
      </w:r>
      <w:r>
        <w:t xml:space="preserve">12: 1–68.</w:t>
      </w:r>
      <w:r>
        <w:t xml:space="preserve"> </w:t>
      </w:r>
      <w:hyperlink r:id="rId374">
        <w:r>
          <w:rPr>
            <w:rStyle w:val="Hyperlink"/>
          </w:rPr>
          <w:t xml:space="preserve">https://doi.org/10.1016/S0927-0507(05)12001-5</w:t>
        </w:r>
      </w:hyperlink>
      <w:r>
        <w:t xml:space="preserve">.</w:t>
      </w:r>
    </w:p>
    <w:bookmarkEnd w:id="375"/>
    <w:bookmarkStart w:id="377" w:name="ref-Schultheis2018"/>
    <w:p>
      <w:pPr>
        <w:pStyle w:val="Bibliography"/>
      </w:pPr>
      <w:r>
        <w:t xml:space="preserve">Schultheis, Ginger. 2018.</w:t>
      </w:r>
      <w:r>
        <w:t xml:space="preserve"> </w:t>
      </w:r>
      <w:r>
        <w:t xml:space="preserve">“Living on the Edge: Against Epistemic Permissivism.”</w:t>
      </w:r>
      <w:r>
        <w:t xml:space="preserve"> </w:t>
      </w:r>
      <w:r>
        <w:rPr>
          <w:iCs/>
          <w:i/>
        </w:rPr>
        <w:t xml:space="preserve">Mind</w:t>
      </w:r>
      <w:r>
        <w:t xml:space="preserve"> </w:t>
      </w:r>
      <w:r>
        <w:t xml:space="preserve">127 (507): 863–79.</w:t>
      </w:r>
      <w:r>
        <w:t xml:space="preserve"> </w:t>
      </w:r>
      <w:hyperlink r:id="rId376">
        <w:r>
          <w:rPr>
            <w:rStyle w:val="Hyperlink"/>
          </w:rPr>
          <w:t xml:space="preserve">https://doi.org/10.1093/mind/fzw065</w:t>
        </w:r>
      </w:hyperlink>
      <w:r>
        <w:t xml:space="preserve">.</w:t>
      </w:r>
    </w:p>
    <w:bookmarkEnd w:id="377"/>
    <w:bookmarkStart w:id="379"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378">
        <w:r>
          <w:rPr>
            <w:rStyle w:val="Hyperlink"/>
          </w:rPr>
          <w:t xml:space="preserve">https://doi.org/10.1007/BF01766400</w:t>
        </w:r>
      </w:hyperlink>
      <w:r>
        <w:t xml:space="preserve">.</w:t>
      </w:r>
    </w:p>
    <w:bookmarkEnd w:id="379"/>
    <w:bookmarkStart w:id="381" w:name="ref-Sen1971"/>
    <w:p>
      <w:pPr>
        <w:pStyle w:val="Bibliography"/>
      </w:pPr>
      <w:r>
        <w:t xml:space="preserve">Sen, Amartya. 1971.</w:t>
      </w:r>
      <w:r>
        <w:t xml:space="preserve"> </w:t>
      </w:r>
      <w:r>
        <w:t xml:space="preserve">“Choice Functions and Revealed Preference.”</w:t>
      </w:r>
      <w:r>
        <w:t xml:space="preserve"> </w:t>
      </w:r>
      <w:r>
        <w:rPr>
          <w:iCs/>
          <w:i/>
        </w:rPr>
        <w:t xml:space="preserve">Review of Economic Studies</w:t>
      </w:r>
      <w:r>
        <w:t xml:space="preserve"> </w:t>
      </w:r>
      <w:r>
        <w:t xml:space="preserve">38 (3): 307–17.</w:t>
      </w:r>
      <w:r>
        <w:t xml:space="preserve"> </w:t>
      </w:r>
      <w:hyperlink r:id="rId380">
        <w:r>
          <w:rPr>
            <w:rStyle w:val="Hyperlink"/>
          </w:rPr>
          <w:t xml:space="preserve">https://doi.org/10.2307/2296384</w:t>
        </w:r>
      </w:hyperlink>
      <w:r>
        <w:t xml:space="preserve">.</w:t>
      </w:r>
    </w:p>
    <w:bookmarkEnd w:id="381"/>
    <w:bookmarkStart w:id="383" w:name="ref-Sen2006"/>
    <w:p>
      <w:pPr>
        <w:pStyle w:val="Bibliography"/>
      </w:pPr>
      <w:r>
        <w:t xml:space="preserve">———. 2006.</w:t>
      </w:r>
      <w:r>
        <w:t xml:space="preserve"> </w:t>
      </w:r>
      <w:r>
        <w:t xml:space="preserve">“What Do We Want from a Theory of Justice?”</w:t>
      </w:r>
      <w:r>
        <w:t xml:space="preserve"> </w:t>
      </w:r>
      <w:r>
        <w:rPr>
          <w:iCs/>
          <w:i/>
        </w:rPr>
        <w:t xml:space="preserve">Journal of Philosophy</w:t>
      </w:r>
      <w:r>
        <w:t xml:space="preserve"> </w:t>
      </w:r>
      <w:r>
        <w:t xml:space="preserve">103 (5): 215–38.</w:t>
      </w:r>
      <w:r>
        <w:t xml:space="preserve"> </w:t>
      </w:r>
      <w:hyperlink r:id="rId382">
        <w:r>
          <w:rPr>
            <w:rStyle w:val="Hyperlink"/>
          </w:rPr>
          <w:t xml:space="preserve">https://doi.org/10.5840/jphil2006103517</w:t>
        </w:r>
      </w:hyperlink>
      <w:r>
        <w:t xml:space="preserve">.</w:t>
      </w:r>
    </w:p>
    <w:bookmarkEnd w:id="383"/>
    <w:bookmarkStart w:id="384"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384"/>
    <w:bookmarkStart w:id="385"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385"/>
    <w:bookmarkStart w:id="386"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86"/>
    <w:bookmarkStart w:id="387" w:name="ref-Smullyan1978"/>
    <w:p>
      <w:pPr>
        <w:pStyle w:val="Bibliography"/>
      </w:pPr>
      <w:r>
        <w:t xml:space="preserve">Smullyan, Raymond. 1978.</w:t>
      </w:r>
      <w:r>
        <w:t xml:space="preserve"> </w:t>
      </w:r>
      <w:r>
        <w:rPr>
          <w:iCs/>
          <w:i/>
        </w:rPr>
        <w:t xml:space="preserve">What Is the Name of This Book? The Riddle of Dracula and Other Logical Puzzles</w:t>
      </w:r>
      <w:r>
        <w:t xml:space="preserve">. Englewood Cliffs, NJ: Prentice-Hall.</w:t>
      </w:r>
    </w:p>
    <w:bookmarkEnd w:id="387"/>
    <w:bookmarkStart w:id="389" w:name="ref-Spencer2021b"/>
    <w:p>
      <w:pPr>
        <w:pStyle w:val="Bibliography"/>
      </w:pPr>
      <w:r>
        <w:t xml:space="preserve">Spencer, Jack. 2021.</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388">
        <w:r>
          <w:rPr>
            <w:rStyle w:val="Hyperlink"/>
          </w:rPr>
          <w:t xml:space="preserve">https://doi.org/10.1007/s11098-020-01509-9</w:t>
        </w:r>
      </w:hyperlink>
      <w:r>
        <w:t xml:space="preserve">.</w:t>
      </w:r>
    </w:p>
    <w:bookmarkEnd w:id="389"/>
    <w:bookmarkStart w:id="391"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390">
        <w:r>
          <w:rPr>
            <w:rStyle w:val="Hyperlink"/>
          </w:rPr>
          <w:t xml:space="preserve">https://doi.org/10.1080/00048402.2021.1958880</w:t>
        </w:r>
      </w:hyperlink>
      <w:r>
        <w:t xml:space="preserve">.</w:t>
      </w:r>
    </w:p>
    <w:bookmarkEnd w:id="391"/>
    <w:bookmarkStart w:id="393"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392">
        <w:r>
          <w:rPr>
            <w:rStyle w:val="Hyperlink"/>
          </w:rPr>
          <w:t xml:space="preserve">https://doi.org/10.1111/phpr.12466</w:t>
        </w:r>
      </w:hyperlink>
      <w:r>
        <w:t xml:space="preserve">.</w:t>
      </w:r>
    </w:p>
    <w:bookmarkEnd w:id="393"/>
    <w:bookmarkStart w:id="395"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394">
        <w:r>
          <w:rPr>
            <w:rStyle w:val="Hyperlink"/>
          </w:rPr>
          <w:t xml:space="preserve">https://doi.org/10.1016/S0165-4896(98)00007-9</w:t>
        </w:r>
      </w:hyperlink>
      <w:r>
        <w:t xml:space="preserve">.</w:t>
      </w:r>
    </w:p>
    <w:bookmarkEnd w:id="395"/>
    <w:bookmarkStart w:id="397"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396">
        <w:r>
          <w:rPr>
            <w:rStyle w:val="Hyperlink"/>
          </w:rPr>
          <w:t xml:space="preserve">https://doi.org/10.1006/reec.1999.0200</w:t>
        </w:r>
      </w:hyperlink>
      <w:r>
        <w:t xml:space="preserve">.</w:t>
      </w:r>
    </w:p>
    <w:bookmarkEnd w:id="397"/>
    <w:bookmarkStart w:id="398"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398"/>
    <w:bookmarkStart w:id="399"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399"/>
    <w:bookmarkStart w:id="400"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400"/>
    <w:bookmarkStart w:id="402"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401">
        <w:r>
          <w:rPr>
            <w:rStyle w:val="Hyperlink"/>
          </w:rPr>
          <w:t xml:space="preserve">https://doi.org/10.1086/699256</w:t>
        </w:r>
      </w:hyperlink>
      <w:r>
        <w:t xml:space="preserve">.</w:t>
      </w:r>
    </w:p>
    <w:bookmarkEnd w:id="402"/>
    <w:bookmarkStart w:id="404" w:name="ref-Valentini2012"/>
    <w:p>
      <w:pPr>
        <w:pStyle w:val="Bibliography"/>
      </w:pPr>
      <w:r>
        <w:t xml:space="preserve">Valentini, Laura. 2012.</w:t>
      </w:r>
      <w:r>
        <w:t xml:space="preserve"> </w:t>
      </w:r>
      <w:r>
        <w:t xml:space="preserve">“Ideal Vs. Non-Ideal Theory: A Conceptual Map.”</w:t>
      </w:r>
      <w:r>
        <w:t xml:space="preserve"> </w:t>
      </w:r>
      <w:r>
        <w:rPr>
          <w:iCs/>
          <w:i/>
        </w:rPr>
        <w:t xml:space="preserve">Philosophy Compass</w:t>
      </w:r>
      <w:r>
        <w:t xml:space="preserve"> </w:t>
      </w:r>
      <w:r>
        <w:t xml:space="preserve">7 (9): 654–64.</w:t>
      </w:r>
      <w:r>
        <w:t xml:space="preserve"> </w:t>
      </w:r>
      <w:hyperlink r:id="rId403">
        <w:r>
          <w:rPr>
            <w:rStyle w:val="Hyperlink"/>
          </w:rPr>
          <w:t xml:space="preserve">https://doi.org/10.1111/phco.2012.7.issue-9</w:t>
        </w:r>
      </w:hyperlink>
      <w:r>
        <w:t xml:space="preserve">.</w:t>
      </w:r>
    </w:p>
    <w:bookmarkEnd w:id="404"/>
    <w:bookmarkStart w:id="405" w:name="ref-Weatherson2019"/>
    <w:p>
      <w:pPr>
        <w:pStyle w:val="Bibliography"/>
      </w:pPr>
      <w:r>
        <w:t xml:space="preserve">Weatherson, Brian. 2019.</w:t>
      </w:r>
      <w:r>
        <w:t xml:space="preserve"> </w:t>
      </w:r>
      <w:r>
        <w:rPr>
          <w:iCs/>
          <w:i/>
        </w:rPr>
        <w:t xml:space="preserve">Normative Externalism</w:t>
      </w:r>
      <w:r>
        <w:t xml:space="preserve">. Oxford: Oxford University Press.</w:t>
      </w:r>
    </w:p>
    <w:bookmarkEnd w:id="405"/>
    <w:bookmarkStart w:id="407"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406">
        <w:r>
          <w:rPr>
            <w:rStyle w:val="Hyperlink"/>
          </w:rPr>
          <w:t xml:space="preserve">https://doi.org/10.1007/s11229-011-0012-8</w:t>
        </w:r>
      </w:hyperlink>
      <w:r>
        <w:t xml:space="preserve">.</w:t>
      </w:r>
    </w:p>
    <w:bookmarkEnd w:id="407"/>
    <w:bookmarkStart w:id="409" w:name="ref-Wedgwood2013a"/>
    <w:p>
      <w:pPr>
        <w:pStyle w:val="Bibliography"/>
      </w:pPr>
      <w:r>
        <w:t xml:space="preserve">———.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408">
        <w:r>
          <w:rPr>
            <w:rStyle w:val="Hyperlink"/>
          </w:rPr>
          <w:t xml:space="preserve">https://doi.org/10.1007/s11229-011-9900-1</w:t>
        </w:r>
      </w:hyperlink>
      <w:r>
        <w:t xml:space="preserve">.</w:t>
      </w:r>
    </w:p>
    <w:bookmarkEnd w:id="409"/>
    <w:bookmarkStart w:id="411"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410">
        <w:r>
          <w:rPr>
            <w:rStyle w:val="Hyperlink"/>
          </w:rPr>
          <w:t xml:space="preserve">https://doi.org/10.1080/00048408512342061</w:t>
        </w:r>
      </w:hyperlink>
      <w:r>
        <w:t xml:space="preserve">.</w:t>
      </w:r>
    </w:p>
    <w:bookmarkEnd w:id="411"/>
    <w:bookmarkStart w:id="413"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412">
        <w:r>
          <w:rPr>
            <w:rStyle w:val="Hyperlink"/>
          </w:rPr>
          <w:t xml:space="preserve">https://doi.org/10.1093/mind/fzx018</w:t>
        </w:r>
      </w:hyperlink>
      <w:r>
        <w:t xml:space="preserve">.</w:t>
      </w:r>
    </w:p>
    <w:bookmarkEnd w:id="413"/>
    <w:bookmarkStart w:id="415" w:name="ref-Wible1994"/>
    <w:p>
      <w:pPr>
        <w:pStyle w:val="Bibliography"/>
      </w:pPr>
      <w:r>
        <w:t xml:space="preserve">Wible, James R. 1994.</w:t>
      </w:r>
      <w:r>
        <w:t xml:space="preserve"> </w:t>
      </w:r>
      <w:r>
        <w:t xml:space="preserve">“Charles Sanders Peirce’s Economy of Research.”</w:t>
      </w:r>
      <w:r>
        <w:t xml:space="preserve"> </w:t>
      </w:r>
      <w:r>
        <w:rPr>
          <w:iCs/>
          <w:i/>
        </w:rPr>
        <w:t xml:space="preserve">Journal of Economic Methodology</w:t>
      </w:r>
      <w:r>
        <w:t xml:space="preserve"> </w:t>
      </w:r>
      <w:r>
        <w:t xml:space="preserve">1 (1): 135–60.</w:t>
      </w:r>
      <w:r>
        <w:t xml:space="preserve"> </w:t>
      </w:r>
      <w:hyperlink r:id="rId414">
        <w:r>
          <w:rPr>
            <w:rStyle w:val="Hyperlink"/>
          </w:rPr>
          <w:t xml:space="preserve">https://doi.org/10.1080/13501789400000009</w:t>
        </w:r>
      </w:hyperlink>
      <w:r>
        <w:t xml:space="preserve">.</w:t>
      </w:r>
    </w:p>
    <w:bookmarkEnd w:id="415"/>
    <w:bookmarkStart w:id="417"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416">
        <w:r>
          <w:rPr>
            <w:rStyle w:val="Hyperlink"/>
          </w:rPr>
          <w:t xml:space="preserve">https://doi.org/10.1287/mnsc.13.11.816</w:t>
        </w:r>
      </w:hyperlink>
      <w:r>
        <w:t xml:space="preserve">.</w:t>
      </w:r>
    </w:p>
    <w:bookmarkEnd w:id="417"/>
    <w:bookmarkStart w:id="418"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418"/>
    <w:bookmarkStart w:id="419"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419"/>
    <w:bookmarkStart w:id="421" w:name="ref-Xefteris2015"/>
    <w:p>
      <w:pPr>
        <w:pStyle w:val="Bibliography"/>
      </w:pPr>
      <w:r>
        <w:t xml:space="preserve">Xefteris, Dimitrios. 2015.</w:t>
      </w:r>
      <w:r>
        <w:t xml:space="preserve"> </w:t>
      </w:r>
      <w:r>
        <w:t xml:space="preserve">“Symmetric Zero-Sum Games with Only Asymmetric Equilibria.”</w:t>
      </w:r>
      <w:r>
        <w:t xml:space="preserve"> </w:t>
      </w:r>
      <w:r>
        <w:rPr>
          <w:iCs/>
          <w:i/>
        </w:rPr>
        <w:t xml:space="preserve">Games and Economic Behavior</w:t>
      </w:r>
      <w:r>
        <w:t xml:space="preserve"> </w:t>
      </w:r>
      <w:r>
        <w:t xml:space="preserve">89 (1): 122–25.</w:t>
      </w:r>
      <w:r>
        <w:t xml:space="preserve"> </w:t>
      </w:r>
      <w:hyperlink r:id="rId420">
        <w:r>
          <w:rPr>
            <w:rStyle w:val="Hyperlink"/>
          </w:rPr>
          <w:t xml:space="preserve">https://doi.org/10.1016/j.geb.2014.12.001</w:t>
        </w:r>
      </w:hyperlink>
      <w:r>
        <w:t xml:space="preserve">.</w:t>
      </w:r>
    </w:p>
    <w:bookmarkEnd w:id="421"/>
    <w:bookmarkStart w:id="423" w:name="ref-Ye2023"/>
    <w:p>
      <w:pPr>
        <w:pStyle w:val="Bibliography"/>
      </w:pPr>
      <w:r>
        <w:t xml:space="preserve">Ye, Ru. 2023.</w:t>
      </w:r>
      <w:r>
        <w:t xml:space="preserve"> </w:t>
      </w:r>
      <w:r>
        <w:t xml:space="preserve">“Permissivism, the Value of Rationality, and a Convergence-Theoretic Epistemology.”</w:t>
      </w:r>
      <w:r>
        <w:t xml:space="preserve"> </w:t>
      </w:r>
      <w:r>
        <w:rPr>
          <w:iCs/>
          <w:i/>
        </w:rPr>
        <w:t xml:space="preserve">Philosophy and Phenomenological Research</w:t>
      </w:r>
      <w:r>
        <w:t xml:space="preserve"> </w:t>
      </w:r>
      <w:r>
        <w:t xml:space="preserve">106 (1): 157–75.</w:t>
      </w:r>
      <w:r>
        <w:t xml:space="preserve"> </w:t>
      </w:r>
      <w:hyperlink r:id="rId422">
        <w:r>
          <w:rPr>
            <w:rStyle w:val="Hyperlink"/>
          </w:rPr>
          <w:t xml:space="preserve">https://doi.org/10.1111/phpr.12845</w:t>
        </w:r>
      </w:hyperlink>
      <w:r>
        <w:t xml:space="preserve">.</w:t>
      </w:r>
    </w:p>
    <w:bookmarkEnd w:id="423"/>
    <w:bookmarkEnd w:id="424"/>
    <w:bookmarkEnd w:id="425"/>
    <w:bookmarkStart w:id="440" w:name="sec-gad"/>
    <w:p>
      <w:pPr>
        <w:pStyle w:val="Heading1"/>
      </w:pPr>
      <w:r>
        <w:t xml:space="preserve">Appendix A — Games as Decisions</w:t>
      </w:r>
    </w:p>
    <w:p>
      <w:pPr>
        <w:pStyle w:val="FirstParagraph"/>
      </w:pPr>
      <w:r>
        <w:t xml:space="preserve">Much of what happens in this book comes from seeing demonic decision problems as games and, conversely, seeing games as potential demonic decision problems. So I want to spend a little time setting out how the translation between the two works. This is intended largely for people who want to use the existing resources in game theory, which are voluminous, as a source for decision theoretic ideas.</w:t>
      </w:r>
    </w:p>
    <w:p>
      <w:pPr>
        <w:pStyle w:val="BodyText"/>
      </w:pPr>
      <w:r>
        <w:t xml:space="preserve">Say that a demonic decision problem is a problem where the states are sensitive to the predictions of some kind of demon. So Newcomb’s Problem is the classic demonic decision problem, but it’s hardly the only one. Indeed, almost every decision problem in this book is demonic. Transforming a demonic decision problem into a game is easy. As I noted, you just replace the states generated by Demon’s choices with moves for Demon, and give them payout 1 if they predict correctly, and 0 otherwise.</w:t>
      </w:r>
    </w:p>
    <w:p>
      <w:pPr>
        <w:pStyle w:val="BodyText"/>
      </w:pPr>
      <w:r>
        <w:t xml:space="preserve">You might worry that this only gives you cases where Demon is approximately perfect, but we also want cases where the demon is, say, 80% accurate. But that’s easy to do as well. In fact there are two ways to do it.</w:t>
      </w:r>
    </w:p>
    <w:p>
      <w:pPr>
        <w:pStyle w:val="BodyText"/>
      </w:pPr>
      <w:r>
        <w:t xml:space="preserve">The first is what I’ll call the Selten strategy, because it gives the demon a</w:t>
      </w:r>
      <w:r>
        <w:t xml:space="preserve"> </w:t>
      </w:r>
      <w:r>
        <w:t xml:space="preserve">‘</w:t>
      </w:r>
      <w:r>
        <w:t xml:space="preserve">trembling hand</w:t>
      </w:r>
      <w:r>
        <w:t xml:space="preserve">’</w:t>
      </w:r>
      <w:r>
        <w:t xml:space="preserve"> </w:t>
      </w:r>
      <w:r>
        <w:t xml:space="preserve">in the sense of</w:t>
      </w:r>
      <w:r>
        <w:t xml:space="preserve"> </w:t>
      </w:r>
      <w:r>
        <w:t xml:space="preserve">Selten (1975)</w:t>
      </w:r>
      <w:r>
        <w:t xml:space="preserve">. Instead of letting Demon choose a state in the original problem, let Demon choose one of</w:t>
      </w:r>
      <w:r>
        <w:t xml:space="preserve"> </w:t>
      </w:r>
      <w:r>
        <w:rPr>
          <w:iCs/>
          <w:i/>
        </w:rPr>
        <w:t xml:space="preserve">n</w:t>
      </w:r>
      <w:r>
        <w:t xml:space="preserve"> </w:t>
      </w:r>
      <w:r>
        <w:t xml:space="preserve">buttons, where</w:t>
      </w:r>
      <w:r>
        <w:t xml:space="preserve"> </w:t>
      </w:r>
      <w:r>
        <w:rPr>
          <w:iCs/>
          <w:i/>
        </w:rPr>
        <w:t xml:space="preserve">n</w:t>
      </w:r>
      <w:r>
        <w:t xml:space="preserve"> </w:t>
      </w:r>
      <w:r>
        <w:t xml:space="preserve">is the number of choices the (human) chooser has. Each button is connected to a probabilistic device that generates one of the original states. If you want Demon to be 80% accurate when option</w:t>
      </w:r>
      <w:r>
        <w:t xml:space="preserve"> </w:t>
      </w:r>
      <w:r>
        <w:rPr>
          <w:iCs/>
          <w:i/>
        </w:rPr>
        <w:t xml:space="preserve">o</w:t>
      </w:r>
      <w:r>
        <w:rPr>
          <w:vertAlign w:val="subscript"/>
          <w:iCs/>
          <w:i/>
        </w:rPr>
        <w:t xml:space="preserve">i</w:t>
      </w:r>
      <w:r>
        <w:t xml:space="preserve"> </w:t>
      </w:r>
      <w:r>
        <w:t xml:space="preserve">is chosen, say the button</w:t>
      </w:r>
      <w:r>
        <w:t xml:space="preserve"> </w:t>
      </w:r>
      <w:r>
        <w:rPr>
          <w:iCs/>
          <w:i/>
        </w:rPr>
        <w:t xml:space="preserve">b</w:t>
      </w:r>
      <w:r>
        <w:rPr>
          <w:vertAlign w:val="subscript"/>
          <w:iCs/>
          <w:i/>
        </w:rPr>
        <w:t xml:space="preserve">i</w:t>
      </w:r>
      <w:r>
        <w:t xml:space="preserve"> </w:t>
      </w:r>
      <w:r>
        <w:t xml:space="preserve">associated with option</w:t>
      </w:r>
      <w:r>
        <w:t xml:space="preserve"> </w:t>
      </w:r>
      <w:r>
        <w:rPr>
          <w:iCs/>
          <w:i/>
        </w:rPr>
        <w:t xml:space="preserve">o</w:t>
      </w:r>
      <w:r>
        <w:rPr>
          <w:vertAlign w:val="subscript"/>
          <w:iCs/>
          <w:i/>
        </w:rPr>
        <w:t xml:space="preserve">i</w:t>
      </w:r>
      <w:r>
        <w:t xml:space="preserve"> </w:t>
      </w:r>
      <w:r>
        <w:t xml:space="preserve">outputs state</w:t>
      </w:r>
      <w:r>
        <w:t xml:space="preserve"> </w:t>
      </w:r>
      <w:r>
        <w:rPr>
          <w:iCs/>
          <w:i/>
        </w:rPr>
        <w:t xml:space="preserve">s</w:t>
      </w:r>
      <w:r>
        <w:rPr>
          <w:vertAlign w:val="subscript"/>
          <w:iCs/>
          <w:i/>
        </w:rPr>
        <w:t xml:space="preserve">i</w:t>
      </w:r>
      <w:r>
        <w:t xml:space="preserve"> </w:t>
      </w:r>
      <w:r>
        <w:t xml:space="preserve">with probability 0.8, and each of the other states with probability</w:t>
      </w:r>
      <w:r>
        <w:t xml:space="preserve"> </w:t>
      </w:r>
      <m:oMath>
        <m:f>
          <m:fPr>
            <m:type m:val="bar"/>
          </m:fPr>
          <m:num>
            <m:r>
              <m:t>0.2</m:t>
            </m:r>
          </m:num>
          <m:den>
            <m:r>
              <m:t>n</m:t>
            </m:r>
            <m:r>
              <m:rPr>
                <m:sty m:val="p"/>
              </m:rPr>
              <m:t>−</m:t>
            </m:r>
            <m:r>
              <m:t>1</m:t>
            </m:r>
          </m:den>
        </m:f>
      </m:oMath>
      <w:r>
        <w:t xml:space="preserve">. And still say that Demon gets payout 1 for any</w:t>
      </w:r>
      <w:r>
        <w:t xml:space="preserve"> </w:t>
      </w:r>
      <w:r>
        <w:rPr>
          <w:iCs/>
          <w:i/>
        </w:rPr>
        <w:t xml:space="preserve">i</w:t>
      </w:r>
      <w:r>
        <w:t xml:space="preserve"> </w:t>
      </w:r>
      <w:r>
        <w:t xml:space="preserve">if the chooser selects</w:t>
      </w:r>
      <w:r>
        <w:t xml:space="preserve"> </w:t>
      </w:r>
      <w:r>
        <w:rPr>
          <w:iCs/>
          <w:i/>
        </w:rPr>
        <w:t xml:space="preserve">o</w:t>
      </w:r>
      <w:r>
        <w:rPr>
          <w:vertAlign w:val="subscript"/>
          <w:iCs/>
          <w:i/>
        </w:rPr>
        <w:t xml:space="preserve">i</w:t>
      </w:r>
      <w:r>
        <w:t xml:space="preserve"> </w:t>
      </w:r>
      <w:r>
        <w:t xml:space="preserve">and the button generates state</w:t>
      </w:r>
      <w:r>
        <w:t xml:space="preserve"> </w:t>
      </w:r>
      <w:r>
        <w:rPr>
          <w:iCs/>
          <w:i/>
        </w:rPr>
        <w:t xml:space="preserve">s</w:t>
      </w:r>
      <w:r>
        <w:rPr>
          <w:vertAlign w:val="subscript"/>
          <w:iCs/>
          <w:i/>
        </w:rPr>
        <w:t xml:space="preserve">i</w:t>
      </w:r>
      <w:r>
        <w:t xml:space="preserve">, and 0 otherwise.</w:t>
      </w:r>
    </w:p>
    <w:p>
      <w:pPr>
        <w:pStyle w:val="BodyText"/>
      </w:pPr>
      <w:r>
        <w:t xml:space="preserve">The second is what I’ll call the Smullyan strategy, because it involves a Knights and Knaves puzzle of the kind that play a role in several of Smullyan’s books, especially his</w:t>
      </w:r>
      <w:r>
        <w:t xml:space="preserve"> </w:t>
      </w:r>
      <w:r>
        <w:t xml:space="preserve">(1978)</w:t>
      </w:r>
      <w:r>
        <w:t xml:space="preserve">. Here the randomisation takes place before Demon’s choice. Demon is assigned a type Knight or Knave. Demon is told of the assignment, but Chooser is not. If Demon is assigned type Knight, the payouts stay the same as in the game where Demon is arbitrarily accurate. If Demon is assigned type Knave, the payouts are reversed, and Demon gets payout 1 for an incorrect prediction.</w:t>
      </w:r>
    </w:p>
    <w:p>
      <w:pPr>
        <w:pStyle w:val="BodyText"/>
      </w:pPr>
      <w:r>
        <w:t xml:space="preserve">There are benefits to each approach, and there are slightly different edge cases that are handled better by one or other version. I find the Selten strategy a little easier to use, especially if Demon’s expected accuracy is different with different choices by Chooser. But in general either will work for turning a demonic decision problem into a game.</w:t>
      </w:r>
    </w:p>
    <w:p>
      <w:pPr>
        <w:pStyle w:val="BodyText"/>
      </w:pPr>
      <w:r>
        <w:t xml:space="preserve">Turning one-shot games into demonic decision problems is a bit more interesting.</w:t>
      </w:r>
      <w:r>
        <w:rPr>
          <w:rStyle w:val="FootnoteReference"/>
        </w:rPr>
        <w:footnoteReference w:id="426"/>
      </w:r>
      <w:r>
        <w:t xml:space="preserve"> </w:t>
      </w:r>
      <w:r>
        <w:t xml:space="preserve">Start with a completely generic two-player, two-option, simultaneous move, symmetric game, as shown in table</w:t>
      </w:r>
      <w:r>
        <w:t xml:space="preserve"> </w:t>
      </w:r>
      <w:hyperlink w:anchor="tbl-basic-sym-game">
        <w:r>
          <w:rPr>
            <w:rStyle w:val="Hyperlink"/>
          </w:rPr>
          <w:t xml:space="preserve">Table A.1</w:t>
        </w:r>
      </w:hyperlink>
      <w:r>
        <w:t xml:space="preserve">. We won’t only look at symmetric games, but it’s a nice way to start.</w:t>
      </w:r>
    </w:p>
    <w:tbl>
      <w:tblPr>
        <w:tblStyle w:val="Table"/>
        <w:tblW w:type="pct" w:w="5000"/>
        <w:tblLook w:firstRow="0" w:lastRow="0" w:firstColumn="0" w:lastColumn="0" w:noHBand="0" w:noVBand="0" w:val="0000"/>
        <w:jc w:val="start"/>
        <w:tblLayout w:type="fixed"/>
      </w:tblPr>
      <w:tblGrid>
        <w:gridCol w:w="7920"/>
      </w:tblGrid>
      <w:tr>
        <w:tc>
          <w:tcPr/>
          <w:bookmarkStart w:id="427" w:name="tbl-basic-sym-game"/>
          <w:p>
            <w:pPr>
              <w:jc w:val="center"/>
            </w:pPr>
            <w:pPr>
              <w:jc w:val="start"/>
              <w:spacing w:before="200"/>
              <w:pStyle w:val="ImageCaption"/>
            </w:pPr>
            <w:r>
              <w:t xml:space="preserve">Table A.1: A generic symmetric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r>
            <w:tr>
              <w:tc>
                <w:tcPr/>
                <w:p>
                  <w:pPr>
                    <w:pStyle w:val="Compact"/>
                    <w:jc w:val="center"/>
                    <w:jc w:val="center"/>
                  </w:pPr>
                  <w:r>
                    <w:rPr>
                      <w:bCs/>
                      <w:b/>
                    </w:rPr>
                    <w:t xml:space="preserve">A</w:t>
                  </w:r>
                </w:p>
              </w:tc>
              <w:tc>
                <w:tcPr/>
                <w:p>
                  <w:pPr>
                    <w:pStyle w:val="Compact"/>
                    <w:jc w:val="center"/>
                    <w:jc w:val="center"/>
                  </w:pPr>
                  <w:r>
                    <w:rPr>
                      <w:iCs/>
                      <w:i/>
                    </w:rPr>
                    <w:t xml:space="preserve">x</w:t>
                  </w:r>
                  <w:r>
                    <w:t xml:space="preserve">,</w:t>
                  </w:r>
                  <w:r>
                    <w:t xml:space="preserve"> </w:t>
                  </w:r>
                  <w:r>
                    <w:rPr>
                      <w:iCs/>
                      <w:i/>
                    </w:rPr>
                    <w:t xml:space="preserve">x</w:t>
                  </w:r>
                </w:p>
              </w:tc>
              <w:tc>
                <w:tcPr/>
                <w:p>
                  <w:pPr>
                    <w:pStyle w:val="Compact"/>
                    <w:jc w:val="center"/>
                    <w:jc w:val="center"/>
                  </w:pPr>
                  <w:r>
                    <w:rPr>
                      <w:iCs/>
                      <w:i/>
                    </w:rPr>
                    <w:t xml:space="preserve">y</w:t>
                  </w:r>
                  <w:r>
                    <w:t xml:space="preserve">,</w:t>
                  </w:r>
                  <w:r>
                    <w:t xml:space="preserve"> </w:t>
                  </w:r>
                  <w:r>
                    <w:rPr>
                      <w:iCs/>
                      <w:i/>
                    </w:rPr>
                    <w:t xml:space="preserve">z</w:t>
                  </w:r>
                </w:p>
              </w:tc>
            </w:tr>
            <w:tr>
              <w:tc>
                <w:tcPr/>
                <w:p>
                  <w:pPr>
                    <w:pStyle w:val="Compact"/>
                    <w:jc w:val="center"/>
                    <w:jc w:val="center"/>
                  </w:pPr>
                  <w:r>
                    <w:rPr>
                      <w:bCs/>
                      <w:b/>
                    </w:rPr>
                    <w:t xml:space="preserve">B</w:t>
                  </w:r>
                </w:p>
              </w:tc>
              <w:tc>
                <w:tcPr/>
                <w:p>
                  <w:pPr>
                    <w:pStyle w:val="Compact"/>
                    <w:jc w:val="center"/>
                    <w:jc w:val="center"/>
                  </w:pPr>
                  <w:r>
                    <w:rPr>
                      <w:iCs/>
                      <w:i/>
                    </w:rPr>
                    <w:t xml:space="preserve">z</w:t>
                  </w:r>
                  <w:r>
                    <w:t xml:space="preserve">,</w:t>
                  </w:r>
                  <w:r>
                    <w:t xml:space="preserve"> </w:t>
                  </w:r>
                  <w:r>
                    <w:rPr>
                      <w:iCs/>
                      <w:i/>
                    </w:rPr>
                    <w:t xml:space="preserve">y</w:t>
                  </w:r>
                </w:p>
              </w:tc>
              <w:tc>
                <w:tcPr/>
                <w:p>
                  <w:pPr>
                    <w:pStyle w:val="Compact"/>
                    <w:jc w:val="center"/>
                    <w:jc w:val="center"/>
                  </w:pPr>
                  <w:r>
                    <w:rPr>
                      <w:iCs/>
                      <w:i/>
                    </w:rPr>
                    <w:t xml:space="preserve">w</w:t>
                  </w:r>
                  <w:r>
                    <w:t xml:space="preserve">,</w:t>
                  </w:r>
                  <w:r>
                    <w:t xml:space="preserve"> </w:t>
                  </w:r>
                  <w:r>
                    <w:rPr>
                      <w:iCs/>
                      <w:i/>
                    </w:rPr>
                    <w:t xml:space="preserve">w</w:t>
                  </w:r>
                </w:p>
              </w:tc>
            </w:tr>
          </w:tbl>
          <w:bookmarkEnd w:id="427"/>
          <w:p/>
        </w:tc>
      </w:tr>
    </w:tbl>
    <w:p>
      <w:pPr>
        <w:pStyle w:val="BodyText"/>
      </w:pPr>
      <w:r>
        <w:t xml:space="preserve">In words, what this says is that each player chooses either A or B. If they both choose A, they both get</w:t>
      </w:r>
      <w:r>
        <w:t xml:space="preserve"> </w:t>
      </w:r>
      <m:oMath>
        <m:r>
          <m:t>x</m:t>
        </m:r>
      </m:oMath>
      <w:r>
        <w:t xml:space="preserve">. If they both choose B, they both get</w:t>
      </w:r>
      <w:r>
        <w:t xml:space="preserve"> </w:t>
      </w:r>
      <w:r>
        <w:rPr>
          <w:iCs/>
          <w:i/>
        </w:rPr>
        <w:t xml:space="preserve">w</w:t>
      </w:r>
      <w:r>
        <w:t xml:space="preserve">. And if one chooses A and the other chooses B, the one who chooses A gets</w:t>
      </w:r>
      <w:r>
        <w:t xml:space="preserve"> </w:t>
      </w:r>
      <w:r>
        <w:rPr>
          <w:iCs/>
          <w:i/>
        </w:rPr>
        <w:t xml:space="preserve">y</w:t>
      </w:r>
      <w:r>
        <w:t xml:space="preserve"> </w:t>
      </w:r>
      <w:r>
        <w:t xml:space="preserve">and the one who chooses B gets</w:t>
      </w:r>
      <w:r>
        <w:t xml:space="preserve"> </w:t>
      </w:r>
      <w:r>
        <w:rPr>
          <w:iCs/>
          <w:i/>
        </w:rPr>
        <w:t xml:space="preserve">z</w:t>
      </w:r>
      <w:r>
        <w:t xml:space="preserve">. (Note that the payouts list row’s payment first, if you’re struggling to translate between the table and the text.) A lot of famous games can be defined in terms of restrictions on the four payout values. For example, a game like this is a Prisoners’ Dilemma if the following constraints are met.</w:t>
      </w:r>
    </w:p>
    <w:p>
      <w:pPr>
        <w:numPr>
          <w:ilvl w:val="0"/>
          <w:numId w:val="1022"/>
        </w:numPr>
        <w:pStyle w:val="Compact"/>
      </w:pPr>
      <w:r>
        <w:rPr>
          <w:iCs/>
          <w:i/>
        </w:rPr>
        <w:t xml:space="preserve">x</w:t>
      </w:r>
      <w:r>
        <w:t xml:space="preserve"> </w:t>
      </w:r>
      <w:r>
        <w:t xml:space="preserve">&gt;</w:t>
      </w:r>
      <w:r>
        <w:t xml:space="preserve"> </w:t>
      </w:r>
      <w:r>
        <w:rPr>
          <w:iCs/>
          <w:i/>
        </w:rPr>
        <w:t xml:space="preserve">z</w:t>
      </w:r>
    </w:p>
    <w:p>
      <w:pPr>
        <w:numPr>
          <w:ilvl w:val="0"/>
          <w:numId w:val="1022"/>
        </w:numPr>
        <w:pStyle w:val="Compact"/>
      </w:pPr>
      <w:r>
        <w:rPr>
          <w:iCs/>
          <w:i/>
        </w:rPr>
        <w:t xml:space="preserve">y</w:t>
      </w:r>
      <w:r>
        <w:t xml:space="preserve"> </w:t>
      </w:r>
      <w:r>
        <w:t xml:space="preserve">&gt;</w:t>
      </w:r>
      <w:r>
        <w:t xml:space="preserve"> </w:t>
      </w:r>
      <w:r>
        <w:rPr>
          <w:iCs/>
          <w:i/>
        </w:rPr>
        <w:t xml:space="preserve">w</w:t>
      </w:r>
    </w:p>
    <w:p>
      <w:pPr>
        <w:numPr>
          <w:ilvl w:val="0"/>
          <w:numId w:val="1022"/>
        </w:numPr>
        <w:pStyle w:val="Compact"/>
      </w:pPr>
      <w:r>
        <w:rPr>
          <w:iCs/>
          <w:i/>
        </w:rPr>
        <w:t xml:space="preserve">w</w:t>
      </w:r>
      <w:r>
        <w:t xml:space="preserve"> </w:t>
      </w:r>
      <w:r>
        <w:t xml:space="preserve">&gt;</w:t>
      </w:r>
      <w:r>
        <w:t xml:space="preserve"> </w:t>
      </w:r>
      <w:r>
        <w:rPr>
          <w:iCs/>
          <w:i/>
        </w:rPr>
        <w:t xml:space="preserve">x</w:t>
      </w:r>
    </w:p>
    <w:p>
      <w:pPr>
        <w:pStyle w:val="FirstParagraph"/>
      </w:pPr>
      <w:r>
        <w:t xml:space="preserve">Some books will also add 2_x_ &gt;</w:t>
      </w:r>
      <w:r>
        <w:t xml:space="preserve"> </w:t>
      </w:r>
      <w:r>
        <w:rPr>
          <w:iCs/>
          <w:i/>
        </w:rPr>
        <w:t xml:space="preserve">y</w:t>
      </w:r>
      <w:r>
        <w:t xml:space="preserve"> </w:t>
      </w:r>
      <w:r>
        <w:t xml:space="preserve">+</w:t>
      </w:r>
      <w:r>
        <w:t xml:space="preserve"> </w:t>
      </w:r>
      <w:r>
        <w:rPr>
          <w:iCs/>
          <w:i/>
        </w:rPr>
        <w:t xml:space="preserve">z</w:t>
      </w:r>
      <w:r>
        <w:t xml:space="preserve"> </w:t>
      </w:r>
      <w:r>
        <w:t xml:space="preserve">as a further constraint, but I’ll stick with these three.</w:t>
      </w:r>
    </w:p>
    <w:p>
      <w:pPr>
        <w:pStyle w:val="BodyText"/>
      </w:pPr>
      <w:r>
        <w:t xml:space="preserve">Now to turn a game into a demonic decision problem, first replace column’s payouts with 1s and 0s, with 1s along the main diagonal, and 0s everywhere else. Table</w:t>
      </w:r>
      <w:r>
        <w:t xml:space="preserve"> </w:t>
      </w:r>
      <w:hyperlink w:anchor="tbl-demon-sym-game">
        <w:r>
          <w:rPr>
            <w:rStyle w:val="Hyperlink"/>
          </w:rPr>
          <w:t xml:space="preserve">Table A.2</w:t>
        </w:r>
      </w:hyperlink>
      <w:r>
        <w:t xml:space="preserve"> </w:t>
      </w:r>
      <w:r>
        <w:t xml:space="preserve">shows what a generic symmetric game looks like after this transformation.</w:t>
      </w:r>
    </w:p>
    <w:tbl>
      <w:tblPr>
        <w:tblStyle w:val="Table"/>
        <w:tblW w:type="pct" w:w="5000"/>
        <w:tblLook w:firstRow="0" w:lastRow="0" w:firstColumn="0" w:lastColumn="0" w:noHBand="0" w:noVBand="0" w:val="0000"/>
        <w:jc w:val="start"/>
        <w:tblLayout w:type="fixed"/>
      </w:tblPr>
      <w:tblGrid>
        <w:gridCol w:w="7920"/>
      </w:tblGrid>
      <w:tr>
        <w:tc>
          <w:tcPr/>
          <w:bookmarkStart w:id="428" w:name="tbl-demon-sym-game"/>
          <w:p>
            <w:pPr>
              <w:jc w:val="center"/>
            </w:pPr>
            <w:pPr>
              <w:jc w:val="start"/>
              <w:spacing w:before="200"/>
              <w:pStyle w:val="ImageCaption"/>
            </w:pPr>
            <w:r>
              <w:t xml:space="preserve">Table A.2: The demonic version of a generic symmetric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r>
            <w:tr>
              <w:tc>
                <w:tcPr/>
                <w:p>
                  <w:pPr>
                    <w:pStyle w:val="Compact"/>
                    <w:jc w:val="center"/>
                    <w:jc w:val="center"/>
                  </w:pPr>
                  <w:r>
                    <w:rPr>
                      <w:bCs/>
                      <w:b/>
                    </w:rPr>
                    <w:t xml:space="preserve">A</w:t>
                  </w:r>
                </w:p>
              </w:tc>
              <w:tc>
                <w:tcPr/>
                <w:p>
                  <w:pPr>
                    <w:pStyle w:val="Compact"/>
                    <w:jc w:val="center"/>
                    <w:jc w:val="center"/>
                  </w:pPr>
                  <w:r>
                    <w:rPr>
                      <w:iCs/>
                      <w:i/>
                    </w:rPr>
                    <w:t xml:space="preserve">x</w:t>
                  </w:r>
                  <w:r>
                    <w:t xml:space="preserve">, 1</w:t>
                  </w:r>
                </w:p>
              </w:tc>
              <w:tc>
                <w:tcPr/>
                <w:p>
                  <w:pPr>
                    <w:pStyle w:val="Compact"/>
                    <w:jc w:val="center"/>
                    <w:jc w:val="center"/>
                  </w:pPr>
                  <w:r>
                    <w:rPr>
                      <w:iCs/>
                      <w:i/>
                    </w:rPr>
                    <w:t xml:space="preserve">y</w:t>
                  </w:r>
                  <w:r>
                    <w:t xml:space="preserve">, 0</w:t>
                  </w:r>
                </w:p>
              </w:tc>
            </w:tr>
            <w:tr>
              <w:tc>
                <w:tcPr/>
                <w:p>
                  <w:pPr>
                    <w:pStyle w:val="Compact"/>
                    <w:jc w:val="center"/>
                    <w:jc w:val="center"/>
                  </w:pPr>
                  <w:r>
                    <w:rPr>
                      <w:bCs/>
                      <w:b/>
                    </w:rPr>
                    <w:t xml:space="preserve">B</w:t>
                  </w:r>
                </w:p>
              </w:tc>
              <w:tc>
                <w:tcPr/>
                <w:p>
                  <w:pPr>
                    <w:pStyle w:val="Compact"/>
                    <w:jc w:val="center"/>
                    <w:jc w:val="center"/>
                  </w:pPr>
                  <w:r>
                    <w:rPr>
                      <w:iCs/>
                      <w:i/>
                    </w:rPr>
                    <w:t xml:space="preserve">z</w:t>
                  </w:r>
                  <w:r>
                    <w:t xml:space="preserve">, 0</w:t>
                  </w:r>
                </w:p>
              </w:tc>
              <w:tc>
                <w:tcPr/>
                <w:p>
                  <w:pPr>
                    <w:pStyle w:val="Compact"/>
                    <w:jc w:val="center"/>
                    <w:jc w:val="center"/>
                  </w:pPr>
                  <w:r>
                    <w:rPr>
                      <w:iCs/>
                      <w:i/>
                    </w:rPr>
                    <w:t xml:space="preserve">w</w:t>
                  </w:r>
                  <w:r>
                    <w:t xml:space="preserve">, 1</w:t>
                  </w:r>
                </w:p>
              </w:tc>
            </w:tr>
          </w:tbl>
          <w:bookmarkEnd w:id="428"/>
          <w:p/>
        </w:tc>
      </w:tr>
    </w:tbl>
    <w:p>
      <w:pPr>
        <w:pStyle w:val="BodyText"/>
      </w:pPr>
      <w:r>
        <w:t xml:space="preserve">The next step is to replace Demon’s moves with states that are generated by Demon’s predictions. As before, I’ll put</w:t>
      </w:r>
      <w:r>
        <w:t xml:space="preserve"> </w:t>
      </w:r>
      <w:r>
        <w:t xml:space="preserve">‘</w:t>
      </w:r>
      <w:r>
        <w:t xml:space="preserve">P</w:t>
      </w:r>
      <w:r>
        <w:t xml:space="preserve">’</w:t>
      </w:r>
      <w:r>
        <w:t xml:space="preserve"> </w:t>
      </w:r>
      <w:r>
        <w:t xml:space="preserve">in front of a choice name to indicate the state of that choice being predicted. The result is table</w:t>
      </w:r>
      <w:r>
        <w:t xml:space="preserve"> </w:t>
      </w:r>
      <w:hyperlink w:anchor="tbl-gen-dem-problem">
        <w:r>
          <w:rPr>
            <w:rStyle w:val="Hyperlink"/>
          </w:rPr>
          <w:t xml:space="preserve">Table A.3</w:t>
        </w:r>
      </w:hyperlink>
      <w:r>
        <w:t xml:space="preserve">, which we already saw back in the introduction.</w:t>
      </w:r>
    </w:p>
    <w:tbl>
      <w:tblPr>
        <w:tblStyle w:val="Table"/>
        <w:tblW w:type="pct" w:w="5000"/>
        <w:tblLook w:firstRow="0" w:lastRow="0" w:firstColumn="0" w:lastColumn="0" w:noHBand="0" w:noVBand="0" w:val="0000"/>
        <w:jc w:val="start"/>
        <w:tblLayout w:type="fixed"/>
      </w:tblPr>
      <w:tblGrid>
        <w:gridCol w:w="7920"/>
      </w:tblGrid>
      <w:tr>
        <w:tc>
          <w:tcPr/>
          <w:bookmarkStart w:id="429" w:name="tbl-gen-dem-problem"/>
          <w:p>
            <w:pPr>
              <w:jc w:val="center"/>
            </w:pPr>
            <w:pPr>
              <w:jc w:val="start"/>
              <w:spacing w:before="200"/>
              <w:pStyle w:val="ImageCaption"/>
            </w:pPr>
            <w:r>
              <w:t xml:space="preserve">Table A.3: The demonic decision problem generated by a generic symmetric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rPr>
                      <w:iCs/>
                      <w:i/>
                    </w:rPr>
                    <w:t xml:space="preserve">x</w:t>
                  </w:r>
                </w:p>
              </w:tc>
              <w:tc>
                <w:tcPr/>
                <w:p>
                  <w:pPr>
                    <w:pStyle w:val="Compact"/>
                    <w:jc w:val="center"/>
                    <w:jc w:val="center"/>
                  </w:pPr>
                  <w:r>
                    <w:rPr>
                      <w:iCs/>
                      <w:i/>
                    </w:rPr>
                    <w:t xml:space="preserve">y</w:t>
                  </w:r>
                </w:p>
              </w:tc>
            </w:tr>
            <w:tr>
              <w:tc>
                <w:tcPr/>
                <w:p>
                  <w:pPr>
                    <w:pStyle w:val="Compact"/>
                    <w:jc w:val="center"/>
                    <w:jc w:val="center"/>
                  </w:pPr>
                  <w:r>
                    <w:rPr>
                      <w:bCs/>
                      <w:b/>
                    </w:rPr>
                    <w:t xml:space="preserve">B</w:t>
                  </w:r>
                </w:p>
              </w:tc>
              <w:tc>
                <w:tcPr/>
                <w:p>
                  <w:pPr>
                    <w:pStyle w:val="Compact"/>
                    <w:jc w:val="center"/>
                    <w:jc w:val="center"/>
                  </w:pPr>
                  <w:r>
                    <w:rPr>
                      <w:iCs/>
                      <w:i/>
                    </w:rPr>
                    <w:t xml:space="preserve">z</w:t>
                  </w:r>
                </w:p>
              </w:tc>
              <w:tc>
                <w:tcPr/>
                <w:p>
                  <w:pPr>
                    <w:pStyle w:val="Compact"/>
                    <w:jc w:val="center"/>
                    <w:jc w:val="center"/>
                  </w:pPr>
                  <w:r>
                    <w:rPr>
                      <w:iCs/>
                      <w:i/>
                    </w:rPr>
                    <w:t xml:space="preserve">w</w:t>
                  </w:r>
                </w:p>
              </w:tc>
            </w:tr>
          </w:tbl>
          <w:bookmarkEnd w:id="429"/>
          <w:p/>
        </w:tc>
      </w:tr>
    </w:tbl>
    <w:p>
      <w:pPr>
        <w:pStyle w:val="BodyText"/>
      </w:pPr>
      <w:r>
        <w:t xml:space="preserve">If we add the constraints</w:t>
      </w:r>
      <w:r>
        <w:t xml:space="preserve"> </w:t>
      </w:r>
      <w:r>
        <w:rPr>
          <w:iCs/>
          <w:i/>
        </w:rPr>
        <w:t xml:space="preserve">x</w:t>
      </w:r>
      <w:r>
        <w:t xml:space="preserve"> </w:t>
      </w:r>
      <w:r>
        <w:t xml:space="preserve">&gt;</w:t>
      </w:r>
      <w:r>
        <w:t xml:space="preserve"> </w:t>
      </w:r>
      <w:r>
        <w:rPr>
          <w:iCs/>
          <w:i/>
        </w:rPr>
        <w:t xml:space="preserve">z</w:t>
      </w:r>
      <w:r>
        <w:t xml:space="preserve">,</w:t>
      </w:r>
      <w:r>
        <w:t xml:space="preserve"> </w:t>
      </w:r>
      <w:r>
        <w:rPr>
          <w:iCs/>
          <w:i/>
        </w:rPr>
        <w:t xml:space="preserve">y</w:t>
      </w:r>
      <w:r>
        <w:t xml:space="preserve"> </w:t>
      </w:r>
      <w:r>
        <w:t xml:space="preserve">&gt;</w:t>
      </w:r>
      <w:r>
        <w:t xml:space="preserve"> </w:t>
      </w:r>
      <w:r>
        <w:rPr>
          <w:iCs/>
          <w:i/>
        </w:rPr>
        <w:t xml:space="preserve">w</w:t>
      </w:r>
      <w:r>
        <w:t xml:space="preserve">,</w:t>
      </w:r>
      <w:r>
        <w:t xml:space="preserve"> </w:t>
      </w:r>
      <w:r>
        <w:rPr>
          <w:iCs/>
          <w:i/>
        </w:rPr>
        <w:t xml:space="preserve">w</w:t>
      </w:r>
      <w:r>
        <w:t xml:space="preserve"> </w:t>
      </w:r>
      <w:r>
        <w:t xml:space="preserve">&gt;</w:t>
      </w:r>
      <w:r>
        <w:t xml:space="preserve"> </w:t>
      </w:r>
      <w:r>
        <w:rPr>
          <w:iCs/>
          <w:i/>
        </w:rPr>
        <w:t xml:space="preserve">x</w:t>
      </w:r>
      <w:r>
        <w:t xml:space="preserve">, this is a Newcomb Problem. I’m a long way from the first to point out the connections between Prisoners’ Dilemma and Newcomb’s Problem; it’s literally in the title of a David Lewis paper</w:t>
      </w:r>
      <w:r>
        <w:t xml:space="preserve"> </w:t>
      </w:r>
      <w:r>
        <w:t xml:space="preserve">(Lewis 1979)</w:t>
      </w:r>
      <w:r>
        <w:t xml:space="preserve">. But what I want to stress here is the recipe for turning a familiar game into a demonic problem.</w:t>
      </w:r>
    </w:p>
    <w:p>
      <w:pPr>
        <w:pStyle w:val="BodyText"/>
      </w:pPr>
      <w:r>
        <w:t xml:space="preserve">We can do the same thing with Chicken. The toy story behind Chicken is that two cars are facing off at the end of a road. They will drive straight at each other, and at the last second, each driver will choose to swerve off the road, which we’ll call option A, or stay on the road, which we’ll call option B. If one swerves and the other stays, the one who stays is the winner. If they both swerve they both lose and it’s boring, and if they both stay it’s a fiery crash. So in terms of the payouts in the general symmetric game, the constraints are:</w:t>
      </w:r>
    </w:p>
    <w:p>
      <w:pPr>
        <w:numPr>
          <w:ilvl w:val="0"/>
          <w:numId w:val="1023"/>
        </w:numPr>
        <w:pStyle w:val="Compact"/>
      </w:pPr>
      <w:r>
        <w:rPr>
          <w:iCs/>
          <w:i/>
        </w:rPr>
        <w:t xml:space="preserve">x</w:t>
      </w:r>
      <w:r>
        <w:t xml:space="preserve"> </w:t>
      </w:r>
      <w:r>
        <w:t xml:space="preserve">&lt;</w:t>
      </w:r>
      <w:r>
        <w:t xml:space="preserve"> </w:t>
      </w:r>
      <w:r>
        <w:rPr>
          <w:iCs/>
          <w:i/>
        </w:rPr>
        <w:t xml:space="preserve">z</w:t>
      </w:r>
    </w:p>
    <w:p>
      <w:pPr>
        <w:numPr>
          <w:ilvl w:val="0"/>
          <w:numId w:val="1023"/>
        </w:numPr>
        <w:pStyle w:val="Compact"/>
      </w:pPr>
      <w:r>
        <w:rPr>
          <w:iCs/>
          <w:i/>
        </w:rPr>
        <w:t xml:space="preserve">y</w:t>
      </w:r>
      <w:r>
        <w:t xml:space="preserve"> </w:t>
      </w:r>
      <w:r>
        <w:t xml:space="preserve">&gt;&gt;</w:t>
      </w:r>
      <w:r>
        <w:t xml:space="preserve"> </w:t>
      </w:r>
      <w:r>
        <w:rPr>
          <w:iCs/>
          <w:i/>
        </w:rPr>
        <w:t xml:space="preserve">w</w:t>
      </w:r>
    </w:p>
    <w:p>
      <w:pPr>
        <w:numPr>
          <w:ilvl w:val="0"/>
          <w:numId w:val="1023"/>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Just what it means for one value to be much more than another, which is what I mean by</w:t>
      </w:r>
      <w:r>
        <w:t xml:space="preserve"> </w:t>
      </w:r>
      <w:r>
        <w:t xml:space="preserve">‘</w:t>
      </w:r>
      <w:r>
        <w:t xml:space="preserve">&gt;&gt;</w:t>
      </w:r>
      <w:r>
        <w:t xml:space="preserve">’</w:t>
      </w:r>
      <w:r>
        <w:t xml:space="preserve">, is obviously vague.</w:t>
      </w:r>
      <w:r>
        <w:t xml:space="preserve"> </w:t>
      </w:r>
      <w:hyperlink w:anchor="tbl-basic-chicken">
        <w:r>
          <w:rPr>
            <w:rStyle w:val="Hyperlink"/>
          </w:rPr>
          <w:t xml:space="preserve">Table A.4</w:t>
        </w:r>
      </w:hyperlink>
      <w:r>
        <w:t xml:space="preserve"> </w:t>
      </w:r>
      <w:r>
        <w:t xml:space="preserve">gives an example with some numbers that should satisfy it.</w:t>
      </w:r>
    </w:p>
    <w:tbl>
      <w:tblPr>
        <w:tblStyle w:val="Table"/>
        <w:tblW w:type="pct" w:w="5000"/>
        <w:tblLook w:firstRow="0" w:lastRow="0" w:firstColumn="0" w:lastColumn="0" w:noHBand="0" w:noVBand="0" w:val="0000"/>
        <w:jc w:val="start"/>
        <w:tblLayout w:type="fixed"/>
      </w:tblPr>
      <w:tblGrid>
        <w:gridCol w:w="7920"/>
      </w:tblGrid>
      <w:tr>
        <w:tc>
          <w:tcPr/>
          <w:bookmarkStart w:id="430" w:name="tbl-basic-chicken"/>
          <w:p>
            <w:pPr>
              <w:jc w:val="center"/>
            </w:pPr>
            <w:pPr>
              <w:jc w:val="start"/>
              <w:spacing w:before="200"/>
              <w:pStyle w:val="ImageCaption"/>
            </w:pPr>
            <w:r>
              <w:t xml:space="preserve">Table A.4: A version of Chicken.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t xml:space="preserve">B</w:t>
                  </w:r>
                </w:p>
              </w:tc>
            </w:tr>
            <w:tr>
              <w:tc>
                <w:tcPr/>
                <w:p>
                  <w:pPr>
                    <w:pStyle w:val="Compact"/>
                    <w:jc w:val="center"/>
                    <w:jc w:val="center"/>
                  </w:pPr>
                  <w:r>
                    <w:rPr>
                      <w:bCs/>
                      <w:b/>
                    </w:rPr>
                    <w:t xml:space="preserve">A</w:t>
                  </w:r>
                </w:p>
              </w:tc>
              <w:tc>
                <w:tcPr/>
                <w:p>
                  <w:pPr>
                    <w:pStyle w:val="Compact"/>
                    <w:jc w:val="center"/>
                    <w:jc w:val="center"/>
                  </w:pPr>
                  <w:r>
                    <w:t xml:space="preserve">0, 0</w:t>
                  </w:r>
                </w:p>
              </w:tc>
              <w:tc>
                <w:tcPr/>
                <w:p>
                  <w:pPr>
                    <w:pStyle w:val="Compact"/>
                    <w:jc w:val="center"/>
                    <w:jc w:val="center"/>
                  </w:pPr>
                  <w:r>
                    <w:t xml:space="preserve">0, 1</w:t>
                  </w:r>
                </w:p>
              </w:tc>
            </w:tr>
            <w:tr>
              <w:tc>
                <w:tcPr/>
                <w:p>
                  <w:pPr>
                    <w:pStyle w:val="Compact"/>
                    <w:jc w:val="center"/>
                    <w:jc w:val="center"/>
                  </w:pPr>
                  <w:r>
                    <w:rPr>
                      <w:bCs/>
                      <w:b/>
                    </w:rPr>
                    <w:t xml:space="preserve">B</w:t>
                  </w:r>
                </w:p>
              </w:tc>
              <w:tc>
                <w:tcPr/>
                <w:p>
                  <w:pPr>
                    <w:pStyle w:val="Compact"/>
                    <w:jc w:val="center"/>
                    <w:jc w:val="center"/>
                  </w:pPr>
                  <w:r>
                    <w:t xml:space="preserve">1, 0</w:t>
                  </w:r>
                </w:p>
              </w:tc>
              <w:tc>
                <w:tcPr/>
                <w:p>
                  <w:pPr>
                    <w:pStyle w:val="Compact"/>
                    <w:jc w:val="center"/>
                    <w:jc w:val="center"/>
                  </w:pPr>
                  <w:r>
                    <w:t xml:space="preserve">-100,-100</w:t>
                  </w:r>
                </w:p>
              </w:tc>
            </w:tr>
          </w:tbl>
          <w:bookmarkEnd w:id="430"/>
          <w:p/>
        </w:tc>
      </w:tr>
    </w:tbl>
    <w:p>
      <w:pPr>
        <w:pStyle w:val="BodyText"/>
      </w:pPr>
      <w:r>
        <w:t xml:space="preserve">Replace the other driver, the one who plays column in this version, with a Demon, who only wants to predict row’s move. The result is</w:t>
      </w:r>
      <w:r>
        <w:t xml:space="preserve"> </w:t>
      </w:r>
      <w:hyperlink w:anchor="tbl-demon-chicken">
        <w:r>
          <w:rPr>
            <w:rStyle w:val="Hyperlink"/>
          </w:rPr>
          <w:t xml:space="preserve">Table A.5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1" w:name="tbl-demon-chicken"/>
          <w:p>
            <w:pPr>
              <w:jc w:val="center"/>
            </w:pPr>
            <w:pPr>
              <w:jc w:val="start"/>
              <w:spacing w:before="200"/>
              <w:pStyle w:val="ImageCaption"/>
            </w:pPr>
            <w:r>
              <w:t xml:space="preserve">Table A.5: A demonic version of Chicken.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r>
            <w:tr>
              <w:tc>
                <w:tcPr/>
                <w:p>
                  <w:pPr>
                    <w:pStyle w:val="Compact"/>
                    <w:jc w:val="center"/>
                    <w:jc w:val="center"/>
                  </w:pPr>
                  <w:r>
                    <w:rPr>
                      <w:bCs/>
                      <w:b/>
                    </w:rPr>
                    <w:t xml:space="preserve">A</w:t>
                  </w:r>
                </w:p>
              </w:tc>
              <w:tc>
                <w:tcPr/>
                <w:p>
                  <w:pPr>
                    <w:pStyle w:val="Compact"/>
                    <w:jc w:val="center"/>
                    <w:jc w:val="center"/>
                  </w:pPr>
                  <w:r>
                    <w:t xml:space="preserve">0, 1</w:t>
                  </w:r>
                </w:p>
              </w:tc>
              <w:tc>
                <w:tcPr/>
                <w:p>
                  <w:pPr>
                    <w:pStyle w:val="Compact"/>
                    <w:jc w:val="center"/>
                    <w:jc w:val="center"/>
                  </w:pPr>
                  <w:r>
                    <w:t xml:space="preserve">0, 0</w:t>
                  </w:r>
                </w:p>
              </w:tc>
            </w:tr>
            <w:tr>
              <w:tc>
                <w:tcPr/>
                <w:p>
                  <w:pPr>
                    <w:pStyle w:val="Compact"/>
                    <w:jc w:val="center"/>
                    <w:jc w:val="center"/>
                  </w:pPr>
                  <w:r>
                    <w:rPr>
                      <w:bCs/>
                      <w:b/>
                    </w:rPr>
                    <w:t xml:space="preserve">B</w:t>
                  </w:r>
                </w:p>
              </w:tc>
              <w:tc>
                <w:tcPr/>
                <w:p>
                  <w:pPr>
                    <w:pStyle w:val="Compact"/>
                    <w:jc w:val="center"/>
                    <w:jc w:val="center"/>
                  </w:pPr>
                  <w:r>
                    <w:t xml:space="preserve">1, 0</w:t>
                  </w:r>
                </w:p>
              </w:tc>
              <w:tc>
                <w:tcPr/>
                <w:p>
                  <w:pPr>
                    <w:pStyle w:val="Compact"/>
                    <w:jc w:val="center"/>
                    <w:jc w:val="center"/>
                  </w:pPr>
                  <w:r>
                    <w:t xml:space="preserve">-100,1</w:t>
                  </w:r>
                </w:p>
              </w:tc>
            </w:tr>
          </w:tbl>
          <w:bookmarkEnd w:id="431"/>
          <w:p/>
        </w:tc>
      </w:tr>
    </w:tbl>
    <w:p>
      <w:pPr>
        <w:pStyle w:val="BodyText"/>
      </w:pPr>
      <w:r>
        <w:t xml:space="preserve">All I’ve done to generate table</w:t>
      </w:r>
      <w:r>
        <w:t xml:space="preserve"> </w:t>
      </w:r>
      <w:hyperlink w:anchor="tbl-demon-chicken">
        <w:r>
          <w:rPr>
            <w:rStyle w:val="Hyperlink"/>
          </w:rPr>
          <w:t xml:space="preserve">Table A.5</w:t>
        </w:r>
      </w:hyperlink>
      <w:r>
        <w:t xml:space="preserve"> </w:t>
      </w:r>
      <w:r>
        <w:t xml:space="preserve">is replace column’s payouts with 1s on the main diagonal, and 0s elsewhere. The next step is to replace the demonic player with states generated by Demon’s choices. The result is table</w:t>
      </w:r>
      <w:r>
        <w:t xml:space="preserve"> </w:t>
      </w:r>
      <w:hyperlink w:anchor="tbl-egan-game">
        <w:r>
          <w:rPr>
            <w:rStyle w:val="Hyperlink"/>
          </w:rPr>
          <w:t xml:space="preserve">Table A.6</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2" w:name="tbl-egan-game"/>
          <w:p>
            <w:pPr>
              <w:jc w:val="center"/>
            </w:pPr>
            <w:pPr>
              <w:jc w:val="start"/>
              <w:spacing w:before="200"/>
              <w:pStyle w:val="ImageCaption"/>
            </w:pPr>
            <w:r>
              <w:t xml:space="preserve">Table A.6: A demonic decision problem based on Chicken.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1</w:t>
                  </w:r>
                </w:p>
              </w:tc>
              <w:tc>
                <w:tcPr/>
                <w:p>
                  <w:pPr>
                    <w:pStyle w:val="Compact"/>
                    <w:jc w:val="center"/>
                    <w:jc w:val="center"/>
                  </w:pPr>
                  <w:r>
                    <w:t xml:space="preserve">-100</w:t>
                  </w:r>
                </w:p>
              </w:tc>
            </w:tr>
          </w:tbl>
          <w:bookmarkEnd w:id="432"/>
          <w:p/>
        </w:tc>
      </w:tr>
    </w:tbl>
    <w:p>
      <w:pPr>
        <w:pStyle w:val="BodyText"/>
      </w:pPr>
      <w:r>
        <w:t xml:space="preserve">And</w:t>
      </w:r>
      <w:r>
        <w:t xml:space="preserve"> </w:t>
      </w:r>
      <w:hyperlink w:anchor="tbl-egan-game">
        <w:r>
          <w:rPr>
            <w:rStyle w:val="Hyperlink"/>
          </w:rPr>
          <w:t xml:space="preserve">Table A.6</w:t>
        </w:r>
      </w:hyperlink>
      <w:r>
        <w:t xml:space="preserve"> </w:t>
      </w:r>
      <w:r>
        <w:t xml:space="preserve">is just the Psychopath Button example that Andy</w:t>
      </w:r>
      <w:r>
        <w:t xml:space="preserve"> </w:t>
      </w:r>
      <w:r>
        <w:t xml:space="preserve">Egan (2007a)</w:t>
      </w:r>
      <w:r>
        <w:t xml:space="preserve"> </w:t>
      </w:r>
      <w:r>
        <w:t xml:space="preserve">raises as a problem for Causal Decision Theory.</w:t>
      </w:r>
    </w:p>
    <w:p>
      <w:pPr>
        <w:pStyle w:val="BodyText"/>
      </w:pPr>
      <w:r>
        <w:t xml:space="preserve">Another familiar game from introductory game theory textbooks is matching pennies. This is a somewhat simplified version of rock-paper-scissors. Each player has a penny, and they reveal their penny simultaneously. They can either show it with the heads side up (option A), or the tails side up (option B). We specify in advance who wins if they show the same way, and who wins if they show opposite ways. So let’s say column will win if both coins are heads or both are tails, and row will win if they are different. The payouts are shown in</w:t>
      </w:r>
      <w:r>
        <w:t xml:space="preserve"> </w:t>
      </w:r>
      <w:hyperlink w:anchor="tbl-match-pennies">
        <w:r>
          <w:rPr>
            <w:rStyle w:val="Hyperlink"/>
          </w:rPr>
          <w:t xml:space="preserve">Table A.7</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3" w:name="tbl-match-pennies"/>
          <w:p>
            <w:pPr>
              <w:jc w:val="center"/>
            </w:pPr>
            <w:pPr>
              <w:jc w:val="start"/>
              <w:spacing w:before="200"/>
              <w:pStyle w:val="ImageCaption"/>
            </w:pPr>
            <w:r>
              <w:t xml:space="preserve">Table A.7: The game matching pennies.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r>
            <w:tr>
              <w:tc>
                <w:tcPr/>
                <w:p>
                  <w:pPr>
                    <w:pStyle w:val="Compact"/>
                    <w:jc w:val="center"/>
                    <w:jc w:val="center"/>
                  </w:pPr>
                  <w:r>
                    <w:rPr>
                      <w:bCs/>
                      <w:b/>
                    </w:rPr>
                    <w:t xml:space="preserve">A</w:t>
                  </w:r>
                </w:p>
              </w:tc>
              <w:tc>
                <w:tcPr/>
                <w:p>
                  <w:pPr>
                    <w:pStyle w:val="Compact"/>
                    <w:jc w:val="center"/>
                    <w:jc w:val="center"/>
                  </w:pPr>
                  <w:r>
                    <w:t xml:space="preserve">0, 1</w:t>
                  </w:r>
                </w:p>
              </w:tc>
              <w:tc>
                <w:tcPr/>
                <w:p>
                  <w:pPr>
                    <w:pStyle w:val="Compact"/>
                    <w:jc w:val="center"/>
                    <w:jc w:val="center"/>
                  </w:pPr>
                  <w:r>
                    <w:t xml:space="preserve">1, 0</w:t>
                  </w:r>
                </w:p>
              </w:tc>
            </w:tr>
            <w:tr>
              <w:tc>
                <w:tcPr/>
                <w:p>
                  <w:pPr>
                    <w:pStyle w:val="Compact"/>
                    <w:jc w:val="center"/>
                    <w:jc w:val="center"/>
                  </w:pPr>
                  <w:r>
                    <w:rPr>
                      <w:bCs/>
                      <w:b/>
                    </w:rPr>
                    <w:t xml:space="preserve">B</w:t>
                  </w:r>
                </w:p>
              </w:tc>
              <w:tc>
                <w:tcPr/>
                <w:p>
                  <w:pPr>
                    <w:pStyle w:val="Compact"/>
                    <w:jc w:val="center"/>
                    <w:jc w:val="center"/>
                  </w:pPr>
                  <w:r>
                    <w:t xml:space="preserve">1, 0</w:t>
                  </w:r>
                </w:p>
              </w:tc>
              <w:tc>
                <w:tcPr/>
                <w:p>
                  <w:pPr>
                    <w:pStyle w:val="Compact"/>
                    <w:jc w:val="center"/>
                    <w:jc w:val="center"/>
                  </w:pPr>
                  <w:r>
                    <w:t xml:space="preserve">0, 1</w:t>
                  </w:r>
                </w:p>
              </w:tc>
            </w:tr>
          </w:tbl>
          <w:bookmarkEnd w:id="433"/>
          <w:p/>
        </w:tc>
      </w:tr>
    </w:tbl>
    <w:p>
      <w:pPr>
        <w:pStyle w:val="BodyText"/>
      </w:pPr>
      <w:r>
        <w:t xml:space="preserve">This isn’t a symmetric game, but it is already demonic. Column’s payouts are 1 in the main diagonal and 0 elsewhere. So we can convert it to a demonic decision problem fairly easily, as in</w:t>
      </w:r>
      <w:r>
        <w:t xml:space="preserve"> </w:t>
      </w:r>
      <w:hyperlink w:anchor="tbl-death-in-damascus">
        <w:r>
          <w:rPr>
            <w:rStyle w:val="Hyperlink"/>
          </w:rPr>
          <w:t xml:space="preserve">Table A.8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4" w:name="tbl-death-in-damascus"/>
          <w:p>
            <w:pPr>
              <w:jc w:val="center"/>
            </w:pPr>
            <w:pPr>
              <w:jc w:val="start"/>
              <w:spacing w:before="200"/>
              <w:pStyle w:val="ImageCaption"/>
            </w:pPr>
            <w:r>
              <w:t xml:space="preserve">Table A.8: Matching Pennies as a decision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rPr>
                      <w:bCs/>
                      <w:b/>
                    </w:rPr>
                    <w:t xml:space="preserve">B</w:t>
                  </w:r>
                </w:p>
              </w:tc>
              <w:tc>
                <w:tcPr/>
                <w:p>
                  <w:pPr>
                    <w:pStyle w:val="Compact"/>
                    <w:jc w:val="center"/>
                    <w:jc w:val="center"/>
                  </w:pPr>
                  <w:r>
                    <w:t xml:space="preserve">1</w:t>
                  </w:r>
                </w:p>
              </w:tc>
              <w:tc>
                <w:tcPr/>
                <w:p>
                  <w:pPr>
                    <w:pStyle w:val="Compact"/>
                    <w:jc w:val="center"/>
                    <w:jc w:val="center"/>
                  </w:pPr>
                  <w:r>
                    <w:t xml:space="preserve">0</w:t>
                  </w:r>
                </w:p>
              </w:tc>
            </w:tr>
          </w:tbl>
          <w:bookmarkEnd w:id="434"/>
          <w:p/>
        </w:tc>
      </w:tr>
    </w:tbl>
    <w:p>
      <w:pPr>
        <w:pStyle w:val="BodyText"/>
      </w:pPr>
      <w:r>
        <w:t xml:space="preserve">And</w:t>
      </w:r>
      <w:r>
        <w:t xml:space="preserve"> </w:t>
      </w:r>
      <w:hyperlink w:anchor="tbl-death-in-damascus">
        <w:r>
          <w:rPr>
            <w:rStyle w:val="Hyperlink"/>
          </w:rPr>
          <w:t xml:space="preserve">Table A.8</w:t>
        </w:r>
      </w:hyperlink>
      <w:r>
        <w:t xml:space="preserve"> </w:t>
      </w:r>
      <w:r>
        <w:t xml:space="preserve">is the familiar problem Death in Damascus from</w:t>
      </w:r>
      <w:r>
        <w:t xml:space="preserve"> </w:t>
      </w:r>
      <w:r>
        <w:t xml:space="preserve">Gibbard and Harper (1978)</w:t>
      </w:r>
      <w:r>
        <w:t xml:space="preserve">.</w:t>
      </w:r>
    </w:p>
    <w:p>
      <w:pPr>
        <w:pStyle w:val="BodyText"/>
      </w:pPr>
      <w:r>
        <w:t xml:space="preserve">Let’s do one last one, starting with the familiar game Battle of the Sexes.</w:t>
      </w:r>
      <w:r>
        <w:rPr>
          <w:rStyle w:val="FootnoteReference"/>
        </w:rPr>
        <w:footnoteReference w:id="435"/>
      </w:r>
      <w:r>
        <w:t xml:space="preserve"> </w:t>
      </w:r>
      <w:r>
        <w:t xml:space="preserve">Row and Column each have to choose whether to do R or C. They both prefer doing the same thing to doing different things. But Row would prefer they both do R, and Column would prefer they both do C. The original name comes from a version of the story where Row and Column are a heterosexual married couple, and Row wants to do some stereotypically male thing, while Column wants to do some stereotypically female thing. That framing is tiresome at best, but the category of asymmetric coordination games is not, hence my more abstract presentation. So</w:t>
      </w:r>
      <w:r>
        <w:t xml:space="preserve"> </w:t>
      </w:r>
      <w:hyperlink w:anchor="tbl-bach-stravinsky">
        <w:r>
          <w:rPr>
            <w:rStyle w:val="Hyperlink"/>
          </w:rPr>
          <w:t xml:space="preserve">Table A.9</w:t>
        </w:r>
      </w:hyperlink>
      <w:r>
        <w:t xml:space="preserve"> </w:t>
      </w:r>
      <w:r>
        <w:t xml:space="preserve">is one way we might think of the payouts.</w:t>
      </w:r>
    </w:p>
    <w:tbl>
      <w:tblPr>
        <w:tblStyle w:val="Table"/>
        <w:tblW w:type="pct" w:w="5000"/>
        <w:tblLook w:firstRow="0" w:lastRow="0" w:firstColumn="0" w:lastColumn="0" w:noHBand="0" w:noVBand="0" w:val="0000"/>
        <w:jc w:val="start"/>
        <w:tblLayout w:type="fixed"/>
      </w:tblPr>
      <w:tblGrid>
        <w:gridCol w:w="7920"/>
      </w:tblGrid>
      <w:tr>
        <w:tc>
          <w:tcPr/>
          <w:bookmarkStart w:id="436" w:name="tbl-bach-stravinsky"/>
          <w:p>
            <w:pPr>
              <w:jc w:val="center"/>
            </w:pPr>
            <w:pPr>
              <w:jc w:val="start"/>
              <w:spacing w:before="200"/>
              <w:pStyle w:val="ImageCaption"/>
            </w:pPr>
            <w:r>
              <w:t xml:space="preserve">Table A.9: A version of Battle of the Sexes.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R</w:t>
                  </w:r>
                </w:p>
              </w:tc>
              <w:tc>
                <w:tcPr/>
                <w:p>
                  <w:pPr>
                    <w:pStyle w:val="Compact"/>
                    <w:jc w:val="center"/>
                    <w:jc w:val="center"/>
                  </w:pPr>
                  <w:r>
                    <w:rPr>
                      <w:bCs/>
                      <w:b/>
                    </w:rPr>
                    <w:t xml:space="preserve">C</w:t>
                  </w:r>
                </w:p>
              </w:tc>
            </w:tr>
            <w:tr>
              <w:tc>
                <w:tcPr/>
                <w:p>
                  <w:pPr>
                    <w:pStyle w:val="Compact"/>
                    <w:jc w:val="center"/>
                    <w:jc w:val="center"/>
                  </w:pPr>
                  <w:r>
                    <w:rPr>
                      <w:bCs/>
                      <w:b/>
                    </w:rPr>
                    <w:t xml:space="preserve">R</w:t>
                  </w:r>
                </w:p>
              </w:tc>
              <w:tc>
                <w:tcPr/>
                <w:p>
                  <w:pPr>
                    <w:pStyle w:val="Compact"/>
                    <w:jc w:val="center"/>
                    <w:jc w:val="center"/>
                  </w:pPr>
                  <w:r>
                    <w:t xml:space="preserve">4, 1</w:t>
                  </w:r>
                </w:p>
              </w:tc>
              <w:tc>
                <w:tcPr/>
                <w:p>
                  <w:pPr>
                    <w:pStyle w:val="Compact"/>
                    <w:jc w:val="center"/>
                    <w:jc w:val="center"/>
                  </w:pPr>
                  <w:r>
                    <w:t xml:space="preserve">0, 0</w:t>
                  </w:r>
                </w:p>
              </w:tc>
            </w:tr>
            <w:tr>
              <w:tc>
                <w:tcPr/>
                <w:p>
                  <w:pPr>
                    <w:pStyle w:val="Compact"/>
                    <w:jc w:val="center"/>
                    <w:jc w:val="center"/>
                  </w:pPr>
                  <w:r>
                    <w:rPr>
                      <w:bCs/>
                      <w:b/>
                    </w:rPr>
                    <w:t xml:space="preserve">C</w:t>
                  </w:r>
                </w:p>
              </w:tc>
              <w:tc>
                <w:tcPr/>
                <w:p>
                  <w:pPr>
                    <w:pStyle w:val="Compact"/>
                    <w:jc w:val="center"/>
                    <w:jc w:val="center"/>
                  </w:pPr>
                  <w:r>
                    <w:t xml:space="preserve">0, 0</w:t>
                  </w:r>
                </w:p>
              </w:tc>
              <w:tc>
                <w:tcPr/>
                <w:p>
                  <w:pPr>
                    <w:pStyle w:val="Compact"/>
                    <w:jc w:val="center"/>
                    <w:jc w:val="center"/>
                  </w:pPr>
                  <w:r>
                    <w:t xml:space="preserve">1, 4</w:t>
                  </w:r>
                </w:p>
              </w:tc>
            </w:tr>
          </w:tbl>
          <w:bookmarkEnd w:id="436"/>
          <w:p/>
        </w:tc>
      </w:tr>
    </w:tbl>
    <w:p>
      <w:pPr>
        <w:pStyle w:val="BodyText"/>
      </w:pPr>
      <w:r>
        <w:t xml:space="preserve">As it stands, that’s not a symmetric game. But we can make it a symmetric game by relabelling the choices. Let option A for each player be doing their favoured choice, and option B be doing their less favoured choice. That turns</w:t>
      </w:r>
      <w:r>
        <w:t xml:space="preserve"> </w:t>
      </w:r>
      <w:hyperlink w:anchor="tbl-bach-stravinsky">
        <w:r>
          <w:rPr>
            <w:rStyle w:val="Hyperlink"/>
          </w:rPr>
          <w:t xml:space="preserve">Table A.9</w:t>
        </w:r>
      </w:hyperlink>
      <w:r>
        <w:t xml:space="preserve"> </w:t>
      </w:r>
      <w:r>
        <w:t xml:space="preserve">into</w:t>
      </w:r>
      <w:r>
        <w:t xml:space="preserve"> </w:t>
      </w:r>
      <w:hyperlink w:anchor="tbl-bach-stravinsky-symmetric">
        <w:r>
          <w:rPr>
            <w:rStyle w:val="Hyperlink"/>
          </w:rPr>
          <w:t xml:space="preserve">Table A.10</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7" w:name="tbl-bach-stravinsky-symmetric"/>
          <w:p>
            <w:pPr>
              <w:jc w:val="center"/>
            </w:pPr>
            <w:pPr>
              <w:jc w:val="start"/>
              <w:spacing w:before="200"/>
              <w:pStyle w:val="ImageCaption"/>
            </w:pPr>
            <w:r>
              <w:t xml:space="preserve">Table A.10: Battle of the Sexes, relabelled.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t xml:space="preserve">B</w:t>
                  </w:r>
                </w:p>
              </w:tc>
            </w:tr>
            <w:tr>
              <w:tc>
                <w:tcPr/>
                <w:p>
                  <w:pPr>
                    <w:pStyle w:val="Compact"/>
                    <w:jc w:val="center"/>
                    <w:jc w:val="center"/>
                  </w:pPr>
                  <w:r>
                    <w:rPr>
                      <w:bCs/>
                      <w:b/>
                    </w:rPr>
                    <w:t xml:space="preserve">A</w:t>
                  </w:r>
                </w:p>
              </w:tc>
              <w:tc>
                <w:tcPr/>
                <w:p>
                  <w:pPr>
                    <w:pStyle w:val="Compact"/>
                    <w:jc w:val="center"/>
                    <w:jc w:val="center"/>
                  </w:pPr>
                  <w:r>
                    <w:t xml:space="preserve">0, 0</w:t>
                  </w:r>
                </w:p>
              </w:tc>
              <w:tc>
                <w:tcPr/>
                <w:p>
                  <w:pPr>
                    <w:pStyle w:val="Compact"/>
                    <w:jc w:val="center"/>
                    <w:jc w:val="center"/>
                  </w:pPr>
                  <w:r>
                    <w:t xml:space="preserve">4, 1</w:t>
                  </w:r>
                </w:p>
              </w:tc>
            </w:tr>
            <w:tr>
              <w:tc>
                <w:tcPr/>
                <w:p>
                  <w:pPr>
                    <w:pStyle w:val="Compact"/>
                    <w:jc w:val="center"/>
                    <w:jc w:val="center"/>
                  </w:pPr>
                  <w:r>
                    <w:rPr>
                      <w:bCs/>
                      <w:b/>
                    </w:rPr>
                    <w:t xml:space="preserve">B</w:t>
                  </w:r>
                </w:p>
              </w:tc>
              <w:tc>
                <w:tcPr/>
                <w:p>
                  <w:pPr>
                    <w:pStyle w:val="Compact"/>
                    <w:jc w:val="center"/>
                    <w:jc w:val="center"/>
                  </w:pPr>
                  <w:r>
                    <w:t xml:space="preserve">1, 4</w:t>
                  </w:r>
                </w:p>
              </w:tc>
              <w:tc>
                <w:tcPr/>
                <w:p>
                  <w:pPr>
                    <w:pStyle w:val="Compact"/>
                    <w:jc w:val="center"/>
                    <w:jc w:val="center"/>
                  </w:pPr>
                  <w:r>
                    <w:t xml:space="preserve">0, 0</w:t>
                  </w:r>
                </w:p>
              </w:tc>
            </w:tr>
          </w:tbl>
          <w:bookmarkEnd w:id="437"/>
          <w:p/>
        </w:tc>
      </w:tr>
    </w:tbl>
    <w:p>
      <w:pPr>
        <w:pStyle w:val="BodyText"/>
      </w:pPr>
      <w:r>
        <w:t xml:space="preserve">After making that change, change column’s payouts so that it is a demonic game. The result is</w:t>
      </w:r>
      <w:r>
        <w:t xml:space="preserve"> </w:t>
      </w:r>
      <w:hyperlink w:anchor="tbl-bach-demon">
        <w:r>
          <w:rPr>
            <w:rStyle w:val="Hyperlink"/>
          </w:rPr>
          <w:t xml:space="preserve">Table A.11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8" w:name="tbl-bach-demon"/>
          <w:p>
            <w:pPr>
              <w:jc w:val="center"/>
            </w:pPr>
            <w:pPr>
              <w:jc w:val="start"/>
              <w:spacing w:before="200"/>
              <w:pStyle w:val="ImageCaption"/>
            </w:pPr>
            <w:r>
              <w:t xml:space="preserve">Table A.11: A demonic version of battle of the sexes.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r>
            <w:tr>
              <w:tc>
                <w:tcPr/>
                <w:p>
                  <w:pPr>
                    <w:pStyle w:val="Compact"/>
                    <w:jc w:val="center"/>
                    <w:jc w:val="center"/>
                  </w:pPr>
                  <w:r>
                    <w:rPr>
                      <w:bCs/>
                      <w:b/>
                    </w:rPr>
                    <w:t xml:space="preserve">A</w:t>
                  </w:r>
                </w:p>
              </w:tc>
              <w:tc>
                <w:tcPr/>
                <w:p>
                  <w:pPr>
                    <w:pStyle w:val="Compact"/>
                    <w:jc w:val="center"/>
                    <w:jc w:val="center"/>
                  </w:pPr>
                  <w:r>
                    <w:t xml:space="preserve">0, 1</w:t>
                  </w:r>
                </w:p>
              </w:tc>
              <w:tc>
                <w:tcPr/>
                <w:p>
                  <w:pPr>
                    <w:pStyle w:val="Compact"/>
                    <w:jc w:val="center"/>
                    <w:jc w:val="center"/>
                  </w:pPr>
                  <w:r>
                    <w:t xml:space="preserve">4, 0</w:t>
                  </w:r>
                </w:p>
              </w:tc>
            </w:tr>
            <w:tr>
              <w:tc>
                <w:tcPr/>
                <w:p>
                  <w:pPr>
                    <w:pStyle w:val="Compact"/>
                    <w:jc w:val="center"/>
                    <w:jc w:val="center"/>
                  </w:pPr>
                  <w:r>
                    <w:rPr>
                      <w:bCs/>
                      <w:b/>
                    </w:rPr>
                    <w:t xml:space="preserve">B</w:t>
                  </w:r>
                </w:p>
              </w:tc>
              <w:tc>
                <w:tcPr/>
                <w:p>
                  <w:pPr>
                    <w:pStyle w:val="Compact"/>
                    <w:jc w:val="center"/>
                    <w:jc w:val="center"/>
                  </w:pPr>
                  <w:r>
                    <w:t xml:space="preserve">1, 0</w:t>
                  </w:r>
                </w:p>
              </w:tc>
              <w:tc>
                <w:tcPr/>
                <w:p>
                  <w:pPr>
                    <w:pStyle w:val="Compact"/>
                    <w:jc w:val="center"/>
                    <w:jc w:val="center"/>
                  </w:pPr>
                  <w:r>
                    <w:t xml:space="preserve">0, 1</w:t>
                  </w:r>
                </w:p>
              </w:tc>
            </w:tr>
          </w:tbl>
          <w:bookmarkEnd w:id="438"/>
          <w:p/>
        </w:tc>
      </w:tr>
    </w:tbl>
    <w:p>
      <w:pPr>
        <w:pStyle w:val="BodyText"/>
      </w:pPr>
      <w:r>
        <w:t xml:space="preserve">Finally, replace Demon’s choices with states generated by (probably accurate) predictions, to get the decision problem in</w:t>
      </w:r>
      <w:r>
        <w:t xml:space="preserve"> </w:t>
      </w:r>
      <w:hyperlink w:anchor="tbl-asymm-death-damascus">
        <w:r>
          <w:rPr>
            <w:rStyle w:val="Hyperlink"/>
          </w:rPr>
          <w:t xml:space="preserve">Table A.12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9" w:name="tbl-asymm-death-damascus"/>
          <w:p>
            <w:pPr>
              <w:jc w:val="center"/>
            </w:pPr>
            <w:pPr>
              <w:jc w:val="start"/>
              <w:spacing w:before="200"/>
              <w:pStyle w:val="ImageCaption"/>
            </w:pPr>
            <w:r>
              <w:t xml:space="preserve">Table A.12: A demonic decision problem based on Battle of the Sexes.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rPr>
                      <w:bCs/>
                      <w:b/>
                    </w:rPr>
                    <w:t xml:space="preserve">B</w:t>
                  </w:r>
                </w:p>
              </w:tc>
              <w:tc>
                <w:tcPr/>
                <w:p>
                  <w:pPr>
                    <w:pStyle w:val="Compact"/>
                    <w:jc w:val="center"/>
                    <w:jc w:val="center"/>
                  </w:pPr>
                  <w:r>
                    <w:t xml:space="preserve">1</w:t>
                  </w:r>
                </w:p>
              </w:tc>
              <w:tc>
                <w:tcPr/>
                <w:p>
                  <w:pPr>
                    <w:pStyle w:val="Compact"/>
                    <w:jc w:val="center"/>
                    <w:jc w:val="center"/>
                  </w:pPr>
                  <w:r>
                    <w:t xml:space="preserve">0</w:t>
                  </w:r>
                </w:p>
              </w:tc>
            </w:tr>
          </w:tbl>
          <w:bookmarkEnd w:id="439"/>
          <w:p/>
        </w:tc>
      </w:tr>
    </w:tbl>
    <w:p>
      <w:pPr>
        <w:pStyle w:val="BodyText"/>
      </w:pPr>
      <w:r>
        <w:t xml:space="preserve">That decision problem is the asymmetric version of Death in Damascus from</w:t>
      </w:r>
      <w:r>
        <w:t xml:space="preserve"> </w:t>
      </w:r>
      <w:r>
        <w:t xml:space="preserve">Richter (1984)</w:t>
      </w:r>
      <w:r>
        <w:t xml:space="preserve">.</w:t>
      </w:r>
    </w:p>
    <w:p>
      <w:pPr>
        <w:pStyle w:val="BodyText"/>
      </w:pPr>
      <w:r>
        <w:t xml:space="preserve">The point of this section has not just been to show that we can turn games into decision problems by treating one of the players as a predictor. That’s true, but not in itself that interesting. Instead I want to make two further points.</w:t>
      </w:r>
    </w:p>
    <w:p>
      <w:pPr>
        <w:pStyle w:val="BodyText"/>
      </w:pPr>
      <w:r>
        <w:t xml:space="preserve">One is that most of the problems that have been the focus of attention in the decision theory literature in the past couple of generations can be generated from very familiar games, the kinds of games you find in the first one or two chapters of a game theory textbook. And the generation method is fairly similar in each respect.</w:t>
      </w:r>
    </w:p>
    <w:p>
      <w:pPr>
        <w:pStyle w:val="BodyText"/>
      </w:pPr>
      <w:r>
        <w:t xml:space="preserve">The second point is that most of the simple games you find in those introductory chapters turn out to result, once you transform them this way, in demonic decision problems that have been widely discussed. But there is just one exception here. There hasn’t been a huge amount of discussion of the demonic decision problem you get when you start with the game known as Stag Hunt. One of the aims of this book has to been to remedy that. Particularly in</w:t>
      </w:r>
      <w:r>
        <w:t xml:space="preserve"> </w:t>
      </w:r>
      <w:hyperlink w:anchor="sec-indecisive">
        <w:r>
          <w:rPr>
            <w:rStyle w:val="Hyperlink"/>
          </w:rPr>
          <w:t xml:space="preserve">Chapter 8</w:t>
        </w:r>
      </w:hyperlink>
      <w:r>
        <w:t xml:space="preserve"> </w:t>
      </w:r>
      <w:r>
        <w:t xml:space="preserve">I’ve relied on demonic decision problems that you get by starting with Stag Hunt and applying the transformations discussed in this appendix.</w:t>
      </w:r>
    </w:p>
    <w:p>
      <w:pPr>
        <w:pStyle w:val="BodyText"/>
      </w:pPr>
      <w:r>
        <w:t xml:space="preserve">But there are so many more interesting examples from game theory that could be used to generate interesting decision problems. I’ve made heavy use in this book of demonic decision problems that are generated by thinking of the beer-quiche game from</w:t>
      </w:r>
      <w:r>
        <w:t xml:space="preserve"> </w:t>
      </w:r>
      <w:r>
        <w:t xml:space="preserve">Cho and Kreps (1987)</w:t>
      </w:r>
      <w:r>
        <w:t xml:space="preserve"> </w:t>
      </w:r>
      <w:r>
        <w:t xml:space="preserve">as a demonic decision problem. I’m sure that there are more interesting arguments that can be generated by transforming other games into demonic decision problems.</w:t>
      </w:r>
    </w:p>
    <w:bookmarkEnd w:id="440"/>
    <w:bookmarkStart w:id="441" w:name="sec-nidt"/>
    <w:p>
      <w:pPr>
        <w:pStyle w:val="Heading1"/>
      </w:pPr>
      <w:r>
        <w:t xml:space="preserve">Appendix B — Non-Ideal Decision Theory</w:t>
      </w:r>
    </w:p>
    <w:bookmarkEnd w:id="441"/>
    <w:bookmarkStart w:id="442" w:name="sec-rps"/>
    <w:p>
      <w:pPr>
        <w:pStyle w:val="Heading1"/>
      </w:pPr>
      <w:r>
        <w:t xml:space="preserve">Appendix C — Rock-Paper-Scissors</w:t>
      </w:r>
    </w:p>
    <w:p>
      <w:pPr>
        <w:pStyle w:val="FirstParagraph"/>
      </w:pPr>
      <w:r>
        <w:t xml:space="preserve">This appendix shows how to find the equilibrium of</w:t>
      </w:r>
      <w:r>
        <w:t xml:space="preserve"> </w:t>
      </w:r>
      <w:hyperlink w:anchor="tbl-rps-modified">
        <w:r>
          <w:rPr>
            <w:rStyle w:val="Hyperlink"/>
          </w:rPr>
          <w:t xml:space="preserve">Table 2.2 (b)</w:t>
        </w:r>
      </w:hyperlink>
      <w:r>
        <w:t xml:space="preserve">, the version of Rock-Paper-Scissors where it is common knowledge that the players will get a bonus of</w:t>
      </w:r>
      <w:r>
        <w:t xml:space="preserve"> </w:t>
      </w:r>
      <w:r>
        <w:rPr>
          <w:iCs/>
          <w:i/>
        </w:rPr>
        <w:t xml:space="preserve">c</w:t>
      </w:r>
      <w:r>
        <w:t xml:space="preserve"> &gt; 0 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w:r>
        <w:rPr>
          <w:iCs/>
          <w:i/>
        </w:rPr>
        <w:t xml:space="preserve">x</w:t>
      </w:r>
      <w:r>
        <w:t xml:space="preserve"> </w:t>
      </w:r>
      <w:r>
        <w:t xml:space="preserve">be the probability (in equilibrium) that Column plays Rock,</w:t>
      </w:r>
      <w:r>
        <w:t xml:space="preserve"> </w:t>
      </w:r>
      <w:r>
        <w:rPr>
          <w:iCs/>
          <w:i/>
        </w:rPr>
        <w:t xml:space="preserve">y</w:t>
      </w:r>
      <w:r>
        <w:t xml:space="preserve"> </w:t>
      </w:r>
      <w:r>
        <w:t xml:space="preserve">that they play Paper, and</w:t>
      </w:r>
      <w:r>
        <w:t xml:space="preserve"> </w:t>
      </w:r>
      <w:r>
        <w:rPr>
          <w:iCs/>
          <w:i/>
        </w:rPr>
        <w:t xml:space="preserve">z</w:t>
      </w:r>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w:r>
        <w:rPr>
          <w:iCs/>
          <w:i/>
        </w:rPr>
        <w:t xml:space="preserve">x</w:t>
      </w:r>
      <w:r>
        <w:t xml:space="preserve"> + </w:t>
      </w:r>
      <w:r>
        <w:rPr>
          <w:iCs/>
          <w:i/>
        </w:rPr>
        <w:t xml:space="preserve">y</w:t>
      </w:r>
      <w:r>
        <w:t xml:space="preserve"> + </w:t>
      </w:r>
      <w:r>
        <w:rPr>
          <w:iCs/>
          <w:i/>
        </w:rPr>
        <w:t xml:space="preserve">z</w:t>
      </w:r>
      <w:r>
        <w:t xml:space="preserve"> = 1</w:t>
      </w:r>
      <w:r>
        <w:rPr>
          <w:iCs/>
          <w:i/>
        </w:rPr>
        <w:t xml:space="preserve">.</w:t>
      </w:r>
      <w:r>
        <w:t xml:space="preserve"> </w:t>
      </w:r>
      <w:r>
        <w:t xml:space="preserve">Since</w:t>
      </w:r>
      <w:r>
        <w:t xml:space="preserve"> </w:t>
      </w:r>
      <w:r>
        <w:rPr>
          <w:iCs/>
          <w:i/>
        </w:rPr>
        <w:t xml:space="preserve">x</w:t>
      </w:r>
      <w:r>
        <w:t xml:space="preserve"> ‑ z = </w:t>
      </w:r>
      <w:r>
        <w:rPr>
          <w:iCs/>
          <w:i/>
        </w:rPr>
        <w:t xml:space="preserve">y</w:t>
      </w:r>
      <w:r>
        <w:t xml:space="preserve"> ‑ </w:t>
      </w:r>
      <w:r>
        <w:rPr>
          <w:iCs/>
          <w:i/>
        </w:rPr>
        <w:t xml:space="preserve">x</w:t>
      </w:r>
      <w:r>
        <w:t xml:space="preserve">, it follows that</w:t>
      </w:r>
      <w:r>
        <w:t xml:space="preserve"> </w:t>
      </w:r>
      <w:r>
        <w:rPr>
          <w:iCs/>
          <w:i/>
        </w:rPr>
        <w:t xml:space="preserve">x</w:t>
      </w:r>
      <w:r>
        <w:t xml:space="preserve"> = </w:t>
      </w:r>
      <m:oMath>
        <m:f>
          <m:fPr>
            <m:type m:val="bar"/>
          </m:fPr>
          <m:num>
            <m:r>
              <m:t>y</m:t>
            </m:r>
            <m:r>
              <m:rPr>
                <m:sty m:val="p"/>
              </m:rPr>
              <m:t>+</m:t>
            </m:r>
            <m:r>
              <m:t>z</m:t>
            </m:r>
          </m:num>
          <m:den>
            <m:r>
              <m:t>2</m:t>
            </m:r>
          </m:den>
        </m:f>
      </m:oMath>
      <w:r>
        <w:t xml:space="preserve">. And that plus the fact that</w:t>
      </w:r>
      <w:r>
        <w:t xml:space="preserve"> </w:t>
      </w:r>
      <w:r>
        <w:rPr>
          <w:iCs/>
          <w:i/>
        </w:rPr>
        <w:t xml:space="preserve">x</w:t>
      </w:r>
      <w:r>
        <w:t xml:space="preserve"> + </w:t>
      </w:r>
      <w:r>
        <w:rPr>
          <w:iCs/>
          <w:i/>
        </w:rPr>
        <w:t xml:space="preserve">y</w:t>
      </w:r>
      <w:r>
        <w:t xml:space="preserve"> + </w:t>
      </w:r>
      <w:r>
        <w:rPr>
          <w:iCs/>
          <w:i/>
        </w:rPr>
        <w:t xml:space="preserve">z</w:t>
      </w:r>
      <w:r>
        <w:t xml:space="preserve"> = 1 implies that</w:t>
      </w:r>
      <w:r>
        <w:t xml:space="preserve"> </w:t>
      </w:r>
      <w:r>
        <w:rPr>
          <w:iCs/>
          <w:i/>
        </w:rPr>
        <w:t xml:space="preserve">x</w:t>
      </w:r>
      <w:r>
        <w:t xml:space="preserve"> = </w:t>
      </w:r>
      <w:r>
        <w:t xml:space="preserve"> </w:t>
      </w:r>
      <m:oMath>
        <m:f>
          <m:fPr>
            <m:type m:val="bar"/>
          </m:fPr>
          <m:num>
            <m:r>
              <m:t>1</m:t>
            </m:r>
          </m:num>
          <m:den>
            <m:r>
              <m:t>3</m:t>
            </m:r>
          </m:den>
        </m:f>
      </m:oMath>
      <w:r>
        <w:t xml:space="preserve">. So we’ve already shown one of the surprising results; adding in the bonus</w:t>
      </w:r>
      <w:r>
        <w:t xml:space="preserve"> </w:t>
      </w:r>
      <w:r>
        <w:rPr>
          <w:iCs/>
          <w:i/>
        </w:rPr>
        <w:t xml:space="preserve">c</w:t>
      </w:r>
      <w:r>
        <w:t xml:space="preserve"> </w:t>
      </w:r>
      <w:r>
        <w:t xml:space="preserve">will not change the probability with which Rock is played. Substituting this value for</w:t>
      </w:r>
      <w:r>
        <w:t xml:space="preserve"> </w:t>
      </w:r>
      <w:r>
        <w:rPr>
          <w:iCs/>
          <w:i/>
        </w:rPr>
        <w:t xml:space="preserve">x</w:t>
      </w:r>
      <w:r>
        <w:t xml:space="preserve"> </w:t>
      </w:r>
      <w:r>
        <w:t xml:space="preserve">into the fact that Rock and Paper have the same payout, we get the following.</w:t>
      </w:r>
    </w:p>
    <w:p>
      <w:pPr>
        <w:pStyle w:val="BodyText"/>
      </w:pPr>
      <w:r>
        <w:t xml:space="preserve">Now we can substitute the values for</w:t>
      </w:r>
      <w:r>
        <w:t xml:space="preserve"> </w:t>
      </w:r>
      <w:r>
        <w:rPr>
          <w:iCs/>
          <w:i/>
        </w:rPr>
        <w:t xml:space="preserve">x</w:t>
      </w:r>
      <w:r>
        <w:t xml:space="preserve"> </w:t>
      </w:r>
      <w:r>
        <w:t xml:space="preserve">and</w:t>
      </w:r>
      <w:r>
        <w:t xml:space="preserve"> </w:t>
      </w:r>
      <w:r>
        <w:rPr>
          <w:iCs/>
          <w:i/>
        </w:rPr>
        <w:t xml:space="preserve">z</w:t>
      </w:r>
      <w:r>
        <w:t xml:space="preserve"> </w:t>
      </w:r>
      <w:r>
        <w:t xml:space="preserve">into the fact that</w:t>
      </w:r>
      <w:r>
        <w:t xml:space="preserve"> </w:t>
      </w:r>
      <w:r>
        <w:rPr>
          <w:iCs/>
          <w:i/>
        </w:rPr>
        <w:t xml:space="preserve">x</w:t>
      </w:r>
      <w:r>
        <w:t xml:space="preserve"> + </w:t>
      </w:r>
      <w:r>
        <w:rPr>
          <w:iCs/>
          <w:i/>
        </w:rPr>
        <w:t xml:space="preserve">y</w:t>
      </w:r>
      <w:r>
        <w:t xml:space="preserve"> + </w:t>
      </w:r>
      <w:r>
        <w:rPr>
          <w:iCs/>
          <w:i/>
        </w:rPr>
        <w:t xml:space="preserve">z</w:t>
      </w:r>
      <w:r>
        <w:t xml:space="preserve"> = 1.</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w:r>
        <w:rPr>
          <w:iCs/>
          <w:i/>
        </w:rPr>
        <w:t xml:space="preserve">c</w:t>
      </w:r>
      <w:r>
        <w:t xml:space="preserve"> </w:t>
      </w:r>
      <w:r>
        <w:t xml:space="preserve">increases. But note that</w:t>
      </w:r>
      <w:r>
        <w:t xml:space="preserve"> </w:t>
      </w:r>
      <w:r>
        <w:rPr>
          <w:iCs/>
          <w:i/>
        </w:rPr>
        <w:t xml:space="preserve">x</w:t>
      </w:r>
      <w:r>
        <w:t xml:space="preserve">, the probability that a player plays Rock, is invariant as</w:t>
      </w:r>
      <w:r>
        <w:t xml:space="preserve"> </w:t>
      </w:r>
      <w:r>
        <w:rPr>
          <w:iCs/>
          <w:i/>
        </w:rPr>
        <w:t xml:space="preserve">c</w:t>
      </w:r>
      <w:r>
        <w:t xml:space="preserve"> </w:t>
      </w:r>
      <w:r>
        <w:t xml:space="preserve">changes. And</w:t>
      </w:r>
      <w:r>
        <w:t xml:space="preserve"> </w:t>
      </w:r>
      <w:r>
        <w:rPr>
          <w:iCs/>
          <w:i/>
        </w:rPr>
        <w:t xml:space="preserve">z</w:t>
      </w:r>
      <w:r>
        <w:t xml:space="preserve">, the probability that a player plays Scissors, goes down as</w:t>
      </w:r>
      <w:r>
        <w:t xml:space="preserve"> </w:t>
      </w:r>
      <w:r>
        <w:rPr>
          <w:iCs/>
          <w:i/>
        </w:rPr>
        <w:t xml:space="preserve">c</w:t>
      </w:r>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442"/>
    <w:bookmarkStart w:id="450" w:name="sec-war-signal"/>
    <w:p>
      <w:pPr>
        <w:pStyle w:val="Heading1"/>
      </w:pPr>
      <w:r>
        <w:t xml:space="preserve">Appendix D — Signals and Outcomes</w:t>
      </w:r>
    </w:p>
    <w:p>
      <w:pPr>
        <w:pStyle w:val="FirstParagraph"/>
      </w:pPr>
      <w:r>
        <w:t xml:space="preserve">In</w:t>
      </w:r>
      <w:r>
        <w:t xml:space="preserve"> </w:t>
      </w:r>
      <w:hyperlink w:anchor="sec-war-on-war">
        <w:r>
          <w:rPr>
            <w:rStyle w:val="Hyperlink"/>
          </w:rPr>
          <w:t xml:space="preserve">Section 4.3</w:t>
        </w:r>
      </w:hyperlink>
      <w:r>
        <w:t xml:space="preserve">, I said there was another case where EDT left one with less money, and where this didn’t rely on having different evidence in the high return case to the low return case. This appendix describes such a case. It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D.1</w:t>
        </w:r>
      </w:hyperlink>
      <w:r>
        <w:t xml:space="preserve">. (The payoffs here are all in utils.)</w:t>
      </w:r>
    </w:p>
    <w:tbl>
      <w:tblPr>
        <w:tblStyle w:val="Table"/>
        <w:tblW w:type="pct" w:w="5000"/>
        <w:tblLook w:firstRow="0" w:lastRow="0" w:firstColumn="0" w:lastColumn="0" w:noHBand="0" w:noVBand="0" w:val="0000"/>
        <w:jc w:val="start"/>
        <w:tblLayout w:type="fixed"/>
      </w:tblPr>
      <w:tblGrid>
        <w:gridCol w:w="7920"/>
      </w:tblGrid>
      <w:tr>
        <w:tc>
          <w:tcPr/>
          <w:bookmarkStart w:id="443" w:name="tbl-payoffs-demon-coin"/>
          <w:p>
            <w:pPr>
              <w:jc w:val="center"/>
            </w:pPr>
            <w:pPr>
              <w:jc w:val="start"/>
              <w:spacing w:before="200"/>
              <w:pStyle w:val="ImageCaption"/>
            </w:pPr>
            <w:r>
              <w:t xml:space="preserve">Table D.1: Payouts for the coins and signals game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center"/>
                    <w:jc w:val="center"/>
                  </w:pPr>
                  <w:r>
                    <w:t xml:space="preserve">Coin</w:t>
                  </w:r>
                </w:p>
              </w:tc>
              <w:tc>
                <w:tcPr/>
                <w:p>
                  <w:pPr>
                    <w:pStyle w:val="Compact"/>
                    <w:jc w:val="center"/>
                    <w:jc w:val="center"/>
                  </w:pPr>
                  <w:r>
                    <w:t xml:space="preserve">Chooser</w:t>
                  </w:r>
                </w:p>
              </w:tc>
              <w:tc>
                <w:tcPr/>
                <w:p>
                  <w:pPr>
                    <w:pStyle w:val="Compact"/>
                    <w:jc w:val="center"/>
                    <w:jc w:val="center"/>
                  </w:pPr>
                  <w:r>
                    <w:t xml:space="preserve">Demon</w:t>
                  </w:r>
                </w:p>
              </w:tc>
              <w:tc>
                <w:tcPr/>
                <w:p>
                  <w:pPr>
                    <w:pStyle w:val="Compact"/>
                    <w:jc w:val="center"/>
                    <w:jc w:val="center"/>
                  </w:pPr>
                  <w:r>
                    <w:t xml:space="preserve">Chooser Payoff</w:t>
                  </w:r>
                </w:p>
              </w:tc>
              <w:tc>
                <w:tcPr/>
                <w:p>
                  <w:pPr>
                    <w:pStyle w:val="Compact"/>
                    <w:jc w:val="center"/>
                    <w:jc w:val="center"/>
                  </w:pPr>
                  <w:r>
                    <w:t xml:space="preserve">Demon Payoff</w:t>
                  </w:r>
                </w:p>
              </w:tc>
            </w:tr>
            <w:tr>
              <w:tc>
                <w:tcPr/>
                <w:p>
                  <w:pPr>
                    <w:pStyle w:val="Compact"/>
                    <w:jc w:val="center"/>
                    <w:jc w:val="center"/>
                  </w:pPr>
                  <w:r>
                    <w:t xml:space="preserve">H</w:t>
                  </w:r>
                </w:p>
              </w:tc>
              <w:tc>
                <w:tcPr/>
                <w:p>
                  <w:pPr>
                    <w:pStyle w:val="Compact"/>
                    <w:jc w:val="center"/>
                    <w:jc w:val="center"/>
                  </w:pPr>
                  <w:r>
                    <w:t xml:space="preserve">U</w:t>
                  </w:r>
                </w:p>
              </w:tc>
              <w:tc>
                <w:tcPr/>
                <w:p>
                  <w:pPr>
                    <w:pStyle w:val="Compact"/>
                    <w:jc w:val="center"/>
                    <w:jc w:val="center"/>
                  </w:pPr>
                  <w:r>
                    <w:t xml:space="preserve">H</w:t>
                  </w:r>
                </w:p>
              </w:tc>
              <w:tc>
                <w:tcPr/>
                <w:p>
                  <w:pPr>
                    <w:pStyle w:val="Compact"/>
                    <w:jc w:val="center"/>
                    <w:jc w:val="center"/>
                  </w:pPr>
                  <w:r>
                    <w:t xml:space="preserve">40</w:t>
                  </w:r>
                </w:p>
              </w:tc>
              <w:tc>
                <w:tcPr/>
                <w:p>
                  <w:pPr>
                    <w:pStyle w:val="Compact"/>
                    <w:jc w:val="center"/>
                    <w:jc w:val="center"/>
                  </w:pPr>
                  <w:r>
                    <w:t xml:space="preserve">1</w:t>
                  </w:r>
                </w:p>
              </w:tc>
            </w:tr>
            <w:tr>
              <w:tc>
                <w:tcPr/>
                <w:p>
                  <w:pPr>
                    <w:pStyle w:val="Compact"/>
                    <w:jc w:val="center"/>
                    <w:jc w:val="center"/>
                  </w:pPr>
                  <w:r>
                    <w:t xml:space="preserve">H</w:t>
                  </w:r>
                </w:p>
              </w:tc>
              <w:tc>
                <w:tcPr/>
                <w:p>
                  <w:pPr>
                    <w:pStyle w:val="Compact"/>
                    <w:jc w:val="center"/>
                    <w:jc w:val="center"/>
                  </w:pPr>
                  <w:r>
                    <w:t xml:space="preserve">U</w:t>
                  </w:r>
                </w:p>
              </w:tc>
              <w:tc>
                <w:tcPr/>
                <w:p>
                  <w:pPr>
                    <w:pStyle w:val="Compact"/>
                    <w:jc w:val="center"/>
                    <w:jc w:val="center"/>
                  </w:pPr>
                  <w:r>
                    <w:t xml:space="preserve">T</w:t>
                  </w:r>
                </w:p>
              </w:tc>
              <w:tc>
                <w:tcPr/>
                <w:p>
                  <w:pPr>
                    <w:pStyle w:val="Compact"/>
                    <w:jc w:val="center"/>
                    <w:jc w:val="center"/>
                  </w:pPr>
                  <w:r>
                    <w:t xml:space="preserve">400</w:t>
                  </w:r>
                </w:p>
              </w:tc>
              <w:tc>
                <w:tcPr/>
                <w:p>
                  <w:pPr>
                    <w:pStyle w:val="Compact"/>
                    <w:jc w:val="center"/>
                    <w:jc w:val="center"/>
                  </w:pPr>
                  <w:r>
                    <w:t xml:space="preserve">0</w:t>
                  </w:r>
                </w:p>
              </w:tc>
            </w:tr>
            <w:tr>
              <w:tc>
                <w:tcPr/>
                <w:p>
                  <w:pPr>
                    <w:pStyle w:val="Compact"/>
                    <w:jc w:val="center"/>
                    <w:jc w:val="center"/>
                  </w:pPr>
                  <w:r>
                    <w:t xml:space="preserve">H</w:t>
                  </w:r>
                </w:p>
              </w:tc>
              <w:tc>
                <w:tcPr/>
                <w:p>
                  <w:pPr>
                    <w:pStyle w:val="Compact"/>
                    <w:jc w:val="center"/>
                    <w:jc w:val="center"/>
                  </w:pPr>
                  <w:r>
                    <w:t xml:space="preserve">D</w:t>
                  </w:r>
                </w:p>
              </w:tc>
              <w:tc>
                <w:tcPr/>
                <w:p>
                  <w:pPr>
                    <w:pStyle w:val="Compact"/>
                    <w:jc w:val="center"/>
                    <w:jc w:val="center"/>
                  </w:pPr>
                  <w:r>
                    <w:t xml:space="preserve">H</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H</w:t>
                  </w:r>
                </w:p>
              </w:tc>
              <w:tc>
                <w:tcPr/>
                <w:p>
                  <w:pPr>
                    <w:pStyle w:val="Compact"/>
                    <w:jc w:val="center"/>
                    <w:jc w:val="center"/>
                  </w:pPr>
                  <w:r>
                    <w:t xml:space="preserve">D</w:t>
                  </w:r>
                </w:p>
              </w:tc>
              <w:tc>
                <w:tcPr/>
                <w:p>
                  <w:pPr>
                    <w:pStyle w:val="Compact"/>
                    <w:jc w:val="center"/>
                    <w:jc w:val="center"/>
                  </w:pPr>
                  <w:r>
                    <w:t xml:space="preserve">T</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U</w:t>
                  </w:r>
                </w:p>
              </w:tc>
              <w:tc>
                <w:tcPr/>
                <w:p>
                  <w:pPr>
                    <w:pStyle w:val="Compact"/>
                    <w:jc w:val="center"/>
                    <w:jc w:val="center"/>
                  </w:pPr>
                  <w:r>
                    <w:t xml:space="preserve">H</w:t>
                  </w:r>
                </w:p>
              </w:tc>
              <w:tc>
                <w:tcPr/>
                <w:p>
                  <w:pPr>
                    <w:pStyle w:val="Compact"/>
                    <w:jc w:val="center"/>
                    <w:jc w:val="center"/>
                  </w:pPr>
                  <w:r>
                    <w:t xml:space="preserve">40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U</w:t>
                  </w:r>
                </w:p>
              </w:tc>
              <w:tc>
                <w:tcPr/>
                <w:p>
                  <w:pPr>
                    <w:pStyle w:val="Compact"/>
                    <w:jc w:val="center"/>
                    <w:jc w:val="center"/>
                  </w:pPr>
                  <w:r>
                    <w:t xml:space="preserve">T</w:t>
                  </w:r>
                </w:p>
              </w:tc>
              <w:tc>
                <w:tcPr/>
                <w:p>
                  <w:pPr>
                    <w:pStyle w:val="Compact"/>
                    <w:jc w:val="center"/>
                    <w:jc w:val="center"/>
                  </w:pPr>
                  <w:r>
                    <w:t xml:space="preserve">28</w:t>
                  </w:r>
                </w:p>
              </w:tc>
              <w:tc>
                <w:tcPr/>
                <w:p>
                  <w:pPr>
                    <w:pStyle w:val="Compact"/>
                    <w:jc w:val="center"/>
                    <w:jc w:val="center"/>
                  </w:pPr>
                  <w:r>
                    <w:t xml:space="preserve">1</w:t>
                  </w:r>
                </w:p>
              </w:tc>
            </w:tr>
            <w:tr>
              <w:tc>
                <w:tcPr/>
                <w:p>
                  <w:pPr>
                    <w:pStyle w:val="Compact"/>
                    <w:jc w:val="center"/>
                    <w:jc w:val="center"/>
                  </w:pPr>
                  <w:r>
                    <w:t xml:space="preserve">T</w:t>
                  </w:r>
                </w:p>
              </w:tc>
              <w:tc>
                <w:tcPr/>
                <w:p>
                  <w:pPr>
                    <w:pStyle w:val="Compact"/>
                    <w:jc w:val="center"/>
                    <w:jc w:val="center"/>
                  </w:pPr>
                  <w:r>
                    <w:t xml:space="preserve">D</w:t>
                  </w:r>
                </w:p>
              </w:tc>
              <w:tc>
                <w:tcPr/>
                <w:p>
                  <w:pPr>
                    <w:pStyle w:val="Compact"/>
                    <w:jc w:val="center"/>
                    <w:jc w:val="center"/>
                  </w:pPr>
                  <w:r>
                    <w:t xml:space="preserve">H</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D</w:t>
                  </w:r>
                </w:p>
              </w:tc>
              <w:tc>
                <w:tcPr/>
                <w:p>
                  <w:pPr>
                    <w:pStyle w:val="Compact"/>
                    <w:jc w:val="center"/>
                    <w:jc w:val="center"/>
                  </w:pPr>
                  <w:r>
                    <w:t xml:space="preserve">T</w:t>
                  </w:r>
                </w:p>
              </w:tc>
              <w:tc>
                <w:tcPr/>
                <w:p>
                  <w:pPr>
                    <w:pStyle w:val="Compact"/>
                    <w:jc w:val="center"/>
                    <w:jc w:val="center"/>
                  </w:pPr>
                  <w:r>
                    <w:t xml:space="preserve">44</w:t>
                  </w:r>
                </w:p>
              </w:tc>
              <w:tc>
                <w:tcPr/>
                <w:p>
                  <w:pPr>
                    <w:pStyle w:val="Compact"/>
                    <w:jc w:val="center"/>
                    <w:jc w:val="center"/>
                  </w:pPr>
                  <w:r>
                    <w:t xml:space="preserve">1</w:t>
                  </w:r>
                </w:p>
              </w:tc>
            </w:tr>
          </w:tbl>
          <w:bookmarkEnd w:id="443"/>
          <w:p/>
        </w:tc>
      </w:tr>
    </w:tbl>
    <w:p>
      <w:pPr>
        <w:pStyle w:val="BodyText"/>
      </w:pPr>
      <w:hyperlink w:anchor="fig-second-anti-war">
        <w:r>
          <w:rPr>
            <w:rStyle w:val="Hyperlink"/>
          </w:rPr>
          <w:t xml:space="preserve">Figure D.1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Layout w:type="fixed"/>
      </w:tblPr>
      <w:tblGrid>
        <w:gridCol w:w="7920"/>
      </w:tblGrid>
      <w:tr>
        <w:tc>
          <w:tcPr/>
          <w:bookmarkStart w:id="447" w:name="fig-second-anti-war"/>
          <w:p>
            <w:pPr>
              <w:pStyle w:val="Compact"/>
              <w:jc w:val="center"/>
            </w:pPr>
            <w:r>
              <w:drawing>
                <wp:inline>
                  <wp:extent cx="2211074" cy="3208045"/>
                  <wp:effectExtent b="0" l="0" r="0" t="0"/>
                  <wp:docPr descr="" title="" id="445" name="Picture"/>
                  <a:graphic>
                    <a:graphicData uri="http://schemas.openxmlformats.org/drawingml/2006/picture">
                      <pic:pic>
                        <pic:nvPicPr>
                          <pic:cNvPr descr="war-signal_files/figure-docx/fig-second-anti-war-1.png" id="446" name="Picture"/>
                          <pic:cNvPicPr>
                            <a:picLocks noChangeArrowheads="1" noChangeAspect="1"/>
                          </pic:cNvPicPr>
                        </pic:nvPicPr>
                        <pic:blipFill>
                          <a:blip r:embed="rId444"/>
                          <a:stretch>
                            <a:fillRect/>
                          </a:stretch>
                        </pic:blipFill>
                        <pic:spPr bwMode="auto">
                          <a:xfrm>
                            <a:off x="0" y="0"/>
                            <a:ext cx="2211074"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D.1: Tree Diagram of the Coins and Signals Game</w:t>
            </w:r>
          </w:p>
          <w:bookmarkEnd w:id="447"/>
        </w:tc>
      </w:tr>
    </w:tbl>
    <w:p>
      <w:pPr>
        <w:pStyle w:val="BodyText"/>
      </w:pPr>
      <w:r>
        <w:t xml:space="preserve">Demon predicts Chooser’s strategy. That is, Demon predicts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if Demon is surprised by what Chooser does, i.e., if they had predicted Chooser would do one thing however the coin lands but Chooser does the other thing, Demon will also flip their own coin to make a guess.</w:t>
      </w:r>
      <w:r>
        <w:rPr>
          <w:rStyle w:val="FootnoteReference"/>
        </w:rPr>
        <w:footnoteReference w:id="448"/>
      </w:r>
      <w:r>
        <w:t xml:space="preserve"> </w:t>
      </w:r>
      <w:r>
        <w:t xml:space="preserve">Finally, Demon’s predictions are arbitrarily accurate. For simplicity, I’ll assume Demon is correct with probability 1, though it doesn’t matter if you allow for probability</w:t>
      </w:r>
      <w:r>
        <w:t xml:space="preserve"> </w:t>
      </w:r>
      <m:oMath>
        <m:r>
          <m:t>ε</m:t>
        </m:r>
      </m:oMath>
      <w:r>
        <w:t xml:space="preserve"> </w:t>
      </w:r>
      <w:r>
        <w:t xml:space="preserve">that Demon gets it wrong.</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D.2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9" w:name="tbl-payout-if-tails"/>
          <w:p>
            <w:pPr>
              <w:jc w:val="center"/>
            </w:pPr>
            <w:pPr>
              <w:jc w:val="start"/>
              <w:spacing w:before="200"/>
              <w:pStyle w:val="ImageCaption"/>
            </w:pPr>
            <w:r>
              <w:t xml:space="preserve">Table D.2: The expected payout to Chooser in four cases if the coin lands Tails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PUp</w:t>
                  </w:r>
                </w:p>
              </w:tc>
              <w:tc>
                <w:tcPr/>
                <w:p>
                  <w:pPr>
                    <w:pStyle w:val="Compact"/>
                    <w:jc w:val="center"/>
                    <w:jc w:val="center"/>
                  </w:pPr>
                  <w:r>
                    <w:t xml:space="preserve">PDown</w:t>
                  </w:r>
                </w:p>
              </w:tc>
            </w:tr>
            <w:tr>
              <w:tc>
                <w:tcPr/>
                <w:p>
                  <w:pPr>
                    <w:pStyle w:val="Compact"/>
                    <w:jc w:val="center"/>
                    <w:jc w:val="center"/>
                  </w:pPr>
                  <w:r>
                    <w:rPr>
                      <w:bCs/>
                      <w:b/>
                    </w:rPr>
                    <w:t xml:space="preserve">Up</w:t>
                  </w:r>
                </w:p>
              </w:tc>
              <w:tc>
                <w:tcPr/>
                <w:p>
                  <w:pPr>
                    <w:pStyle w:val="Compact"/>
                    <w:jc w:val="center"/>
                    <w:jc w:val="center"/>
                  </w:pPr>
                  <w:r>
                    <w:t xml:space="preserve">34</w:t>
                  </w:r>
                </w:p>
              </w:tc>
              <w:tc>
                <w:tcPr/>
                <w:p>
                  <w:pPr>
                    <w:pStyle w:val="Compact"/>
                    <w:jc w:val="center"/>
                    <w:jc w:val="center"/>
                  </w:pPr>
                  <w:r>
                    <w:t xml:space="preserve">40</w:t>
                  </w:r>
                </w:p>
              </w:tc>
            </w:tr>
            <w:tr>
              <w:tc>
                <w:tcPr/>
                <w:p>
                  <w:pPr>
                    <w:pStyle w:val="Compact"/>
                    <w:jc w:val="center"/>
                    <w:jc w:val="center"/>
                  </w:pPr>
                  <w:r>
                    <w:rPr>
                      <w:bCs/>
                      <w:b/>
                    </w:rPr>
                    <w:t xml:space="preserve">Down</w:t>
                  </w:r>
                </w:p>
              </w:tc>
              <w:tc>
                <w:tcPr/>
                <w:p>
                  <w:pPr>
                    <w:pStyle w:val="Compact"/>
                    <w:jc w:val="center"/>
                    <w:jc w:val="center"/>
                  </w:pPr>
                  <w:r>
                    <w:t xml:space="preserve">18</w:t>
                  </w:r>
                </w:p>
              </w:tc>
              <w:tc>
                <w:tcPr/>
                <w:p>
                  <w:pPr>
                    <w:pStyle w:val="Compact"/>
                    <w:jc w:val="center"/>
                    <w:jc w:val="center"/>
                  </w:pPr>
                  <w:r>
                    <w:t xml:space="preserve">44</w:t>
                  </w:r>
                </w:p>
              </w:tc>
            </w:tr>
          </w:tbl>
          <w:bookmarkEnd w:id="449"/>
          <w:p/>
        </w:tc>
      </w:tr>
    </w:tbl>
    <w:p>
      <w:pPr>
        <w:pStyle w:val="BodyText"/>
      </w:pPr>
      <w:r>
        <w:t xml:space="preserve">The numbers in</w:t>
      </w:r>
      <w:r>
        <w:t xml:space="preserve"> </w:t>
      </w:r>
      <w:hyperlink w:anchor="tbl-payout-if-tails">
        <w:r>
          <w:rPr>
            <w:rStyle w:val="Hyperlink"/>
          </w:rPr>
          <w:t xml:space="preserve">Table D.2</w:t>
        </w:r>
      </w:hyperlink>
      <w:r>
        <w:t xml:space="preserve"> </w:t>
      </w:r>
      <w:r>
        <w:t xml:space="preserve">aren’t entirely obvious; I’ll spell out how I got them.</w:t>
      </w:r>
    </w:p>
    <w:p>
      <w:pPr>
        <w:numPr>
          <w:ilvl w:val="0"/>
          <w:numId w:val="1024"/>
        </w:numPr>
        <w:pStyle w:val="Compact"/>
      </w:pPr>
      <w:r>
        <w:t xml:space="preserve">If Demon predicts Up (i.e., Demon predicts that Chooser will adopt a strategy that involves playing Up if the coin lands Heads) Demon will flip a coin. And they’ll do that whatever Chooser does.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D.1</w:t>
        </w:r>
      </w:hyperlink>
      <w:r>
        <w:t xml:space="preserve"> </w:t>
      </w:r>
      <w:r>
        <w:t xml:space="preserve">if they play Up, and the average of lines 7 and 8 if they play Down.</w:t>
      </w:r>
    </w:p>
    <w:p>
      <w:pPr>
        <w:numPr>
          <w:ilvl w:val="0"/>
          <w:numId w:val="1024"/>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D.1</w:t>
        </w:r>
      </w:hyperlink>
      <w:r>
        <w:t xml:space="preserve">, where Chooser gets 40.</w:t>
      </w:r>
    </w:p>
    <w:p>
      <w:pPr>
        <w:numPr>
          <w:ilvl w:val="0"/>
          <w:numId w:val="1024"/>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D.1</w:t>
        </w:r>
      </w:hyperlink>
      <w:r>
        <w:t xml:space="preserve">.</w:t>
      </w:r>
    </w:p>
    <w:p>
      <w:pPr>
        <w:pStyle w:val="FirstParagraph"/>
      </w:pPr>
      <w:r>
        <w:t xml:space="preserve">In a decision problem like</w:t>
      </w:r>
      <w:r>
        <w:t xml:space="preserve"> </w:t>
      </w:r>
      <w:hyperlink w:anchor="tbl-payout-if-tails">
        <w:r>
          <w:rPr>
            <w:rStyle w:val="Hyperlink"/>
          </w:rPr>
          <w:t xml:space="preserve">Table D.2</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w:t>
      </w:r>
    </w:p>
    <w:p>
      <w:pPr>
        <w:pStyle w:val="BodyText"/>
      </w:pPr>
      <w:r>
        <w:t xml:space="preserve">GDT does not give any clear verdict about what to do in</w:t>
      </w:r>
      <w:r>
        <w:t xml:space="preserve"> </w:t>
      </w:r>
      <w:hyperlink w:anchor="tbl-payout-if-tails">
        <w:r>
          <w:rPr>
            <w:rStyle w:val="Hyperlink"/>
          </w:rPr>
          <w:t xml:space="preserve">Table D.2</w:t>
        </w:r>
      </w:hyperlink>
      <w:r>
        <w:t xml:space="preserve">; it says either Up or Down is permissible. So following GDT doesn’t mean you’ll do better than EDT in this game; you might do exactly as well as EDT. But all it takes to get a</w:t>
      </w:r>
      <w:r>
        <w:t xml:space="preserve"> </w:t>
      </w:r>
      <w:r>
        <w:t xml:space="preserve">“</w:t>
      </w:r>
      <w:r>
        <w:t xml:space="preserve">Why Ain’cha Rich?</w:t>
      </w:r>
      <w:r>
        <w:t xml:space="preserve">”</w:t>
      </w:r>
      <w:r>
        <w:t xml:space="preserve"> </w:t>
      </w:r>
      <w:r>
        <w:t xml:space="preserve">argument going is to show that one theory does better than EDT. And the version of CDT that Dmitri</w:t>
      </w:r>
      <w:r>
        <w:t xml:space="preserve"> </w:t>
      </w:r>
      <w:r>
        <w:t xml:space="preserve">Gallow (2020)</w:t>
      </w:r>
      <w:r>
        <w:t xml:space="preserve"> </w:t>
      </w:r>
      <w:r>
        <w:t xml:space="preserve">endorses implies that one should play Up in</w:t>
      </w:r>
      <w:r>
        <w:t xml:space="preserve"> </w:t>
      </w:r>
      <w:hyperlink w:anchor="tbl-payout-if-tails">
        <w:r>
          <w:rPr>
            <w:rStyle w:val="Hyperlink"/>
          </w:rPr>
          <w:t xml:space="preserve">Table D.2</w:t>
        </w:r>
      </w:hyperlink>
      <w:r>
        <w:t xml:space="preserve">. So someone following his theory will play Up however the coin lands. So Demon will always flip a coin to decide what to do. So all of the top four outcomes in</w:t>
      </w:r>
      <w:r>
        <w:t xml:space="preserve"> </w:t>
      </w:r>
      <w:hyperlink w:anchor="fig-second-anti-war">
        <w:r>
          <w:rPr>
            <w:rStyle w:val="Hyperlink"/>
          </w:rPr>
          <w:t xml:space="preserve">Figure D.1</w:t>
        </w:r>
      </w:hyperlink>
      <w:r>
        <w:t xml:space="preserve"> </w:t>
      </w:r>
      <w:r>
        <w:t xml:space="preserve">are equally likely, and Chooser will on average get a return of 127. Since 127 &gt; 42, that means that on average if Chooser follows Gallow’s theory, they will on average be much richer than if they follow EDT. So if</w:t>
      </w:r>
      <w:r>
        <w:t xml:space="preserve"> </w:t>
      </w:r>
      <w:r>
        <w:t xml:space="preserve">“</w:t>
      </w:r>
      <w:r>
        <w:t xml:space="preserve">Why Ain’Cha Rich?</w:t>
      </w:r>
      <w:r>
        <w:t xml:space="preserve">”</w:t>
      </w:r>
      <w:r>
        <w:t xml:space="preserve">, they show that EDT should be rejected in favour of Gallow’s theory.</w:t>
      </w:r>
    </w:p>
    <w:p>
      <w:pPr>
        <w:pStyle w:val="BodyText"/>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I don’t think this is a fair criticism of Wells, or a successful defence of EDT. But even if you think Ahmed has shown how EDT survives Wells’s criticisms, his response doesn’t work here. Chooser will definitely choose Up if the coin lands Heads, whether they follow EDT, Gallow’s theory, or any remotely plausible theory.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a fair complaint). Nonetheless, the EDTer ends up with less money in the long run than the follower of Gallow’s theory when playing this game.</w:t>
      </w:r>
    </w:p>
    <w:bookmarkEnd w:id="450"/>
    <w:bookmarkStart w:id="463" w:name="sec-buchak"/>
    <w:p>
      <w:pPr>
        <w:pStyle w:val="Heading1"/>
      </w:pPr>
      <w:r>
        <w:t xml:space="preserve">Appendix E — Risk-Weighted Utility</w:t>
      </w:r>
    </w:p>
    <w:p>
      <w:pPr>
        <w:pStyle w:val="FirstParagraph"/>
      </w:pPr>
      <w:r>
        <w:t xml:space="preserve">This appendix goes over a problem for Lara Buchak’s risk-weighted utility theory, based around the Single Choice Principle from</w:t>
      </w:r>
      <w:r>
        <w:t xml:space="preserve"> </w:t>
      </w:r>
      <w:hyperlink w:anchor="sec-indecisive">
        <w:r>
          <w:rPr>
            <w:rStyle w:val="Hyperlink"/>
          </w:rPr>
          <w:t xml:space="preserve">Chapter 8</w:t>
        </w:r>
      </w:hyperlink>
      <w:r>
        <w:t xml:space="preserve">. Buchak’s theory concerns normal decision problems, where there are no demons lying around, so we have to modify Single Choice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w:r>
        <w:rPr>
          <w:iCs/>
          <w:i/>
        </w:rPr>
        <w:t xml:space="preserve">O</w:t>
      </w:r>
      <w:r>
        <w:t xml:space="preserve">, which takes values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n</w:t>
      </w:r>
      <w:r>
        <w:t xml:space="preserve">, where</w:t>
      </w:r>
      <w:r>
        <w:t xml:space="preserve"> </w:t>
      </w:r>
      <w:r>
        <w:rPr>
          <w:iCs/>
          <w:i/>
        </w:rPr>
        <w:t xml:space="preserve">o</w:t>
      </w:r>
      <w:r>
        <w:rPr>
          <w:vertAlign w:val="subscript"/>
          <w:iCs/>
          <w:i/>
        </w:rPr>
        <w:t xml:space="preserve">j</w:t>
      </w:r>
      <w:r>
        <w:t xml:space="preserve"> &gt; </w:t>
      </w:r>
      <w:r>
        <w:rPr>
          <w:iCs/>
          <w:i/>
        </w:rPr>
        <w:t xml:space="preserve">o</w:t>
      </w:r>
      <w:r>
        <w:rPr>
          <w:vertAlign w:val="subscript"/>
          <w:iCs/>
          <w:i/>
        </w:rPr>
        <w:t xml:space="preserve">i</w:t>
      </w:r>
      <w:r>
        <w:t xml:space="preserve"> </w:t>
      </w:r>
      <w:r>
        <w:t xml:space="preserve">iff</w:t>
      </w:r>
      <w:r>
        <w:t xml:space="preserve"> </w:t>
      </w:r>
      <w:r>
        <w:rPr>
          <w:iCs/>
          <w:i/>
        </w:rPr>
        <w:t xml:space="preserve">j</w:t>
      </w:r>
      <w:r>
        <w:t xml:space="preserve"> &gt; </w:t>
      </w:r>
      <w:r>
        <w:rPr>
          <w:iCs/>
          <w:i/>
        </w:rPr>
        <w:t xml:space="preserve">i</w:t>
      </w:r>
      <w:r>
        <w:t xml:space="preserve">. Buchak says that the risk-weighted expected utility of</w:t>
      </w:r>
      <w:r>
        <w:t xml:space="preserve"> </w:t>
      </w:r>
      <w:r>
        <w:rPr>
          <w:iCs/>
          <w:i/>
        </w:rPr>
        <w:t xml:space="preserve">O</w:t>
      </w:r>
      <w:r>
        <w:t xml:space="preserve"> </w:t>
      </w:r>
      <w:r>
        <w:t xml:space="preserve">is given by this formula, where</w:t>
      </w:r>
      <w:r>
        <w:t xml:space="preserve"> </w:t>
      </w:r>
      <w:r>
        <w:rPr>
          <w:iCs/>
          <w:i/>
        </w:rPr>
        <w:t xml:space="preserve">r</w:t>
      </w:r>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w:r>
        <w:rPr>
          <w:iCs/>
          <w:i/>
        </w:rPr>
        <w:t xml:space="preserve">r</w:t>
      </w:r>
      <w:r>
        <w:t xml:space="preserve">, which measures Chooser’s attitudes to risk. If</w:t>
      </w:r>
      <w:r>
        <w:t xml:space="preserve"> </w:t>
      </w:r>
      <w:r>
        <w:rPr>
          <w:iCs/>
          <w:i/>
        </w:rPr>
        <w:t xml:space="preserve">r</w:t>
      </w:r>
      <w:r>
        <w:t xml:space="preserve"> </w:t>
      </w:r>
      <w:r>
        <w:t xml:space="preserve">is the identity function, then this definition becomes a slightly non-standard way of defining expected utility. Buchak allows it to be much more general. The key constraints are that</w:t>
      </w:r>
      <w:r>
        <w:t xml:space="preserve"> </w:t>
      </w:r>
      <w:r>
        <w:rPr>
          <w:iCs/>
          <w:i/>
        </w:rPr>
        <w:t xml:space="preserve">r</w:t>
      </w:r>
      <w:r>
        <w:t xml:space="preserve"> </w:t>
      </w:r>
      <w:r>
        <w:t xml:space="preserve">is monotonically increasing, that</w:t>
      </w:r>
      <w:r>
        <w:t xml:space="preserve"> </w:t>
      </w:r>
      <w:r>
        <w:rPr>
          <w:iCs/>
          <w:i/>
        </w:rPr>
        <w:t xml:space="preserve">r</w:t>
      </w:r>
      <w:r>
        <w:t xml:space="preserve">(0) = 0 and</w:t>
      </w:r>
      <w:r>
        <w:t xml:space="preserve"> </w:t>
      </w:r>
      <w:r>
        <w:rPr>
          <w:iCs/>
          <w:i/>
        </w:rPr>
        <w:t xml:space="preserve">r</w:t>
      </w:r>
      <w:r>
        <w:t xml:space="preserve">(1) = 1. In general, if</w:t>
      </w:r>
      <w:r>
        <w:t xml:space="preserve"> </w:t>
      </w:r>
      <w:r>
        <w:rPr>
          <w:iCs/>
          <w:i/>
        </w:rPr>
        <w:t xml:space="preserve">r</w:t>
      </w:r>
      <w:r>
        <w:t xml:space="preserve">(</w:t>
      </w:r>
      <w:r>
        <w:rPr>
          <w:iCs/>
          <w:i/>
        </w:rPr>
        <w:t xml:space="preserve">x</w:t>
      </w:r>
      <w:r>
        <w:t xml:space="preserve">) &lt; </w:t>
      </w:r>
      <w:r>
        <w:rPr>
          <w:iCs/>
          <w:i/>
        </w:rPr>
        <w:t xml:space="preserve">x</w:t>
      </w:r>
      <w:r>
        <w:t xml:space="preserve">, Chooser is some intuitive sense more risk-averse than an expected utility maximiser, while if</w:t>
      </w:r>
      <w:r>
        <w:t xml:space="preserve"> </w:t>
      </w:r>
      <w:r>
        <w:rPr>
          <w:iCs/>
          <w:i/>
        </w:rPr>
        <w:t xml:space="preserve">r</w:t>
      </w:r>
      <w:r>
        <w:t xml:space="preserve">(</w:t>
      </w:r>
      <w:r>
        <w:rPr>
          <w:iCs/>
          <w:i/>
        </w:rPr>
        <w:t xml:space="preserve">x</w:t>
      </w:r>
      <w:r>
        <w:t xml:space="preserve">) &gt; </w:t>
      </w:r>
      <w:r>
        <w:rPr>
          <w:iCs/>
          <w:i/>
        </w:rPr>
        <w:t xml:space="preserve">x</w:t>
      </w:r>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w:r>
        <w:rPr>
          <w:iCs/>
          <w:i/>
        </w:rPr>
        <w:t xml:space="preserve">r</w:t>
      </w:r>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25"/>
        </w:numPr>
        <w:pStyle w:val="Compact"/>
      </w:pPr>
      <w:r>
        <w:t xml:space="preserve">A coin with probability</w:t>
      </w:r>
      <w:r>
        <w:t xml:space="preserve"> </w:t>
      </w:r>
      <w:r>
        <w:rPr>
          <w:iCs/>
          <w:i/>
        </w:rPr>
        <w:t xml:space="preserve">y</w:t>
      </w:r>
      <w:r>
        <w:t xml:space="preserve"> </w:t>
      </w:r>
      <w:r>
        <w:t xml:space="preserve">of landing Heads will be flipped. If it lands Tails, Chooser gets the Exit Payout, and the game ends.</w:t>
      </w:r>
    </w:p>
    <w:p>
      <w:pPr>
        <w:numPr>
          <w:ilvl w:val="0"/>
          <w:numId w:val="1025"/>
        </w:numPr>
        <w:pStyle w:val="Compact"/>
      </w:pPr>
      <w:r>
        <w:t xml:space="preserve">If the game is still going, a second coin, with probability</w:t>
      </w:r>
      <w:r>
        <w:t xml:space="preserve"> </w:t>
      </w:r>
      <w:r>
        <w:rPr>
          <w:iCs/>
          <w:i/>
        </w:rPr>
        <w:t xml:space="preserve">x</w:t>
      </w:r>
      <w:r>
        <w:t xml:space="preserve"> </w:t>
      </w:r>
      <w:r>
        <w:t xml:space="preserve">of landing Heads, will be flipped.</w:t>
      </w:r>
    </w:p>
    <w:p>
      <w:pPr>
        <w:numPr>
          <w:ilvl w:val="0"/>
          <w:numId w:val="1025"/>
        </w:numPr>
        <w:pStyle w:val="Compact"/>
      </w:pPr>
      <w:r>
        <w:t xml:space="preserve">Chooser’s payout will be a function of whether they chose Up or Down, and the result of this second coin.</w:t>
      </w:r>
    </w:p>
    <w:p>
      <w:pPr>
        <w:pStyle w:val="FirstParagraph"/>
      </w:pPr>
      <w:r>
        <w:t xml:space="preserve">I’ll write</w:t>
      </w:r>
      <w:r>
        <w:t xml:space="preserve"> </w:t>
      </w:r>
      <w:r>
        <w:rPr>
          <w:iCs/>
          <w:i/>
        </w:rPr>
        <w:t xml:space="preserve">H</w:t>
      </w:r>
      <w:r>
        <w:rPr>
          <w:vertAlign w:val="subscript"/>
        </w:rPr>
        <w:t xml:space="preserve">1</w:t>
      </w:r>
      <w:r>
        <w:t xml:space="preserve"> </w:t>
      </w:r>
      <w:r>
        <w:t xml:space="preserve">and</w:t>
      </w:r>
      <w:r>
        <w:t xml:space="preserve"> </w:t>
      </w:r>
      <w:r>
        <w:rPr>
          <w:iCs/>
          <w:i/>
        </w:rPr>
        <w:t xml:space="preserve">T</w:t>
      </w:r>
      <w:r>
        <w:rPr>
          <w:vertAlign w:val="subscript"/>
        </w:rPr>
        <w:t xml:space="preserve">1</w:t>
      </w:r>
      <w:r>
        <w:t xml:space="preserve"> </w:t>
      </w:r>
      <w:r>
        <w:t xml:space="preserve">for the propositions that the first coin lands Heads and Tails respectively, and</w:t>
      </w:r>
      <w:r>
        <w:t xml:space="preserve"> </w:t>
      </w:r>
      <w:r>
        <w:rPr>
          <w:iCs/>
          <w:i/>
        </w:rPr>
        <w:t xml:space="preserve">H</w:t>
      </w:r>
      <w:r>
        <w:rPr>
          <w:vertAlign w:val="subscript"/>
        </w:rPr>
        <w:t xml:space="preserve">2</w:t>
      </w:r>
      <w:r>
        <w:t xml:space="preserve"> </w:t>
      </w:r>
      <w:r>
        <w:t xml:space="preserve">and</w:t>
      </w:r>
      <w:r>
        <w:t xml:space="preserve"> </w:t>
      </w:r>
      <w:r>
        <w:rPr>
          <w:iCs/>
          <w:i/>
        </w:rPr>
        <w:t xml:space="preserve">T</w:t>
      </w:r>
      <w:r>
        <w:rPr>
          <w:vertAlign w:val="subscript"/>
        </w:rPr>
        <w:t xml:space="preserve">2</w:t>
      </w:r>
      <w:r>
        <w:t xml:space="preserve"> </w:t>
      </w:r>
      <w:r>
        <w:t xml:space="preserve">for the propositions that the second coin lands Heads and Tails respectively. I’ll mostly be interested in the case where Up is a bet on</w:t>
      </w:r>
      <w:r>
        <w:t xml:space="preserve"> </w:t>
      </w:r>
      <w:r>
        <w:rPr>
          <w:iCs/>
          <w:i/>
        </w:rPr>
        <w:t xml:space="preserve">H</w:t>
      </w:r>
      <w:r>
        <w:rPr>
          <w:vertAlign w:val="subscript"/>
        </w:rPr>
        <w:t xml:space="preserve">2</w:t>
      </w:r>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E.1</w:t>
        </w:r>
      </w:hyperlink>
      <w:r>
        <w:t xml:space="preserve">.</w:t>
      </w:r>
    </w:p>
    <w:bookmarkStart w:id="453" w:name="tbl-general-coin-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51" w:name="tbl-coin-exit-param"/>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rPr>
                            <w:iCs/>
                            <w:i/>
                          </w:rPr>
                          <w:t xml:space="preserve">e</w:t>
                        </w:r>
                      </w:p>
                    </w:tc>
                  </w:tr>
                  <w:tr>
                    <w:tc>
                      <w:tcPr/>
                      <w:p>
                        <w:pPr>
                          <w:pStyle w:val="Compact"/>
                          <w:jc w:val="center"/>
                          <w:jc w:val="center"/>
                          <w:jc w:val="left"/>
                        </w:pPr>
                        <w:r>
                          <w:t xml:space="preserve">Pr(</w:t>
                        </w:r>
                        <w:r>
                          <w:rPr>
                            <w:iCs/>
                            <w:i/>
                          </w:rPr>
                          <w:t xml:space="preserve">H</w:t>
                        </w:r>
                        <w:r>
                          <w:rPr>
                            <w:vertAlign w:val="subscript"/>
                          </w:rPr>
                          <w:t xml:space="preserve">1</w:t>
                        </w:r>
                        <w:r>
                          <w:t xml:space="preserve">)</w:t>
                        </w:r>
                      </w:p>
                    </w:tc>
                    <w:tc>
                      <w:tcPr/>
                      <w:p>
                        <w:pPr>
                          <w:pStyle w:val="Compact"/>
                          <w:jc w:val="center"/>
                          <w:jc w:val="center"/>
                          <w:jc w:val="left"/>
                        </w:pPr>
                        <w:r>
                          <w:rPr>
                            <w:iCs/>
                            <w:i/>
                          </w:rPr>
                          <w:t xml:space="preserve">y</w:t>
                        </w:r>
                      </w:p>
                    </w:tc>
                  </w:tr>
                  <w:tr>
                    <w:tc>
                      <w:tcPr/>
                      <w:p>
                        <w:pPr>
                          <w:pStyle w:val="Compact"/>
                          <w:jc w:val="center"/>
                          <w:jc w:val="center"/>
                          <w:jc w:val="left"/>
                        </w:pPr>
                        <w:r>
                          <w:t xml:space="preserve">Pr(</w:t>
                        </w:r>
                        <w:r>
                          <w:rPr>
                            <w:iCs/>
                            <w:i/>
                          </w:rPr>
                          <w:t xml:space="preserve">H</w:t>
                        </w:r>
                        <w:r>
                          <w:rPr>
                            <w:vertAlign w:val="subscript"/>
                          </w:rPr>
                          <w:t xml:space="preserve">2</w:t>
                        </w:r>
                        <w:r>
                          <w:t xml:space="preserve">)</w:t>
                        </w:r>
                      </w:p>
                    </w:tc>
                    <w:tc>
                      <w:tcPr/>
                      <w:p>
                        <w:pPr>
                          <w:pStyle w:val="Compact"/>
                          <w:jc w:val="center"/>
                          <w:jc w:val="center"/>
                          <w:jc w:val="left"/>
                        </w:pPr>
                        <w:r>
                          <w:rPr>
                            <w:iCs/>
                            <w:i/>
                          </w:rPr>
                          <w:t xml:space="preserve">x</w:t>
                        </w:r>
                      </w:p>
                    </w:tc>
                  </w:tr>
                </w:tbl>
                <w:bookmarkEnd w:id="451"/>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52" w:name="tbl-coin-exit-r2g"/>
                <w:p>
                  <w:pPr>
                    <w:jc w:val="center"/>
                    <w:jc w:val="left"/>
                  </w:pPr>
                  <w:pPr>
                    <w:jc w:val="start"/>
                    <w:spacing w:before="200"/>
                    <w:pStyle w:val="ImageCaption"/>
                  </w:pPr>
                  <w:r>
                    <w:t xml:space="preserve">(b) Round 2 game</w:t>
                  </w:r>
                </w:p>
                <w:tbl>
                  <w:tblPr>
                    <w:tblStyle w:val="Table"/>
                    <w:tblW w:type="pct" w:w="4900"/>
                    <w:tblLook w:firstRow="1" w:lastRow="0" w:firstColumn="0" w:lastColumn="0" w:noHBand="0" w:noVBand="0" w:val="0020"/>
                    <w:jc w:val="start"/>
                    <w:tblLayout w:type="fixed"/>
                  </w:tblPr>
                  <w:tblGrid>
                    <w:gridCol w:w="2587"/>
                    <w:gridCol w:w="2587"/>
                    <w:gridCol w:w="2587"/>
                  </w:tblGrid>
                  <w:tr>
                    <w:trPr>
                      <w:tblHeader w:val="true"/>
                    </w:trPr>
                    <w:tc>
                      <w:tcPr/>
                      <w:p>
                        <w:pPr>
                          <w:pStyle w:val="Compact"/>
                        </w:pPr>
                      </w:p>
                    </w:tc>
                    <w:tc>
                      <w:tcPr/>
                      <w:p>
                        <w:pPr>
                          <w:pStyle w:val="Compact"/>
                          <w:jc w:val="center"/>
                          <w:jc w:val="center"/>
                          <w:jc w:val="left"/>
                        </w:pPr>
                        <w:r>
                          <w:rPr>
                            <w:iCs/>
                            <w:i/>
                            <w:bCs/>
                            <w:b/>
                          </w:rPr>
                          <w:t xml:space="preserve">H</w:t>
                        </w:r>
                        <w:r>
                          <w:rPr>
                            <w:bCs/>
                            <w:b/>
                            <w:vertAlign w:val="subscript"/>
                          </w:rPr>
                          <w:t xml:space="preserve">2</w:t>
                        </w:r>
                      </w:p>
                    </w:tc>
                    <w:tc>
                      <w:tcPr/>
                      <w:p>
                        <w:pPr>
                          <w:pStyle w:val="Compact"/>
                          <w:jc w:val="center"/>
                          <w:jc w:val="center"/>
                          <w:jc w:val="left"/>
                        </w:pPr>
                        <w:r>
                          <w:rPr>
                            <w:iCs/>
                            <w:i/>
                            <w:bCs/>
                            <w:b/>
                          </w:rPr>
                          <w:t xml:space="preserve">T</w:t>
                        </w:r>
                        <w:r>
                          <w:rPr>
                            <w:bCs/>
                            <w:b/>
                            <w:vertAlign w:val="subscript"/>
                          </w:rPr>
                          <w:t xml:space="preserve">2</w:t>
                        </w:r>
                      </w:p>
                    </w:tc>
                  </w:tr>
                  <w:tr>
                    <w:tc>
                      <w:tcPr/>
                      <w:p>
                        <w:pPr>
                          <w:pStyle w:val="Compact"/>
                          <w:jc w:val="center"/>
                          <w:jc w:val="center"/>
                          <w:jc w:val="left"/>
                        </w:pPr>
                        <w:r>
                          <w:rPr>
                            <w:bCs/>
                            <w:b/>
                          </w:rPr>
                          <w:t xml:space="preserve">Up</w:t>
                        </w:r>
                      </w:p>
                    </w:tc>
                    <w:tc>
                      <w:tcPr/>
                      <w:p>
                        <w:pPr>
                          <w:pStyle w:val="Compact"/>
                          <w:jc w:val="center"/>
                          <w:jc w:val="center"/>
                          <w:jc w:val="left"/>
                        </w:pPr>
                        <w:r>
                          <w:rPr>
                            <w:iCs/>
                            <w:i/>
                          </w:rPr>
                          <w:t xml:space="preserve">a</w:t>
                        </w:r>
                      </w:p>
                    </w:tc>
                    <w:tc>
                      <w:tcPr/>
                      <w:p>
                        <w:pPr>
                          <w:pStyle w:val="Compact"/>
                          <w:jc w:val="center"/>
                          <w:jc w:val="center"/>
                          <w:jc w:val="left"/>
                        </w:pPr>
                        <w:r>
                          <w:rPr>
                            <w:iCs/>
                            <w:i/>
                          </w:rPr>
                          <w:t xml:space="preserve">b</w:t>
                        </w:r>
                      </w:p>
                    </w:tc>
                  </w:tr>
                  <w:tr>
                    <w:tc>
                      <w:tcPr/>
                      <w:p>
                        <w:pPr>
                          <w:pStyle w:val="Compact"/>
                          <w:jc w:val="center"/>
                          <w:jc w:val="center"/>
                          <w:jc w:val="left"/>
                        </w:pPr>
                        <w:r>
                          <w:rPr>
                            <w:bCs/>
                            <w:b/>
                          </w:rPr>
                          <w:t xml:space="preserve">Down</w:t>
                        </w:r>
                      </w:p>
                    </w:tc>
                    <w:tc>
                      <w:tcPr/>
                      <w:p>
                        <w:pPr>
                          <w:pStyle w:val="Compact"/>
                          <w:jc w:val="center"/>
                          <w:jc w:val="center"/>
                          <w:jc w:val="left"/>
                        </w:pPr>
                        <w:r>
                          <w:rPr>
                            <w:iCs/>
                            <w:i/>
                          </w:rPr>
                          <w:t xml:space="preserve">c</w:t>
                        </w:r>
                      </w:p>
                    </w:tc>
                    <w:tc>
                      <w:tcPr/>
                      <w:p>
                        <w:pPr>
                          <w:pStyle w:val="Compact"/>
                          <w:jc w:val="center"/>
                          <w:jc w:val="center"/>
                          <w:jc w:val="left"/>
                        </w:pPr>
                        <w:r>
                          <w:rPr>
                            <w:iCs/>
                            <w:i/>
                          </w:rPr>
                          <w:t xml:space="preserve">d</w:t>
                        </w:r>
                      </w:p>
                    </w:tc>
                  </w:tr>
                </w:tbl>
                <w:bookmarkEnd w:id="452"/>
                <w:p/>
              </w:tc>
            </w:tr>
          </w:tbl>
          <w:p/>
        </w:tc>
      </w:tr>
    </w:tbl>
    <w:p>
      <w:pPr>
        <w:pStyle w:val="BodyText"/>
      </w:pPr>
      <w:pPr>
        <w:spacing w:before="200"/>
        <w:pStyle w:val="ImageCaption"/>
      </w:pPr>
      <w:r>
        <w:t xml:space="preserve">Table E.1: The abstract form of an exit problem with coins.</w:t>
      </w:r>
    </w:p>
    <w:bookmarkEnd w:id="453"/>
    <w:p>
      <w:pPr>
        <w:pStyle w:val="BodyText"/>
      </w:pPr>
      <w:r>
        <w:t xml:space="preserve">Then we get a version of Single Choice Principle that applies to games like this.</w:t>
      </w:r>
    </w:p>
    <w:p>
      <w:pPr>
        <w:numPr>
          <w:ilvl w:val="0"/>
          <w:numId w:val="1026"/>
        </w:numPr>
        <w:pStyle w:val="Compact"/>
      </w:pPr>
      <w:r>
        <w:rPr>
          <w:bCs/>
          <w:b/>
        </w:rPr>
        <w:t xml:space="preserve">Single Choice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w:r>
        <w:rPr>
          <w:iCs/>
          <w:i/>
        </w:rPr>
        <w:t xml:space="preserve">r</w:t>
      </w:r>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w:r>
        <w:rPr>
          <w:iCs/>
          <w:i/>
        </w:rPr>
        <w:t xml:space="preserve">REU</w:t>
      </w:r>
      <w:r>
        <w:rPr>
          <w:vertAlign w:val="subscript"/>
          <w:iCs/>
          <w:i/>
        </w:rPr>
        <w:t xml:space="preserve">E</w:t>
      </w:r>
      <w:r>
        <w:t xml:space="preserve">(</w:t>
      </w:r>
      <w:r>
        <w:rPr>
          <w:iCs/>
          <w:i/>
        </w:rPr>
        <w:t xml:space="preserve">X</w:t>
      </w:r>
      <w:r>
        <w:t xml:space="preserve">) to be the risk-weighted expected utility of</w:t>
      </w:r>
      <w:r>
        <w:t xml:space="preserve"> </w:t>
      </w:r>
      <w:r>
        <w:rPr>
          <w:iCs/>
          <w:i/>
        </w:rPr>
        <w:t xml:space="preserve">X</w:t>
      </w:r>
      <w:r>
        <w:t xml:space="preserve"> </w:t>
      </w:r>
      <w:r>
        <w:t xml:space="preserve">before finding out the result of the first coin toss, and</w:t>
      </w:r>
      <w:r>
        <w:t xml:space="preserve"> </w:t>
      </w:r>
      <w:r>
        <w:rPr>
          <w:iCs/>
          <w:i/>
        </w:rPr>
        <w:t xml:space="preserve">REU</w:t>
      </w:r>
      <w:r>
        <w:rPr>
          <w:vertAlign w:val="subscript"/>
          <w:iCs/>
          <w:i/>
        </w:rPr>
        <w:t xml:space="preserve">L</w:t>
      </w:r>
      <w:r>
        <w:t xml:space="preserve">(</w:t>
      </w:r>
      <w:r>
        <w:rPr>
          <w:iCs/>
          <w:i/>
        </w:rPr>
        <w:t xml:space="preserve">X</w:t>
      </w:r>
      <w:r>
        <w:t xml:space="preserve">) to be the risk-weighted expected utility of</w:t>
      </w:r>
      <w:r>
        <w:t xml:space="preserve"> </w:t>
      </w:r>
      <w:r>
        <w:rPr>
          <w:iCs/>
          <w:i/>
        </w:rPr>
        <w:t xml:space="preserve">X</w:t>
      </w:r>
      <w:r>
        <w:t xml:space="preserve"> </w:t>
      </w:r>
      <w:r>
        <w:t xml:space="preserve">after finding out the result of the first coin toss. So Single Choice Principle essentially becomes this biconditional, for any gambles</w:t>
      </w:r>
      <w:r>
        <w:t xml:space="preserve"> </w:t>
      </w:r>
      <w:r>
        <w:rPr>
          <w:iCs/>
          <w:i/>
        </w:rPr>
        <w:t xml:space="preserve">X</w:t>
      </w:r>
      <w:r>
        <w:t xml:space="preserve"> </w:t>
      </w:r>
      <w:r>
        <w:t xml:space="preserve">and</w:t>
      </w:r>
      <w:r>
        <w:t xml:space="preserve"> </w:t>
      </w:r>
      <w:r>
        <w:rPr>
          <w:iCs/>
          <w:i/>
        </w:rPr>
        <w:t xml:space="preserve">Y</w:t>
      </w:r>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w:r>
        <w:rPr>
          <w:iCs/>
          <w:i/>
        </w:rPr>
        <w:t xml:space="preserve">r</w:t>
      </w:r>
      <w:r>
        <w:t xml:space="preserve"> </w:t>
      </w:r>
      <w:r>
        <w:t xml:space="preserve">must be multiplicative, i.e., that</w:t>
      </w:r>
      <w:r>
        <w:t xml:space="preserve"> </w:t>
      </w:r>
      <w:r>
        <w:rPr>
          <w:iCs/>
          <w:i/>
        </w:rPr>
        <w:t xml:space="preserve">r</w:t>
      </w:r>
      <w:r>
        <w:t xml:space="preserve">(</w:t>
      </w:r>
      <w:r>
        <w:rPr>
          <w:iCs/>
          <w:i/>
        </w:rPr>
        <w:t xml:space="preserve">xy</w:t>
      </w:r>
      <w:r>
        <w:t xml:space="preserve">) =</w:t>
      </w:r>
      <w:r>
        <w:t xml:space="preserve"> </w:t>
      </w:r>
      <w:r>
        <w:rPr>
          <w:iCs/>
          <w:i/>
        </w:rPr>
        <w:t xml:space="preserve">r</w:t>
      </w:r>
      <w:r>
        <w:t xml:space="preserve">(</w:t>
      </w:r>
      <w:r>
        <w:rPr>
          <w:iCs/>
          <w:i/>
        </w:rPr>
        <w:t xml:space="preserve">x</w:t>
      </w:r>
      <w:r>
        <w:t xml:space="preserve">)</w:t>
      </w:r>
      <w:r>
        <w:rPr>
          <w:iCs/>
          <w:i/>
        </w:rPr>
        <w:t xml:space="preserve">r</w:t>
      </w:r>
      <w:r>
        <w:t xml:space="preserve">(</w:t>
      </w:r>
      <w:r>
        <w:rPr>
          <w:iCs/>
          <w:i/>
        </w:rPr>
        <w:t xml:space="preserve">y</w:t>
      </w:r>
      <w:r>
        <w:t xml:space="preserve">) for all</w:t>
      </w:r>
      <w:r>
        <w:t xml:space="preserve"> </w:t>
      </w:r>
      <w:r>
        <w:rPr>
          <w:iCs/>
          <w:i/>
        </w:rPr>
        <w:t xml:space="preserve">x</w:t>
      </w:r>
      <w:r>
        <w:t xml:space="preserve">,</w:t>
      </w:r>
      <w:r>
        <w:t xml:space="preserve"> </w:t>
      </w:r>
      <w:r>
        <w:rPr>
          <w:iCs/>
          <w:i/>
        </w:rPr>
        <w:t xml:space="preserve">y</w:t>
      </w:r>
      <w:r>
        <w:t xml:space="preserve">. This isn’t a particularly problematic result; the most intuitive values for r, like r(x</w:t>
      </w:r>
      <w:r>
        <w:rPr>
          <w:iCs/>
          <w:i/>
        </w:rPr>
        <w:t xml:space="preserve">) =</w:t>
      </w:r>
      <w:r>
        <w:t xml:space="preserve"> </w:t>
      </w:r>
      <w:r>
        <w:t xml:space="preserve">x</w:t>
      </w:r>
      <w:r>
        <w:rPr>
          <w:vertAlign w:val="superscript"/>
        </w:rPr>
        <w:t xml:space="preserve">2</w:t>
      </w:r>
      <w:r>
        <w:t xml:space="preserve">, are multiplicative. Consider the Exit Problem shown in</w:t>
      </w:r>
      <w:r>
        <w:t xml:space="preserve"> </w:t>
      </w:r>
      <w:hyperlink w:anchor="tbl-zero-coin-exit">
        <w:r>
          <w:rPr>
            <w:rStyle w:val="Hyperlink"/>
          </w:rPr>
          <w:t xml:space="preserve">Table E.2</w:t>
        </w:r>
      </w:hyperlink>
      <w:r>
        <w:t xml:space="preserve">, where</w:t>
      </w:r>
      <w:r>
        <w:t xml:space="preserve"> </w:t>
      </w:r>
      <w:r>
        <w:rPr>
          <w:iCs/>
          <w:i/>
        </w:rPr>
        <w:t xml:space="preserve">x</w:t>
      </w:r>
      <w:r>
        <w:t xml:space="preserve"> </w:t>
      </w:r>
      <w:r>
        <w:t xml:space="preserve">and</w:t>
      </w:r>
      <w:r>
        <w:t xml:space="preserve"> </w:t>
      </w:r>
      <w:r>
        <w:rPr>
          <w:iCs/>
          <w:i/>
        </w:rPr>
        <w:t xml:space="preserve">y</w:t>
      </w:r>
      <w:r>
        <w:t xml:space="preserve"> </w:t>
      </w:r>
      <w:r>
        <w:t xml:space="preserve">are arbitrary.</w:t>
      </w:r>
    </w:p>
    <w:bookmarkStart w:id="456" w:name="tbl-zero-coin-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54" w:name="tbl-zero-coin-exit-param"/>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t xml:space="preserve">0</w:t>
                        </w:r>
                      </w:p>
                    </w:tc>
                  </w:tr>
                  <w:tr>
                    <w:tc>
                      <w:tcPr/>
                      <w:p>
                        <w:pPr>
                          <w:pStyle w:val="Compact"/>
                          <w:jc w:val="center"/>
                          <w:jc w:val="center"/>
                          <w:jc w:val="left"/>
                        </w:pPr>
                        <w:r>
                          <w:t xml:space="preserve">Pr(</w:t>
                        </w:r>
                        <w:r>
                          <w:rPr>
                            <w:iCs/>
                            <w:i/>
                          </w:rPr>
                          <w:t xml:space="preserve">H</w:t>
                        </w:r>
                        <w:r>
                          <w:rPr>
                            <w:vertAlign w:val="subscript"/>
                          </w:rPr>
                          <w:t xml:space="preserve">1</w:t>
                        </w:r>
                        <w:r>
                          <w:t xml:space="preserve">)</w:t>
                        </w:r>
                      </w:p>
                    </w:tc>
                    <w:tc>
                      <w:tcPr/>
                      <w:p>
                        <w:pPr>
                          <w:pStyle w:val="Compact"/>
                          <w:jc w:val="center"/>
                          <w:jc w:val="center"/>
                          <w:jc w:val="left"/>
                        </w:pPr>
                        <w:r>
                          <w:rPr>
                            <w:iCs/>
                            <w:i/>
                          </w:rPr>
                          <w:t xml:space="preserve">y</w:t>
                        </w:r>
                      </w:p>
                    </w:tc>
                  </w:tr>
                  <w:tr>
                    <w:tc>
                      <w:tcPr/>
                      <w:p>
                        <w:pPr>
                          <w:pStyle w:val="Compact"/>
                          <w:jc w:val="center"/>
                          <w:jc w:val="center"/>
                          <w:jc w:val="left"/>
                        </w:pPr>
                        <w:r>
                          <w:t xml:space="preserve">Pr(</w:t>
                        </w:r>
                        <w:r>
                          <w:rPr>
                            <w:iCs/>
                            <w:i/>
                          </w:rPr>
                          <w:t xml:space="preserve">H</w:t>
                        </w:r>
                        <w:r>
                          <w:rPr>
                            <w:vertAlign w:val="subscript"/>
                          </w:rPr>
                          <w:t xml:space="preserve">2</w:t>
                        </w:r>
                        <w:r>
                          <w:t xml:space="preserve">)</w:t>
                        </w:r>
                      </w:p>
                    </w:tc>
                    <w:tc>
                      <w:tcPr/>
                      <w:p>
                        <w:pPr>
                          <w:pStyle w:val="Compact"/>
                          <w:jc w:val="center"/>
                          <w:jc w:val="center"/>
                          <w:jc w:val="left"/>
                        </w:pPr>
                        <w:r>
                          <w:rPr>
                            <w:iCs/>
                            <w:i/>
                          </w:rPr>
                          <w:t xml:space="preserve">x</w:t>
                        </w:r>
                      </w:p>
                    </w:tc>
                  </w:tr>
                </w:tbl>
                <w:bookmarkEnd w:id="454"/>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55" w:name="tbl-zero-coin-exit-r2g"/>
                <w:p>
                  <w:pPr>
                    <w:jc w:val="center"/>
                    <w:jc w:val="left"/>
                  </w:pPr>
                  <w:pPr>
                    <w:jc w:val="start"/>
                    <w:spacing w:before="200"/>
                    <w:pStyle w:val="ImageCaption"/>
                  </w:pPr>
                  <w:r>
                    <w:t xml:space="preserve">(b) Round 2 game</w:t>
                  </w:r>
                </w:p>
                <w:tbl>
                  <w:tblPr>
                    <w:tblStyle w:val="Table"/>
                    <w:tblW w:type="pct" w:w="4900"/>
                    <w:tblLook w:firstRow="1" w:lastRow="0" w:firstColumn="0" w:lastColumn="0" w:noHBand="0" w:noVBand="0" w:val="0020"/>
                    <w:jc w:val="start"/>
                    <w:tblLayout w:type="fixed"/>
                  </w:tblPr>
                  <w:tblGrid>
                    <w:gridCol w:w="2587"/>
                    <w:gridCol w:w="2587"/>
                    <w:gridCol w:w="2587"/>
                  </w:tblGrid>
                  <w:tr>
                    <w:trPr>
                      <w:tblHeader w:val="true"/>
                    </w:trPr>
                    <w:tc>
                      <w:tcPr/>
                      <w:p>
                        <w:pPr>
                          <w:pStyle w:val="Compact"/>
                        </w:pPr>
                      </w:p>
                    </w:tc>
                    <w:tc>
                      <w:tcPr/>
                      <w:p>
                        <w:pPr>
                          <w:pStyle w:val="Compact"/>
                          <w:jc w:val="center"/>
                          <w:jc w:val="center"/>
                          <w:jc w:val="left"/>
                        </w:pPr>
                        <w:r>
                          <w:rPr>
                            <w:iCs/>
                            <w:i/>
                            <w:bCs/>
                            <w:b/>
                          </w:rPr>
                          <w:t xml:space="preserve">H</w:t>
                        </w:r>
                        <w:r>
                          <w:rPr>
                            <w:bCs/>
                            <w:b/>
                            <w:vertAlign w:val="subscript"/>
                          </w:rPr>
                          <w:t xml:space="preserve">2</w:t>
                        </w:r>
                      </w:p>
                    </w:tc>
                    <w:tc>
                      <w:tcPr/>
                      <w:p>
                        <w:pPr>
                          <w:pStyle w:val="Compact"/>
                          <w:jc w:val="center"/>
                          <w:jc w:val="center"/>
                          <w:jc w:val="left"/>
                        </w:pPr>
                        <w:r>
                          <w:rPr>
                            <w:iCs/>
                            <w:i/>
                            <w:bCs/>
                            <w:b/>
                          </w:rPr>
                          <w:t xml:space="preserve">T</w:t>
                        </w:r>
                        <w:r>
                          <w:rPr>
                            <w:bCs/>
                            <w:b/>
                            <w:vertAlign w:val="subscript"/>
                          </w:rPr>
                          <w:t xml:space="preserve">2</w:t>
                        </w:r>
                      </w:p>
                    </w:tc>
                  </w:tr>
                  <w:tr>
                    <w:tc>
                      <w:tcPr/>
                      <w:p>
                        <w:pPr>
                          <w:pStyle w:val="Compact"/>
                          <w:jc w:val="center"/>
                          <w:jc w:val="center"/>
                          <w:jc w:val="left"/>
                        </w:pPr>
                        <w:r>
                          <w:rPr>
                            <w:bCs/>
                            <w:b/>
                          </w:rPr>
                          <w:t xml:space="preserve">Up</w:t>
                        </w:r>
                      </w:p>
                    </w:tc>
                    <w:tc>
                      <w:tcPr/>
                      <w:p>
                        <w:pPr>
                          <w:pStyle w:val="Compact"/>
                          <w:jc w:val="center"/>
                          <w:jc w:val="center"/>
                          <w:jc w:val="left"/>
                        </w:pPr>
                        <m:oMath>
                          <m:f>
                            <m:fPr>
                              <m:type m:val="bar"/>
                            </m:fPr>
                            <m:num>
                              <m:r>
                                <m:t>1</m:t>
                              </m:r>
                            </m:num>
                            <m:den>
                              <m:r>
                                <m:t>r</m:t>
                              </m:r>
                              <m:d>
                                <m:dPr>
                                  <m:begChr m:val="("/>
                                  <m:endChr m:val=")"/>
                                  <m:sepChr m:val=""/>
                                  <m:grow/>
                                </m:dPr>
                                <m:e>
                                  <m:r>
                                    <m:t>x</m:t>
                                  </m:r>
                                </m:e>
                              </m:d>
                            </m:den>
                          </m:f>
                        </m:oMath>
                      </w:p>
                    </w:tc>
                    <w:tc>
                      <w:tcPr/>
                      <w:p>
                        <w:pPr>
                          <w:pStyle w:val="Compact"/>
                          <w:jc w:val="center"/>
                          <w:jc w:val="center"/>
                          <w:jc w:val="left"/>
                        </w:pPr>
                        <w:r>
                          <w:t xml:space="preserve">0</w:t>
                        </w:r>
                      </w:p>
                    </w:tc>
                  </w:tr>
                  <w:tr>
                    <w:tc>
                      <w:tcPr/>
                      <w:p>
                        <w:pPr>
                          <w:pStyle w:val="Compact"/>
                          <w:jc w:val="center"/>
                          <w:jc w:val="center"/>
                          <w:jc w:val="left"/>
                        </w:pPr>
                        <w:r>
                          <w:rPr>
                            <w:bCs/>
                            <w:b/>
                          </w:rPr>
                          <w:t xml:space="preserve">Down</w:t>
                        </w:r>
                      </w:p>
                    </w:tc>
                    <w:tc>
                      <w:tcPr/>
                      <w:p>
                        <w:pPr>
                          <w:pStyle w:val="Compact"/>
                          <w:jc w:val="center"/>
                          <w:jc w:val="center"/>
                          <w:jc w:val="left"/>
                        </w:pPr>
                        <w:r>
                          <w:t xml:space="preserve">1</w:t>
                        </w:r>
                      </w:p>
                    </w:tc>
                    <w:tc>
                      <w:tcPr/>
                      <w:p>
                        <w:pPr>
                          <w:pStyle w:val="Compact"/>
                          <w:jc w:val="center"/>
                          <w:jc w:val="center"/>
                          <w:jc w:val="left"/>
                        </w:pPr>
                        <w:r>
                          <w:t xml:space="preserve">1</w:t>
                        </w:r>
                      </w:p>
                    </w:tc>
                  </w:tr>
                </w:tbl>
                <w:bookmarkEnd w:id="455"/>
                <w:p/>
              </w:tc>
            </w:tr>
          </w:tbl>
          <w:p/>
        </w:tc>
      </w:tr>
    </w:tbl>
    <w:p>
      <w:pPr>
        <w:pStyle w:val="BodyText"/>
      </w:pPr>
      <w:pPr>
        <w:spacing w:before="200"/>
        <w:pStyle w:val="ImageCaption"/>
      </w:pPr>
      <w:r>
        <w:t xml:space="preserve">Table E.2: An exit game with exit payout 0.</w:t>
      </w:r>
    </w:p>
    <w:bookmarkEnd w:id="456"/>
    <w:p>
      <w:pPr>
        <w:pStyle w:val="BodyText"/>
      </w:pPr>
      <w:r>
        <w:t xml:space="preserve">It’s easy to check that</w:t>
      </w:r>
      <w:r>
        <w:t xml:space="preserve"> </w:t>
      </w:r>
      <w:r>
        <w:rPr>
          <w:iCs/>
          <w:i/>
        </w:rPr>
        <w:t xml:space="preserve">REU</w:t>
      </w:r>
      <w:r>
        <w:rPr>
          <w:vertAlign w:val="subscript"/>
          <w:iCs/>
          <w:i/>
        </w:rPr>
        <w:t xml:space="preserve">L</w:t>
      </w:r>
      <w:r>
        <w:t xml:space="preserve">(</w:t>
      </w:r>
      <w:r>
        <w:rPr>
          <w:iCs/>
          <w:i/>
        </w:rPr>
        <w:t xml:space="preserve">U</w:t>
      </w:r>
      <w:r>
        <w:t xml:space="preserve">) = </w:t>
      </w:r>
      <w:r>
        <w:rPr>
          <w:iCs/>
          <w:i/>
        </w:rPr>
        <w:t xml:space="preserve">REU</w:t>
      </w:r>
      <w:r>
        <w:rPr>
          <w:vertAlign w:val="subscript"/>
          <w:iCs/>
          <w:i/>
        </w:rPr>
        <w:t xml:space="preserve">L</w:t>
      </w:r>
      <w:r>
        <w:t xml:space="preserve">(</w:t>
      </w:r>
      <w:r>
        <w:rPr>
          <w:iCs/>
          <w:i/>
        </w:rPr>
        <w:t xml:space="preserve">D</w:t>
      </w:r>
      <w:r>
        <w:t xml:space="preserve">) = 1. So by Single Choice Principle,</w:t>
      </w:r>
      <w:r>
        <w:t xml:space="preserve"> </w:t>
      </w:r>
      <w:r>
        <w:rPr>
          <w:iCs/>
          <w:i/>
        </w:rPr>
        <w:t xml:space="preserve">REU</w:t>
      </w:r>
      <w:r>
        <w:rPr>
          <w:vertAlign w:val="subscript"/>
          <w:iCs/>
          <w:i/>
        </w:rPr>
        <w:t xml:space="preserve">E</w:t>
      </w:r>
      <w:r>
        <w:t xml:space="preserve">(</w:t>
      </w:r>
      <w:r>
        <w:rPr>
          <w:iCs/>
          <w:i/>
        </w:rPr>
        <w:t xml:space="preserve">U</w:t>
      </w:r>
      <w:r>
        <w:t xml:space="preserve">) = </w:t>
      </w:r>
      <w:r>
        <w:rPr>
          <w:iCs/>
          <w:i/>
        </w:rPr>
        <w:t xml:space="preserve">REU</w:t>
      </w:r>
      <w:r>
        <w:rPr>
          <w:vertAlign w:val="subscript"/>
          <w:iCs/>
          <w:i/>
        </w:rPr>
        <w:t xml:space="preserve">E</w:t>
      </w:r>
      <w:r>
        <w:t xml:space="preserve">(</w:t>
      </w:r>
      <w:r>
        <w:rPr>
          <w:iCs/>
          <w:i/>
        </w:rPr>
        <w:t xml:space="preserve">D</w:t>
      </w:r>
      <w:r>
        <w:t xml:space="preserve">). Since</w:t>
      </w:r>
      <w:r>
        <w:t xml:space="preserve"> </w:t>
      </w:r>
      <w:r>
        <w:rPr>
          <w:iCs/>
          <w:i/>
        </w:rPr>
        <w:t xml:space="preserve">REU</w:t>
      </w:r>
      <w:r>
        <w:rPr>
          <w:vertAlign w:val="subscript"/>
          <w:iCs/>
          <w:i/>
        </w:rPr>
        <w:t xml:space="preserve">E</w:t>
      </w:r>
      <w:r>
        <w:t xml:space="preserve">(</w:t>
      </w:r>
      <w:r>
        <w:rPr>
          <w:iCs/>
          <w:i/>
        </w:rPr>
        <w:t xml:space="preserve">U</w:t>
      </w:r>
      <w:r>
        <w:t xml:space="preserve">) = </w:t>
      </w:r>
      <m:oMath>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w:r>
        <w:rPr>
          <w:iCs/>
          <w:i/>
        </w:rPr>
        <w:t xml:space="preserve">REU</w:t>
      </w:r>
      <w:r>
        <w:rPr>
          <w:vertAlign w:val="subscript"/>
          <w:iCs/>
          <w:i/>
        </w:rPr>
        <w:t xml:space="preserve">L</w:t>
      </w:r>
      <w:r>
        <w:t xml:space="preserve">(</w:t>
      </w:r>
      <w:r>
        <w:rPr>
          <w:iCs/>
          <w:i/>
        </w:rPr>
        <w:t xml:space="preserve">D</w:t>
      </w:r>
      <w:r>
        <w:t xml:space="preserve">) = </w:t>
      </w:r>
      <w:r>
        <w:rPr>
          <w:iCs/>
          <w:i/>
        </w:rPr>
        <w:t xml:space="preserve">r</w:t>
      </w:r>
      <w:r>
        <w:t xml:space="preserve">(</w:t>
      </w:r>
      <w:r>
        <w:rPr>
          <w:iCs/>
          <w:i/>
        </w:rPr>
        <w:t xml:space="preserve">y</w:t>
      </w:r>
      <w:r>
        <w:t xml:space="preserve">), it follows that</w:t>
      </w:r>
      <w:r>
        <w:t xml:space="preserve"> </w:t>
      </w:r>
      <w:r>
        <w:rPr>
          <w:iCs/>
          <w:i/>
        </w:rPr>
        <w:t xml:space="preserve">r</w:t>
      </w:r>
      <w:r>
        <w:t xml:space="preserve">(</w:t>
      </w:r>
      <w:r>
        <w:rPr>
          <w:iCs/>
          <w:i/>
        </w:rPr>
        <w:t xml:space="preserve">xy</w:t>
      </w:r>
      <w:r>
        <w:t xml:space="preserve">) = </w:t>
      </w:r>
      <w:r>
        <w:rPr>
          <w:iCs/>
          <w:i/>
        </w:rPr>
        <w:t xml:space="preserve">r</w:t>
      </w:r>
      <w:r>
        <w:t xml:space="preserve">(</w:t>
      </w:r>
      <w:r>
        <w:rPr>
          <w:iCs/>
          <w:i/>
        </w:rPr>
        <w:t xml:space="preserve">x</w:t>
      </w:r>
      <w:r>
        <w:t xml:space="preserve">)</w:t>
      </w:r>
      <w:r>
        <w:rPr>
          <w:iCs/>
          <w:i/>
        </w:rPr>
        <w:t xml:space="preserve">r</w:t>
      </w:r>
      <w:r>
        <w:t xml:space="preserve">(</w:t>
      </w:r>
      <w:r>
        <w:rPr>
          <w:iCs/>
          <w:i/>
        </w:rPr>
        <w:t xml:space="preserve">y</w:t>
      </w:r>
      <w:r>
        <w:t xml:space="preserve">), as required.</w:t>
      </w:r>
    </w:p>
    <w:p>
      <w:pPr>
        <w:pStyle w:val="BodyText"/>
      </w:pPr>
      <w:r>
        <w:t xml:space="preserve">Define</w:t>
      </w:r>
      <w:r>
        <w:t xml:space="preserve"> </w:t>
      </w:r>
      <w:r>
        <w:rPr>
          <w:iCs/>
          <w:i/>
        </w:rPr>
        <w:t xml:space="preserve">m</w:t>
      </w:r>
      <w:r>
        <w:t xml:space="preserve">, for midpoint, as</w:t>
      </w:r>
      <w:r>
        <w:t xml:space="preserve"> </w:t>
      </w:r>
      <w:r>
        <w:rPr>
          <w:iCs/>
          <w:i/>
        </w:rPr>
        <w:t xml:space="preserve">r</w:t>
      </w:r>
      <w:r>
        <w:rPr>
          <w:vertAlign w:val="superscript"/>
        </w:rPr>
        <w:t xml:space="preserve">-1</w:t>
      </w:r>
      <w:r>
        <w:t xml:space="preserve">(0.5). Intuitively,</w:t>
      </w:r>
      <w:r>
        <w:t xml:space="preserve"> </w:t>
      </w:r>
      <w:r>
        <w:rPr>
          <w:iCs/>
          <w:i/>
        </w:rPr>
        <w:t xml:space="preserve">m</w:t>
      </w:r>
      <w:r>
        <w:t xml:space="preserve"> </w:t>
      </w:r>
      <w:r>
        <w:t xml:space="preserve">is the probability where the risk-weighting agent is indifferent between taking and declining a bet that stands to win and lose the same amount. Since</w:t>
      </w:r>
      <w:r>
        <w:t xml:space="preserve"> </w:t>
      </w:r>
      <w:r>
        <w:rPr>
          <w:iCs/>
          <w:i/>
        </w:rPr>
        <w:t xml:space="preserve">r</w:t>
      </w:r>
      <w:r>
        <w:t xml:space="preserve"> </w:t>
      </w:r>
      <w:r>
        <w:t xml:space="preserve">is monotonically increasing, and goes from 0 to 1,</w:t>
      </w:r>
      <w:r>
        <w:t xml:space="preserve"> </w:t>
      </w:r>
      <w:r>
        <w:rPr>
          <w:iCs/>
          <w:i/>
        </w:rPr>
        <w:t xml:space="preserve">m</w:t>
      </w:r>
      <w:r>
        <w:t xml:space="preserve"> </w:t>
      </w:r>
      <w:r>
        <w:t xml:space="preserve">must exist. Consider now</w:t>
      </w:r>
      <w:r>
        <w:t xml:space="preserve"> </w:t>
      </w:r>
      <w:hyperlink w:anchor="tbl-one-coin-exit">
        <w:r>
          <w:rPr>
            <w:rStyle w:val="Hyperlink"/>
          </w:rPr>
          <w:t xml:space="preserve">Table E.3</w:t>
        </w:r>
      </w:hyperlink>
      <w:r>
        <w:t xml:space="preserve">, where</w:t>
      </w:r>
      <w:r>
        <w:t xml:space="preserve"> </w:t>
      </w:r>
      <w:r>
        <w:rPr>
          <w:iCs/>
          <w:i/>
        </w:rPr>
        <w:t xml:space="preserve">y</w:t>
      </w:r>
      <w:r>
        <w:t xml:space="preserve"> </w:t>
      </w:r>
      <w:r>
        <w:t xml:space="preserve">is arbitrary.</w:t>
      </w:r>
    </w:p>
    <w:bookmarkStart w:id="459" w:name="tbl-one-coin-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57" w:name="tbl-one-coin-exit-param"/>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t xml:space="preserve">1</w:t>
                        </w:r>
                      </w:p>
                    </w:tc>
                  </w:tr>
                  <w:tr>
                    <w:tc>
                      <w:tcPr/>
                      <w:p>
                        <w:pPr>
                          <w:pStyle w:val="Compact"/>
                          <w:jc w:val="center"/>
                          <w:jc w:val="center"/>
                          <w:jc w:val="left"/>
                        </w:pPr>
                        <w:r>
                          <w:t xml:space="preserve">Pr(</w:t>
                        </w:r>
                        <w:r>
                          <w:rPr>
                            <w:iCs/>
                            <w:i/>
                          </w:rPr>
                          <w:t xml:space="preserve">H</w:t>
                        </w:r>
                        <w:r>
                          <w:rPr>
                            <w:vertAlign w:val="subscript"/>
                          </w:rPr>
                          <w:t xml:space="preserve">1</w:t>
                        </w:r>
                        <w:r>
                          <w:t xml:space="preserve">)</w:t>
                        </w:r>
                      </w:p>
                    </w:tc>
                    <w:tc>
                      <w:tcPr/>
                      <w:p>
                        <w:pPr>
                          <w:pStyle w:val="Compact"/>
                          <w:jc w:val="center"/>
                          <w:jc w:val="center"/>
                          <w:jc w:val="left"/>
                        </w:pPr>
                        <w:r>
                          <w:rPr>
                            <w:iCs/>
                            <w:i/>
                          </w:rPr>
                          <w:t xml:space="preserve">y</w:t>
                        </w:r>
                      </w:p>
                    </w:tc>
                  </w:tr>
                  <w:tr>
                    <w:tc>
                      <w:tcPr/>
                      <w:p>
                        <w:pPr>
                          <w:pStyle w:val="Compact"/>
                          <w:jc w:val="center"/>
                          <w:jc w:val="center"/>
                          <w:jc w:val="left"/>
                        </w:pPr>
                        <w:r>
                          <w:t xml:space="preserve">Pr(</w:t>
                        </w:r>
                        <w:r>
                          <w:rPr>
                            <w:iCs/>
                            <w:i/>
                          </w:rPr>
                          <w:t xml:space="preserve">H</w:t>
                        </w:r>
                        <w:r>
                          <w:rPr>
                            <w:vertAlign w:val="subscript"/>
                          </w:rPr>
                          <w:t xml:space="preserve">2</w:t>
                        </w:r>
                        <w:r>
                          <w:t xml:space="preserve">)</w:t>
                        </w:r>
                      </w:p>
                    </w:tc>
                    <w:tc>
                      <w:tcPr/>
                      <w:p>
                        <w:pPr>
                          <w:pStyle w:val="Compact"/>
                          <w:jc w:val="center"/>
                          <w:jc w:val="center"/>
                          <w:jc w:val="left"/>
                        </w:pPr>
                        <w:r>
                          <w:rPr>
                            <w:iCs/>
                            <w:i/>
                          </w:rPr>
                          <w:t xml:space="preserve">m</w:t>
                        </w:r>
                      </w:p>
                    </w:tc>
                  </w:tr>
                </w:tbl>
                <w:bookmarkEnd w:id="457"/>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58" w:name="tbl-one-coin-exit-r2g"/>
                <w:p>
                  <w:pPr>
                    <w:jc w:val="center"/>
                    <w:jc w:val="left"/>
                  </w:pPr>
                  <w:pPr>
                    <w:jc w:val="start"/>
                    <w:spacing w:before="200"/>
                    <w:pStyle w:val="ImageCaption"/>
                  </w:pPr>
                  <w:r>
                    <w:t xml:space="preserve">(b) Round 2 game</w:t>
                  </w:r>
                </w:p>
                <w:tbl>
                  <w:tblPr>
                    <w:tblStyle w:val="Table"/>
                    <w:tblW w:type="pct" w:w="4900"/>
                    <w:tblLook w:firstRow="1" w:lastRow="0" w:firstColumn="0" w:lastColumn="0" w:noHBand="0" w:noVBand="0" w:val="0020"/>
                    <w:jc w:val="start"/>
                    <w:tblLayout w:type="fixed"/>
                  </w:tblPr>
                  <w:tblGrid>
                    <w:gridCol w:w="2587"/>
                    <w:gridCol w:w="2587"/>
                    <w:gridCol w:w="2587"/>
                  </w:tblGrid>
                  <w:tr>
                    <w:trPr>
                      <w:tblHeader w:val="true"/>
                    </w:trPr>
                    <w:tc>
                      <w:tcPr/>
                      <w:p>
                        <w:pPr>
                          <w:pStyle w:val="Compact"/>
                        </w:pPr>
                      </w:p>
                    </w:tc>
                    <w:tc>
                      <w:tcPr/>
                      <w:p>
                        <w:pPr>
                          <w:pStyle w:val="Compact"/>
                          <w:jc w:val="center"/>
                          <w:jc w:val="center"/>
                          <w:jc w:val="left"/>
                        </w:pPr>
                        <w:r>
                          <w:rPr>
                            <w:iCs/>
                            <w:i/>
                            <w:bCs/>
                            <w:b/>
                          </w:rPr>
                          <w:t xml:space="preserve">H</w:t>
                        </w:r>
                        <w:r>
                          <w:rPr>
                            <w:bCs/>
                            <w:b/>
                            <w:vertAlign w:val="subscript"/>
                          </w:rPr>
                          <w:t xml:space="preserve">2</w:t>
                        </w:r>
                      </w:p>
                    </w:tc>
                    <w:tc>
                      <w:tcPr/>
                      <w:p>
                        <w:pPr>
                          <w:pStyle w:val="Compact"/>
                          <w:jc w:val="center"/>
                          <w:jc w:val="center"/>
                          <w:jc w:val="left"/>
                        </w:pPr>
                        <w:r>
                          <w:rPr>
                            <w:iCs/>
                            <w:i/>
                            <w:bCs/>
                            <w:b/>
                          </w:rPr>
                          <w:t xml:space="preserve">T</w:t>
                        </w:r>
                        <w:r>
                          <w:rPr>
                            <w:bCs/>
                            <w:b/>
                            <w:vertAlign w:val="subscript"/>
                          </w:rPr>
                          <w:t xml:space="preserve">2</w:t>
                        </w:r>
                      </w:p>
                    </w:tc>
                  </w:tr>
                  <w:tr>
                    <w:tc>
                      <w:tcPr/>
                      <w:p>
                        <w:pPr>
                          <w:pStyle w:val="Compact"/>
                          <w:jc w:val="center"/>
                          <w:jc w:val="center"/>
                          <w:jc w:val="left"/>
                        </w:pPr>
                        <w:r>
                          <w:rPr>
                            <w:bCs/>
                            <w:b/>
                          </w:rPr>
                          <w:t xml:space="preserve">Up</w:t>
                        </w:r>
                      </w:p>
                    </w:tc>
                    <w:tc>
                      <w:tcPr/>
                      <w:p>
                        <w:pPr>
                          <w:pStyle w:val="Compact"/>
                          <w:jc w:val="center"/>
                          <w:jc w:val="center"/>
                          <w:jc w:val="left"/>
                        </w:pPr>
                        <w:r>
                          <w:t xml:space="preserve">2</w:t>
                        </w:r>
                      </w:p>
                    </w:tc>
                    <w:tc>
                      <w:tcPr/>
                      <w:p>
                        <w:pPr>
                          <w:pStyle w:val="Compact"/>
                          <w:jc w:val="center"/>
                          <w:jc w:val="center"/>
                          <w:jc w:val="left"/>
                        </w:pPr>
                        <w:r>
                          <w:t xml:space="preserve">0</w:t>
                        </w:r>
                      </w:p>
                    </w:tc>
                  </w:tr>
                  <w:tr>
                    <w:tc>
                      <w:tcPr/>
                      <w:p>
                        <w:pPr>
                          <w:pStyle w:val="Compact"/>
                          <w:jc w:val="center"/>
                          <w:jc w:val="center"/>
                          <w:jc w:val="left"/>
                        </w:pPr>
                        <w:r>
                          <w:rPr>
                            <w:bCs/>
                            <w:b/>
                          </w:rPr>
                          <w:t xml:space="preserve">Down</w:t>
                        </w:r>
                      </w:p>
                    </w:tc>
                    <w:tc>
                      <w:tcPr/>
                      <w:p>
                        <w:pPr>
                          <w:pStyle w:val="Compact"/>
                          <w:jc w:val="center"/>
                          <w:jc w:val="center"/>
                          <w:jc w:val="left"/>
                        </w:pPr>
                        <w:r>
                          <w:t xml:space="preserve">1</w:t>
                        </w:r>
                      </w:p>
                    </w:tc>
                    <w:tc>
                      <w:tcPr/>
                      <w:p>
                        <w:pPr>
                          <w:pStyle w:val="Compact"/>
                          <w:jc w:val="center"/>
                          <w:jc w:val="center"/>
                          <w:jc w:val="left"/>
                        </w:pPr>
                        <w:r>
                          <w:t xml:space="preserve">1</w:t>
                        </w:r>
                      </w:p>
                    </w:tc>
                  </w:tr>
                </w:tbl>
                <w:bookmarkEnd w:id="458"/>
                <w:p/>
              </w:tc>
            </w:tr>
          </w:tbl>
          <w:p/>
        </w:tc>
      </w:tr>
    </w:tbl>
    <w:p>
      <w:pPr>
        <w:pStyle w:val="BodyText"/>
      </w:pPr>
      <w:pPr>
        <w:spacing w:before="200"/>
        <w:pStyle w:val="ImageCaption"/>
      </w:pPr>
      <w:r>
        <w:t xml:space="preserve">Table E.3: An exit game with exit payout 1.</w:t>
      </w:r>
    </w:p>
    <w:bookmarkEnd w:id="459"/>
    <w:p>
      <w:pPr>
        <w:pStyle w:val="BodyText"/>
      </w:pPr>
      <w:r>
        <w:t xml:space="preserve">In</w:t>
      </w:r>
      <w:r>
        <w:t xml:space="preserve"> </w:t>
      </w:r>
      <w:hyperlink w:anchor="tbl-one-coin-exit">
        <w:r>
          <w:rPr>
            <w:rStyle w:val="Hyperlink"/>
          </w:rPr>
          <w:t xml:space="preserve">Table E.3</w:t>
        </w:r>
      </w:hyperlink>
      <w:r>
        <w:t xml:space="preserve">, it’s also easy to see that</w:t>
      </w:r>
      <w:r>
        <w:t xml:space="preserve"> </w:t>
      </w:r>
      <w:r>
        <w:rPr>
          <w:iCs/>
          <w:i/>
        </w:rPr>
        <w:t xml:space="preserve">REU</w:t>
      </w:r>
      <w:r>
        <w:rPr>
          <w:vertAlign w:val="subscript"/>
          <w:iCs/>
          <w:i/>
        </w:rPr>
        <w:t xml:space="preserve">L</w:t>
      </w:r>
      <w:r>
        <w:t xml:space="preserve">(</w:t>
      </w:r>
      <w:r>
        <w:rPr>
          <w:iCs/>
          <w:i/>
        </w:rPr>
        <w:t xml:space="preserve">U</w:t>
      </w:r>
      <w:r>
        <w:t xml:space="preserve">) = </w:t>
      </w:r>
      <w:r>
        <w:rPr>
          <w:iCs/>
          <w:i/>
        </w:rPr>
        <w:t xml:space="preserve">REU</w:t>
      </w:r>
      <w:r>
        <w:rPr>
          <w:vertAlign w:val="subscript"/>
          <w:iCs/>
          <w:i/>
        </w:rPr>
        <w:t xml:space="preserve">L</w:t>
      </w:r>
      <w:r>
        <w:t xml:space="preserve">(</w:t>
      </w:r>
      <w:r>
        <w:rPr>
          <w:iCs/>
          <w:i/>
        </w:rPr>
        <w:t xml:space="preserve">D</w:t>
      </w:r>
      <w:r>
        <w:t xml:space="preserve">) = 1. So by Single Choice Principle,</w:t>
      </w:r>
      <w:r>
        <w:t xml:space="preserve"> </w:t>
      </w:r>
      <w:r>
        <w:rPr>
          <w:iCs/>
          <w:i/>
        </w:rPr>
        <w:t xml:space="preserve">REU</w:t>
      </w:r>
      <w:r>
        <w:rPr>
          <w:vertAlign w:val="subscript"/>
          <w:iCs/>
          <w:i/>
        </w:rPr>
        <w:t xml:space="preserve">E</w:t>
      </w:r>
      <w:r>
        <w:t xml:space="preserve">(</w:t>
      </w:r>
      <w:r>
        <w:rPr>
          <w:iCs/>
          <w:i/>
        </w:rPr>
        <w:t xml:space="preserve">U</w:t>
      </w:r>
      <w:r>
        <w:t xml:space="preserve">) = </w:t>
      </w:r>
      <w:r>
        <w:rPr>
          <w:iCs/>
          <w:i/>
        </w:rPr>
        <w:t xml:space="preserve">REU</w:t>
      </w:r>
      <w:r>
        <w:rPr>
          <w:vertAlign w:val="subscript"/>
          <w:iCs/>
          <w:i/>
        </w:rPr>
        <w:t xml:space="preserve">E</w:t>
      </w:r>
      <w:r>
        <w:t xml:space="preserve">(</w:t>
      </w:r>
      <w:r>
        <w:rPr>
          <w:iCs/>
          <w:i/>
        </w:rPr>
        <w:t xml:space="preserve">D</w:t>
      </w:r>
      <w:r>
        <w:t xml:space="preserve">). And it’s also clear that</w:t>
      </w:r>
      <w:r>
        <w:t xml:space="preserve"> </w:t>
      </w:r>
      <w:r>
        <w:rPr>
          <w:iCs/>
          <w:i/>
        </w:rPr>
        <w:t xml:space="preserve">REU</w:t>
      </w:r>
      <w:r>
        <w:rPr>
          <w:vertAlign w:val="subscript"/>
          <w:iCs/>
          <w:i/>
        </w:rPr>
        <w:t xml:space="preserve">E</w:t>
      </w:r>
      <w:r>
        <w:t xml:space="preserve">(</w:t>
      </w:r>
      <w:r>
        <w:rPr>
          <w:iCs/>
          <w:i/>
        </w:rPr>
        <w:t xml:space="preserve">D</w:t>
      </w:r>
      <w:r>
        <w:t xml:space="preserve">) = 1, since that’s the only possible payout for Down. So</w:t>
      </w:r>
      <w:r>
        <w:t xml:space="preserve"> </w:t>
      </w:r>
      <w:r>
        <w:rPr>
          <w:iCs/>
          <w:i/>
        </w:rPr>
        <w:t xml:space="preserve">REU</w:t>
      </w:r>
      <w:r>
        <w:rPr>
          <w:vertAlign w:val="subscript"/>
          <w:iCs/>
          <w:i/>
        </w:rPr>
        <w:t xml:space="preserve">E</w:t>
      </w:r>
      <w:r>
        <w:t xml:space="preserve">(</w:t>
      </w:r>
      <w:r>
        <w:rPr>
          <w:iCs/>
          <w:i/>
        </w:rPr>
        <w:t xml:space="preserve">U</w:t>
      </w:r>
      <w:r>
        <w:t xml:space="preserve">) = 1.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E.4</w:t>
        </w:r>
      </w:hyperlink>
      <w:r>
        <w:t xml:space="preserve">, which is just the same as</w:t>
      </w:r>
      <w:r>
        <w:t xml:space="preserve"> </w:t>
      </w:r>
      <w:hyperlink w:anchor="tbl-one-coin-exit">
        <w:r>
          <w:rPr>
            <w:rStyle w:val="Hyperlink"/>
          </w:rPr>
          <w:t xml:space="preserve">Table E.3</w:t>
        </w:r>
      </w:hyperlink>
      <w:r>
        <w:t xml:space="preserve">, except the exit payout is now 2.</w:t>
      </w:r>
    </w:p>
    <w:bookmarkStart w:id="462" w:name="tbl-two-coin-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0" w:name="tbl-two-coin-exit-param"/>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t xml:space="preserve">2</w:t>
                        </w:r>
                      </w:p>
                    </w:tc>
                  </w:tr>
                  <w:tr>
                    <w:tc>
                      <w:tcPr/>
                      <w:p>
                        <w:pPr>
                          <w:pStyle w:val="Compact"/>
                          <w:jc w:val="center"/>
                          <w:jc w:val="center"/>
                          <w:jc w:val="left"/>
                        </w:pPr>
                        <w:r>
                          <w:t xml:space="preserve">Pr(</w:t>
                        </w:r>
                        <w:r>
                          <w:rPr>
                            <w:iCs/>
                            <w:i/>
                          </w:rPr>
                          <w:t xml:space="preserve">H</w:t>
                        </w:r>
                        <w:r>
                          <w:rPr>
                            <w:vertAlign w:val="subscript"/>
                          </w:rPr>
                          <w:t xml:space="preserve">1</w:t>
                        </w:r>
                        <w:r>
                          <w:t xml:space="preserve">)</w:t>
                        </w:r>
                      </w:p>
                    </w:tc>
                    <w:tc>
                      <w:tcPr/>
                      <w:p>
                        <w:pPr>
                          <w:pStyle w:val="Compact"/>
                          <w:jc w:val="center"/>
                          <w:jc w:val="center"/>
                          <w:jc w:val="left"/>
                        </w:pPr>
                        <w:r>
                          <w:rPr>
                            <w:iCs/>
                            <w:i/>
                          </w:rPr>
                          <w:t xml:space="preserve">y</w:t>
                        </w:r>
                      </w:p>
                    </w:tc>
                  </w:tr>
                  <w:tr>
                    <w:tc>
                      <w:tcPr/>
                      <w:p>
                        <w:pPr>
                          <w:pStyle w:val="Compact"/>
                          <w:jc w:val="center"/>
                          <w:jc w:val="center"/>
                          <w:jc w:val="left"/>
                        </w:pPr>
                        <w:r>
                          <w:t xml:space="preserve">Pr(</w:t>
                        </w:r>
                        <w:r>
                          <w:rPr>
                            <w:iCs/>
                            <w:i/>
                          </w:rPr>
                          <w:t xml:space="preserve">H</w:t>
                        </w:r>
                        <w:r>
                          <w:rPr>
                            <w:vertAlign w:val="subscript"/>
                          </w:rPr>
                          <w:t xml:space="preserve">2</w:t>
                        </w:r>
                        <w:r>
                          <w:t xml:space="preserve">)</w:t>
                        </w:r>
                      </w:p>
                    </w:tc>
                    <w:tc>
                      <w:tcPr/>
                      <w:p>
                        <w:pPr>
                          <w:pStyle w:val="Compact"/>
                          <w:jc w:val="center"/>
                          <w:jc w:val="center"/>
                          <w:jc w:val="left"/>
                        </w:pPr>
                        <w:r>
                          <w:rPr>
                            <w:iCs/>
                            <w:i/>
                          </w:rPr>
                          <w:t xml:space="preserve">m</w:t>
                        </w:r>
                      </w:p>
                    </w:tc>
                  </w:tr>
                </w:tbl>
                <w:bookmarkEnd w:id="460"/>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1" w:name="tbl-two-coin-exit-r2g"/>
                <w:p>
                  <w:pPr>
                    <w:jc w:val="center"/>
                    <w:jc w:val="left"/>
                  </w:pPr>
                  <w:pPr>
                    <w:jc w:val="start"/>
                    <w:spacing w:before="200"/>
                    <w:pStyle w:val="ImageCaption"/>
                  </w:pPr>
                  <w:r>
                    <w:t xml:space="preserve">(b) Round 2 game</w:t>
                  </w:r>
                </w:p>
                <w:tbl>
                  <w:tblPr>
                    <w:tblStyle w:val="Table"/>
                    <w:tblW w:type="pct" w:w="4900"/>
                    <w:tblLook w:firstRow="0" w:lastRow="0" w:firstColumn="0" w:lastColumn="0" w:noHBand="0" w:noVBand="0" w:val="0000"/>
                    <w:jc w:val="start"/>
                    <w:tblLayout w:type="fixed"/>
                  </w:tblPr>
                  <w:tblGrid>
                    <w:gridCol w:w="2587"/>
                    <w:gridCol w:w="2587"/>
                    <w:gridCol w:w="2587"/>
                  </w:tblGrid>
                  <w:tr>
                    <w:tc>
                      <w:tcPr/>
                      <w:p>
                        <w:pPr>
                          <w:pStyle w:val="Compact"/>
                        </w:pPr>
                      </w:p>
                    </w:tc>
                    <w:tc>
                      <w:tcPr/>
                      <w:p>
                        <w:pPr>
                          <w:pStyle w:val="Compact"/>
                          <w:jc w:val="center"/>
                          <w:jc w:val="center"/>
                          <w:jc w:val="left"/>
                        </w:pPr>
                        <w:r>
                          <w:rPr>
                            <w:iCs/>
                            <w:i/>
                          </w:rPr>
                          <w:t xml:space="preserve">H</w:t>
                        </w:r>
                        <w:r>
                          <w:rPr>
                            <w:vertAlign w:val="subscript"/>
                          </w:rPr>
                          <w:t xml:space="preserve">2</w:t>
                        </w:r>
                      </w:p>
                    </w:tc>
                    <w:tc>
                      <w:tcPr/>
                      <w:p>
                        <w:pPr>
                          <w:pStyle w:val="Compact"/>
                          <w:jc w:val="center"/>
                          <w:jc w:val="center"/>
                          <w:jc w:val="left"/>
                        </w:pPr>
                        <w:r>
                          <w:rPr>
                            <w:iCs/>
                            <w:i/>
                          </w:rPr>
                          <w:t xml:space="preserve">T</w:t>
                        </w:r>
                        <w:r>
                          <w:rPr>
                            <w:vertAlign w:val="subscript"/>
                          </w:rPr>
                          <w:t xml:space="preserve">2</w:t>
                        </w:r>
                      </w:p>
                    </w:tc>
                  </w:tr>
                  <w:tr>
                    <w:tc>
                      <w:tcPr/>
                      <w:p>
                        <w:pPr>
                          <w:pStyle w:val="Compact"/>
                          <w:jc w:val="center"/>
                          <w:jc w:val="center"/>
                          <w:jc w:val="left"/>
                        </w:pPr>
                        <w:r>
                          <w:rPr>
                            <w:bCs/>
                            <w:b/>
                          </w:rPr>
                          <w:t xml:space="preserve">Up</w:t>
                        </w:r>
                      </w:p>
                    </w:tc>
                    <w:tc>
                      <w:tcPr/>
                      <w:p>
                        <w:pPr>
                          <w:pStyle w:val="Compact"/>
                          <w:jc w:val="center"/>
                          <w:jc w:val="center"/>
                          <w:jc w:val="left"/>
                        </w:pPr>
                        <w:r>
                          <w:t xml:space="preserve">2</w:t>
                        </w:r>
                      </w:p>
                    </w:tc>
                    <w:tc>
                      <w:tcPr/>
                      <w:p>
                        <w:pPr>
                          <w:pStyle w:val="Compact"/>
                          <w:jc w:val="center"/>
                          <w:jc w:val="center"/>
                          <w:jc w:val="left"/>
                        </w:pPr>
                        <w:r>
                          <w:t xml:space="preserve">0</w:t>
                        </w:r>
                      </w:p>
                    </w:tc>
                  </w:tr>
                  <w:tr>
                    <w:tc>
                      <w:tcPr/>
                      <w:p>
                        <w:pPr>
                          <w:pStyle w:val="Compact"/>
                          <w:jc w:val="center"/>
                          <w:jc w:val="center"/>
                          <w:jc w:val="left"/>
                        </w:pPr>
                        <w:r>
                          <w:rPr>
                            <w:bCs/>
                            <w:b/>
                          </w:rPr>
                          <w:t xml:space="preserve">Down</w:t>
                        </w:r>
                      </w:p>
                    </w:tc>
                    <w:tc>
                      <w:tcPr/>
                      <w:p>
                        <w:pPr>
                          <w:pStyle w:val="Compact"/>
                          <w:jc w:val="center"/>
                          <w:jc w:val="center"/>
                          <w:jc w:val="left"/>
                        </w:pPr>
                        <w:r>
                          <w:t xml:space="preserve">1</w:t>
                        </w:r>
                      </w:p>
                    </w:tc>
                    <w:tc>
                      <w:tcPr/>
                      <w:p>
                        <w:pPr>
                          <w:pStyle w:val="Compact"/>
                          <w:jc w:val="center"/>
                          <w:jc w:val="center"/>
                          <w:jc w:val="left"/>
                        </w:pPr>
                        <w:r>
                          <w:t xml:space="preserve">1</w:t>
                        </w:r>
                      </w:p>
                    </w:tc>
                  </w:tr>
                </w:tbl>
                <w:bookmarkEnd w:id="461"/>
                <w:p/>
              </w:tc>
            </w:tr>
          </w:tbl>
          <w:p/>
        </w:tc>
      </w:tr>
    </w:tbl>
    <w:p>
      <w:pPr>
        <w:pStyle w:val="BodyText"/>
      </w:pPr>
      <w:pPr>
        <w:spacing w:before="200"/>
        <w:pStyle w:val="ImageCaption"/>
      </w:pPr>
      <w:r>
        <w:t xml:space="preserve">Table E.4: An exit game with exit payout 2.</w:t>
      </w:r>
    </w:p>
    <w:bookmarkEnd w:id="462"/>
    <w:p>
      <w:pPr>
        <w:pStyle w:val="BodyText"/>
      </w:pPr>
      <w:r>
        <w:t xml:space="preserve">In</w:t>
      </w:r>
      <w:r>
        <w:t xml:space="preserve"> </w:t>
      </w:r>
      <w:hyperlink w:anchor="tbl-two-coin-exit">
        <w:r>
          <w:rPr>
            <w:rStyle w:val="Hyperlink"/>
          </w:rPr>
          <w:t xml:space="preserve">Table E.4</w:t>
        </w:r>
      </w:hyperlink>
      <w:r>
        <w:t xml:space="preserve">, it’s again easy to see that</w:t>
      </w:r>
      <w:r>
        <w:t xml:space="preserve"> </w:t>
      </w:r>
      <w:r>
        <w:rPr>
          <w:iCs/>
          <w:i/>
        </w:rPr>
        <w:t xml:space="preserve">REU</w:t>
      </w:r>
      <w:r>
        <w:rPr>
          <w:vertAlign w:val="subscript"/>
          <w:iCs/>
          <w:i/>
        </w:rPr>
        <w:t xml:space="preserve">L</w:t>
      </w:r>
      <w:r>
        <w:t xml:space="preserve">(</w:t>
      </w:r>
      <w:r>
        <w:rPr>
          <w:iCs/>
          <w:i/>
        </w:rPr>
        <w:t xml:space="preserve">U</w:t>
      </w:r>
      <w:r>
        <w:t xml:space="preserve">) = </w:t>
      </w:r>
      <w:r>
        <w:rPr>
          <w:iCs/>
          <w:i/>
        </w:rPr>
        <w:t xml:space="preserve">REU</w:t>
      </w:r>
      <w:r>
        <w:rPr>
          <w:vertAlign w:val="subscript"/>
          <w:iCs/>
          <w:i/>
        </w:rPr>
        <w:t xml:space="preserve">L</w:t>
      </w:r>
      <w:r>
        <w:t xml:space="preserve">(</w:t>
      </w:r>
      <w:r>
        <w:rPr>
          <w:iCs/>
          <w:i/>
        </w:rPr>
        <w:t xml:space="preserve">D</w:t>
      </w:r>
      <w:r>
        <w:t xml:space="preserve">) = 1. So by Single Choice Principle,</w:t>
      </w:r>
      <w:r>
        <w:t xml:space="preserve"> </w:t>
      </w:r>
      <w:r>
        <w:rPr>
          <w:iCs/>
          <w:i/>
        </w:rPr>
        <w:t xml:space="preserve">REU</w:t>
      </w:r>
      <w:r>
        <w:rPr>
          <w:vertAlign w:val="subscript"/>
          <w:iCs/>
          <w:i/>
        </w:rPr>
        <w:t xml:space="preserve">E</w:t>
      </w:r>
      <w:r>
        <w:t xml:space="preserve">(</w:t>
      </w:r>
      <w:r>
        <w:rPr>
          <w:iCs/>
          <w:i/>
        </w:rPr>
        <w:t xml:space="preserve">U</w:t>
      </w:r>
      <w:r>
        <w:t xml:space="preserve">) = </w:t>
      </w:r>
      <w:r>
        <w:rPr>
          <w:iCs/>
          <w:i/>
        </w:rPr>
        <w:t xml:space="preserve">REU</w:t>
      </w:r>
      <w:r>
        <w:rPr>
          <w:vertAlign w:val="subscript"/>
          <w:iCs/>
          <w:i/>
        </w:rPr>
        <w:t xml:space="preserve">E</w:t>
      </w:r>
      <w:r>
        <w:t xml:space="preserve">(</w:t>
      </w:r>
      <w:r>
        <w:rPr>
          <w:iCs/>
          <w:i/>
        </w:rPr>
        <w:t xml:space="preserve">D</w:t>
      </w:r>
      <w:r>
        <w:t xml:space="preserve">). But the early values are more complicated:</w:t>
      </w:r>
      <w:r>
        <w:t xml:space="preserve"> </w:t>
      </w:r>
      <w:r>
        <w:rPr>
          <w:iCs/>
          <w:i/>
        </w:rPr>
        <w:t xml:space="preserve">REU</w:t>
      </w:r>
      <w:r>
        <w:rPr>
          <w:vertAlign w:val="subscript"/>
          <w:iCs/>
          <w:i/>
        </w:rPr>
        <w:t xml:space="preserve">E</w:t>
      </w:r>
      <w:r>
        <w:t xml:space="preserve">(</w:t>
      </w:r>
      <w:r>
        <w:rPr>
          <w:iCs/>
          <w:i/>
        </w:rPr>
        <w:t xml:space="preserve">D</w:t>
      </w:r>
      <w:r>
        <w:t xml:space="preserve">) = 1 + </w:t>
      </w:r>
      <w:r>
        <w:rPr>
          <w:iCs/>
          <w:i/>
        </w:rPr>
        <w:t xml:space="preserve">r</w:t>
      </w:r>
      <w:r>
        <w:t xml:space="preserve">(1-</w:t>
      </w:r>
      <w:r>
        <w:rPr>
          <w:iCs/>
          <w:i/>
        </w:rPr>
        <w:t xml:space="preserve">y</w:t>
      </w:r>
      <w:r>
        <w:t xml:space="preserve">), and</w:t>
      </w:r>
      <w:r>
        <w:t xml:space="preserve"> </w:t>
      </w:r>
      <w:r>
        <w:rPr>
          <w:iCs/>
          <w:i/>
        </w:rPr>
        <w:t xml:space="preserve">REU</w:t>
      </w:r>
      <w:r>
        <w:rPr>
          <w:vertAlign w:val="subscript"/>
          <w:iCs/>
          <w:i/>
        </w:rPr>
        <w:t xml:space="preserve">E</w:t>
      </w:r>
      <w:r>
        <w:t xml:space="preserve">(</w:t>
      </w:r>
      <w:r>
        <w:rPr>
          <w:iCs/>
          <w:i/>
        </w:rPr>
        <w:t xml:space="preserve">U</w:t>
      </w:r>
      <w:r>
        <w:t xml:space="preserve">) = 2</w:t>
      </w:r>
      <w:r>
        <w:rPr>
          <w:iCs/>
          <w:i/>
        </w:rPr>
        <w:t xml:space="preserve">r</w:t>
      </w:r>
      <w:r>
        <w:t xml:space="preserve">(1-</w:t>
      </w:r>
      <w:r>
        <w:rPr>
          <w:iCs/>
          <w:i/>
        </w:rPr>
        <w:t xml:space="preserve">y</w:t>
      </w:r>
      <w:r>
        <w:t xml:space="preserve">(1-</w:t>
      </w:r>
      <w:r>
        <w:rPr>
          <w:iCs/>
          <w:i/>
        </w:rPr>
        <w:t xml:space="preserve">m</w:t>
      </w:r>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w:r>
        <w:rPr>
          <w:iCs/>
          <w:i/>
        </w:rPr>
        <w:t xml:space="preserve">r</w:t>
      </w:r>
      <w:r>
        <w:t xml:space="preserve"> </w:t>
      </w:r>
      <w:r>
        <w:t xml:space="preserve">is a monotonic increasing function satisfying</w:t>
      </w:r>
      <w:r>
        <w:t xml:space="preserve"> </w:t>
      </w:r>
      <w:r>
        <w:rPr>
          <w:iCs/>
          <w:i/>
        </w:rPr>
        <w:t xml:space="preserve">r</w:t>
      </w:r>
      <w:r>
        <w:t xml:space="preserve">(0) = 0,</w:t>
      </w:r>
      <w:r>
        <w:t xml:space="preserve"> </w:t>
      </w:r>
      <w:r>
        <w:rPr>
          <w:iCs/>
          <w:i/>
        </w:rPr>
        <w:t xml:space="preserve">r</w:t>
      </w:r>
      <w:r>
        <w:t xml:space="preserve">(1) = 1,</w:t>
      </w:r>
      <w:r>
        <w:t xml:space="preserve"> </w:t>
      </w:r>
      <w:r>
        <w:rPr>
          <w:iCs/>
          <w:i/>
        </w:rPr>
        <w:t xml:space="preserve">r</w:t>
      </w:r>
      <w:r>
        <w:t xml:space="preserve">(</w:t>
      </w:r>
      <w:r>
        <w:rPr>
          <w:iCs/>
          <w:i/>
        </w:rPr>
        <w:t xml:space="preserve">xy</w:t>
      </w:r>
      <w:r>
        <w:t xml:space="preserve">) = </w:t>
      </w:r>
      <w:r>
        <w:rPr>
          <w:iCs/>
          <w:i/>
        </w:rPr>
        <w:t xml:space="preserve">r</w:t>
      </w:r>
      <w:r>
        <w:t xml:space="preserve">(</w:t>
      </w:r>
      <w:r>
        <w:rPr>
          <w:iCs/>
          <w:i/>
        </w:rPr>
        <w:t xml:space="preserve">x</w:t>
      </w:r>
      <w:r>
        <w:t xml:space="preserve">)</w:t>
      </w:r>
      <w:r>
        <w:rPr>
          <w:iCs/>
          <w:i/>
        </w:rPr>
        <w:t xml:space="preserve">r</w:t>
      </w:r>
      <w:r>
        <w:t xml:space="preserve">(</w:t>
      </w:r>
      <w:r>
        <w:rPr>
          <w:iCs/>
          <w:i/>
        </w:rPr>
        <w:t xml:space="preserve">y</w:t>
      </w:r>
      <w:r>
        <w:t xml:space="preserve">), and</w:t>
      </w:r>
      <w:r>
        <w:t xml:space="preserve"> </w:t>
      </w:r>
      <w:r>
        <w:rPr>
          <w:iCs/>
          <w:i/>
        </w:rPr>
        <w:t xml:space="preserve">r</w:t>
      </w:r>
      <w:r>
        <w:t xml:space="preserve">(</w:t>
      </w:r>
      <w:r>
        <w:rPr>
          <w:iCs/>
          <w:i/>
        </w:rPr>
        <w:t xml:space="preserve">y</w:t>
      </w:r>
      <w:r>
        <w:t xml:space="preserve">) + </w:t>
      </w:r>
      <w:r>
        <w:rPr>
          <w:iCs/>
          <w:i/>
        </w:rPr>
        <w:t xml:space="preserve">r</w:t>
      </w:r>
      <w:r>
        <w:t xml:space="preserve">(1-</w:t>
      </w:r>
      <w:r>
        <w:rPr>
          <w:iCs/>
          <w:i/>
        </w:rPr>
        <w:t xml:space="preserve">y</w:t>
      </w:r>
      <w:r>
        <w:t xml:space="preserve">) = 1. The only such function is</w:t>
      </w:r>
      <w:r>
        <w:t xml:space="preserve"> </w:t>
      </w:r>
      <w:r>
        <w:rPr>
          <w:iCs/>
          <w:i/>
        </w:rPr>
        <w:t xml:space="preserve">r</w:t>
      </w:r>
      <w:r>
        <w:t xml:space="preserve">(</w:t>
      </w:r>
      <w:r>
        <w:rPr>
          <w:iCs/>
          <w:i/>
        </w:rPr>
        <w:t xml:space="preserve">x</w:t>
      </w:r>
      <w:r>
        <w:t xml:space="preserve">) = </w:t>
      </w:r>
      <w:r>
        <w:rPr>
          <w:iCs/>
          <w:i/>
        </w:rPr>
        <w:t xml:space="preserve">x</w:t>
      </w:r>
      <w:r>
        <w:t xml:space="preserve">. So the only version of risk-weighted expected utility theory that satisfies Single Choice Principle is where</w:t>
      </w:r>
      <w:r>
        <w:t xml:space="preserve"> </w:t>
      </w:r>
      <w:r>
        <w:rPr>
          <w:iCs/>
          <w:i/>
        </w:rPr>
        <w:t xml:space="preserve">r</w:t>
      </w:r>
      <w:r>
        <w:t xml:space="preserve">(</w:t>
      </w:r>
      <w:r>
        <w:rPr>
          <w:iCs/>
          <w:i/>
        </w:rPr>
        <w:t xml:space="preserve">x</w:t>
      </w:r>
      <w:r>
        <w:t xml:space="preserve">) = </w:t>
      </w:r>
      <w:r>
        <w:rPr>
          <w:iCs/>
          <w:i/>
        </w:rPr>
        <w:t xml:space="preserve">x</w:t>
      </w:r>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Single Choice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463"/>
    <w:bookmarkStart w:id="476" w:name="sec-unique"/>
    <w:p>
      <w:pPr>
        <w:pStyle w:val="Heading1"/>
      </w:pPr>
      <w:r>
        <w:t xml:space="preserve">Appendix F — Against Uniqueness</w:t>
      </w:r>
    </w:p>
    <w:p>
      <w:pPr>
        <w:pStyle w:val="FirstParagraph"/>
      </w:pPr>
      <w:r>
        <w:t xml:space="preserve">In setting out GDT, I said that what mattered was that Chooser maximised expected utility given some credal function that was rational having made their choice. Some philosophers argue that the quantifier in the previous sentence is redundant; there is only one rational credence function one could have given some evidence. This view is known as Uniqueness, and its negation is known as Permissivism. The way I’ve stated GDT presupposes that Permissivism is correct, and I should defend that presupposition.</w:t>
      </w:r>
    </w:p>
    <w:p>
      <w:pPr>
        <w:pStyle w:val="BodyText"/>
      </w:pPr>
      <w:r>
        <w:t xml:space="preserve">This appendix argues that thinking about symmetric games gives us new reason to believe in Permissivism. In keeping with the spirit of the book, the arguments will be game-theoretic. I’m going to offer two arguments, one involving finite games, and the other involving infinite games. In finite games, the theorist who denies Permissivism says that the players have to think that the other player is more likely to take one action rather than another, although they know the actions have equal expected utility. In infinite games, the theorist who denies Permissivism has to say that it is impossible for certain games to be played with common knowledge of rationality and shared evidence, although there does not seem to be anything paradoxical about the games. The latter set of arguments rely on the recent discovery that there are symmetric games with only asymmetric equilibria. It was long known that there are symmetric games with no pure strategy symmetric equilibria; the surprising new discovery is that there are symmetric games with asymmetric equilibria, but no symmetric equilibria involving either mixed or pure strategies. In both cases, thinking about players in symmetric games pushes us towards accepting Permissivism.</w:t>
      </w:r>
    </w:p>
    <w:p>
      <w:pPr>
        <w:pStyle w:val="BodyText"/>
      </w:pPr>
      <w:r>
        <w:t xml:space="preserve">The Permissivist theses that have been the focus on recent philosophical attention vary along two dimensions.</w:t>
      </w:r>
      <w:r>
        <w:rPr>
          <w:rStyle w:val="FootnoteReference"/>
        </w:rPr>
        <w:footnoteReference w:id="464"/>
      </w:r>
    </w:p>
    <w:p>
      <w:pPr>
        <w:pStyle w:val="BodyText"/>
      </w:pPr>
      <w:r>
        <w:t xml:space="preserve">The first dimension concerns what we hold fixed when we say that multiple attitudes are rationally permissible. It’s basically common ground that people with different evidence can rationally believe different things, or that a person can believe different things when their evidence changes. But are these sufficient conditions for rational disagreement or change also necessary conditions. What’s called</w:t>
      </w:r>
      <w:r>
        <w:t xml:space="preserve"> </w:t>
      </w:r>
      <w:r>
        <w:rPr>
          <w:iCs/>
          <w:i/>
        </w:rPr>
        <w:t xml:space="preserve">Interpersonal Permissiveness</w:t>
      </w:r>
      <w:r>
        <w:t xml:space="preserve"> </w:t>
      </w:r>
      <w:r>
        <w:t xml:space="preserve">says that given some evidence, there may be more than one doxastic state that it is rational to be in.</w:t>
      </w:r>
      <w:r>
        <w:rPr>
          <w:rStyle w:val="FootnoteReference"/>
        </w:rPr>
        <w:footnoteReference w:id="465"/>
      </w:r>
      <w:r>
        <w:t xml:space="preserve"> </w:t>
      </w:r>
      <w:r>
        <w:t xml:space="preserve">What’s called</w:t>
      </w:r>
      <w:r>
        <w:t xml:space="preserve"> </w:t>
      </w:r>
      <w:r>
        <w:rPr>
          <w:iCs/>
          <w:i/>
        </w:rPr>
        <w:t xml:space="preserve">Intrapersonal Permissiveness</w:t>
      </w:r>
      <w:r>
        <w:t xml:space="preserve"> </w:t>
      </w:r>
      <w:r>
        <w:t xml:space="preserve">says that given a person and some evidence, there may be more one doxastic state that it is rational to be in. A classic form of subjectivist Bayesianism says that a person can pick any prior they like, but they have to update it by conditionalisation. This is a version of a view that rejects Intrapersonal Permissiveness, since given one’s prior there is only one permissible posterior, but endorses Interpersonal Permissiveness, since there are multiple permissible priors.</w:t>
      </w:r>
    </w:p>
    <w:p>
      <w:pPr>
        <w:pStyle w:val="BodyText"/>
      </w:pPr>
      <w:r>
        <w:t xml:space="preserve">The second dimension concerns whether the distinct views can be acknowledged as rational. Stewart</w:t>
      </w:r>
      <w:r>
        <w:t xml:space="preserve"> </w:t>
      </w:r>
      <w:r>
        <w:t xml:space="preserve">Stewart Cohen (2013)</w:t>
      </w:r>
      <w:r>
        <w:t xml:space="preserve"> </w:t>
      </w:r>
      <w:r>
        <w:t xml:space="preserve">defends the view that multiple attitudes can be rational, but one cannot rationally acknowledge a distinct view as rational. Following</w:t>
      </w:r>
      <w:r>
        <w:t xml:space="preserve"> </w:t>
      </w:r>
      <w:r>
        <w:t xml:space="preserve">Kopec and Titelbaum (2016)</w:t>
      </w:r>
      <w:r>
        <w:t xml:space="preserve">, call a view that says multiple views can both be rationally held and be believed to be rational</w:t>
      </w:r>
      <w:r>
        <w:t xml:space="preserve"> </w:t>
      </w:r>
      <w:r>
        <w:rPr>
          <w:iCs/>
          <w:i/>
        </w:rPr>
        <w:t xml:space="preserve">Acknowledged Permissiveness</w:t>
      </w:r>
      <w:r>
        <w:t xml:space="preserve">, and the view that says multiple views could be rationally held, but could not be acknowledged,</w:t>
      </w:r>
      <w:r>
        <w:t xml:space="preserve"> </w:t>
      </w:r>
      <w:r>
        <w:rPr>
          <w:iCs/>
          <w:i/>
        </w:rPr>
        <w:t xml:space="preserve">Unacknowledged Permissiveness</w:t>
      </w:r>
      <w:r>
        <w:t xml:space="preserve">.</w:t>
      </w:r>
    </w:p>
    <w:p>
      <w:pPr>
        <w:pStyle w:val="BodyText"/>
      </w:pPr>
      <w:r>
        <w:t xml:space="preserve">Putting the last two paragraphs together gives us four varieties of Permissive theses. The negation of a Permissive thesis is a Uniqueness thesis. The name suggests that there is precisely one rational attitude to take in a specified situation, but we’ll interpret it as the view that there is at most one rational attitude to take so as to ensure each Uniqueness thesis is the negation of a Permissive thesis. So if there are four Permissive theses, there are four Uniqueness theses that negate them.</w:t>
      </w:r>
    </w:p>
    <w:p>
      <w:pPr>
        <w:pStyle w:val="BodyText"/>
      </w:pPr>
      <w:r>
        <w:t xml:space="preserve">This appendix focuses on the strongest of these four Permissive theses, Acknowledged Intrapersonal Permissiveness, and its negation, Acknowledged Interpersonal Uniqueness. This is, I think, the most commonly discussed form of Permissiveness in the literature, and in any case is interesting. And I’m going to be arguing that in some cases involving symmetric games, coherence considerations provide a strong argument in favour of Acknowledged Intrapersonal Permissiveness.</w:t>
      </w:r>
    </w:p>
    <w:p>
      <w:pPr>
        <w:pStyle w:val="BodyText"/>
      </w:pPr>
      <w:r>
        <w:t xml:space="preserve">The next two sections set out two symmetric games where Uniqueness</w:t>
      </w:r>
      <w:r>
        <w:rPr>
          <w:rStyle w:val="FootnoteReference"/>
        </w:rPr>
        <w:footnoteReference w:id="466"/>
      </w:r>
      <w:r>
        <w:t xml:space="preserve"> </w:t>
      </w:r>
      <w:r>
        <w:t xml:space="preserve">leads to surprising results. In all cases I’ll assume that if Uniqueness is true, then the players know that it is true. And while this might be obvious, I’ll also note explicitly that they players have no evidence about the game or the players beyond what I write about the structure of the games.</w:t>
      </w:r>
    </w:p>
    <w:bookmarkStart w:id="469" w:name="chicken"/>
    <w:p>
      <w:pPr>
        <w:pStyle w:val="Heading2"/>
      </w:pPr>
      <w:r>
        <w:t xml:space="preserve">F.1 Chicken</w:t>
      </w:r>
    </w:p>
    <w:p>
      <w:pPr>
        <w:pStyle w:val="FirstParagraph"/>
      </w:pPr>
      <w:r>
        <w:t xml:space="preserve">Some finite symmetric games don’t have a symmetric pure-strategy equilibrium. One notable example is Chicken, one version of which is in</w:t>
      </w:r>
      <w:r>
        <w:t xml:space="preserve"> </w:t>
      </w:r>
      <w:hyperlink w:anchor="tbl-unique-chicken">
        <w:r>
          <w:rPr>
            <w:rStyle w:val="Hyperlink"/>
          </w:rPr>
          <w:t xml:space="preserve">Table F.1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7" w:name="tbl-unique-chicken"/>
          <w:p>
            <w:pPr>
              <w:jc w:val="center"/>
            </w:pPr>
            <w:pPr>
              <w:jc w:val="start"/>
              <w:spacing w:before="200"/>
              <w:pStyle w:val="ImageCaption"/>
            </w:pPr>
            <w:r>
              <w:t xml:space="preserve">Table F.1: Chicken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Stay</w:t>
                  </w:r>
                </w:p>
              </w:tc>
              <w:tc>
                <w:tcPr/>
                <w:p>
                  <w:pPr>
                    <w:pStyle w:val="Compact"/>
                    <w:jc w:val="center"/>
                    <w:jc w:val="center"/>
                  </w:pPr>
                  <w:r>
                    <w:t xml:space="preserve">Swerve</w:t>
                  </w:r>
                </w:p>
              </w:tc>
            </w:tr>
            <w:tr>
              <w:tc>
                <w:tcPr/>
                <w:p>
                  <w:pPr>
                    <w:pStyle w:val="Compact"/>
                    <w:jc w:val="center"/>
                    <w:jc w:val="center"/>
                  </w:pPr>
                  <w:r>
                    <w:rPr>
                      <w:bCs/>
                      <w:b/>
                    </w:rPr>
                    <w:t xml:space="preserve">Stay</w:t>
                  </w:r>
                </w:p>
              </w:tc>
              <w:tc>
                <w:tcPr/>
                <w:p>
                  <w:pPr>
                    <w:pStyle w:val="Compact"/>
                    <w:jc w:val="center"/>
                    <w:jc w:val="center"/>
                  </w:pPr>
                  <w:r>
                    <w:t xml:space="preserve">-100,-100</w:t>
                  </w:r>
                </w:p>
              </w:tc>
              <w:tc>
                <w:tcPr/>
                <w:p>
                  <w:pPr>
                    <w:pStyle w:val="Compact"/>
                    <w:jc w:val="center"/>
                    <w:jc w:val="center"/>
                  </w:pPr>
                  <w:r>
                    <w:t xml:space="preserve">1, -1</w:t>
                  </w:r>
                </w:p>
              </w:tc>
            </w:tr>
            <w:tr>
              <w:tc>
                <w:tcPr/>
                <w:p>
                  <w:pPr>
                    <w:pStyle w:val="Compact"/>
                    <w:jc w:val="center"/>
                    <w:jc w:val="center"/>
                  </w:pPr>
                  <w:r>
                    <w:rPr>
                      <w:bCs/>
                      <w:b/>
                    </w:rPr>
                    <w:t xml:space="preserve">Swerve</w:t>
                  </w:r>
                </w:p>
              </w:tc>
              <w:tc>
                <w:tcPr/>
                <w:p>
                  <w:pPr>
                    <w:pStyle w:val="Compact"/>
                    <w:jc w:val="center"/>
                    <w:jc w:val="center"/>
                  </w:pPr>
                  <w:r>
                    <w:t xml:space="preserve">-1, 1</w:t>
                  </w:r>
                </w:p>
              </w:tc>
              <w:tc>
                <w:tcPr/>
                <w:p>
                  <w:pPr>
                    <w:pStyle w:val="Compact"/>
                    <w:jc w:val="center"/>
                    <w:jc w:val="center"/>
                  </w:pPr>
                  <w:r>
                    <w:t xml:space="preserve">0, 0</w:t>
                  </w:r>
                </w:p>
              </w:tc>
            </w:tr>
          </w:tbl>
          <w:bookmarkEnd w:id="467"/>
          <w:p/>
        </w:tc>
      </w:tr>
    </w:tbl>
    <w:p>
      <w:pPr>
        <w:pStyle w:val="BodyText"/>
      </w:pPr>
      <w:r>
        <w:t xml:space="preserve">The symmetric pure-strategy pairs (Stay, Stay) and (Swerve, Swerve) are not equilibria; in each case both parties have an incentive to defect. But the game does have a symmetric mixed strategy equilibrium. It is that both players play the mixed strategy of Stay with probability 0.01, and Swerve with probability 0.99.</w:t>
      </w:r>
    </w:p>
    <w:p>
      <w:pPr>
        <w:pStyle w:val="BodyText"/>
      </w:pPr>
      <w:r>
        <w:t xml:space="preserve">Now assume that Row and Column have the same relevant evidence, that they are self-aware and fully rational, and that these facts and no other are common knowledge between them, and that they are about to play Chicken one time. (It’s also common knowledge that they won’t play again; dropping this would raise the possibility of complicated strategic reasoning.)</w:t>
      </w:r>
    </w:p>
    <w:p>
      <w:pPr>
        <w:pStyle w:val="BodyText"/>
      </w:pPr>
      <w:r>
        <w:t xml:space="preserve">Let</w:t>
      </w:r>
      <w:r>
        <w:t xml:space="preserve"> </w:t>
      </w:r>
      <w:r>
        <w:rPr>
          <w:bCs/>
          <w:b/>
        </w:rPr>
        <w:t xml:space="preserve">Swerve</w:t>
      </w:r>
      <w:r>
        <w:t xml:space="preserve"> </w:t>
      </w:r>
      <w:r>
        <w:t xml:space="preserve">be the proposition that a rational player with that evidence will Swerve. And call the players Row and Column. Given our assumptions so far, plus Uniqueness, we can prove that Row’s credence in</w:t>
      </w:r>
      <w:r>
        <w:t xml:space="preserve"> </w:t>
      </w:r>
      <w:r>
        <w:rPr>
          <w:bCs/>
          <w:b/>
        </w:rPr>
        <w:t xml:space="preserve">Swerve</w:t>
      </w:r>
      <w:r>
        <w:t xml:space="preserve"> </w:t>
      </w:r>
      <w:r>
        <w:t xml:space="preserve">is 0.99. Here’s the proof.</w:t>
      </w:r>
    </w:p>
    <w:p>
      <w:pPr>
        <w:numPr>
          <w:ilvl w:val="0"/>
          <w:numId w:val="1027"/>
        </w:numPr>
        <w:pStyle w:val="Compact"/>
      </w:pPr>
      <w:r>
        <w:t xml:space="preserve">Let</w:t>
      </w:r>
      <w:r>
        <w:t xml:space="preserve"> </w:t>
      </w:r>
      <w:r>
        <w:rPr>
          <w:iCs/>
          <w:i/>
        </w:rPr>
        <w:t xml:space="preserve">x</w:t>
      </w:r>
      <w:r>
        <w:t xml:space="preserve"> </w:t>
      </w:r>
      <w:r>
        <w:t xml:space="preserve">be Row’s credence in</w:t>
      </w:r>
      <w:r>
        <w:t xml:space="preserve"> </w:t>
      </w:r>
      <w:r>
        <w:rPr>
          <w:bCs/>
          <w:b/>
        </w:rPr>
        <w:t xml:space="preserve">Swerve</w:t>
      </w:r>
      <w:r>
        <w:t xml:space="preserve">.</w:t>
      </w:r>
    </w:p>
    <w:p>
      <w:pPr>
        <w:numPr>
          <w:ilvl w:val="0"/>
          <w:numId w:val="1027"/>
        </w:numPr>
        <w:pStyle w:val="Compact"/>
      </w:pPr>
      <w:r>
        <w:t xml:space="preserve">By self-awareness, Row knows that</w:t>
      </w:r>
      <w:r>
        <w:t xml:space="preserve"> </w:t>
      </w:r>
      <w:r>
        <w:rPr>
          <w:iCs/>
          <w:i/>
        </w:rPr>
        <w:t xml:space="preserve">x</w:t>
      </w:r>
      <w:r>
        <w:t xml:space="preserve"> </w:t>
      </w:r>
      <w:r>
        <w:t xml:space="preserve">is her credence in</w:t>
      </w:r>
      <w:r>
        <w:t xml:space="preserve"> </w:t>
      </w:r>
      <w:r>
        <w:rPr>
          <w:bCs/>
          <w:b/>
        </w:rPr>
        <w:t xml:space="preserve">Swerve</w:t>
      </w:r>
      <w:r>
        <w:t xml:space="preserve">.</w:t>
      </w:r>
    </w:p>
    <w:p>
      <w:pPr>
        <w:numPr>
          <w:ilvl w:val="0"/>
          <w:numId w:val="1027"/>
        </w:numPr>
        <w:pStyle w:val="Compact"/>
      </w:pPr>
      <w:r>
        <w:t xml:space="preserve">Since Row knows Row is rational, Row can infer that</w:t>
      </w:r>
      <w:r>
        <w:t xml:space="preserve"> </w:t>
      </w:r>
      <w:r>
        <w:rPr>
          <w:iCs/>
          <w:i/>
        </w:rPr>
        <w:t xml:space="preserve">x</w:t>
      </w:r>
      <w:r>
        <w:t xml:space="preserve"> </w:t>
      </w:r>
      <w:r>
        <w:t xml:space="preserve">is a rational credence in</w:t>
      </w:r>
      <w:r>
        <w:t xml:space="preserve"> </w:t>
      </w:r>
      <w:r>
        <w:rPr>
          <w:bCs/>
          <w:b/>
        </w:rPr>
        <w:t xml:space="preserve">Swerve</w:t>
      </w:r>
      <w:r>
        <w:t xml:space="preserve">.</w:t>
      </w:r>
    </w:p>
    <w:p>
      <w:pPr>
        <w:numPr>
          <w:ilvl w:val="0"/>
          <w:numId w:val="1027"/>
        </w:numPr>
        <w:pStyle w:val="Compact"/>
      </w:pPr>
      <w:r>
        <w:t xml:space="preserve">Since Row knows Uniqueness is true, Row can infer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7"/>
        </w:numPr>
        <w:pStyle w:val="Compact"/>
      </w:pPr>
      <w:r>
        <w:t xml:space="preserve">Since Row knows Column is rational, Row can infer that</w:t>
      </w:r>
      <w:r>
        <w:t xml:space="preserve"> </w:t>
      </w:r>
      <w:r>
        <w:rPr>
          <w:iCs/>
          <w:i/>
        </w:rPr>
        <w:t xml:space="preserve">x</w:t>
      </w:r>
      <w:r>
        <w:t xml:space="preserve"> </w:t>
      </w:r>
      <w:r>
        <w:t xml:space="preserve">is Column’s credence in</w:t>
      </w:r>
      <w:r>
        <w:t xml:space="preserve"> </w:t>
      </w:r>
      <w:r>
        <w:rPr>
          <w:bCs/>
          <w:b/>
        </w:rPr>
        <w:t xml:space="preserve">Swerve</w:t>
      </w:r>
      <w:r>
        <w:t xml:space="preserve">, since (at step 4) Row has deduced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7"/>
        </w:numPr>
        <w:pStyle w:val="Compact"/>
      </w:pPr>
      <w:r>
        <w:t xml:space="preserve">Since all the assumptions so far are common knowledge, Row can come to know that Column knows that</w:t>
      </w:r>
      <w:r>
        <w:t xml:space="preserve"> </w:t>
      </w:r>
      <w:r>
        <w:rPr>
          <w:iCs/>
          <w:i/>
        </w:rPr>
        <w:t xml:space="preserve">x</w:t>
      </w:r>
      <w:r>
        <w:t xml:space="preserve"> </w:t>
      </w:r>
      <w:r>
        <w:t xml:space="preserve">is Row’s credence in</w:t>
      </w:r>
      <w:r>
        <w:t xml:space="preserve"> </w:t>
      </w:r>
      <w:r>
        <w:rPr>
          <w:bCs/>
          <w:b/>
        </w:rPr>
        <w:t xml:space="preserve">Swerve</w:t>
      </w:r>
      <w:r>
        <w:t xml:space="preserve">.</w:t>
      </w:r>
    </w:p>
    <w:p>
      <w:pPr>
        <w:numPr>
          <w:ilvl w:val="0"/>
          <w:numId w:val="1027"/>
        </w:numPr>
        <w:pStyle w:val="Compact"/>
      </w:pPr>
      <w:r>
        <w:t xml:space="preserve">If</w:t>
      </w:r>
      <w:r>
        <w:t xml:space="preserve"> </w:t>
      </w:r>
      <w:r>
        <w:rPr>
          <w:iCs/>
          <w:i/>
        </w:rPr>
        <w:t xml:space="preserve">x</w:t>
      </w:r>
      <w:r>
        <w:t xml:space="preserve"> </w:t>
      </w:r>
      <w:r>
        <w:t xml:space="preserve">= 1, then Row can come to know that it is rational for Column to Swerve, while knowing that Row will also Swerve. But this is impossible, since if Column knows Row will Swerve, it is best for Column to Stay. So</w:t>
      </w:r>
      <w:r>
        <w:t xml:space="preserve"> </w:t>
      </w:r>
      <w:r>
        <w:rPr>
          <w:iCs/>
          <w:i/>
        </w:rPr>
        <w:t xml:space="preserve">x</w:t>
      </w:r>
      <w:r>
        <w:t xml:space="preserve"> </w:t>
      </w:r>
      <w:r>
        <w:t xml:space="preserve">≠ 1.</w:t>
      </w:r>
    </w:p>
    <w:p>
      <w:pPr>
        <w:numPr>
          <w:ilvl w:val="0"/>
          <w:numId w:val="1027"/>
        </w:numPr>
        <w:pStyle w:val="Compact"/>
      </w:pPr>
      <w:r>
        <w:t xml:space="preserve">If</w:t>
      </w:r>
      <w:r>
        <w:t xml:space="preserve"> </w:t>
      </w:r>
      <w:r>
        <w:rPr>
          <w:iCs/>
          <w:i/>
        </w:rPr>
        <w:t xml:space="preserve">x</w:t>
      </w:r>
      <w:r>
        <w:t xml:space="preserve"> </w:t>
      </w:r>
      <w:r>
        <w:t xml:space="preserve">= 0, then Row can come to know that it is rational for Column to Stay, while knowing that Row will also Stay. But this is impossible, since if Column knows Row will Stay, it is best for Column to Swerve. So</w:t>
      </w:r>
      <w:r>
        <w:t xml:space="preserve"> </w:t>
      </w:r>
      <w:r>
        <w:rPr>
          <w:iCs/>
          <w:i/>
        </w:rPr>
        <w:t xml:space="preserve">x</w:t>
      </w:r>
      <w:r>
        <w:t xml:space="preserve"> </w:t>
      </w:r>
      <w:r>
        <w:t xml:space="preserve">≠ 0.</w:t>
      </w:r>
    </w:p>
    <w:p>
      <w:pPr>
        <w:numPr>
          <w:ilvl w:val="0"/>
          <w:numId w:val="1027"/>
        </w:numPr>
        <w:pStyle w:val="Compact"/>
      </w:pPr>
      <w:r>
        <w:t xml:space="preserve">So 0 &lt;</w:t>
      </w:r>
      <w:r>
        <w:t xml:space="preserve"> </w:t>
      </w:r>
      <w:r>
        <w:rPr>
          <w:iCs/>
          <w:i/>
        </w:rPr>
        <w:t xml:space="preserve">x</w:t>
      </w:r>
      <w:r>
        <w:t xml:space="preserve"> </w:t>
      </w:r>
      <w:r>
        <w:t xml:space="preserve">&lt; 1.</w:t>
      </w:r>
    </w:p>
    <w:p>
      <w:pPr>
        <w:numPr>
          <w:ilvl w:val="0"/>
          <w:numId w:val="1027"/>
        </w:numPr>
        <w:pStyle w:val="Compact"/>
      </w:pPr>
      <w:r>
        <w:t xml:space="preserve">Since Row knows Column’s credence that Row will Swerve (as was shown at step 6), and Row knows Column is rational, but Row does not know what Column will do, it must be that Column is indifferent between Stay and Swerve given her (i.e., Column’s) credences about what Row will do.</w:t>
      </w:r>
      <w:r>
        <w:rPr>
          <w:rStyle w:val="FootnoteReference"/>
        </w:rPr>
        <w:footnoteReference w:id="468"/>
      </w:r>
    </w:p>
    <w:p>
      <w:pPr>
        <w:numPr>
          <w:ilvl w:val="0"/>
          <w:numId w:val="1027"/>
        </w:numPr>
        <w:pStyle w:val="Compact"/>
      </w:pPr>
      <w:r>
        <w:t xml:space="preserve">Column is indifferent between Stay and Swerve only if her credence that Row will Swerve is 0.99. (This is a reasonably simple bit of algebra to prove.)</w:t>
      </w:r>
    </w:p>
    <w:p>
      <w:pPr>
        <w:numPr>
          <w:ilvl w:val="0"/>
          <w:numId w:val="1027"/>
        </w:numPr>
        <w:pStyle w:val="Compact"/>
      </w:pPr>
      <w:r>
        <w:t xml:space="preserve">So from 10 and 11, Column’s credence that Row will Swerve is 0.99.</w:t>
      </w:r>
    </w:p>
    <w:p>
      <w:pPr>
        <w:numPr>
          <w:ilvl w:val="0"/>
          <w:numId w:val="1027"/>
        </w:numPr>
        <w:pStyle w:val="Compact"/>
      </w:pPr>
      <w:r>
        <w:t xml:space="preserve">By (known) Uniqueness, it follows that the only rational credence in</w:t>
      </w:r>
      <w:r>
        <w:t xml:space="preserve"> </w:t>
      </w:r>
      <w:r>
        <w:rPr>
          <w:bCs/>
          <w:b/>
        </w:rPr>
        <w:t xml:space="preserve">Swerve</w:t>
      </w:r>
      <w:r>
        <w:t xml:space="preserve"> </w:t>
      </w:r>
      <w:r>
        <w:t xml:space="preserve">is 0.99.</w:t>
      </w:r>
    </w:p>
    <w:p>
      <w:pPr>
        <w:numPr>
          <w:ilvl w:val="0"/>
          <w:numId w:val="1027"/>
        </w:numPr>
        <w:pStyle w:val="Compact"/>
      </w:pPr>
      <w:r>
        <w:t xml:space="preserve">So since Row is rational, it follows that</w:t>
      </w:r>
      <w:r>
        <w:t xml:space="preserve"> </w:t>
      </w:r>
      <w:r>
        <w:rPr>
          <w:iCs/>
          <w:i/>
        </w:rPr>
        <w:t xml:space="preserve">x</w:t>
      </w:r>
      <w:r>
        <w:t xml:space="preserve"> </w:t>
      </w:r>
      <w:r>
        <w:t xml:space="preserve">= 0.99.</w:t>
      </w:r>
    </w:p>
    <w:p>
      <w:pPr>
        <w:pStyle w:val="FirstParagraph"/>
      </w:pPr>
      <w:r>
        <w:t xml:space="preserve">Now there is nothing inconsistent in this reasoning. In a sense, it is purely textbook reasoning. But the conclusion is deeply puzzling. We’ve proven that Column is indifferent between her two options. And we’ve proven that Row knows this. But we’ve also proven that Row thinks it is 99 times more likely that Column will choose one of the options over the other. Why is that? It isn’t because there is more reason to do one than the other; given Column’s attitudes, the options are equally balanced. It is purely because Uniqueness pushes us to a symmetric equilibrium, and this is the only symmetric equilibrium. Given Uniqueness, the only coherent state is to have believe the other party is 99 times more likely to resolve a tie one way rather than another.</w:t>
      </w:r>
    </w:p>
    <w:p>
      <w:pPr>
        <w:pStyle w:val="BodyText"/>
      </w:pPr>
      <w:r>
        <w:t xml:space="preserve">It’s important here that we’re imagining a one-shot version of Chicken. If the game is played repeatedly, then it is natural that the players will tend to the equilibrium of the game. What is surprising is that Uniqueness pushes us to thinking that, if the rationality of the players is common knowledge, the mixed strategy Nash equilibrium will be played in a one-shot game. As Matthias</w:t>
      </w:r>
      <w:r>
        <w:t xml:space="preserve"> </w:t>
      </w:r>
      <w:r>
        <w:t xml:space="preserve">Risse (2000)</w:t>
      </w:r>
      <w:r>
        <w:t xml:space="preserve"> </w:t>
      </w:r>
      <w:r>
        <w:t xml:space="preserve">argues, the argument that mixed strategy Nash equilibria are rational requirements of one-shot games is very weak. But it’s a conclusion the Uniqueness theorist is forced into.</w:t>
      </w:r>
    </w:p>
    <w:p>
      <w:pPr>
        <w:pStyle w:val="BodyText"/>
      </w:pPr>
      <w:r>
        <w:t xml:space="preserve">It’s even more puzzling because of another feature of Uniqueness. It’s often very hard to see what the uniquely rational attitude could be in cases where the evidence is very sparse. The usual way to resolve this problem is to appeal to what</w:t>
      </w:r>
      <w:r>
        <w:t xml:space="preserve"> </w:t>
      </w:r>
      <w:r>
        <w:t xml:space="preserve">Keynes (1921)</w:t>
      </w:r>
      <w:r>
        <w:t xml:space="preserve"> </w:t>
      </w:r>
      <w:r>
        <w:t xml:space="preserve">dubbed the Principle of Indifference. That principle says, roughly, that if the evidence available for two options is equally good, treat them as equally likely. Here, Row thinks that Column is a utility maximiser who has two options of equal utility available to them. And Row concludes (and must conclude if Uniqueness is correct) that one of these options is 99 times more likely to be played. That’s not inconsistent with the letter of the Principle of Indifference. But it is inconsistent with the spirit of it.</w:t>
      </w:r>
    </w:p>
    <w:p>
      <w:pPr>
        <w:pStyle w:val="BodyText"/>
      </w:pPr>
      <w:r>
        <w:t xml:space="preserve">All that said, I suspect many defenders of Uniqueness will be happy to accept these conclusions. The next case is I think poses a deeper problem for them.</w:t>
      </w:r>
    </w:p>
    <w:bookmarkEnd w:id="469"/>
    <w:bookmarkStart w:id="471" w:name="elections"/>
    <w:p>
      <w:pPr>
        <w:pStyle w:val="Heading2"/>
      </w:pPr>
      <w:r>
        <w:t xml:space="preserve">F.2 Elections</w:t>
      </w:r>
    </w:p>
    <w:p>
      <w:pPr>
        <w:pStyle w:val="FirstParagraph"/>
      </w:pPr>
      <w:r>
        <w:t xml:space="preserve">The cases in this section come from some recent work on a rather old question,</w:t>
      </w:r>
    </w:p>
    <w:p>
      <w:pPr>
        <w:pStyle w:val="BlockText"/>
      </w:pPr>
      <w:r>
        <w:t xml:space="preserve">If a symmetric game has an equilibrium, does it have a symmetric equilibrium?</w:t>
      </w:r>
    </w:p>
    <w:p>
      <w:pPr>
        <w:pStyle w:val="FirstParagraph"/>
      </w:pPr>
      <w:r>
        <w:t xml:space="preserve">Over the years, a positive answer was given to various restricted forms of that question. Most importantly, John</w:t>
      </w:r>
      <w:r>
        <w:t xml:space="preserve"> </w:t>
      </w:r>
      <w:r>
        <w:t xml:space="preserve">Nash (1951)</w:t>
      </w:r>
      <w:r>
        <w:t xml:space="preserve"> </w:t>
      </w:r>
      <w:r>
        <w:t xml:space="preserve">showed that if each player has finitely many moves available, then the game does have a symmetric equilibrium.</w:t>
      </w:r>
    </w:p>
    <w:p>
      <w:pPr>
        <w:pStyle w:val="BodyText"/>
      </w:pPr>
      <w:r>
        <w:t xml:space="preserve">But recently it has been proven that the answer to the general question is no. Mark</w:t>
      </w:r>
      <w:r>
        <w:t xml:space="preserve"> </w:t>
      </w:r>
      <w:r>
        <w:t xml:space="preserve">Fey (2012)</w:t>
      </w:r>
      <w:r>
        <w:t xml:space="preserve"> </w:t>
      </w:r>
      <w:r>
        <w:t xml:space="preserve">describes an example of a positive-sum two-player game that has only asymmetric equilibria.</w:t>
      </w:r>
      <w:r>
        <w:rPr>
          <w:rStyle w:val="FootnoteReference"/>
        </w:rPr>
        <w:footnoteReference w:id="470"/>
      </w:r>
      <w:r>
        <w:t xml:space="preserve"> </w:t>
      </w:r>
      <w:r>
        <w:t xml:space="preserve">Dimitrios</w:t>
      </w:r>
      <w:r>
        <w:t xml:space="preserve"> </w:t>
      </w:r>
      <w:r>
        <w:t xml:space="preserve">Xefteris (2015)</w:t>
      </w:r>
      <w:r>
        <w:t xml:space="preserve"> </w:t>
      </w:r>
      <w:r>
        <w:t xml:space="preserve">showed that there is a symmetric three-player zero-sum game that has only asymmetric equilibria. In fact, he showed that a very familiar game, a version of a Hotelling–Downs model of elections, has this property. Here’s how he describes the game.</w:t>
      </w:r>
    </w:p>
    <w:p>
      <w:pPr>
        <w:pStyle w:val="BlockText"/>
      </w:pPr>
      <w:r>
        <w:t xml:space="preserve">Consider a unit mass of voters. Each voter is characterised by her ideal policy. We assume that the ideal policies of the voters are uniformly distributed in [0, 1]. We moreover assume that three candidates</w:t>
      </w:r>
      <w:r>
        <w:t xml:space="preserve"> </w:t>
      </w:r>
      <w:r>
        <w:rPr>
          <w:iCs/>
          <w:i/>
        </w:rPr>
        <w:t xml:space="preserve">A</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compete for a single office. Each candidate</w:t>
      </w:r>
      <w:r>
        <w:t xml:space="preserve"> </w:t>
      </w:r>
      <w:r>
        <w:rPr>
          <w:iCs/>
          <w:i/>
        </w:rPr>
        <w:t xml:space="preserve">J</w:t>
      </w:r>
      <w:r>
        <w:t xml:space="preserve"> </w:t>
      </w:r>
      <m:oMath>
        <m:r>
          <m:rPr>
            <m:sty m:val="p"/>
          </m:rPr>
          <m:t>∈</m:t>
        </m:r>
      </m:oMath>
      <w:r>
        <w:t xml:space="preserve"> </w:t>
      </w:r>
      <w:r>
        <w:t xml:space="preserve">{</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announces a policy</w:t>
      </w:r>
      <w:r>
        <w:t xml:space="preserve"> </w:t>
      </w:r>
      <w:r>
        <w:rPr>
          <w:iCs/>
          <w:i/>
        </w:rPr>
        <w:t xml:space="preserve">s</w:t>
      </w:r>
      <w:r>
        <w:rPr>
          <w:vertAlign w:val="subscript"/>
          <w:iCs/>
          <w:i/>
        </w:rPr>
        <w:t xml:space="preserve">J</w:t>
      </w:r>
      <w:r>
        <w:t xml:space="preserve"> </w:t>
      </w:r>
      <m:oMath>
        <m:r>
          <m:rPr>
            <m:sty m:val="p"/>
          </m:rPr>
          <m:t>∈</m:t>
        </m:r>
      </m:oMath>
      <w:r>
        <w:t xml:space="preserve"> </w:t>
      </w:r>
      <w:r>
        <w:t xml:space="preserve">[0, 1] and each voter votes for the candidate who announced the policy platform which is nearest to her ideal policy. If a voter is indifferent between two or among all three candidates she evenly splits her vote between/among them. A candidate</w:t>
      </w:r>
      <w:r>
        <w:t xml:space="preserve"> </w:t>
      </w:r>
      <w:r>
        <w:rPr>
          <w:iCs/>
          <w:i/>
        </w:rPr>
        <w:t xml:space="preserve">J</w:t>
      </w:r>
      <w:r>
        <w:t xml:space="preserve"> </w:t>
      </w:r>
      <m:oMath>
        <m:r>
          <m:rPr>
            <m:sty m:val="p"/>
          </m:rPr>
          <m:t>∈</m:t>
        </m:r>
      </m:oMath>
      <w:r>
        <w:t xml:space="preserve"> </w:t>
      </w:r>
      <w:r>
        <w:t xml:space="preserve">{</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gets a payoff equal to one if she receives a vote-share strictly larger than the vote-share of each of the two other candidates. If two candidates tie in the first place each gets a payoff equal to one half. If all three candidates receive the same vote-shares then each gets a payoff equal to one third. In all other cases a candidate gets a payoff equal to zero.</w:t>
      </w:r>
      <w:r>
        <w:t xml:space="preserve"> </w:t>
      </w:r>
      <w:r>
        <w:t xml:space="preserve">(Xefteris 2015, 124)</w:t>
      </w:r>
    </w:p>
    <w:p>
      <w:pPr>
        <w:pStyle w:val="FirstParagraph"/>
      </w:pPr>
      <w:r>
        <w:t xml:space="preserve">It is clear that there is no symmetric pure-strategy equilibrium here. If all candidates announced the same policy, everyone would get a payoff of</w:t>
      </w:r>
      <w:r>
        <w:t xml:space="preserve"> </w:t>
      </w:r>
      <m:oMath>
        <m:f>
          <m:fPr>
            <m:type m:val="bar"/>
          </m:fPr>
          <m:num>
            <m:r>
              <m:t>1</m:t>
            </m:r>
          </m:num>
          <m:den>
            <m:r>
              <m:t>3</m:t>
            </m:r>
          </m:den>
        </m:f>
      </m:oMath>
      <w:r>
        <w:t xml:space="preserve">. But no matter what that policy is, if</w:t>
      </w:r>
      <w:r>
        <w:t xml:space="preserve"> </w:t>
      </w:r>
      <w:r>
        <w:rPr>
          <w:iCs/>
          <w:i/>
        </w:rPr>
        <w:t xml:space="preserve">B</w:t>
      </w:r>
      <w:r>
        <w:t xml:space="preserve"> </w:t>
      </w:r>
      <w:r>
        <w:t xml:space="preserve">and</w:t>
      </w:r>
      <w:r>
        <w:t xml:space="preserve"> </w:t>
      </w:r>
      <w:r>
        <w:rPr>
          <w:iCs/>
          <w:i/>
        </w:rPr>
        <w:t xml:space="preserve">C</w:t>
      </w:r>
      <w:r>
        <w:t xml:space="preserve"> </w:t>
      </w:r>
      <w:r>
        <w:t xml:space="preserve">announce the same policy, then</w:t>
      </w:r>
      <w:r>
        <w:t xml:space="preserve"> </w:t>
      </w:r>
      <w:r>
        <w:rPr>
          <w:iCs/>
          <w:i/>
        </w:rPr>
        <w:t xml:space="preserve">A</w:t>
      </w:r>
      <w:r>
        <w:t xml:space="preserve"> </w:t>
      </w:r>
      <w:r>
        <w:t xml:space="preserve">has a winning move available. (If the number</w:t>
      </w:r>
      <w:r>
        <w:t xml:space="preserve"> </w:t>
      </w:r>
      <w:r>
        <w:rPr>
          <w:iCs/>
          <w:i/>
        </w:rPr>
        <w:t xml:space="preserve">B</w:t>
      </w:r>
      <w:r>
        <w:t xml:space="preserve"> </w:t>
      </w:r>
      <w:r>
        <w:t xml:space="preserve">and</w:t>
      </w:r>
      <w:r>
        <w:t xml:space="preserve"> </w:t>
      </w:r>
      <w:r>
        <w:rPr>
          <w:iCs/>
          <w:i/>
        </w:rPr>
        <w:t xml:space="preserve">C</w:t>
      </w:r>
      <w:r>
        <w:t xml:space="preserve"> </w:t>
      </w:r>
      <w:r>
        <w:t xml:space="preserve">say is not 0.5,</w:t>
      </w:r>
      <w:r>
        <w:t xml:space="preserve"> </w:t>
      </w:r>
      <w:r>
        <w:rPr>
          <w:iCs/>
          <w:i/>
        </w:rPr>
        <w:t xml:space="preserve">A</w:t>
      </w:r>
      <w:r>
        <w:t xml:space="preserve"> </w:t>
      </w:r>
      <w:r>
        <w:t xml:space="preserve">wins by saying 0.5. If they do both say 0.5, then</w:t>
      </w:r>
      <w:r>
        <w:t xml:space="preserve"> </w:t>
      </w:r>
      <w:r>
        <w:rPr>
          <w:iCs/>
          <w:i/>
        </w:rPr>
        <w:t xml:space="preserve">A</w:t>
      </w:r>
      <w:r>
        <w:t xml:space="preserve"> </w:t>
      </w:r>
      <w:r>
        <w:t xml:space="preserve">wins by saying 0.4.)</w:t>
      </w:r>
    </w:p>
    <w:p>
      <w:pPr>
        <w:pStyle w:val="BodyText"/>
      </w:pPr>
      <w:r>
        <w:t xml:space="preserve">What’s more surprising, and what Xefteris proves, is that there is no symmetric mixed strategy equilibria either. Again, in such an equilibrium, any player would have a payoff of</w:t>
      </w:r>
      <w:r>
        <w:t xml:space="preserve"> </w:t>
      </w:r>
      <m:oMath>
        <m:f>
          <m:fPr>
            <m:type m:val="bar"/>
          </m:fPr>
          <m:num>
            <m:r>
              <m:t>1</m:t>
            </m:r>
          </m:num>
          <m:den>
            <m:r>
              <m:t>3</m:t>
            </m:r>
          </m:den>
        </m:f>
      </m:oMath>
      <w:r>
        <w:t xml:space="preserve">. Very roughly, the proof that no such equilibrium exists is that random deviations from the equilibrium are as likely to lead to winning as losing, so they have a payoff of roughly</w:t>
      </w:r>
      <w:r>
        <w:t xml:space="preserve"> </w:t>
      </w:r>
      <m:oMath>
        <m:f>
          <m:fPr>
            <m:type m:val="bar"/>
          </m:fPr>
          <m:num>
            <m:r>
              <m:t>1</m:t>
            </m:r>
          </m:num>
          <m:den>
            <m:r>
              <m:t>2</m:t>
            </m:r>
          </m:den>
        </m:f>
      </m:oMath>
      <w:r>
        <w:t xml:space="preserve">. So there is no incentive to stay in the equilibrium. So no symmetric equilibrium exists.</w:t>
      </w:r>
    </w:p>
    <w:p>
      <w:pPr>
        <w:pStyle w:val="BodyText"/>
      </w:pPr>
      <w:r>
        <w:t xml:space="preserve">Using this game, I’m going to offer the following argument for Uniqueness.</w:t>
      </w:r>
    </w:p>
    <w:p>
      <w:pPr>
        <w:numPr>
          <w:ilvl w:val="0"/>
          <w:numId w:val="1028"/>
        </w:numPr>
        <w:pStyle w:val="Compact"/>
      </w:pPr>
      <w:r>
        <w:t xml:space="preserve">It’s possible that three people can play this (symmetric) game in a situation where it is commonly known that (a) each of them is rational, and (b) they have the same evidence. In the relevant sense of</w:t>
      </w:r>
      <w:r>
        <w:t xml:space="preserve"> </w:t>
      </w:r>
      <w:r>
        <w:t xml:space="preserve">‘</w:t>
      </w:r>
      <w:r>
        <w:t xml:space="preserve">rational</w:t>
      </w:r>
      <w:r>
        <w:t xml:space="preserve">’</w:t>
      </w:r>
      <w:r>
        <w:t xml:space="preserve"> </w:t>
      </w:r>
      <w:r>
        <w:t xml:space="preserve">a person is rational iff they have credences that are supported by their evidence, and they perform actions that maximise expected utility given their credences.</w:t>
      </w:r>
    </w:p>
    <w:p>
      <w:pPr>
        <w:numPr>
          <w:ilvl w:val="0"/>
          <w:numId w:val="1028"/>
        </w:numPr>
        <w:pStyle w:val="Compact"/>
      </w:pPr>
      <w:r>
        <w:t xml:space="preserve">If Uniqueness is true, then in a symmetric game where it is common knowledge that each person has the same evidence and is rational, every player will believe that the others have the same credences about what the others will do.</w:t>
      </w:r>
    </w:p>
    <w:p>
      <w:pPr>
        <w:numPr>
          <w:ilvl w:val="0"/>
          <w:numId w:val="1028"/>
        </w:numPr>
        <w:pStyle w:val="Compact"/>
      </w:pPr>
      <w:r>
        <w:t xml:space="preserve">If premise 2 is true, then if the players have the same evidence and are rational, the result of the game will be a symmetric equilibrium.</w:t>
      </w:r>
    </w:p>
    <w:p>
      <w:pPr>
        <w:numPr>
          <w:ilvl w:val="0"/>
          <w:numId w:val="1028"/>
        </w:numPr>
        <w:pStyle w:val="Compact"/>
      </w:pPr>
      <w:r>
        <w:t xml:space="preserve">The game does not have a symmetric equilibrium.</w:t>
      </w:r>
    </w:p>
    <w:p>
      <w:pPr>
        <w:numPr>
          <w:ilvl w:val="0"/>
          <w:numId w:val="1028"/>
        </w:numPr>
        <w:pStyle w:val="Compact"/>
      </w:pPr>
      <w:r>
        <w:t xml:space="preserve">So Uniqueness is false.</w:t>
      </w:r>
    </w:p>
    <w:p>
      <w:pPr>
        <w:pStyle w:val="FirstParagraph"/>
      </w:pPr>
      <w:r>
        <w:t xml:space="preserve">I’ll go over this abstract argument, then apply it to the Xefteris game.</w:t>
      </w:r>
    </w:p>
    <w:p>
      <w:pPr>
        <w:pStyle w:val="BodyText"/>
      </w:pPr>
      <w:r>
        <w:t xml:space="preserve">Premise 1 is a claim that a particular game, that has an equilibrium, is possible to play. There is a strong assumption that mathematically coherent games are indeed possible to play, so this feels like a safe enough assumption. I’ll come back at the very end of the next section to whether it is safe.</w:t>
      </w:r>
    </w:p>
    <w:p>
      <w:pPr>
        <w:pStyle w:val="BodyText"/>
      </w:pPr>
      <w:r>
        <w:t xml:space="preserve">Premise 2 is spelling out a consequence of Uniqueness, but it helps to go over why it is a consequence. Assume that player</w:t>
      </w:r>
      <w:r>
        <w:t xml:space="preserve"> </w:t>
      </w:r>
      <w:r>
        <w:rPr>
          <w:iCs/>
          <w:i/>
        </w:rPr>
        <w:t xml:space="preserve">x</w:t>
      </w:r>
      <w:r>
        <w:t xml:space="preserve"> </w:t>
      </w:r>
      <w:r>
        <w:t xml:space="preserve">has credence</w:t>
      </w:r>
      <w:r>
        <w:t xml:space="preserve"> </w:t>
      </w:r>
      <w:r>
        <w:rPr>
          <w:iCs/>
          <w:i/>
        </w:rPr>
        <w:t xml:space="preserve">p</w:t>
      </w:r>
      <w:r>
        <w:t xml:space="preserve"> </w:t>
      </w:r>
      <w:r>
        <w:t xml:space="preserve">that player</w:t>
      </w:r>
      <w:r>
        <w:t xml:space="preserve"> </w:t>
      </w:r>
      <w:r>
        <w:rPr>
          <w:iCs/>
          <w:i/>
        </w:rPr>
        <w:t xml:space="preserve">y</w:t>
      </w:r>
      <w:r>
        <w:t xml:space="preserve"> </w:t>
      </w:r>
      <w:r>
        <w:t xml:space="preserve">will play (pure) strategy</w:t>
      </w:r>
      <w:r>
        <w:t xml:space="preserve"> </w:t>
      </w:r>
      <w:r>
        <w:rPr>
          <w:iCs/>
          <w:i/>
        </w:rPr>
        <w:t xml:space="preserve">s</w:t>
      </w:r>
      <w:r>
        <w:t xml:space="preserve">. In symbols,</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where</w:t>
      </w:r>
      <w:r>
        <w:t xml:space="preserve"> </w:t>
      </w:r>
      <w:r>
        <w:rPr>
          <w:iCs/>
          <w:i/>
        </w:rPr>
        <w:t xml:space="preserve">Cr</w:t>
      </w:r>
      <w:r>
        <w:rPr>
          <w:vertAlign w:val="subscript"/>
          <w:iCs/>
          <w:i/>
        </w:rPr>
        <w:t xml:space="preserve">x</w:t>
      </w:r>
      <w:r>
        <w:t xml:space="preserve"> </w:t>
      </w:r>
      <w:r>
        <w:t xml:space="preserve">is</w:t>
      </w:r>
      <w:r>
        <w:t xml:space="preserve"> </w:t>
      </w:r>
      <w:r>
        <w:rPr>
          <w:iCs/>
          <w:i/>
        </w:rPr>
        <w:t xml:space="preserve">x</w:t>
      </w:r>
      <w:r>
        <w:t xml:space="preserve">’s credence function, and</w:t>
      </w:r>
      <w:r>
        <w:t xml:space="preserve"> </w:t>
      </w:r>
      <w:r>
        <w:rPr>
          <w:iCs/>
          <w:i/>
        </w:rPr>
        <w:t xml:space="preserve">s</w:t>
      </w:r>
      <w:r>
        <w:rPr>
          <w:vertAlign w:val="subscript"/>
          <w:iCs/>
          <w:i/>
        </w:rPr>
        <w:t xml:space="preserve">y</w:t>
      </w:r>
      <w:r>
        <w:t xml:space="preserve"> </w:t>
      </w:r>
      <w:r>
        <w:t xml:space="preserve">is the proposition that</w:t>
      </w:r>
      <w:r>
        <w:t xml:space="preserve"> </w:t>
      </w:r>
      <w:r>
        <w:rPr>
          <w:iCs/>
          <w:i/>
        </w:rPr>
        <w:t xml:space="preserve">y</w:t>
      </w:r>
      <w:r>
        <w:t xml:space="preserve"> </w:t>
      </w:r>
      <w:r>
        <w:t xml:space="preserve">plays strategy</w:t>
      </w:r>
      <w:r>
        <w:t xml:space="preserve"> </w:t>
      </w:r>
      <w:r>
        <w:rPr>
          <w:iCs/>
          <w:i/>
        </w:rPr>
        <w:t xml:space="preserve">s</w:t>
      </w:r>
      <w:r>
        <w:t xml:space="preserve">. By common knowledge of rationality,</w:t>
      </w:r>
      <w:r>
        <w:t xml:space="preserve"> </w:t>
      </w:r>
      <w:r>
        <w:rPr>
          <w:iCs/>
          <w:i/>
        </w:rPr>
        <w:t xml:space="preserve">x</w:t>
      </w:r>
      <w:r>
        <w:t xml:space="preserve"> </w:t>
      </w:r>
      <w:r>
        <w:t xml:space="preserve">thinks it is rational with their evidence to have credence</w:t>
      </w:r>
      <w:r>
        <w:t xml:space="preserve"> </w:t>
      </w:r>
      <w:r>
        <w:rPr>
          <w:iCs/>
          <w:i/>
        </w:rPr>
        <w:t xml:space="preserve">p</w:t>
      </w:r>
      <w:r>
        <w:t xml:space="preserve"> </w:t>
      </w:r>
      <w:r>
        <w:t xml:space="preserve">in</w:t>
      </w:r>
      <w:r>
        <w:t xml:space="preserve"> </w:t>
      </w:r>
      <w:r>
        <w:rPr>
          <w:iCs/>
          <w:i/>
        </w:rPr>
        <w:t xml:space="preserve">s</w:t>
      </w:r>
      <w:r>
        <w:rPr>
          <w:vertAlign w:val="subscript"/>
          <w:iCs/>
          <w:i/>
        </w:rPr>
        <w:t xml:space="preserve">y</w:t>
      </w:r>
      <w:r>
        <w:t xml:space="preserve">. By Uniqueness,</w:t>
      </w:r>
      <w:r>
        <w:t xml:space="preserve"> </w:t>
      </w:r>
      <w:r>
        <w:rPr>
          <w:iCs/>
          <w:i/>
        </w:rPr>
        <w:t xml:space="preserve">x</w:t>
      </w:r>
      <w:r>
        <w:t xml:space="preserve"> </w:t>
      </w:r>
      <w:r>
        <w:t xml:space="preserve">thinks this is the only rational credence to have in</w:t>
      </w:r>
      <w:r>
        <w:t xml:space="preserve"> </w:t>
      </w:r>
      <w:r>
        <w:rPr>
          <w:iCs/>
          <w:i/>
        </w:rPr>
        <w:t xml:space="preserve">s</w:t>
      </w:r>
      <w:r>
        <w:rPr>
          <w:vertAlign w:val="subscript"/>
          <w:iCs/>
          <w:i/>
        </w:rPr>
        <w:t xml:space="preserve">y</w:t>
      </w:r>
      <w:r>
        <w:t xml:space="preserve">. By common knowledge of sameness of evidence,</w:t>
      </w:r>
      <w:r>
        <w:t xml:space="preserve"> </w:t>
      </w:r>
      <w:r>
        <w:rPr>
          <w:iCs/>
          <w:i/>
        </w:rPr>
        <w:t xml:space="preserve">x</w:t>
      </w:r>
      <w:r>
        <w:t xml:space="preserve"> </w:t>
      </w:r>
      <w:r>
        <w:t xml:space="preserve">thinks that</w:t>
      </w:r>
      <w:r>
        <w:t xml:space="preserve"> </w:t>
      </w:r>
      <w:r>
        <w:rPr>
          <w:iCs/>
          <w:i/>
        </w:rPr>
        <w:t xml:space="preserve">y</w:t>
      </w:r>
      <w:r>
        <w:t xml:space="preserve"> </w:t>
      </w:r>
      <w:r>
        <w:t xml:space="preserve">is rational, and has the same evidence about</w:t>
      </w:r>
      <w:r>
        <w:t xml:space="preserve"> </w:t>
      </w:r>
      <w:r>
        <w:rPr>
          <w:iCs/>
          <w:i/>
        </w:rPr>
        <w:t xml:space="preserve">x</w:t>
      </w:r>
      <w:r>
        <w:t xml:space="preserve"> </w:t>
      </w:r>
      <w:r>
        <w:t xml:space="preserve">playing</w:t>
      </w:r>
      <w:r>
        <w:t xml:space="preserve"> </w:t>
      </w:r>
      <w:r>
        <w:rPr>
          <w:iCs/>
          <w:i/>
        </w:rPr>
        <w:t xml:space="preserve">s</w:t>
      </w:r>
      <w:r>
        <w:t xml:space="preserve"> </w:t>
      </w:r>
      <w:r>
        <w:t xml:space="preserve">as</w:t>
      </w:r>
      <w:r>
        <w:t xml:space="preserve"> </w:t>
      </w:r>
      <w:r>
        <w:rPr>
          <w:iCs/>
          <w:i/>
        </w:rPr>
        <w:t xml:space="preserve">x</w:t>
      </w:r>
      <w:r>
        <w:t xml:space="preserve"> </w:t>
      </w:r>
      <w:r>
        <w:t xml:space="preserve">has about</w:t>
      </w:r>
      <w:r>
        <w:t xml:space="preserve"> </w:t>
      </w:r>
      <w:r>
        <w:rPr>
          <w:iCs/>
          <w:i/>
        </w:rPr>
        <w:t xml:space="preserve">y</w:t>
      </w:r>
      <w:r>
        <w:t xml:space="preserve"> </w:t>
      </w:r>
      <w:r>
        <w:t xml:space="preserve">playing</w:t>
      </w:r>
      <w:r>
        <w:t xml:space="preserve"> </w:t>
      </w:r>
      <w:r>
        <w:rPr>
          <w:iCs/>
          <w:i/>
        </w:rPr>
        <w:t xml:space="preserve">s</w:t>
      </w:r>
      <w:r>
        <w:t xml:space="preserve">. So</w:t>
      </w:r>
      <w:r>
        <w:t xml:space="preserve"> </w:t>
      </w:r>
      <w:r>
        <w:rPr>
          <w:iCs/>
          <w:i/>
        </w:rPr>
        <w:t xml:space="preserve">y</w:t>
      </w:r>
      <w:r>
        <w:t xml:space="preserve"> </w:t>
      </w:r>
      <w:r>
        <w:t xml:space="preserve">will do the only rational thing with that evidence, namely form credence</w:t>
      </w:r>
      <w:r>
        <w:t xml:space="preserve"> </w:t>
      </w:r>
      <w:r>
        <w:rPr>
          <w:iCs/>
          <w:i/>
        </w:rPr>
        <w:t xml:space="preserve">p</w:t>
      </w:r>
      <w:r>
        <w:t xml:space="preserve"> </w:t>
      </w:r>
      <w:r>
        <w:t xml:space="preserve">that</w:t>
      </w:r>
      <w:r>
        <w:t xml:space="preserve"> </w:t>
      </w:r>
      <w:r>
        <w:rPr>
          <w:iCs/>
          <w:i/>
        </w:rPr>
        <w:t xml:space="preserve">x</w:t>
      </w:r>
      <w:r>
        <w:t xml:space="preserve"> </w:t>
      </w:r>
      <w:r>
        <w:t xml:space="preserve">will play</w:t>
      </w:r>
      <w:r>
        <w:t xml:space="preserve"> </w:t>
      </w:r>
      <w:r>
        <w:rPr>
          <w:iCs/>
          <w:i/>
        </w:rPr>
        <w:t xml:space="preserve">s</w:t>
      </w:r>
      <w:r>
        <w:t xml:space="preserve">. (In a game with more than two players, this also licences inferring that</w:t>
      </w:r>
      <w:r>
        <w:t xml:space="preserve"> </w:t>
      </w:r>
      <w:r>
        <w:rPr>
          <w:iCs/>
          <w:i/>
        </w:rPr>
        <w:t xml:space="preserve">y</w:t>
      </w:r>
      <w:r>
        <w:t xml:space="preserve"> </w:t>
      </w:r>
      <w:r>
        <w:t xml:space="preserve">believes that</w:t>
      </w:r>
      <w:r>
        <w:t xml:space="preserve"> </w:t>
      </w:r>
      <w:r>
        <w:rPr>
          <w:iCs/>
          <w:i/>
        </w:rPr>
        <w:t xml:space="preserve">z</w:t>
      </w:r>
      <w:r>
        <w:t xml:space="preserve"> </w:t>
      </w:r>
      <w:r>
        <w:t xml:space="preserve">will play</w:t>
      </w:r>
      <w:r>
        <w:t xml:space="preserve"> </w:t>
      </w:r>
      <w:r>
        <w:rPr>
          <w:iCs/>
          <w:i/>
        </w:rPr>
        <w:t xml:space="preserve">s</w:t>
      </w:r>
      <w:r>
        <w:t xml:space="preserve"> </w:t>
      </w:r>
      <w:r>
        <w:t xml:space="preserve">with probability</w:t>
      </w:r>
      <w:r>
        <w:t xml:space="preserve"> </w:t>
      </w:r>
      <w:r>
        <w:rPr>
          <w:iCs/>
          <w:i/>
        </w:rPr>
        <w:t xml:space="preserve">p</w:t>
      </w:r>
      <w:r>
        <w:t xml:space="preserve">, and the same for all the other players.) Quite generally,</w:t>
      </w:r>
      <w:r>
        <w:t xml:space="preserve"> </w:t>
      </w:r>
      <w:r>
        <w:rPr>
          <w:iCs/>
          <w:i/>
        </w:rPr>
        <w:t xml:space="preserve">x</w:t>
      </w:r>
      <w:r>
        <w:t xml:space="preserve"> </w:t>
      </w:r>
      <w:r>
        <w:t xml:space="preserve">believes that</w:t>
      </w:r>
      <w:r>
        <w:t xml:space="preserve"> </w:t>
      </w:r>
      <w:r>
        <w:rPr>
          <w:iCs/>
          <w:i/>
        </w:rPr>
        <w:t xml:space="preserve">y</w:t>
      </w:r>
      <w:r>
        <w:t xml:space="preserve"> </w:t>
      </w:r>
      <w:r>
        <w:t xml:space="preserve">has the same credences about</w:t>
      </w:r>
      <w:r>
        <w:t xml:space="preserve"> </w:t>
      </w:r>
      <w:r>
        <w:rPr>
          <w:iCs/>
          <w:i/>
        </w:rPr>
        <w:t xml:space="preserve">x</w:t>
      </w:r>
      <w:r>
        <w:t xml:space="preserve"> </w:t>
      </w:r>
      <w:r>
        <w:t xml:space="preserve">as</w:t>
      </w:r>
      <w:r>
        <w:t xml:space="preserve"> </w:t>
      </w:r>
      <w:r>
        <w:rPr>
          <w:iCs/>
          <w:i/>
        </w:rPr>
        <w:t xml:space="preserve">x</w:t>
      </w:r>
      <w:r>
        <w:t xml:space="preserve"> </w:t>
      </w:r>
      <w:r>
        <w:t xml:space="preserve">themselves has about</w:t>
      </w:r>
      <w:r>
        <w:t xml:space="preserve"> </w:t>
      </w:r>
      <w:r>
        <w:rPr>
          <w:iCs/>
          <w:i/>
        </w:rPr>
        <w:t xml:space="preserve">y</w:t>
      </w:r>
      <w:r>
        <w:t xml:space="preserve">.</w:t>
      </w:r>
    </w:p>
    <w:p>
      <w:pPr>
        <w:pStyle w:val="BodyText"/>
      </w:pPr>
      <w:r>
        <w:t xml:space="preserve">Premise 3 says that this suffices for there to be a symmetric equilibrium of the game. In fact, we can say what that equilibrium would be: everyone plays the mixed strategy that corresponds to</w:t>
      </w:r>
      <w:r>
        <w:t xml:space="preserve"> </w:t>
      </w:r>
      <w:r>
        <w:rPr>
          <w:iCs/>
          <w:i/>
        </w:rPr>
        <w:t xml:space="preserve">x</w:t>
      </w:r>
      <w:r>
        <w:t xml:space="preserve">’s credences about what</w:t>
      </w:r>
      <w:r>
        <w:t xml:space="preserve"> </w:t>
      </w:r>
      <w:r>
        <w:rPr>
          <w:iCs/>
          <w:i/>
        </w:rPr>
        <w:t xml:space="preserve">y</w:t>
      </w:r>
      <w:r>
        <w:t xml:space="preserve"> </w:t>
      </w:r>
      <w:r>
        <w:t xml:space="preserve">will play. By ’mixed strategy corresponding to these credences, I mean that if</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then each player</w:t>
      </w:r>
      <w:r>
        <w:t xml:space="preserve"> </w:t>
      </w:r>
      <w:r>
        <w:rPr>
          <w:iCs/>
          <w:i/>
        </w:rPr>
        <w:t xml:space="preserve">y</w:t>
      </w:r>
      <w:r>
        <w:t xml:space="preserve"> </w:t>
      </w:r>
      <w:r>
        <w:t xml:space="preserve">in fact plays strategy</w:t>
      </w:r>
      <w:r>
        <w:t xml:space="preserve"> </w:t>
      </w:r>
      <w:r>
        <w:rPr>
          <w:iCs/>
          <w:i/>
        </w:rPr>
        <w:t xml:space="preserve">s</w:t>
      </w:r>
      <w:r>
        <w:t xml:space="preserve"> </w:t>
      </w:r>
      <w:r>
        <w:t xml:space="preserve">with probability</w:t>
      </w:r>
      <w:r>
        <w:t xml:space="preserve"> </w:t>
      </w:r>
      <w:r>
        <w:rPr>
          <w:iCs/>
          <w:i/>
        </w:rPr>
        <w:t xml:space="preserve">p</w:t>
      </w:r>
      <w:r>
        <w:t xml:space="preserve">, and so on for all strategies, and probabilities.</w:t>
      </w:r>
    </w:p>
    <w:p>
      <w:pPr>
        <w:pStyle w:val="BodyText"/>
      </w:pPr>
      <w:r>
        <w:t xml:space="preserve">Why is that strategy set, where everyone does what</w:t>
      </w:r>
      <w:r>
        <w:t xml:space="preserve"> </w:t>
      </w:r>
      <w:r>
        <w:rPr>
          <w:iCs/>
          <w:i/>
        </w:rPr>
        <w:t xml:space="preserve">x</w:t>
      </w:r>
      <w:r>
        <w:t xml:space="preserve"> </w:t>
      </w:r>
      <w:r>
        <w:t xml:space="preserve">thinks</w:t>
      </w:r>
      <w:r>
        <w:t xml:space="preserve"> </w:t>
      </w:r>
      <w:r>
        <w:rPr>
          <w:iCs/>
          <w:i/>
        </w:rPr>
        <w:t xml:space="preserve">y</w:t>
      </w:r>
      <w:r>
        <w:t xml:space="preserve"> </w:t>
      </w:r>
      <w:r>
        <w:t xml:space="preserve">will do, an equilibrium? It starts with the fact that premise 2, and the reasoning behind it, is all a priori. So it’s knowable to a perfectly rational player, like</w:t>
      </w:r>
      <w:r>
        <w:t xml:space="preserve"> </w:t>
      </w:r>
      <w:r>
        <w:rPr>
          <w:iCs/>
          <w:i/>
        </w:rPr>
        <w:t xml:space="preserve">x</w:t>
      </w:r>
      <w:r>
        <w:t xml:space="preserve">. So, if Uniqueness is true,</w:t>
      </w:r>
      <w:r>
        <w:t xml:space="preserve"> </w:t>
      </w:r>
      <w:r>
        <w:rPr>
          <w:iCs/>
          <w:i/>
        </w:rPr>
        <w:t xml:space="preserve">x</w:t>
      </w:r>
      <w:r>
        <w:t xml:space="preserve"> </w:t>
      </w:r>
      <w:r>
        <w:t xml:space="preserve">knows that whatever they think about the other players will (a) be true, and (b) be common knowledge. And since</w:t>
      </w:r>
      <w:r>
        <w:t xml:space="preserve"> </w:t>
      </w:r>
      <w:r>
        <w:rPr>
          <w:iCs/>
          <w:i/>
        </w:rPr>
        <w:t xml:space="preserve">x</w:t>
      </w:r>
      <w:r>
        <w:t xml:space="preserve"> </w:t>
      </w:r>
      <w:r>
        <w:t xml:space="preserve">takes the other players to be utility maximisers, that means that every strategy</w:t>
      </w:r>
      <w:r>
        <w:t xml:space="preserve"> </w:t>
      </w:r>
      <w:r>
        <w:rPr>
          <w:iCs/>
          <w:i/>
        </w:rPr>
        <w:t xml:space="preserve">x</w:t>
      </w:r>
      <w:r>
        <w:t xml:space="preserve"> </w:t>
      </w:r>
      <w:r>
        <w:t xml:space="preserve">gives them positive probability of playing must maximise expected utility given these (shared) credences about what everyone else will play. If there was some strategy that did not maximise expected utility, and</w:t>
      </w:r>
      <w:r>
        <w:t xml:space="preserve"> </w:t>
      </w:r>
      <w:r>
        <w:rPr>
          <w:iCs/>
          <w:i/>
        </w:rPr>
        <w:t xml:space="preserve">x</w:t>
      </w:r>
      <w:r>
        <w:t xml:space="preserve"> </w:t>
      </w:r>
      <w:r>
        <w:t xml:space="preserve">gave them positive probability of playing it, then</w:t>
      </w:r>
      <w:r>
        <w:t xml:space="preserve"> </w:t>
      </w:r>
      <w:r>
        <w:rPr>
          <w:iCs/>
          <w:i/>
        </w:rPr>
        <w:t xml:space="preserve">x</w:t>
      </w:r>
      <w:r>
        <w:t xml:space="preserve"> </w:t>
      </w:r>
      <w:r>
        <w:t xml:space="preserve">would think it was possible that the other player was not maximising expected utility, contradicting the assumption of common knowledge of rationality. That’s to say, playing the mixed strategy that corresponds to</w:t>
      </w:r>
      <w:r>
        <w:t xml:space="preserve"> </w:t>
      </w:r>
      <w:r>
        <w:rPr>
          <w:iCs/>
          <w:i/>
        </w:rPr>
        <w:t xml:space="preserve">x</w:t>
      </w:r>
      <w:r>
        <w:t xml:space="preserve">’s beliefs about</w:t>
      </w:r>
      <w:r>
        <w:t xml:space="preserve"> </w:t>
      </w:r>
      <w:r>
        <w:rPr>
          <w:iCs/>
          <w:i/>
        </w:rPr>
        <w:t xml:space="preserve">y</w:t>
      </w:r>
      <w:r>
        <w:t xml:space="preserve"> </w:t>
      </w:r>
      <w:r>
        <w:t xml:space="preserve">must be an equilibrium, if Uniqueness is true, and it is common knowledge that the players have the same evidence and are rational.</w:t>
      </w:r>
    </w:p>
    <w:p>
      <w:pPr>
        <w:pStyle w:val="BodyText"/>
      </w:pPr>
      <w:r>
        <w:t xml:space="preserve">Premise 4 says that something which is entailed by Uniqueness, combined with the assumptions in premise 1 and the other two premises, is not in fact true. So by modus tollens, Uniqueness is not true.</w:t>
      </w:r>
    </w:p>
    <w:p>
      <w:pPr>
        <w:pStyle w:val="BodyText"/>
      </w:pPr>
      <w:r>
        <w:t xml:space="preserve">The arguments about the first three premises should apply to any symmetric game, with common knowledge of rationality and shared evidence. In any such game, the credences any player has about any other should be convertible into a (possibly mixed) equilibrium of the game. That’s because any player should be able to conclude that what they think about one player must be a rational belief (by the common knowledge of rationality), so must be the only rational belief given their own evidence (by Uniqueness), so must be the belief that everyone has (by shared evidence), so must in fact be correct (since it’s the only rational belief, and they are rational), and since it is a correct belief, and everyone is in fact a utility maximiser while holding these (correct) beliefs about everyone, must be an equilibrium. So every symmetric game must have a symmetric equilibrium, if Uniqueness is true, and the game is played under conditions of common knowledge of rationality and shared evidence.</w:t>
      </w:r>
    </w:p>
    <w:p>
      <w:pPr>
        <w:pStyle w:val="BodyText"/>
      </w:pPr>
      <w:r>
        <w:t xml:space="preserve">That’s not true in this game. It does not in fact have a symmetric equilibrium. If we drop Uniqueness, it is easy enough to describe rational behaviour for players in this game. Here is one possible model for the game.</w:t>
      </w:r>
    </w:p>
    <w:p>
      <w:pPr>
        <w:numPr>
          <w:ilvl w:val="0"/>
          <w:numId w:val="1029"/>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9"/>
        </w:numPr>
        <w:pStyle w:val="Compact"/>
      </w:pPr>
      <w:r>
        <w:t xml:space="preserve">Each player has a correct belief about what the other players will play.</w:t>
      </w:r>
    </w:p>
    <w:p>
      <w:pPr>
        <w:numPr>
          <w:ilvl w:val="0"/>
          <w:numId w:val="1029"/>
        </w:numPr>
        <w:pStyle w:val="Compact"/>
      </w:pPr>
      <w:r>
        <w:t xml:space="preserve">But both</w:t>
      </w:r>
      <w:r>
        <w:t xml:space="preserve"> </w:t>
      </w:r>
      <w:r>
        <w:rPr>
          <w:iCs/>
          <w:i/>
        </w:rPr>
        <w:t xml:space="preserve">B</w:t>
      </w:r>
      <w:r>
        <w:t xml:space="preserve"> </w:t>
      </w:r>
      <w:r>
        <w:t xml:space="preserve">and</w:t>
      </w:r>
      <w:r>
        <w:t xml:space="preserve"> </w:t>
      </w:r>
      <w:r>
        <w:rPr>
          <w:iCs/>
          <w:i/>
        </w:rPr>
        <w:t xml:space="preserve">C</w:t>
      </w:r>
      <w:r>
        <w:t xml:space="preserve"> </w:t>
      </w:r>
      <w:r>
        <w:t xml:space="preserve">know they cannot win given the other player’s moves, so they pick a move completely arbitrarily.</w:t>
      </w:r>
    </w:p>
    <w:p>
      <w:pPr>
        <w:numPr>
          <w:ilvl w:val="0"/>
          <w:numId w:val="1029"/>
        </w:numPr>
        <w:pStyle w:val="Compact"/>
      </w:pPr>
      <w:r>
        <w:t xml:space="preserve">Further, each player has a correct belief about why each player makes the move they make.</w:t>
      </w:r>
    </w:p>
    <w:p>
      <w:pPr>
        <w:pStyle w:val="FirstParagraph"/>
      </w:pPr>
      <w:r>
        <w:t xml:space="preserve">This is the coherent equilibria that Xefteris describes, but it requires some amount of luck, since it requires that</w:t>
      </w:r>
      <w:r>
        <w:t xml:space="preserve"> </w:t>
      </w:r>
      <w:r>
        <w:rPr>
          <w:iCs/>
          <w:i/>
        </w:rPr>
        <w:t xml:space="preserve">B</w:t>
      </w:r>
      <w:r>
        <w:t xml:space="preserve"> </w:t>
      </w:r>
      <w:r>
        <w:t xml:space="preserve">and</w:t>
      </w:r>
      <w:r>
        <w:t xml:space="preserve"> </w:t>
      </w:r>
      <w:r>
        <w:rPr>
          <w:iCs/>
          <w:i/>
        </w:rPr>
        <w:t xml:space="preserve">C</w:t>
      </w:r>
      <w:r>
        <w:t xml:space="preserve"> </w:t>
      </w:r>
      <w:r>
        <w:t xml:space="preserve">pick 0.4 when they could pick absolutely anything. Here’s a slightly more plausible model of the game.</w:t>
      </w:r>
    </w:p>
    <w:p>
      <w:pPr>
        <w:numPr>
          <w:ilvl w:val="0"/>
          <w:numId w:val="1030"/>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30"/>
        </w:numPr>
        <w:pStyle w:val="Compact"/>
      </w:pPr>
      <w:r>
        <w:t xml:space="preserve">The only two rational plays are 0.4 and 0.6, and each of them is rationally permissible.</w:t>
      </w:r>
    </w:p>
    <w:p>
      <w:pPr>
        <w:numPr>
          <w:ilvl w:val="0"/>
          <w:numId w:val="1030"/>
        </w:numPr>
        <w:pStyle w:val="Compact"/>
      </w:pPr>
      <w:r>
        <w:t xml:space="preserve">In any world that a player believes to be actual, or a player believes another player believes to be actual, or a player believes another player believes another player believes to be actual, etc., the following two conditions hold.</w:t>
      </w:r>
    </w:p>
    <w:p>
      <w:pPr>
        <w:numPr>
          <w:ilvl w:val="0"/>
          <w:numId w:val="1030"/>
        </w:numPr>
        <w:pStyle w:val="Compact"/>
      </w:pPr>
      <w:r>
        <w:t xml:space="preserve">If a player plays 0.6, they believe the other two players will play 0.4, and hence playing 0.6 is a winning move.</w:t>
      </w:r>
    </w:p>
    <w:p>
      <w:pPr>
        <w:numPr>
          <w:ilvl w:val="0"/>
          <w:numId w:val="1030"/>
        </w:numPr>
        <w:pStyle w:val="Compact"/>
      </w:pPr>
      <w:r>
        <w:t xml:space="preserve">If a player plays 0.4, they believe the other two players will play 0.6, and hence playing 0.4 is a winning move.</w:t>
      </w:r>
    </w:p>
    <w:p>
      <w:pPr>
        <w:pStyle w:val="FirstParagraph"/>
      </w:pPr>
      <w:r>
        <w:t xml:space="preserve">The main difference between this model and Xefteris’s is that it allows that players have false beliefs. But why shouldn’t they have false beliefs? All they know is that the other players are rational, and rationality (we’re assuming) does not settle a unique verdict for what players will do. So I think this strategy set, where the players have rational (but false) beliefs about the other players, is more useful to think about.</w:t>
      </w:r>
    </w:p>
    <w:bookmarkEnd w:id="471"/>
    <w:bookmarkStart w:id="474" w:name="objections"/>
    <w:p>
      <w:pPr>
        <w:pStyle w:val="Heading2"/>
      </w:pPr>
      <w:r>
        <w:t xml:space="preserve">F.3 Objections</w:t>
      </w:r>
    </w:p>
    <w:p>
      <w:pPr>
        <w:pStyle w:val="FirstParagraph"/>
      </w:pPr>
      <w:r>
        <w:t xml:space="preserve">The arguments for premises 2 and 3 in the argument above assumed something slightly stronger than Uniqueness. They each assumed that each player knew Uniqueness was true, and could use that in their reasoning. (Most importantly, in the argument for premise 3, it’s important that each player can reason through the reasoning behind premise 2, and that reasoning used Uniqueness.) What happens if we drop that assumption, and consider the possibility that Uniqueness is true but unknowable?</w:t>
      </w:r>
    </w:p>
    <w:p>
      <w:pPr>
        <w:pStyle w:val="BodyText"/>
      </w:pPr>
      <w:r>
        <w:t xml:space="preserve">This possibility is a little uncomfortable for philosophical defenders of Uniqueness. If the players in these games do not know that Uniqueness is true, then neither do the authors writing about Uniqueness. And now we have to worry about whether it is permissible to assert in print that Uniqueness is true. I wouldn’t make too much of this though. It is unlikely that a knowledge norm governs assertion in philosophical journals.</w:t>
      </w:r>
    </w:p>
    <w:p>
      <w:pPr>
        <w:pStyle w:val="BodyText"/>
      </w:pPr>
      <w:r>
        <w:t xml:space="preserve">The bigger worry here is that one key argument for Uniqueness seems to require that Uniqueness is knowable. A number of recent authors have argued that Uniqueness best explains our practice of deferring to rational people.</w:t>
      </w:r>
      <w:r>
        <w:rPr>
          <w:rStyle w:val="FootnoteReference"/>
        </w:rPr>
        <w:footnoteReference w:id="472"/>
      </w:r>
      <w:r>
        <w:t xml:space="preserve"> </w:t>
      </w:r>
      <w:r>
        <w:t xml:space="preserve">For instance, Greco and Hedden use this principle in their argument for Uniqueness.</w:t>
      </w:r>
    </w:p>
    <w:p>
      <w:pPr>
        <w:pStyle w:val="BlockText"/>
      </w:pPr>
      <w:r>
        <w:t xml:space="preserve">If agent</w:t>
      </w:r>
      <w:r>
        <w:t xml:space="preserve"> </w:t>
      </w:r>
      <w:r>
        <w:rPr>
          <w:iCs/>
          <w:i/>
        </w:rPr>
        <w:t xml:space="preserve">S</w:t>
      </w:r>
      <w:r>
        <w:rPr>
          <w:vertAlign w:val="subscript"/>
        </w:rPr>
        <w:t xml:space="preserve">1</w:t>
      </w:r>
      <w:r>
        <w:t xml:space="preserve"> </w:t>
      </w:r>
      <w:r>
        <w:t xml:space="preserve">judges that</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 </w:t>
      </w:r>
      <w:r>
        <w:t xml:space="preserve">is rational and that</w:t>
      </w:r>
      <w:r>
        <w:t xml:space="preserve"> </w:t>
      </w:r>
      <w:r>
        <w:rPr>
          <w:iCs/>
          <w:i/>
        </w:rPr>
        <w:t xml:space="preserve">S</w:t>
      </w:r>
      <w:r>
        <w:rPr>
          <w:vertAlign w:val="subscript"/>
        </w:rPr>
        <w:t xml:space="preserve">1</w:t>
      </w:r>
      <w:r>
        <w:t xml:space="preserve"> </w:t>
      </w:r>
      <w:r>
        <w:t xml:space="preserve">does not have relevant evidence that</w:t>
      </w:r>
      <w:r>
        <w:t xml:space="preserve"> </w:t>
      </w:r>
      <w:r>
        <w:rPr>
          <w:iCs/>
          <w:i/>
        </w:rPr>
        <w:t xml:space="preserve">S</w:t>
      </w:r>
      <w:r>
        <w:rPr>
          <w:vertAlign w:val="subscript"/>
        </w:rPr>
        <w:t xml:space="preserve">2</w:t>
      </w:r>
      <w:r>
        <w:t xml:space="preserve"> </w:t>
      </w:r>
      <w:r>
        <w:t xml:space="preserve">lacks, then</w:t>
      </w:r>
      <w:r>
        <w:t xml:space="preserve"> </w:t>
      </w:r>
      <w:r>
        <w:rPr>
          <w:iCs/>
          <w:i/>
        </w:rPr>
        <w:t xml:space="preserve">S</w:t>
      </w:r>
      <w:r>
        <w:rPr>
          <w:vertAlign w:val="subscript"/>
        </w:rPr>
        <w:t xml:space="preserve">1</w:t>
      </w:r>
      <w:r>
        <w:t xml:space="preserve"> </w:t>
      </w:r>
      <w:r>
        <w:t xml:space="preserve">defers to</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w:t>
      </w:r>
      <w:r>
        <w:t xml:space="preserve"> </w:t>
      </w:r>
      <w:r>
        <w:t xml:space="preserve">(Greco and Hedden 2016, 373)</w:t>
      </w:r>
      <w:r>
        <w:t xml:space="preserve">.</w:t>
      </w:r>
    </w:p>
    <w:p>
      <w:pPr>
        <w:pStyle w:val="FirstParagraph"/>
      </w:pPr>
      <w:r>
        <w:t xml:space="preserve">Similar kinds of arguments are made by</w:t>
      </w:r>
      <w:r>
        <w:t xml:space="preserve"> </w:t>
      </w:r>
      <w:r>
        <w:t xml:space="preserve">Dogramaci (2012)</w:t>
      </w:r>
      <w:r>
        <w:t xml:space="preserve"> </w:t>
      </w:r>
      <w:r>
        <w:t xml:space="preserve">and</w:t>
      </w:r>
      <w:r>
        <w:t xml:space="preserve"> </w:t>
      </w:r>
      <w:r>
        <w:t xml:space="preserve">Horowitz (2014)</w:t>
      </w:r>
      <w:r>
        <w:t xml:space="preserve">. But the principle looks rather dubious in the case of these games. Imagine that</w:t>
      </w:r>
      <w:r>
        <w:t xml:space="preserve"> </w:t>
      </w:r>
      <w:r>
        <w:rPr>
          <w:iCs/>
          <w:i/>
        </w:rPr>
        <w:t xml:space="preserve">A</w:t>
      </w:r>
      <w:r>
        <w:t xml:space="preserve"> </w:t>
      </w:r>
      <w:r>
        <w:t xml:space="preserve">forms a belief (we’ll come back to how) that</w:t>
      </w:r>
      <w:r>
        <w:t xml:space="preserve"> </w:t>
      </w:r>
      <w:r>
        <w:rPr>
          <w:iCs/>
          <w:i/>
        </w:rPr>
        <w:t xml:space="preserve">B</w:t>
      </w:r>
      <w:r>
        <w:t xml:space="preserve"> </w:t>
      </w:r>
      <w:r>
        <w:t xml:space="preserve">believes that a rational thing to do in the Xefteris game is to play 0.6, and so believes that</w:t>
      </w:r>
      <w:r>
        <w:t xml:space="preserve"> </w:t>
      </w:r>
      <w:r>
        <w:rPr>
          <w:iCs/>
          <w:i/>
        </w:rPr>
        <w:t xml:space="preserve">B</w:t>
      </w:r>
      <w:r>
        <w:t xml:space="preserve"> </w:t>
      </w:r>
      <w:r>
        <w:t xml:space="preserve">will play 0.6. This last step requires Uniqueness, or, more specifically,</w:t>
      </w:r>
      <w:r>
        <w:t xml:space="preserve"> </w:t>
      </w:r>
      <w:r>
        <w:rPr>
          <w:iCs/>
          <w:i/>
        </w:rPr>
        <w:t xml:space="preserve">A</w:t>
      </w:r>
      <w:r>
        <w:t xml:space="preserve">’s belief that</w:t>
      </w:r>
      <w:r>
        <w:t xml:space="preserve"> </w:t>
      </w:r>
      <w:r>
        <w:rPr>
          <w:iCs/>
          <w:i/>
        </w:rPr>
        <w:t xml:space="preserve">B</w:t>
      </w:r>
      <w:r>
        <w:t xml:space="preserve"> </w:t>
      </w:r>
      <w:r>
        <w:t xml:space="preserve">believes in Uniqueness. The reasoning is as follows.</w:t>
      </w:r>
      <w:r>
        <w:t xml:space="preserve"> </w:t>
      </w:r>
      <w:r>
        <w:rPr>
          <w:iCs/>
          <w:i/>
        </w:rPr>
        <w:t xml:space="preserve">A</w:t>
      </w:r>
      <w:r>
        <w:t xml:space="preserve"> </w:t>
      </w:r>
      <w:r>
        <w:t xml:space="preserve">thinks that</w:t>
      </w:r>
      <w:r>
        <w:t xml:space="preserve"> </w:t>
      </w:r>
      <w:r>
        <w:rPr>
          <w:iCs/>
          <w:i/>
        </w:rPr>
        <w:t xml:space="preserve">B</w:t>
      </w:r>
      <w:r>
        <w:t xml:space="preserve"> </w:t>
      </w:r>
      <w:r>
        <w:t xml:space="preserve">thinks that 0.6 is a rational move; so, by Uniqueness,</w:t>
      </w:r>
      <w:r>
        <w:t xml:space="preserve"> </w:t>
      </w:r>
      <w:r>
        <w:rPr>
          <w:iCs/>
          <w:i/>
        </w:rPr>
        <w:t xml:space="preserve">A</w:t>
      </w:r>
      <w:r>
        <w:t xml:space="preserve"> </w:t>
      </w:r>
      <w:r>
        <w:t xml:space="preserve">believes that</w:t>
      </w:r>
      <w:r>
        <w:t xml:space="preserve"> </w:t>
      </w:r>
      <w:r>
        <w:rPr>
          <w:iCs/>
          <w:i/>
        </w:rPr>
        <w:t xml:space="preserve">B</w:t>
      </w:r>
      <w:r>
        <w:t xml:space="preserve"> </w:t>
      </w:r>
      <w:r>
        <w:t xml:space="preserve">believes that 0.6 is the only rational move; so, by</w:t>
      </w:r>
      <w:r>
        <w:t xml:space="preserve"> </w:t>
      </w:r>
      <w:r>
        <w:rPr>
          <w:iCs/>
          <w:i/>
        </w:rPr>
        <w:t xml:space="preserve">B</w:t>
      </w:r>
      <w:r>
        <w:t xml:space="preserve">’s belief in their own rationality,</w:t>
      </w:r>
      <w:r>
        <w:t xml:space="preserve"> </w:t>
      </w:r>
      <w:r>
        <w:rPr>
          <w:iCs/>
          <w:i/>
        </w:rPr>
        <w:t xml:space="preserve">B</w:t>
      </w:r>
      <w:r>
        <w:t xml:space="preserve"> </w:t>
      </w:r>
      <w:r>
        <w:t xml:space="preserve">believes that they will play 0.6; so, by</w:t>
      </w:r>
      <w:r>
        <w:t xml:space="preserve"> </w:t>
      </w:r>
      <w:r>
        <w:rPr>
          <w:iCs/>
          <w:i/>
        </w:rPr>
        <w:t xml:space="preserve">B</w:t>
      </w:r>
      <w:r>
        <w:t xml:space="preserve">’s self-control as a practically rational agent,</w:t>
      </w:r>
      <w:r>
        <w:t xml:space="preserve"> </w:t>
      </w:r>
      <w:r>
        <w:rPr>
          <w:iCs/>
          <w:i/>
        </w:rPr>
        <w:t xml:space="preserve">B</w:t>
      </w:r>
      <w:r>
        <w:t xml:space="preserve"> </w:t>
      </w:r>
      <w:r>
        <w:t xml:space="preserve">will in fact play 0.6. Now</w:t>
      </w:r>
      <w:r>
        <w:t xml:space="preserve"> </w:t>
      </w:r>
      <w:r>
        <w:rPr>
          <w:iCs/>
          <w:i/>
        </w:rPr>
        <w:t xml:space="preserve">A</w:t>
      </w:r>
      <w:r>
        <w:t xml:space="preserve"> </w:t>
      </w:r>
      <w:r>
        <w:t xml:space="preserve">believes that they have the same evidence as</w:t>
      </w:r>
      <w:r>
        <w:t xml:space="preserve"> </w:t>
      </w:r>
      <w:r>
        <w:rPr>
          <w:iCs/>
          <w:i/>
        </w:rPr>
        <w:t xml:space="preserve">B</w:t>
      </w:r>
      <w:r>
        <w:t xml:space="preserve">, and that a rational thing to do with that evidence is play 0.6. By Uniqueness, they will believe that the only rational thing for someone with the evidence that they have (and that</w:t>
      </w:r>
      <w:r>
        <w:t xml:space="preserve"> </w:t>
      </w:r>
      <w:r>
        <w:rPr>
          <w:iCs/>
          <w:i/>
        </w:rPr>
        <w:t xml:space="preserve">B</w:t>
      </w:r>
      <w:r>
        <w:t xml:space="preserve"> </w:t>
      </w:r>
      <w:r>
        <w:t xml:space="preserve">has) is to play 0.6. But that can’t be right. If</w:t>
      </w:r>
      <w:r>
        <w:t xml:space="preserve"> </w:t>
      </w:r>
      <w:r>
        <w:rPr>
          <w:iCs/>
          <w:i/>
        </w:rPr>
        <w:t xml:space="preserve">B</w:t>
      </w:r>
      <w:r>
        <w:t xml:space="preserve"> </w:t>
      </w:r>
      <w:r>
        <w:t xml:space="preserve">is playing 0.6, as</w:t>
      </w:r>
      <w:r>
        <w:t xml:space="preserve"> </w:t>
      </w:r>
      <w:r>
        <w:rPr>
          <w:iCs/>
          <w:i/>
        </w:rPr>
        <w:t xml:space="preserve">A</w:t>
      </w:r>
      <w:r>
        <w:t xml:space="preserve"> </w:t>
      </w:r>
      <w:r>
        <w:t xml:space="preserve">has independently judged they will, the rational thing for</w:t>
      </w:r>
      <w:r>
        <w:t xml:space="preserve"> </w:t>
      </w:r>
      <w:r>
        <w:rPr>
          <w:iCs/>
          <w:i/>
        </w:rPr>
        <w:t xml:space="preserve">A</w:t>
      </w:r>
      <w:r>
        <w:t xml:space="preserve"> </w:t>
      </w:r>
      <w:r>
        <w:t xml:space="preserve">to do is to play something other than 0.6.</w:t>
      </w:r>
    </w:p>
    <w:p>
      <w:pPr>
        <w:pStyle w:val="BodyText"/>
      </w:pPr>
      <w:r>
        <w:t xml:space="preserve">And that’s the general case for these symmetric games with only asymmetric equilibria. Believing that someone else is at an equilibrium point is a reason to not copy them. Uniqueness, combined with common knowledge of shared evidence and rationality, implies that anyone who believes that another player will adopt strategy</w:t>
      </w:r>
      <w:r>
        <w:t xml:space="preserve"> </w:t>
      </w:r>
      <w:r>
        <w:rPr>
          <w:iCs/>
          <w:i/>
        </w:rPr>
        <w:t xml:space="preserve">s</w:t>
      </w:r>
      <w:r>
        <w:t xml:space="preserve"> </w:t>
      </w:r>
      <w:r>
        <w:t xml:space="preserve">has a reason to adopt strategy</w:t>
      </w:r>
      <w:r>
        <w:t xml:space="preserve"> </w:t>
      </w:r>
      <w:r>
        <w:rPr>
          <w:iCs/>
          <w:i/>
        </w:rPr>
        <w:t xml:space="preserve">s</w:t>
      </w:r>
      <w:r>
        <w:t xml:space="preserve">. After all, another player is playing it, and since that player is rational it is a rational thing to do in their situation, so by common evidence it is a rational thing to do in one’s own situation, so by Uniqueness it is the only rational thing to do in one’s own situation. But since the symmetric situations are not equilibria, believing that the other person will do</w:t>
      </w:r>
      <w:r>
        <w:t xml:space="preserve"> </w:t>
      </w:r>
      <w:r>
        <w:rPr>
          <w:iCs/>
          <w:i/>
        </w:rPr>
        <w:t xml:space="preserve">s</w:t>
      </w:r>
      <w:r>
        <w:t xml:space="preserve"> </w:t>
      </w:r>
      <w:r>
        <w:t xml:space="preserve">cannot be a reason to do</w:t>
      </w:r>
      <w:r>
        <w:t xml:space="preserve"> </w:t>
      </w:r>
      <w:r>
        <w:rPr>
          <w:iCs/>
          <w:i/>
        </w:rPr>
        <w:t xml:space="preserve">s</w:t>
      </w:r>
      <w:r>
        <w:t xml:space="preserve">. That means one of the three assumptions we made here - common knowledge of rationality, common knowledge of shared evidence, and Uniqueness, must be wrong. Since it is typically taken to be at least coherent to have common knowledge of rationality and common knowledge of shared evidence, it follows that Uniqueness is wrong.</w:t>
      </w:r>
    </w:p>
    <w:p>
      <w:pPr>
        <w:pStyle w:val="BodyText"/>
      </w:pPr>
      <w:r>
        <w:t xml:space="preserve">But maybe the Uniqueness theorist could resist that last step. Maybe they could deny that the game, with the assumption of common knowledge of rationality and shared evidence, really is possible.</w:t>
      </w:r>
      <w:r>
        <w:t xml:space="preserve"> </w:t>
      </w:r>
      <w:r>
        <w:rPr>
          <w:rStyle w:val="FootnoteReference"/>
        </w:rPr>
        <w:footnoteReference w:id="473"/>
      </w:r>
      <w:r>
        <w:t xml:space="preserve"> </w:t>
      </w:r>
      <w:r>
        <w:t xml:space="preserve">This perhaps isn’t as surprising as it might seem.</w:t>
      </w:r>
    </w:p>
    <w:p>
      <w:pPr>
        <w:pStyle w:val="BodyText"/>
      </w:pPr>
      <w:r>
        <w:t xml:space="preserve">Note two things about the Xefteris game. First, it is an infinite game in the sense that each player has infinitely many choices. It turns out this matters to the proof that there is no symmetric equilibrium to the game. Second, we are assuming it is common knowledge, and hence true, that the players are perfectly rational. Third, we are assuming that perfect rationality entails that people will not choose one option when there is a better option available. When you put those three things together, some things that do not look obviously inconsistent turn out to be impossible. Here’s one example of that.</w:t>
      </w:r>
    </w:p>
    <w:p>
      <w:pPr>
        <w:pStyle w:val="BlockText"/>
      </w:pPr>
      <w:r>
        <w:rPr>
          <w:iCs/>
          <w:i/>
        </w:rPr>
        <w:t xml:space="preserve">A</w:t>
      </w:r>
      <w:r>
        <w:t xml:space="preserve"> </w:t>
      </w:r>
      <w:r>
        <w:t xml:space="preserve">and</w:t>
      </w:r>
      <w:r>
        <w:t xml:space="preserve"> </w:t>
      </w:r>
      <w:r>
        <w:rPr>
          <w:iCs/>
          <w:i/>
        </w:rPr>
        <w:t xml:space="preserve">B</w:t>
      </w:r>
      <w:r>
        <w:t xml:space="preserve"> </w:t>
      </w:r>
      <w:r>
        <w:t xml:space="preserve">are playing a game. Each picks a real number in the open interval (0, 1). They each receive a payoff equal to the average of the two numbers picked.</w:t>
      </w:r>
    </w:p>
    <w:p>
      <w:pPr>
        <w:pStyle w:val="FirstParagraph"/>
      </w:pPr>
      <w:r>
        <w:t xml:space="preserve">For any number that either player picks, there is a better option available. It is always better to pick</w:t>
      </w:r>
      <w:r>
        <w:t xml:space="preserve"> </w:t>
      </w:r>
      <m:oMath>
        <m:f>
          <m:fPr>
            <m:type m:val="bar"/>
          </m:fPr>
          <m:num>
            <m:r>
              <m:t>x</m:t>
            </m:r>
            <m:r>
              <m:rPr>
                <m:sty m:val="p"/>
              </m:rPr>
              <m:t>+</m:t>
            </m:r>
            <m:r>
              <m:t>1</m:t>
            </m:r>
          </m:num>
          <m:den>
            <m:r>
              <m:t>2</m:t>
            </m:r>
          </m:den>
        </m:f>
      </m:oMath>
      <w:r>
        <w:t xml:space="preserve"> </w:t>
      </w:r>
      <w:r>
        <w:t xml:space="preserve">than</w:t>
      </w:r>
      <w:r>
        <w:t xml:space="preserve"> </w:t>
      </w:r>
      <w:r>
        <w:rPr>
          <w:iCs/>
          <w:i/>
        </w:rPr>
        <w:t xml:space="preserve">x</w:t>
      </w:r>
      <w:r>
        <w:t xml:space="preserve">, for example. So it is impossible that each player knows the other is rational, and that rationality means never picking one option when a better option is available.</w:t>
      </w:r>
    </w:p>
    <w:p>
      <w:pPr>
        <w:pStyle w:val="BodyText"/>
      </w:pPr>
      <w:r>
        <w:t xml:space="preserve">So the Uniqueness theorist could say that the same thing is going on in the Xefteris game. Some infinitely games cannot be played by rational actors (understood as people who never choose sub-optimal options); this is one of them. But if this is all the Uniqueness theorist says, it is not a well motivated response. We can say why it is impossible to rationally play games like the open interval game; the options get better without end. But that isn’t true in the Xefteris game. The only thing that makes the game seem impossible is the Uniqueness assumption. People who reject Uniqueness can easily describe how the Xefteris game can be played by rational players. Simply saying that it is impossible, without any motivation or explanation for this other than Uniqueness itself, feels like an implausible move.</w:t>
      </w:r>
    </w:p>
    <w:bookmarkEnd w:id="474"/>
    <w:bookmarkStart w:id="475" w:name="conclusion"/>
    <w:p>
      <w:pPr>
        <w:pStyle w:val="Heading2"/>
      </w:pPr>
      <w:r>
        <w:t xml:space="preserve">F.4 Conclusion</w:t>
      </w:r>
    </w:p>
    <w:p>
      <w:pPr>
        <w:pStyle w:val="FirstParagraph"/>
      </w:pPr>
      <w:r>
        <w:t xml:space="preserve">If Uniqueness is true, then the following thing happens in games between people who know each other to have the same evidence, and to be rational. When someone forms a belief about what the other person will do, they can infer that this is a rational way to play the game given knowledge that everyone else will do the same thing. But sometimes this is a very unintuitive inference. In Chicken, it implies that we should have asymmetric attitudes to someone who is facing a choice between two options with equal expected value. In the election game Xefteris describes, a game that feels consistent turns out to be impossible.</w:t>
      </w:r>
    </w:p>
    <w:p>
      <w:pPr>
        <w:pStyle w:val="BodyText"/>
      </w:pPr>
      <w:r>
        <w:t xml:space="preserve">I think the conclusion to draw from these cases of symmetric interactions this is that Uniqueness is false, and hence Permissivism is true. Sometimes in such an interaction one simply has to form a belief about the other player, knowing they may well form a different belief about you. Indeed, sometimes only coherent way to form a belief about the other player is to believe that they will form a different belief about you. And that means giving up on Uniqueness.</w:t>
      </w:r>
    </w:p>
    <w:bookmarkEnd w:id="475"/>
    <w:bookmarkEnd w:id="476"/>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 say much more about why the problem has this label in</w:t>
      </w:r>
      <w:r>
        <w:t xml:space="preserve"> </w:t>
      </w:r>
      <w:hyperlink w:anchor="sec-gad">
        <w:r>
          <w:rPr>
            <w:rStyle w:val="Hyperlink"/>
          </w:rPr>
          <w:t xml:space="preserve">Appendix A</w:t>
        </w:r>
      </w:hyperlink>
      <w:r>
        <w:t xml:space="preserve">.</w:t>
      </w:r>
    </w:p>
  </w:footnote>
  <w:footnote w:id="31">
    <w:p>
      <w:pPr>
        <w:pStyle w:val="FootnoteText"/>
      </w:pPr>
      <w:r>
        <w:rPr>
          <w:rStyle w:val="FootnoteReference"/>
        </w:rPr>
        <w:footnoteRef/>
      </w:r>
      <w:r>
        <w:t xml:space="preserve"> </w:t>
      </w:r>
      <w:r>
        <w:t xml:space="preserve">The most notable of these will be the Functional Decision Theory of</w:t>
      </w:r>
      <w:r>
        <w:t xml:space="preserve"> </w:t>
      </w:r>
      <w:r>
        <w:t xml:space="preserve">Levinstein and Soares (2020)</w:t>
      </w:r>
      <w:r>
        <w:t xml:space="preserve">, and the non-expectationist theories of</w:t>
      </w:r>
      <w:r>
        <w:t xml:space="preserve"> </w:t>
      </w:r>
      <w:r>
        <w:t xml:space="preserve">Quiggin (1982)</w:t>
      </w:r>
      <w:r>
        <w:t xml:space="preserve"> </w:t>
      </w:r>
      <w:r>
        <w:t xml:space="preserve">and</w:t>
      </w:r>
      <w:r>
        <w:t xml:space="preserve"> </w:t>
      </w:r>
      <w:r>
        <w:t xml:space="preserve">Buchak (2013)</w:t>
      </w:r>
      <w:r>
        <w:t xml:space="preserve">.</w:t>
      </w:r>
    </w:p>
  </w:footnote>
  <w:footnote w:id="33">
    <w:p>
      <w:pPr>
        <w:pStyle w:val="FootnoteText"/>
      </w:pPr>
      <w:r>
        <w:rPr>
          <w:rStyle w:val="FootnoteReference"/>
        </w:rPr>
        <w:footnoteRef/>
      </w:r>
      <w:r>
        <w:t xml:space="preserve"> </w:t>
      </w:r>
      <w:r>
        <w:t xml:space="preserve">In general, the sum on each side of the inequality ranges over all possible states, so if there are more than two states, there will be more than two summands on either side. And A must be ratified compared to all alternatives, so if there are more than two options, this inequality must hold if you replace B with C, D, or any other choice.</w:t>
      </w:r>
    </w:p>
  </w:footnote>
  <w:footnote w:id="34">
    <w:p>
      <w:pPr>
        <w:pStyle w:val="FootnoteText"/>
      </w:pPr>
      <w:r>
        <w:rPr>
          <w:rStyle w:val="FootnoteReference"/>
        </w:rPr>
        <w:footnoteRef/>
      </w:r>
      <w:r>
        <w:t xml:space="preserve"> </w:t>
      </w:r>
      <w:r>
        <w:t xml:space="preserve">If there is more than one alternative to A, and more than one rational probability function, the rule is that there is some probability function such that A does better than every possible alternative, if we put that function into the inequality above. It’s not enough that for each alternative there is some probability function that judges A to be better than the alternative.</w:t>
      </w:r>
    </w:p>
  </w:footnote>
  <w:footnote w:id="36">
    <w:p>
      <w:pPr>
        <w:pStyle w:val="FootnoteText"/>
      </w:pPr>
      <w:r>
        <w:rPr>
          <w:rStyle w:val="FootnoteReference"/>
        </w:rPr>
        <w:footnoteRef/>
      </w:r>
      <w:r>
        <w:t xml:space="preserve"> </w:t>
      </w:r>
      <w:r>
        <w:t xml:space="preserve">A strategy in this sense must plan for what to do in every possibility, including possible choices ruled out by earlier choices.</w:t>
      </w:r>
    </w:p>
  </w:footnote>
  <w:footnote w:id="37">
    <w:p>
      <w:pPr>
        <w:pStyle w:val="FootnoteText"/>
      </w:pPr>
      <w:r>
        <w:rPr>
          <w:rStyle w:val="FootnoteReference"/>
        </w:rPr>
        <w:footnoteRef/>
      </w:r>
      <w:r>
        <w:t xml:space="preserve"> </w:t>
      </w:r>
      <w:r>
        <w:t xml:space="preserve">In this problem, the Demon makes a prediction after Chooser opts to Continue, but this prediction is only revealed after Chooser selects A or B.</w:t>
      </w:r>
    </w:p>
  </w:footnote>
  <w:footnote w:id="39">
    <w:p>
      <w:pPr>
        <w:pStyle w:val="FootnoteText"/>
      </w:pPr>
      <w:r>
        <w:rPr>
          <w:rStyle w:val="FootnoteReference"/>
        </w:rPr>
        <w:footnoteRef/>
      </w:r>
      <w:r>
        <w:t xml:space="preserve"> </w:t>
      </w:r>
      <w:r>
        <w:t xml:space="preserve">One might have expected it would be easy to generate examples where this fails in GDT, by simply translating the examples of games involving incredible threats</w:t>
      </w:r>
      <w:r>
        <w:t xml:space="preserve"> </w:t>
      </w:r>
      <w:r>
        <w:t xml:space="preserve">(Bonanno 2018, 86)</w:t>
      </w:r>
      <w:r>
        <w:t xml:space="preserve"> </w:t>
      </w:r>
      <w:r>
        <w:t xml:space="preserve">into demonic decision problems. It turns out to be harder than one might have expected, or at least than I originally expected, to come up with such a case where (a) one player is Demon, and (b) the</w:t>
      </w:r>
      <w:r>
        <w:t xml:space="preserve"> </w:t>
      </w:r>
      <w:r>
        <w:t xml:space="preserve">‘</w:t>
      </w:r>
      <w:r>
        <w:t xml:space="preserve">threat</w:t>
      </w:r>
      <w:r>
        <w:t xml:space="preserve">’</w:t>
      </w:r>
      <w:r>
        <w:t xml:space="preserve"> </w:t>
      </w:r>
      <w:r>
        <w:t xml:space="preserve">strategy is not weakly dominated. And in</w:t>
      </w:r>
      <w:r>
        <w:t xml:space="preserve"> </w:t>
      </w:r>
      <w:hyperlink w:anchor="sec-weak">
        <w:r>
          <w:rPr>
            <w:rStyle w:val="Hyperlink"/>
          </w:rPr>
          <w:t xml:space="preserve">Chapter 11</w:t>
        </w:r>
      </w:hyperlink>
      <w:r>
        <w:t xml:space="preserve"> </w:t>
      </w:r>
      <w:r>
        <w:t xml:space="preserve">I’m going to follow</w:t>
      </w:r>
      <w:r>
        <w:t xml:space="preserve"> </w:t>
      </w:r>
      <w:r>
        <w:t xml:space="preserve">Stalnaker (1999)</w:t>
      </w:r>
      <w:r>
        <w:t xml:space="preserve"> </w:t>
      </w:r>
      <w:r>
        <w:t xml:space="preserve">in ruling out weakly dominated strategies. That explains some of the complications in the example to follow.</w:t>
      </w:r>
    </w:p>
  </w:footnote>
  <w:footnote w:id="41">
    <w:p>
      <w:pPr>
        <w:pStyle w:val="FootnoteText"/>
      </w:pPr>
      <w:r>
        <w:rPr>
          <w:rStyle w:val="FootnoteReference"/>
        </w:rPr>
        <w:footnoteRef/>
      </w:r>
      <w:r>
        <w:t xml:space="preserve"> </w:t>
      </w:r>
      <w:r>
        <w:t xml:space="preserve">In</w:t>
      </w:r>
      <w:r>
        <w:t xml:space="preserve"> </w:t>
      </w:r>
      <w:hyperlink w:anchor="sec-indecisive">
        <w:r>
          <w:rPr>
            <w:rStyle w:val="Hyperlink"/>
          </w:rPr>
          <w:t xml:space="preserve">Chapter 8</w:t>
        </w:r>
      </w:hyperlink>
      <w:r>
        <w:t xml:space="preserve"> </w:t>
      </w:r>
      <w:r>
        <w:t xml:space="preserve">I’m going to call this the Single Choice Principle, because it concerns dynamic choice situations where Chooser has only one possible choice to make.</w:t>
      </w:r>
    </w:p>
  </w:footnote>
  <w:footnote w:id="42">
    <w:p>
      <w:pPr>
        <w:pStyle w:val="FootnoteText"/>
      </w:pPr>
      <w:r>
        <w:rPr>
          <w:rStyle w:val="FootnoteReference"/>
        </w:rPr>
        <w:footnoteRef/>
      </w:r>
      <w:r>
        <w:t xml:space="preserve"> </w:t>
      </w:r>
      <w:r>
        <w:t xml:space="preserve">Buchak offers a very clear outline of her view in her</w:t>
      </w:r>
      <w:r>
        <w:t xml:space="preserve"> </w:t>
      </w:r>
      <w:r>
        <w:t xml:space="preserve">(2017)</w:t>
      </w:r>
      <w:r>
        <w:t xml:space="preserve">.</w:t>
      </w:r>
    </w:p>
  </w:footnote>
  <w:footnote w:id="43">
    <w:p>
      <w:pPr>
        <w:pStyle w:val="FootnoteText"/>
      </w:pPr>
      <w:r>
        <w:rPr>
          <w:rStyle w:val="FootnoteReference"/>
        </w:rPr>
        <w:footnoteRef/>
      </w:r>
      <w:r>
        <w:t xml:space="preserve"> </w:t>
      </w:r>
      <w:r>
        <w:t xml:space="preserve">On the role of risk-functions in Buchak’s theory, see</w:t>
      </w:r>
      <w:r>
        <w:t xml:space="preserve"> </w:t>
      </w:r>
      <w:r>
        <w:t xml:space="preserve">(Buchak 2017, 2366)</w:t>
      </w:r>
      <w:r>
        <w:t xml:space="preserve">.</w:t>
      </w:r>
    </w:p>
  </w:footnote>
  <w:footnote w:id="44">
    <w:p>
      <w:pPr>
        <w:pStyle w:val="FootnoteText"/>
      </w:pPr>
      <w:r>
        <w:rPr>
          <w:rStyle w:val="FootnoteReference"/>
        </w:rPr>
        <w:footnoteRef/>
      </w:r>
      <w:r>
        <w:t xml:space="preserve"> </w:t>
      </w:r>
      <w:r>
        <w:t xml:space="preserve">The example is not sensitive to the details on this point, but to make it concrete, imagine that Billy’s utility from wealth</w:t>
      </w:r>
      <w:r>
        <w:t xml:space="preserve"> </w:t>
      </w:r>
      <w:r>
        <w:rPr>
          <w:iCs/>
          <w:i/>
        </w:rPr>
        <w:t xml:space="preserve">w</w:t>
      </w:r>
      <w:r>
        <w:t xml:space="preserve"> </w:t>
      </w:r>
      <w:r>
        <w:t xml:space="preserve">is log(</w:t>
      </w:r>
      <w:r>
        <w:rPr>
          <w:iCs/>
          <w:i/>
        </w:rPr>
        <w:t xml:space="preserve">w</w:t>
      </w:r>
      <w:r>
        <w:t xml:space="preserve">), and he currently has a few thousand dollars.</w:t>
      </w:r>
    </w:p>
  </w:footnote>
  <w:footnote w:id="45">
    <w:p>
      <w:pPr>
        <w:pStyle w:val="FootnoteText"/>
      </w:pPr>
      <w:r>
        <w:rPr>
          <w:rStyle w:val="FootnoteReference"/>
        </w:rPr>
        <w:footnoteRef/>
      </w:r>
      <w:r>
        <w:t xml:space="preserve"> </w:t>
      </w:r>
      <w:r>
        <w:t xml:space="preserve">In</w:t>
      </w:r>
      <w:r>
        <w:t xml:space="preserve"> </w:t>
      </w:r>
      <w:hyperlink w:anchor="sec-buchak">
        <w:r>
          <w:rPr>
            <w:rStyle w:val="Hyperlink"/>
          </w:rPr>
          <w:t xml:space="preserve">Appendix E</w:t>
        </w:r>
      </w:hyperlink>
      <w:r>
        <w:t xml:space="preserve"> </w:t>
      </w:r>
      <w:r>
        <w:t xml:space="preserve">I go over a more general version of this example, showing that unless the risk-function is the identity function, such a problem can arise. If the risk-function is the identity function, Buchak’s theory does not disagree with GDT.</w:t>
      </w:r>
    </w:p>
  </w:footnote>
  <w:footnote w:id="46">
    <w:p>
      <w:pPr>
        <w:pStyle w:val="FootnoteText"/>
      </w:pPr>
      <w:r>
        <w:rPr>
          <w:rStyle w:val="FootnoteReference"/>
        </w:rPr>
        <w:footnoteRef/>
      </w:r>
      <w:r>
        <w:t xml:space="preserve"> </w:t>
      </w:r>
      <w:r>
        <w:t xml:space="preserve">This is consistent with what I said about about GDT not being a purely consequentialist theory. There I said that non-consequentialist constraints can rule out something makes sense on purely consequentialist grounds. Here I’m saying that only things that are allowed by consequentialism are allowed full stop.</w:t>
      </w:r>
    </w:p>
  </w:footnote>
  <w:footnote w:id="47">
    <w:p>
      <w:pPr>
        <w:pStyle w:val="FootnoteText"/>
      </w:pPr>
      <w:r>
        <w:rPr>
          <w:rStyle w:val="FootnoteReference"/>
        </w:rPr>
        <w:footnoteRef/>
      </w:r>
      <w:r>
        <w:t xml:space="preserve"> </w:t>
      </w:r>
      <w:r>
        <w:t xml:space="preserve">There are a bunch of caveats needed on this, and I go over them more in</w:t>
      </w:r>
      <w:r>
        <w:t xml:space="preserve"> </w:t>
      </w:r>
      <w:hyperlink w:anchor="sec-dual">
        <w:r>
          <w:rPr>
            <w:rStyle w:val="Hyperlink"/>
          </w:rPr>
          <w:t xml:space="preserve">Chapter 7</w:t>
        </w:r>
      </w:hyperlink>
      <w:r>
        <w:t xml:space="preserve">. For now, all that matters is that the example I’ll use does not violate any of the needed caveats.</w:t>
      </w:r>
    </w:p>
  </w:footnote>
  <w:footnote w:id="48">
    <w:p>
      <w:pPr>
        <w:pStyle w:val="FootnoteText"/>
      </w:pPr>
      <w:r>
        <w:rPr>
          <w:rStyle w:val="FootnoteReference"/>
        </w:rPr>
        <w:footnoteRef/>
      </w:r>
      <w:r>
        <w:t xml:space="preserve"> </w:t>
      </w:r>
      <w:r>
        <w:t xml:space="preserve">To be more precise, there are multiple exit strategies, which differ in what one is disposed to do if one doesn’t exit. This level of precision will occasionally matter, but not that often.</w:t>
      </w:r>
    </w:p>
  </w:footnote>
  <w:footnote w:id="51">
    <w:p>
      <w:pPr>
        <w:pStyle w:val="FootnoteText"/>
      </w:pPr>
      <w:r>
        <w:rPr>
          <w:rStyle w:val="FootnoteReference"/>
        </w:rPr>
        <w:footnoteRef/>
      </w:r>
      <w:r>
        <w:t xml:space="preserve"> </w:t>
      </w:r>
      <w:r>
        <w:t xml:space="preserve">The dubbing is in</w:t>
      </w:r>
      <w:r>
        <w:t xml:space="preserve"> </w:t>
      </w:r>
      <w:r>
        <w:t xml:space="preserve">Robinson (1949)</w:t>
      </w:r>
      <w:r>
        <w:t xml:space="preserve">. For a thorough history of the problem, see</w:t>
      </w:r>
      <w:r>
        <w:t xml:space="preserve"> </w:t>
      </w:r>
      <w:r>
        <w:t xml:space="preserve">Schrijver (2005)</w:t>
      </w:r>
      <w:r>
        <w:t xml:space="preserve">. For an accessible history of the problem, which includes these references, see the wikipedia page on</w:t>
      </w:r>
      <w:r>
        <w:t xml:space="preserve"> </w:t>
      </w:r>
      <w:r>
        <w:t xml:space="preserve">‘</w:t>
      </w:r>
      <w:r>
        <w:t xml:space="preserve">Traveling Salesman Problem</w:t>
      </w:r>
      <w:r>
        <w:t xml:space="preserve">’</w:t>
      </w:r>
      <w:r>
        <w:t xml:space="preserve">.</w:t>
      </w:r>
    </w:p>
  </w:footnote>
  <w:footnote w:id="56">
    <w:p>
      <w:pPr>
        <w:pStyle w:val="FootnoteText"/>
      </w:pPr>
      <w:r>
        <w:rPr>
          <w:rStyle w:val="FootnoteReference"/>
        </w:rPr>
        <w:footnoteRef/>
      </w:r>
      <w:r>
        <w:t xml:space="preserve"> </w:t>
      </w:r>
      <w:r>
        <w:t xml:space="preserve">The 257 cities are the cities in the lower 48 states from the 312 cities in North America that John Burkardt mapped in his dataset Cities, available at</w:t>
      </w:r>
      <w:r>
        <w:t xml:space="preserve"> </w:t>
      </w:r>
      <w:hyperlink r:id="rId57">
        <w:r>
          <w:rPr>
            <w:rStyle w:val="Hyperlink"/>
          </w:rPr>
          <w:t xml:space="preserve">people.sc.fsu.edu/~jburkardt/datasets/cities/cities.html</w:t>
        </w:r>
      </w:hyperlink>
      <w:r>
        <w:t xml:space="preserve">.</w:t>
      </w:r>
    </w:p>
  </w:footnote>
  <w:footnote w:id="58">
    <w:p>
      <w:pPr>
        <w:pStyle w:val="FootnoteText"/>
      </w:pPr>
      <w:r>
        <w:rPr>
          <w:rStyle w:val="FootnoteReference"/>
        </w:rPr>
        <w:footnoteRef/>
      </w:r>
      <w:r>
        <w:t xml:space="preserve"> </w:t>
      </w:r>
      <w:r>
        <w:t xml:space="preserve">I’m borrowing the term</w:t>
      </w:r>
      <w:r>
        <w:t xml:space="preserve"> </w:t>
      </w:r>
      <w:r>
        <w:t xml:space="preserve">‘</w:t>
      </w:r>
      <w:r>
        <w:t xml:space="preserve">non-ideal</w:t>
      </w:r>
      <w:r>
        <w:t xml:space="preserve">’</w:t>
      </w:r>
      <w:r>
        <w:t xml:space="preserve"> </w:t>
      </w:r>
      <w:r>
        <w:t xml:space="preserve">from work in political philosophy. See</w:t>
      </w:r>
      <w:r>
        <w:t xml:space="preserve"> </w:t>
      </w:r>
      <w:r>
        <w:t xml:space="preserve">Valentini (2012)</w:t>
      </w:r>
      <w:r>
        <w:t xml:space="preserve"> </w:t>
      </w:r>
      <w:r>
        <w:t xml:space="preserve">for a good survey of some relevant work, and</w:t>
      </w:r>
      <w:r>
        <w:t xml:space="preserve"> </w:t>
      </w:r>
      <w:r>
        <w:t xml:space="preserve">Mills (2005)</w:t>
      </w:r>
      <w:r>
        <w:t xml:space="preserve"> </w:t>
      </w:r>
      <w:r>
        <w:t xml:space="preserve">for an important critique of the centrality of ideal theory in political philosophy. Critics of ideal theory, such as Mills, and</w:t>
      </w:r>
      <w:r>
        <w:t xml:space="preserve"> </w:t>
      </w:r>
      <w:r>
        <w:t xml:space="preserve">Sen (2006)</w:t>
      </w:r>
      <w:r>
        <w:t xml:space="preserve">, argue that we shouldn’t base non-ideal theory on ideal theory. I’m going to agree, but my focus is primarily in the other direction. I’m going to argue that it isn’t a constraint on ideal theory that it is useful in constructing a non-ideal theory.</w:t>
      </w:r>
    </w:p>
  </w:footnote>
  <w:footnote w:id="60">
    <w:p>
      <w:pPr>
        <w:pStyle w:val="FootnoteText"/>
      </w:pPr>
      <w:r>
        <w:rPr>
          <w:rStyle w:val="FootnoteReference"/>
        </w:rPr>
        <w:footnoteRef/>
      </w:r>
      <w:r>
        <w:t xml:space="preserve"> </w:t>
      </w:r>
      <w:r>
        <w:t xml:space="preserve">The exceptions are people working in</w:t>
      </w:r>
      <w:r>
        <w:t xml:space="preserve"> </w:t>
      </w:r>
      <w:r>
        <w:t xml:space="preserve">‘</w:t>
      </w:r>
      <w:r>
        <w:t xml:space="preserve">descriptive decision theory</w:t>
      </w:r>
      <w:r>
        <w:t xml:space="preserve">’</w:t>
      </w:r>
      <w:r>
        <w:t xml:space="preserve"> </w:t>
      </w:r>
      <w:r>
        <w:t xml:space="preserve">(Chandler 2017)</w:t>
      </w:r>
      <w:r>
        <w:t xml:space="preserve">. But that’s normally not taken to be a normative theory; it isn’t about what people should do in problems like Salesman, but what they actually do.</w:t>
      </w:r>
    </w:p>
  </w:footnote>
  <w:footnote w:id="61">
    <w:p>
      <w:pPr>
        <w:pStyle w:val="FootnoteText"/>
      </w:pPr>
      <w:r>
        <w:rPr>
          <w:rStyle w:val="FootnoteReference"/>
        </w:rPr>
        <w:footnoteRef/>
      </w:r>
      <w:r>
        <w:t xml:space="preserve"> </w:t>
      </w:r>
      <w:r>
        <w:t xml:space="preserve">This claim isn’t obvious. Why should being ideal require computational perfection, but not informational perfection? I’ll have more to say about this in</w:t>
      </w:r>
      <w:r>
        <w:t xml:space="preserve"> </w:t>
      </w:r>
      <w:hyperlink w:anchor="sec-why-this-ideal">
        <w:r>
          <w:rPr>
            <w:rStyle w:val="Hyperlink"/>
          </w:rPr>
          <w:t xml:space="preserve">Section 2.3</w:t>
        </w:r>
      </w:hyperlink>
      <w:r>
        <w:t xml:space="preserve">.</w:t>
      </w:r>
    </w:p>
  </w:footnote>
  <w:footnote w:id="6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6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65">
    <w:p>
      <w:pPr>
        <w:pStyle w:val="FootnoteText"/>
      </w:pPr>
      <w:r>
        <w:rPr>
          <w:rStyle w:val="FootnoteReference"/>
        </w:rPr>
        <w:footnoteRef/>
      </w:r>
      <w:r>
        <w:t xml:space="preserve"> </w:t>
      </w:r>
      <w:r>
        <w:t xml:space="preserve">John</w:t>
      </w:r>
      <w:r>
        <w:t xml:space="preserve"> </w:t>
      </w:r>
      <w:r>
        <w:t xml:space="preserve">Conlisk (1996)</w:t>
      </w:r>
      <w:r>
        <w:t xml:space="preserve"> </w:t>
      </w:r>
      <w:r>
        <w:t xml:space="preserve">stresses that explaining the asymmetry here is a big part of the challenge. That paper had a big influence in how I’m thinking about the problem, and several of the citations below are from it.</w:t>
      </w:r>
    </w:p>
  </w:footnote>
  <w:footnote w:id="66">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67">
    <w:p>
      <w:pPr>
        <w:pStyle w:val="FootnoteText"/>
      </w:pPr>
      <w:r>
        <w:rPr>
          <w:rStyle w:val="FootnoteReference"/>
        </w:rPr>
        <w:footnoteRef/>
      </w:r>
      <w:r>
        <w:t xml:space="preserve"> </w:t>
      </w:r>
      <w:r>
        <w:t xml:space="preserve">Bonanno</w:t>
      </w:r>
      <w:r>
        <w:t xml:space="preserve"> </w:t>
      </w:r>
      <w:r>
        <w:t xml:space="preserve">(2018, 216)</w:t>
      </w:r>
      <w:r>
        <w:t xml:space="preserve"> </w:t>
      </w:r>
      <w:r>
        <w:t xml:space="preserve">makes a somewhat similar point with the example of the drowning dog.</w:t>
      </w:r>
    </w:p>
  </w:footnote>
  <w:footnote w:id="71">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C</w:t>
        </w:r>
      </w:hyperlink>
      <w:r>
        <w:t xml:space="preserve">.</w:t>
      </w:r>
    </w:p>
  </w:footnote>
  <w:footnote w:id="73">
    <w:p>
      <w:pPr>
        <w:pStyle w:val="FootnoteText"/>
      </w:pPr>
      <w:r>
        <w:rPr>
          <w:rStyle w:val="FootnoteReference"/>
        </w:rPr>
        <w:footnoteRef/>
      </w:r>
      <w:r>
        <w:t xml:space="preserve"> </w:t>
      </w:r>
      <w:r>
        <w:t xml:space="preserve">See</w:t>
      </w:r>
      <w:r>
        <w:t xml:space="preserve"> </w:t>
      </w:r>
      <w:r>
        <w:t xml:space="preserve">(</w:t>
      </w:r>
      <w:r>
        <w:rPr>
          <w:bCs/>
          <w:b/>
        </w:rPr>
        <w:t xml:space="preserve">Barta2023?</w:t>
      </w:r>
      <w:r>
        <w:t xml:space="preserve">)</w:t>
      </w:r>
      <w:r>
        <w:t xml:space="preserve"> </w:t>
      </w:r>
      <w:r>
        <w:t xml:space="preserve">for a relatively recent example, picked more or less at random.</w:t>
      </w:r>
    </w:p>
  </w:footnote>
  <w:footnote w:id="75">
    <w:p>
      <w:pPr>
        <w:pStyle w:val="FootnoteText"/>
      </w:pPr>
      <w:r>
        <w:rPr>
          <w:rStyle w:val="FootnoteReference"/>
        </w:rPr>
        <w:footnoteRef/>
      </w:r>
      <w:r>
        <w:t xml:space="preserve"> </w:t>
      </w:r>
      <w:r>
        <w:t xml:space="preserve">See</w:t>
      </w:r>
      <w:r>
        <w:t xml:space="preserve"> </w:t>
      </w:r>
      <w:r>
        <w:t xml:space="preserve">Conlisk (1996)</w:t>
      </w:r>
      <w:r>
        <w:t xml:space="preserve"> </w:t>
      </w:r>
      <w:r>
        <w:t xml:space="preserve">for many, many examples from both theory and practice where they do not.</w:t>
      </w:r>
    </w:p>
  </w:footnote>
  <w:footnote w:id="76">
    <w:p>
      <w:pPr>
        <w:pStyle w:val="FootnoteText"/>
      </w:pPr>
      <w:r>
        <w:rPr>
          <w:rStyle w:val="FootnoteReference"/>
        </w:rPr>
        <w:footnoteRef/>
      </w:r>
      <w:r>
        <w:t xml:space="preserve"> </w:t>
      </w:r>
      <w:r>
        <w:t xml:space="preserve">And there are even more empirically successful theories that build on their work, such as in</w:t>
      </w:r>
      <w:r>
        <w:t xml:space="preserve"> </w:t>
      </w:r>
      <w:r>
        <w:t xml:space="preserve">Fong, Lin, and Palfrey (2023)</w:t>
      </w:r>
      <w:r>
        <w:t xml:space="preserve"> </w:t>
      </w:r>
      <w:r>
        <w:t xml:space="preserve">and</w:t>
      </w:r>
      <w:r>
        <w:t xml:space="preserve"> </w:t>
      </w:r>
      <w:r>
        <w:t xml:space="preserve">Shani Cohen and Li (2023)</w:t>
      </w:r>
      <w:r>
        <w:t xml:space="preserve">.</w:t>
      </w:r>
    </w:p>
  </w:footnote>
  <w:footnote w:id="77">
    <w:p>
      <w:pPr>
        <w:pStyle w:val="FootnoteText"/>
      </w:pPr>
      <w:r>
        <w:rPr>
          <w:rStyle w:val="FootnoteReference"/>
        </w:rPr>
        <w:footnoteRef/>
      </w:r>
      <w:r>
        <w:t xml:space="preserve"> </w:t>
      </w:r>
      <w:r>
        <w:t xml:space="preserve">The ideal models they use, which involve the notion of Bayesian Perfect Equilibrium, are slightly more complicated than any model I’ll use in this book; they were not the simple models from the first day of decision theory class.</w:t>
      </w:r>
    </w:p>
  </w:footnote>
  <w:footnote w:id="81">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82">
    <w:p>
      <w:pPr>
        <w:pStyle w:val="FootnoteText"/>
      </w:pPr>
      <w:r>
        <w:rPr>
          <w:rStyle w:val="FootnoteReference"/>
        </w:rPr>
        <w:footnoteRef/>
      </w:r>
      <w:r>
        <w:t xml:space="preserve"> </w:t>
      </w:r>
      <w:r>
        <w:t xml:space="preserve">Some theorists will put conditional probabilities in place of probabilities in this formula, so they’ll use Pr(H|X) rather than Pr(H). But since we’re restricting attention to normal problems, this is a distinction without a relevant difference.</w:t>
      </w:r>
    </w:p>
  </w:footnote>
  <w:footnote w:id="83">
    <w:p>
      <w:pPr>
        <w:pStyle w:val="FootnoteText"/>
      </w:pPr>
      <w:r>
        <w:rPr>
          <w:rStyle w:val="FootnoteReference"/>
        </w:rPr>
        <w:footnoteRef/>
      </w:r>
      <w:r>
        <w:t xml:space="preserve"> </w:t>
      </w:r>
      <w:r>
        <w:t xml:space="preserve">More precisely, it says the following. If B is between A and C in value, and the difference in value between A and B equals the difference in value between B and C, then a rational agent will be indifferent between getting B for sure, and a 50/50 chance of getting A or C. The risk-averse agent, in the sense of risk-aversion at issue here, will prefer B.</w:t>
      </w:r>
    </w:p>
  </w:footnote>
  <w:footnote w:id="84">
    <w:p>
      <w:pPr>
        <w:pStyle w:val="FootnoteText"/>
      </w:pPr>
      <w:r>
        <w:rPr>
          <w:rStyle w:val="FootnoteReference"/>
        </w:rPr>
        <w:footnoteRef/>
      </w:r>
      <w:r>
        <w:t xml:space="preserve"> </w:t>
      </w:r>
      <w:r>
        <w:t xml:space="preserve">To modify the example of the previous footnote, if A, B and C are monetary rewards, and B is half-way between A and C in terms of its monetary value, then expectationism says that an agent can, and probably should, prefer B to a 50/50 chance of getting A or C.</w:t>
      </w:r>
    </w:p>
  </w:footnote>
  <w:footnote w:id="85">
    <w:p>
      <w:pPr>
        <w:pStyle w:val="FootnoteText"/>
      </w:pPr>
      <w:r>
        <w:rPr>
          <w:rStyle w:val="FootnoteReference"/>
        </w:rPr>
        <w:footnoteRef/>
      </w:r>
      <w:r>
        <w:t xml:space="preserve"> </w:t>
      </w:r>
      <w:r>
        <w:t xml:space="preserve">Philosophers often attribute the result that expectationism implies News is Valuable to</w:t>
      </w:r>
      <w:r>
        <w:t xml:space="preserve"> </w:t>
      </w:r>
      <w:r>
        <w:t xml:space="preserve">Good (1967)</w:t>
      </w:r>
      <w:r>
        <w:t xml:space="preserve">, but it’s really just a reformulation of a result due to David</w:t>
      </w:r>
      <w:r>
        <w:t xml:space="preserve"> </w:t>
      </w:r>
      <w:r>
        <w:t xml:space="preserve">Blackwell (1951)</w:t>
      </w:r>
      <w:r>
        <w:t xml:space="preserve">, which I think is a better attribution. That said,</w:t>
      </w:r>
      <w:r>
        <w:t xml:space="preserve"> </w:t>
      </w:r>
      <w:r>
        <w:t xml:space="preserve">Das (2023)</w:t>
      </w:r>
      <w:r>
        <w:t xml:space="preserve"> </w:t>
      </w:r>
      <w:r>
        <w:t xml:space="preserve">notes that a similar result is in an old note by C. S.</w:t>
      </w:r>
      <w:r>
        <w:t xml:space="preserve"> </w:t>
      </w:r>
      <w:r>
        <w:t xml:space="preserve">Peirce (1967)</w:t>
      </w:r>
      <w:r>
        <w:t xml:space="preserve">, first published in an academic setting in 1967, but (according to</w:t>
      </w:r>
      <w:r>
        <w:t xml:space="preserve"> </w:t>
      </w:r>
      <w:r>
        <w:t xml:space="preserve">Wible (1994)</w:t>
      </w:r>
      <w:r>
        <w:t xml:space="preserve">), published in a US government report in 1879. So maybe the result is very old.</w:t>
      </w:r>
    </w:p>
  </w:footnote>
  <w:footnote w:id="86">
    <w:p>
      <w:pPr>
        <w:pStyle w:val="FootnoteText"/>
      </w:pPr>
      <w:r>
        <w:rPr>
          <w:rStyle w:val="FootnoteReference"/>
        </w:rPr>
        <w:footnoteRef/>
      </w:r>
      <w:r>
        <w:t xml:space="preserve"> </w:t>
      </w:r>
      <w:r>
        <w:t xml:space="preserve">I’ll have much more to say about this in</w:t>
      </w:r>
      <w:r>
        <w:t xml:space="preserve"> </w:t>
      </w:r>
      <w:hyperlink w:anchor="sec-select">
        <w:r>
          <w:rPr>
            <w:rStyle w:val="Hyperlink"/>
          </w:rPr>
          <w:t xml:space="preserve">Chapter 9</w:t>
        </w:r>
      </w:hyperlink>
      <w:r>
        <w:t xml:space="preserve">.</w:t>
      </w:r>
    </w:p>
  </w:footnote>
  <w:footnote w:id="87">
    <w:p>
      <w:pPr>
        <w:pStyle w:val="FootnoteText"/>
      </w:pPr>
      <w:r>
        <w:rPr>
          <w:rStyle w:val="FootnoteReference"/>
        </w:rPr>
        <w:footnoteRef/>
      </w:r>
      <w:r>
        <w:t xml:space="preserve"> </w:t>
      </w:r>
      <w:r>
        <w:t xml:space="preserve">A certain kind of pragmatist might take the reasoning in this paragraph to be an independent argument for expectationism.</w:t>
      </w:r>
    </w:p>
  </w:footnote>
  <w:footnote w:id="88">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89">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 And the way I’m developing the point also owes a lot to the observation Ray</w:t>
      </w:r>
      <w:r>
        <w:t xml:space="preserve"> </w:t>
      </w:r>
      <w:r>
        <w:t xml:space="preserve">(</w:t>
      </w:r>
      <w:r>
        <w:rPr>
          <w:bCs/>
          <w:b/>
        </w:rPr>
        <w:t xml:space="preserve">Briggs2015?</w:t>
      </w:r>
      <w:r>
        <w:t xml:space="preserve">)</w:t>
      </w:r>
      <w:r>
        <w:t xml:space="preserve"> </w:t>
      </w:r>
      <w:r>
        <w:t xml:space="preserve">makes that expectationism is</w:t>
      </w:r>
      <w:r>
        <w:t xml:space="preserve"> </w:t>
      </w:r>
      <w:r>
        <w:t xml:space="preserve">“</w:t>
      </w:r>
      <w:r>
        <w:t xml:space="preserve">a valuable tool that enables theorists to simplify so-called grand-world decisions into so-called small-world decisions.</w:t>
      </w:r>
      <w:r>
        <w:t xml:space="preserve">”</w:t>
      </w:r>
    </w:p>
  </w:footnote>
  <w:footnote w:id="91">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chapter will be similar to ones he drew.</w:t>
      </w:r>
    </w:p>
  </w:footnote>
  <w:footnote w:id="92">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93">
    <w:p>
      <w:pPr>
        <w:pStyle w:val="FootnoteText"/>
      </w:pPr>
      <w:r>
        <w:rPr>
          <w:rStyle w:val="FootnoteReference"/>
        </w:rPr>
        <w:footnoteRef/>
      </w:r>
      <w:r>
        <w:t xml:space="preserve"> </w:t>
      </w:r>
      <w:r>
        <w:t xml:space="preserve">Recall that I’m using</w:t>
      </w:r>
      <w:r>
        <w:t xml:space="preserve"> </w:t>
      </w:r>
      <w:r>
        <w:t xml:space="preserve">‘</w:t>
      </w:r>
      <w:r>
        <w:t xml:space="preserve">CDT</w:t>
      </w:r>
      <w:r>
        <w:t xml:space="preserve">’</w:t>
      </w:r>
      <w:r>
        <w:t xml:space="preserve"> </w:t>
      </w:r>
      <w:r>
        <w:t xml:space="preserve">here as the name for a family of theories. The point of this chapter will be to argue that the member of the family I prefer is immune to several challenges that have been raised against other members of the family.</w:t>
      </w:r>
    </w:p>
  </w:footnote>
  <w:footnote w:id="95">
    <w:p>
      <w:pPr>
        <w:pStyle w:val="FootnoteText"/>
      </w:pPr>
      <w:r>
        <w:rPr>
          <w:rStyle w:val="FootnoteReference"/>
        </w:rPr>
        <w:footnoteRef/>
      </w:r>
      <w:r>
        <w:t xml:space="preserve"> </w:t>
      </w:r>
      <w:r>
        <w:t xml:space="preserve">Almost everyone agrees that Chooser should be indifferent between A and B here. I don’t, for reasons that will become important presently, and will be discussed much more in</w:t>
      </w:r>
      <w:r>
        <w:t xml:space="preserve"> </w:t>
      </w:r>
      <w:hyperlink w:anchor="sec-indecisive">
        <w:r>
          <w:rPr>
            <w:rStyle w:val="Hyperlink"/>
          </w:rPr>
          <w:t xml:space="preserve">Chapter 8</w:t>
        </w:r>
      </w:hyperlink>
      <w:r>
        <w:t xml:space="preserve">. I think A and B should be treated symmetrically, of course, but they are incomparable not equally good.</w:t>
      </w:r>
    </w:p>
  </w:footnote>
  <w:footnote w:id="97">
    <w:p>
      <w:pPr>
        <w:pStyle w:val="FootnoteText"/>
      </w:pPr>
      <w:r>
        <w:rPr>
          <w:rStyle w:val="FootnoteReference"/>
        </w:rPr>
        <w:footnoteRef/>
      </w:r>
      <w:r>
        <w:t xml:space="preserve"> </w:t>
      </w:r>
      <w:r>
        <w:t xml:space="preserve">This objection goes back to</w:t>
      </w:r>
      <w:r>
        <w:t xml:space="preserve"> </w:t>
      </w:r>
      <w:r>
        <w:t xml:space="preserve">Richter (1984)</w:t>
      </w:r>
      <w:r>
        <w:t xml:space="preserve">. The most memorable version of an asymmetric problem with no ratifiable choice is the Psychopath Button case presented by Andy</w:t>
      </w:r>
      <w:r>
        <w:t xml:space="preserve"> </w:t>
      </w:r>
      <w:r>
        <w:t xml:space="preserve">Egan (2007a)</w:t>
      </w:r>
      <w:r>
        <w:t xml:space="preserve">.</w:t>
      </w:r>
    </w:p>
  </w:footnote>
  <w:footnote w:id="99">
    <w:p>
      <w:pPr>
        <w:pStyle w:val="FootnoteText"/>
      </w:pPr>
      <w:r>
        <w:rPr>
          <w:rStyle w:val="FootnoteReference"/>
        </w:rPr>
        <w:footnoteRef/>
      </w:r>
      <w:r>
        <w:t xml:space="preserve"> </w:t>
      </w:r>
      <w:r>
        <w:t xml:space="preserve">Bonanno</w:t>
      </w:r>
      <w:r>
        <w:t xml:space="preserve"> </w:t>
      </w:r>
      <w:r>
        <w:t xml:space="preserve">(2018, 207)</w:t>
      </w:r>
      <w:r>
        <w:t xml:space="preserve"> </w:t>
      </w:r>
      <w:r>
        <w:t xml:space="preserve">attributes this to Pearce, who has a rather elegant proof of the result that involves turning the decision problem into a zero-sum game, and applying a famous result of Nash’s.</w:t>
      </w:r>
    </w:p>
  </w:footnote>
  <w:footnote w:id="101">
    <w:p>
      <w:pPr>
        <w:pStyle w:val="FootnoteText"/>
      </w:pPr>
      <w:r>
        <w:rPr>
          <w:rStyle w:val="FootnoteReference"/>
        </w:rPr>
        <w:footnoteRef/>
      </w:r>
      <w:r>
        <w:t xml:space="preserve"> </w:t>
      </w:r>
      <w:r>
        <w:t xml:space="preserve">I rather doubt EDT is compatible with the use of signaling games to model real-world phenomena, so this objection isn’t entirely good news for the critic of CDT.</w:t>
      </w:r>
    </w:p>
  </w:footnote>
  <w:footnote w:id="102">
    <w:p>
      <w:pPr>
        <w:pStyle w:val="FootnoteText"/>
      </w:pPr>
      <w:r>
        <w:rPr>
          <w:rStyle w:val="FootnoteReference"/>
        </w:rPr>
        <w:footnoteRef/>
      </w:r>
      <w:r>
        <w:t xml:space="preserve"> </w:t>
      </w:r>
      <w:r>
        <w:t xml:space="preserve">Ahmed says that this case is an objection to CDT more generally, but it’s clear from the introduction to his book that he’s really just objecting to Lewis. He gestures in the direction of an argument that Lewis’s version of CDT is sufficiently general that objections to it will apply to all other versions. But that claim is false, despite it’s Ludovician pedigree. O“ne really shouldn’t take objections to Lewis’s version of CDT to apply to the versions defended by Skyrms, or Joyce, or Fusco, or me.</w:t>
      </w:r>
    </w:p>
  </w:footnote>
  <w:footnote w:id="107">
    <w:p>
      <w:pPr>
        <w:pStyle w:val="FootnoteText"/>
      </w:pPr>
      <w:r>
        <w:rPr>
          <w:rStyle w:val="FootnoteReference"/>
        </w:rPr>
        <w:footnoteRef/>
      </w:r>
      <w:r>
        <w:t xml:space="preserve"> </w:t>
      </w:r>
      <w:r>
        <w:t xml:space="preserve">These theories recommend always playing Up in</w:t>
      </w:r>
      <w:r>
        <w:t xml:space="preserve"> </w:t>
      </w:r>
      <w:hyperlink w:anchor="fig-second-anti-war">
        <w:r>
          <w:rPr>
            <w:rStyle w:val="Hyperlink"/>
          </w:rPr>
          <w:t xml:space="preserve">Figure D.1</w:t>
        </w:r>
      </w:hyperlink>
      <w:r>
        <w:t xml:space="preserve">, the</w:t>
      </w:r>
      <w:r>
        <w:t xml:space="preserve"> </w:t>
      </w:r>
      <w:r>
        <w:t xml:space="preserve">‘</w:t>
      </w:r>
      <w:r>
        <w:t xml:space="preserve">complicated</w:t>
      </w:r>
      <w:r>
        <w:t xml:space="preserve">’</w:t>
      </w:r>
      <w:r>
        <w:t xml:space="preserve"> </w:t>
      </w:r>
      <w:r>
        <w:t xml:space="preserve">example I mentioned above</w:t>
      </w:r>
    </w:p>
  </w:footnote>
  <w:footnote w:id="110">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111">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112">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113">
    <w:p>
      <w:pPr>
        <w:pStyle w:val="FootnoteText"/>
      </w:pPr>
      <w:r>
        <w:rPr>
          <w:rStyle w:val="FootnoteReference"/>
        </w:rPr>
        <w:footnoteRef/>
      </w:r>
      <w:r>
        <w:t xml:space="preserve"> </w:t>
      </w:r>
      <w:r>
        <w:t xml:space="preserve">This point goes back at least to Oskar Morgenstern’s discussion of the Holmes-Moriarty game (</w:t>
      </w:r>
      <w:r>
        <w:t xml:space="preserve">(</w:t>
      </w:r>
      <w:r>
        <w:rPr>
          <w:bCs/>
          <w:b/>
        </w:rPr>
        <w:t xml:space="preserve">Morgenstern1935?</w:t>
      </w:r>
      <w:r>
        <w:t xml:space="preserve">)</w:t>
      </w:r>
      <w:r>
        <w:t xml:space="preserve">).</w:t>
      </w:r>
    </w:p>
  </w:footnote>
  <w:footnote w:id="122">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125">
    <w:p>
      <w:pPr>
        <w:pStyle w:val="FootnoteText"/>
      </w:pPr>
      <w:r>
        <w:rPr>
          <w:rStyle w:val="FootnoteReference"/>
        </w:rPr>
        <w:footnoteRef/>
      </w:r>
      <w:r>
        <w:t xml:space="preserve"> </w:t>
      </w:r>
      <w:r>
        <w:t xml:space="preserve">This is defined earlier, on page 75, but the details aren’t important to what we’re doing.</w:t>
      </w:r>
    </w:p>
  </w:footnote>
  <w:footnote w:id="126">
    <w:p>
      <w:pPr>
        <w:pStyle w:val="FootnoteText"/>
      </w:pPr>
      <w:r>
        <w:rPr>
          <w:rStyle w:val="FootnoteReference"/>
        </w:rPr>
        <w:footnoteRef/>
      </w:r>
      <w:r>
        <w:t xml:space="preserve"> </w:t>
      </w:r>
      <w:r>
        <w:t xml:space="preserve">Bonanno does make all these explicit at various times, but doesn’t list them in one spot for neat quoting.</w:t>
      </w:r>
    </w:p>
  </w:footnote>
  <w:footnote w:id="127">
    <w:p>
      <w:pPr>
        <w:pStyle w:val="FootnoteText"/>
      </w:pPr>
      <w:r>
        <w:rPr>
          <w:rStyle w:val="FootnoteReference"/>
        </w:rPr>
        <w:footnoteRef/>
      </w:r>
      <w:r>
        <w:t xml:space="preserve"> </w:t>
      </w:r>
      <w:r>
        <w:t xml:space="preserve">Following</w:t>
      </w:r>
      <w:r>
        <w:t xml:space="preserve"> </w:t>
      </w:r>
      <w:r>
        <w:t xml:space="preserve">Stalnaker (2008)</w:t>
      </w:r>
      <w:r>
        <w:t xml:space="preserve">, I think this constraint means that we can’t represent the Sleeping Beauty problem (</w:t>
      </w:r>
      <w:r>
        <w:t xml:space="preserve">Elga (2000)</w:t>
      </w:r>
      <w:r>
        <w:t xml:space="preserve">) as a tree, since in that problem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129">
    <w:p>
      <w:pPr>
        <w:pStyle w:val="FootnoteText"/>
      </w:pPr>
      <w:r>
        <w:rPr>
          <w:rStyle w:val="FootnoteReference"/>
        </w:rPr>
        <w:footnoteRef/>
      </w:r>
      <w:r>
        <w:t xml:space="preserve"> </w:t>
      </w:r>
      <w:r>
        <w:t xml:space="preserve">Some of the results of the next few chapters came from work I started investigating what happened in two-round decision problems like that. None of that work appears here, because for every result I found, I eventually found an illustration with many fewer strategies. If you’re grateful you don’t have to look at 32-by-32 strategy tables, you can’t imagine how grateful I am to not be writing them.</w:t>
      </w:r>
    </w:p>
  </w:footnote>
  <w:footnote w:id="131">
    <w:p>
      <w:pPr>
        <w:pStyle w:val="FootnoteText"/>
      </w:pPr>
      <w:r>
        <w:rPr>
          <w:rStyle w:val="FootnoteReference"/>
        </w:rPr>
        <w:footnoteRef/>
      </w:r>
      <w:r>
        <w:t xml:space="preserve"> </w:t>
      </w:r>
      <w:r>
        <w:t xml:space="preserve">Though note that does not mean all players know the probability of each move at any time Nature moves. It could be that while the game is going, a player does not know precisely which node they are at, so they do not know what probability distribution Nature is using. This is common in card games. If I don’t know what’s in your hand, I don’t know what cards are left, so I don’t know whether the probability that Nature is about to give a player the Jack of Hearts is, say, 0.025, or 0.</w:t>
      </w:r>
    </w:p>
  </w:footnote>
  <w:footnote w:id="133">
    <w:p>
      <w:pPr>
        <w:pStyle w:val="FootnoteText"/>
      </w:pPr>
      <w:r>
        <w:rPr>
          <w:rStyle w:val="FootnoteReference"/>
        </w:rPr>
        <w:footnoteRef/>
      </w:r>
      <w:r>
        <w:t xml:space="preserve"> </w:t>
      </w:r>
      <w:r>
        <w:t xml:space="preserve">Whenever I come back to this material after time away, I can never remember what</w:t>
      </w:r>
      <w:r>
        <w:t xml:space="preserve"> </w:t>
      </w:r>
      <w:r>
        <w:t xml:space="preserve">‘</w:t>
      </w:r>
      <w:r>
        <w:t xml:space="preserve">normal form</w:t>
      </w:r>
      <w:r>
        <w:t xml:space="preserve">’</w:t>
      </w:r>
      <w:r>
        <w:t xml:space="preserve"> </w:t>
      </w:r>
      <w:r>
        <w:t xml:space="preserve">means. But it’s easy to remember that extensive form is extended in time, and strategic form is about strategy choice.</w:t>
      </w:r>
    </w:p>
  </w:footnote>
  <w:footnote w:id="134">
    <w:p>
      <w:pPr>
        <w:pStyle w:val="FootnoteText"/>
      </w:pPr>
      <w:r>
        <w:rPr>
          <w:rStyle w:val="FootnoteReference"/>
        </w:rPr>
        <w:footnoteRef/>
      </w:r>
      <w:r>
        <w:t xml:space="preserve"> </w:t>
      </w:r>
      <w:r>
        <w:t xml:space="preserve">The next few paragraphs are based on the game theoretic notion of non-credible threats</w:t>
      </w:r>
      <w:r>
        <w:t xml:space="preserve"> </w:t>
      </w:r>
      <w:r>
        <w:t xml:space="preserve">(Bonanno 2018, 86ff)</w:t>
      </w:r>
      <w:r>
        <w:t xml:space="preserve">.</w:t>
      </w:r>
    </w:p>
  </w:footnote>
  <w:footnote w:id="140">
    <w:p>
      <w:pPr>
        <w:pStyle w:val="FootnoteText"/>
      </w:pPr>
      <w:r>
        <w:rPr>
          <w:rStyle w:val="FootnoteReference"/>
        </w:rPr>
        <w:footnoteRef/>
      </w:r>
      <w:r>
        <w:t xml:space="preserve"> </w:t>
      </w:r>
      <w:r>
        <w:t xml:space="preserve">I’ll discuss this more at length in</w:t>
      </w:r>
      <w:r>
        <w:t xml:space="preserve"> </w:t>
      </w:r>
      <w:hyperlink w:anchor="sec-weak">
        <w:r>
          <w:rPr>
            <w:rStyle w:val="Hyperlink"/>
          </w:rPr>
          <w:t xml:space="preserve">Chapter 11</w:t>
        </w:r>
      </w:hyperlink>
      <w:r>
        <w:t xml:space="preserve">.</w:t>
      </w:r>
    </w:p>
  </w:footnote>
  <w:footnote w:id="143">
    <w:p>
      <w:pPr>
        <w:pStyle w:val="FootnoteText"/>
      </w:pPr>
      <w:r>
        <w:rPr>
          <w:rStyle w:val="FootnoteReference"/>
        </w:rPr>
        <w:footnoteRef/>
      </w:r>
      <w:r>
        <w:t xml:space="preserve"> </w:t>
      </w:r>
      <w:r>
        <w:t xml:space="preserve">That particular term,</w:t>
      </w:r>
      <w:r>
        <w:t xml:space="preserve"> </w:t>
      </w:r>
      <w:r>
        <w:t xml:space="preserve">‘</w:t>
      </w:r>
      <w:r>
        <w:t xml:space="preserve">resolute</w:t>
      </w:r>
      <w:r>
        <w:t xml:space="preserve">’</w:t>
      </w:r>
      <w:r>
        <w:t xml:space="preserve">, is associated with a view that Edward McClennen developed to deal with cases of foreseeable changes of preference</w:t>
      </w:r>
      <w:r>
        <w:t xml:space="preserve"> </w:t>
      </w:r>
      <w:r>
        <w:t xml:space="preserve">(McClennan 1990b)</w:t>
      </w:r>
      <w:r>
        <w:t xml:space="preserve">. As already indicated, I’m just looking at games where preferences do not change over the game.</w:t>
      </w:r>
    </w:p>
  </w:footnote>
  <w:footnote w:id="144">
    <w:p>
      <w:pPr>
        <w:pStyle w:val="FootnoteText"/>
      </w:pPr>
      <w:r>
        <w:rPr>
          <w:rStyle w:val="FootnoteReference"/>
        </w:rPr>
        <w:footnoteRef/>
      </w:r>
      <w:r>
        <w:t xml:space="preserve"> </w:t>
      </w:r>
      <w:r>
        <w:t xml:space="preserve">See the discussion of backward induction on pages 80ff of</w:t>
      </w:r>
      <w:r>
        <w:t xml:space="preserve"> </w:t>
      </w:r>
      <w:r>
        <w:t xml:space="preserve">Bonanno (2018)</w:t>
      </w:r>
      <w:r>
        <w:t xml:space="preserve">.</w:t>
      </w:r>
    </w:p>
  </w:footnote>
  <w:footnote w:id="145">
    <w:p>
      <w:pPr>
        <w:pStyle w:val="FootnoteText"/>
      </w:pPr>
      <w:r>
        <w:rPr>
          <w:rStyle w:val="FootnoteReference"/>
        </w:rPr>
        <w:footnoteRef/>
      </w:r>
      <w:r>
        <w:t xml:space="preserve"> </w:t>
      </w:r>
      <w:r>
        <w:t xml:space="preserve">This is just about the only place in the book where I’ll rely on a</w:t>
      </w:r>
      <w:r>
        <w:t xml:space="preserve"> </w:t>
      </w:r>
      <w:r>
        <w:rPr>
          <w:iCs/>
          <w:i/>
        </w:rPr>
        <w:t xml:space="preserve">disanalogy</w:t>
      </w:r>
      <w:r>
        <w:t xml:space="preserve"> </w:t>
      </w:r>
      <w:r>
        <w:t xml:space="preserve">between decision theory and game theory.</w:t>
      </w:r>
    </w:p>
  </w:footnote>
  <w:footnote w:id="154">
    <w:p>
      <w:pPr>
        <w:pStyle w:val="FootnoteText"/>
      </w:pPr>
      <w:r>
        <w:rPr>
          <w:rStyle w:val="FootnoteReference"/>
        </w:rPr>
        <w:footnoteRef/>
      </w:r>
      <w:r>
        <w:t xml:space="preserve"> </w:t>
      </w:r>
      <w:r>
        <w:t xml:space="preserve">This problem is very closely modelled on a game described by Stalnaker</w:t>
      </w:r>
      <w:r>
        <w:t xml:space="preserve"> </w:t>
      </w:r>
      <w:r>
        <w:t xml:space="preserve">(1998, 47)</w:t>
      </w:r>
      <w:r>
        <w:t xml:space="preserve">. But note that how I’ve described Demon is different to how Stalnaker describes</w:t>
      </w:r>
      <w:r>
        <w:t xml:space="preserve"> </w:t>
      </w:r>
      <w:r>
        <w:t xml:space="preserve">‘</w:t>
      </w:r>
      <w:r>
        <w:t xml:space="preserve">Bob</w:t>
      </w:r>
      <w:r>
        <w:t xml:space="preserve">’</w:t>
      </w:r>
      <w:r>
        <w:t xml:space="preserve">, the player who moves at stage 2 in his version of the game. In his version of the game, the player who moves first just knows that the player who moves second is rational, and the function they are trying to maximise. In my version of the game, the player who moves first also knows how the player who moves second will react if they are indifferent between their options. That’s why I get what appears to be a different analysis to Stalnaker; we’re not disagreeing here I think, just analysing different games.</w:t>
      </w:r>
    </w:p>
  </w:footnote>
  <w:footnote w:id="155">
    <w:p>
      <w:pPr>
        <w:pStyle w:val="FootnoteText"/>
      </w:pPr>
      <w:r>
        <w:rPr>
          <w:rStyle w:val="FootnoteReference"/>
        </w:rPr>
        <w:footnoteRef/>
      </w:r>
      <w:r>
        <w:t xml:space="preserve"> </w:t>
      </w:r>
      <w:r>
        <w:t xml:space="preserve">I’m assuming here that Chooser knows that they will be rational in the future, and this knowledge persists no matter what earlier choices they make. This is a substantial idealisation, but makes sense given the other idealisations that were described in</w:t>
      </w:r>
      <w:r>
        <w:t xml:space="preserve"> </w:t>
      </w:r>
      <w:hyperlink w:anchor="sec-ideal">
        <w:r>
          <w:rPr>
            <w:rStyle w:val="Hyperlink"/>
          </w:rPr>
          <w:t xml:space="preserve">Chapter 2</w:t>
        </w:r>
      </w:hyperlink>
      <w:r>
        <w:t xml:space="preserve">.</w:t>
      </w:r>
    </w:p>
  </w:footnote>
  <w:footnote w:id="156">
    <w:p>
      <w:pPr>
        <w:pStyle w:val="FootnoteText"/>
      </w:pPr>
      <w:r>
        <w:rPr>
          <w:rStyle w:val="FootnoteReference"/>
        </w:rPr>
        <w:footnoteRef/>
      </w:r>
      <w:r>
        <w:t xml:space="preserve"> </w:t>
      </w:r>
      <w:r>
        <w:t xml:space="preserve">Though I’ve been a bit more careful here about just what assumptions each player can make about the other at each stage than is usual.</w:t>
      </w:r>
    </w:p>
  </w:footnote>
  <w:footnote w:id="164">
    <w:p>
      <w:pPr>
        <w:pStyle w:val="FootnoteText"/>
      </w:pPr>
      <w:r>
        <w:rPr>
          <w:rStyle w:val="FootnoteReference"/>
        </w:rPr>
        <w:footnoteRef/>
      </w:r>
      <w:r>
        <w:t xml:space="preserve"> </w:t>
      </w:r>
      <w:r>
        <w:t xml:space="preserve">It’s very important to this example that Demon is not perfectly accurate. There hasn’t been as much attention as there might have been to what happens to theories like SEDT in the context of good but not perfect Demons.</w:t>
      </w:r>
    </w:p>
    <w:p>
      <w:pPr>
        <w:pStyle w:val="FootnoteText"/>
      </w:pPr>
      <w:r>
        <w:t xml:space="preserve">One might worry that the case is not, as promised, realistic, because states do not in fact have Demons. That’s true, but they do have spies, and analysts, and they are somewhat reliable in making predictions. It seems plausible that they could be reliable enough to get the case to work.</w:t>
      </w:r>
    </w:p>
  </w:footnote>
  <w:footnote w:id="173">
    <w:p>
      <w:pPr>
        <w:pStyle w:val="FootnoteText"/>
      </w:pPr>
      <w:r>
        <w:rPr>
          <w:rStyle w:val="FootnoteReference"/>
        </w:rPr>
        <w:footnoteRef/>
      </w:r>
      <w:r>
        <w:t xml:space="preserve"> </w:t>
      </w:r>
      <w:r>
        <w:t xml:space="preserve">The point here is somewhat connected to the point Bonanno makes about how backwards induction works in games where a player is indifferent between certain outcomes</w:t>
      </w:r>
      <w:r>
        <w:t xml:space="preserve"> </w:t>
      </w:r>
      <w:r>
        <w:t xml:space="preserve">(Bonanno 2018, 80ff)</w:t>
      </w:r>
      <w:r>
        <w:t xml:space="preserve">.</w:t>
      </w:r>
    </w:p>
  </w:footnote>
  <w:footnote w:id="177">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185">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195">
    <w:p>
      <w:pPr>
        <w:pStyle w:val="FootnoteText"/>
      </w:pPr>
      <w:r>
        <w:rPr>
          <w:rStyle w:val="FootnoteReference"/>
        </w:rPr>
        <w:footnoteRef/>
      </w:r>
      <w:r>
        <w:t xml:space="preserve"> </w:t>
      </w:r>
      <w:r>
        <w:t xml:space="preserve">The theory offered in</w:t>
      </w:r>
      <w:r>
        <w:t xml:space="preserve"> </w:t>
      </w:r>
      <w:r>
        <w:t xml:space="preserve">Spencer (2021)</w:t>
      </w:r>
      <w:r>
        <w:t xml:space="preserve"> </w:t>
      </w:r>
      <w:r>
        <w:t xml:space="preserve">agrees with intuition here.</w:t>
      </w:r>
    </w:p>
  </w:footnote>
  <w:footnote w:id="207">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2</w:t>
        </w:r>
      </w:hyperlink>
      <w:r>
        <w:t xml:space="preserve">. But he thinks its descriptive role is primarily in defining belief and desire; I think it is in explaining social phenomena.</w:t>
      </w:r>
    </w:p>
  </w:footnote>
  <w:footnote w:id="208">
    <w:p>
      <w:pPr>
        <w:pStyle w:val="FootnoteText"/>
      </w:pPr>
      <w:r>
        <w:rPr>
          <w:rStyle w:val="FootnoteReference"/>
        </w:rPr>
        <w:footnoteRef/>
      </w:r>
      <w:r>
        <w:t xml:space="preserve"> </w:t>
      </w:r>
      <w:r>
        <w:t xml:space="preserve">My own book length contribution to this debate is in</w:t>
      </w:r>
      <w:r>
        <w:t xml:space="preserve"> </w:t>
      </w:r>
      <w:r>
        <w:rPr>
          <w:iCs/>
          <w:i/>
        </w:rPr>
        <w:t xml:space="preserve">Normative Externalism</w:t>
      </w:r>
      <w:r>
        <w:t xml:space="preserve"> </w:t>
      </w:r>
      <w:r>
        <w:t xml:space="preserve">(Weatherson 2019)</w:t>
      </w:r>
      <w:r>
        <w:t xml:space="preserve">.</w:t>
      </w:r>
    </w:p>
  </w:footnote>
  <w:footnote w:id="209">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211">
    <w:p>
      <w:pPr>
        <w:pStyle w:val="FootnoteText"/>
      </w:pPr>
      <w:r>
        <w:rPr>
          <w:rStyle w:val="FootnoteReference"/>
        </w:rPr>
        <w:footnoteRef/>
      </w:r>
      <w:r>
        <w:t xml:space="preserve"> </w:t>
      </w:r>
      <w:r>
        <w:t xml:space="preserve">That is, what Chooser will do if Heads, and what they will do if Tails.</w:t>
      </w:r>
    </w:p>
  </w:footnote>
  <w:footnote w:id="212">
    <w:p>
      <w:pPr>
        <w:pStyle w:val="FootnoteText"/>
      </w:pPr>
      <w:r>
        <w:rPr>
          <w:rStyle w:val="FootnoteReference"/>
        </w:rPr>
        <w:footnoteRef/>
      </w:r>
      <w:r>
        <w:t xml:space="preserve"> </w:t>
      </w:r>
      <w:r>
        <w:t xml:space="preserve">If both are equally likely, Demon will flip a fair coin and say how it lands.</w:t>
      </w:r>
    </w:p>
  </w:footnote>
  <w:footnote w:id="218">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8</w:t>
        </w:r>
      </w:hyperlink>
      <w:r>
        <w:t xml:space="preserve"> </w:t>
      </w:r>
      <w:r>
        <w:t xml:space="preserve">also start preferring option 2. But applying these theories to complex cases is hard, so I’m not quite sure about this.</w:t>
      </w:r>
    </w:p>
  </w:footnote>
  <w:footnote w:id="222">
    <w:p>
      <w:pPr>
        <w:pStyle w:val="FootnoteText"/>
      </w:pPr>
      <w:r>
        <w:rPr>
          <w:rStyle w:val="FootnoteReference"/>
        </w:rPr>
        <w:footnoteRef/>
      </w:r>
      <w:r>
        <w:t xml:space="preserve"> </w:t>
      </w:r>
      <w:r>
        <w:t xml:space="preserve">This paragraph is somewhere between heavily influence by, and a notational variant on, the argument in section 3 of</w:t>
      </w:r>
      <w:r>
        <w:t xml:space="preserve"> </w:t>
      </w:r>
      <w:r>
        <w:t xml:space="preserve">Stalnaker (1999)</w:t>
      </w:r>
      <w:r>
        <w:t xml:space="preserve">.</w:t>
      </w:r>
    </w:p>
  </w:footnote>
  <w:footnote w:id="224">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426">
    <w:p>
      <w:pPr>
        <w:pStyle w:val="FootnoteText"/>
      </w:pPr>
      <w:r>
        <w:rPr>
          <w:rStyle w:val="FootnoteReference"/>
        </w:rPr>
        <w:footnoteRef/>
      </w:r>
      <w:r>
        <w:t xml:space="preserve"> </w:t>
      </w:r>
      <w:r>
        <w:t xml:space="preserve">This approach doesn’t always generalise to dynamic games, as became relevant to the discussion of</w:t>
      </w:r>
      <w:r>
        <w:t xml:space="preserve"> </w:t>
      </w:r>
      <w:hyperlink w:anchor="fig-stalnaker-centipede">
        <w:r>
          <w:rPr>
            <w:rStyle w:val="Hyperlink"/>
          </w:rPr>
          <w:t xml:space="preserve">Figure 7.2</w:t>
        </w:r>
      </w:hyperlink>
      <w:r>
        <w:t xml:space="preserve">. But it does work sometimes, and applying the approach to the beer-quiche game has been a major part of the story.</w:t>
      </w:r>
    </w:p>
  </w:footnote>
  <w:footnote w:id="435">
    <w:p>
      <w:pPr>
        <w:pStyle w:val="FootnoteText"/>
      </w:pPr>
      <w:r>
        <w:rPr>
          <w:rStyle w:val="FootnoteReference"/>
        </w:rPr>
        <w:footnoteRef/>
      </w:r>
      <w:r>
        <w:t xml:space="preserve"> </w:t>
      </w:r>
      <w:r>
        <w:t xml:space="preserve">O’Connor (2019)</w:t>
      </w:r>
      <w:r>
        <w:t xml:space="preserve"> </w:t>
      </w:r>
      <w:r>
        <w:t xml:space="preserve">calls this the Bach-Stravinsky game, which is a better name.</w:t>
      </w:r>
    </w:p>
  </w:footnote>
  <w:footnote w:id="448">
    <w:p>
      <w:pPr>
        <w:pStyle w:val="FootnoteText"/>
      </w:pPr>
      <w:r>
        <w:rPr>
          <w:rStyle w:val="FootnoteReference"/>
        </w:rPr>
        <w:footnoteRef/>
      </w:r>
      <w:r>
        <w:t xml:space="preserve"> </w:t>
      </w:r>
      <w:r>
        <w:t xml:space="preserve">A key part of the discussion in</w:t>
      </w:r>
      <w:r>
        <w:t xml:space="preserve"> </w:t>
      </w:r>
      <w:r>
        <w:t xml:space="preserve">Cho and Kreps (1987)</w:t>
      </w:r>
      <w:r>
        <w:t xml:space="preserve"> </w:t>
      </w:r>
      <w:r>
        <w:t xml:space="preserve">is that in some cases we can say substantive things about what a player will do if they are surprised in this sense. But</w:t>
      </w:r>
      <w:r>
        <w:t xml:space="preserve"> </w:t>
      </w:r>
      <w:hyperlink w:anchor="fig-second-anti-war">
        <w:r>
          <w:rPr>
            <w:rStyle w:val="Hyperlink"/>
          </w:rPr>
          <w:t xml:space="preserve">Figure D.1</w:t>
        </w:r>
      </w:hyperlink>
      <w:r>
        <w:t xml:space="preserve"> </w:t>
      </w:r>
      <w:r>
        <w:t xml:space="preserve">is not such a case.</w:t>
      </w:r>
    </w:p>
  </w:footnote>
  <w:footnote w:id="464">
    <w:p>
      <w:pPr>
        <w:pStyle w:val="FootnoteText"/>
      </w:pPr>
      <w:r>
        <w:rPr>
          <w:rStyle w:val="FootnoteReference"/>
        </w:rPr>
        <w:footnoteRef/>
      </w:r>
      <w:r>
        <w:t xml:space="preserve"> </w:t>
      </w:r>
      <w:r>
        <w:t xml:space="preserve">For a much more thorough introduction to the debate, and especially into the varieties of Permissivist theses, see</w:t>
      </w:r>
      <w:r>
        <w:t xml:space="preserve"> </w:t>
      </w:r>
      <w:r>
        <w:t xml:space="preserve">Kopec and Titelbaum (2016)</w:t>
      </w:r>
      <w:r>
        <w:t xml:space="preserve"> </w:t>
      </w:r>
      <w:r>
        <w:t xml:space="preserve">and</w:t>
      </w:r>
      <w:r>
        <w:t xml:space="preserve"> </w:t>
      </w:r>
      <w:r>
        <w:t xml:space="preserve">Meacham (2019)</w:t>
      </w:r>
      <w:r>
        <w:t xml:space="preserve">. The next three paragraphs draw heavily from these two papers. For more recent arguments in favour of Permissivism, see</w:t>
      </w:r>
      <w:r>
        <w:t xml:space="preserve"> </w:t>
      </w:r>
      <w:r>
        <w:t xml:space="preserve">Callahan (2021)</w:t>
      </w:r>
      <w:r>
        <w:t xml:space="preserve">,</w:t>
      </w:r>
      <w:r>
        <w:t xml:space="preserve"> </w:t>
      </w:r>
      <w:r>
        <w:t xml:space="preserve">Lota and Hlobil (2023)</w:t>
      </w:r>
      <w:r>
        <w:t xml:space="preserve">,</w:t>
      </w:r>
      <w:r>
        <w:t xml:space="preserve"> </w:t>
      </w:r>
      <w:r>
        <w:t xml:space="preserve">Palmira (2023)</w:t>
      </w:r>
      <w:r>
        <w:t xml:space="preserve">, and</w:t>
      </w:r>
      <w:r>
        <w:t xml:space="preserve"> </w:t>
      </w:r>
      <w:r>
        <w:t xml:space="preserve">Ye (2023)</w:t>
      </w:r>
      <w:r>
        <w:t xml:space="preserve">. For criticisms, see</w:t>
      </w:r>
      <w:r>
        <w:t xml:space="preserve"> </w:t>
      </w:r>
      <w:r>
        <w:t xml:space="preserve">Schultheis (2018)</w:t>
      </w:r>
      <w:r>
        <w:t xml:space="preserve"> </w:t>
      </w:r>
      <w:r>
        <w:t xml:space="preserve">and</w:t>
      </w:r>
      <w:r>
        <w:t xml:space="preserve"> </w:t>
      </w:r>
      <w:r>
        <w:t xml:space="preserve">Ross (2021)</w:t>
      </w:r>
      <w:r>
        <w:t xml:space="preserve">.</w:t>
      </w:r>
    </w:p>
  </w:footnote>
  <w:footnote w:id="465">
    <w:p>
      <w:pPr>
        <w:pStyle w:val="FootnoteText"/>
      </w:pPr>
      <w:r>
        <w:rPr>
          <w:rStyle w:val="FootnoteReference"/>
        </w:rPr>
        <w:footnoteRef/>
      </w:r>
      <w:r>
        <w:t xml:space="preserve"> </w:t>
      </w:r>
      <w:r>
        <w:t xml:space="preserve">In setting up the debate, I’m following the standard practice and assuming some kind of evidentialism. If one thinks that other things than evidence matter to rational credence, such as thinking that testimony provides non-evidential reasons for belief, it is a little complicated but possible to restate everything here to fit such an epistemological view. The general picture is that</w:t>
      </w:r>
      <w:r>
        <w:t xml:space="preserve"> </w:t>
      </w:r>
      <w:r>
        <w:t xml:space="preserve">‘</w:t>
      </w:r>
      <w:r>
        <w:t xml:space="preserve">evidence</w:t>
      </w:r>
      <w:r>
        <w:t xml:space="preserve">’</w:t>
      </w:r>
      <w:r>
        <w:t xml:space="preserve"> </w:t>
      </w:r>
      <w:r>
        <w:t xml:space="preserve">here really means non-pragmatic reasons for belief. But it’s simpler to say</w:t>
      </w:r>
      <w:r>
        <w:t xml:space="preserve"> </w:t>
      </w:r>
      <w:r>
        <w:t xml:space="preserve">‘</w:t>
      </w:r>
      <w:r>
        <w:t xml:space="preserve">evidence</w:t>
      </w:r>
      <w:r>
        <w:t xml:space="preserve">’</w:t>
      </w:r>
      <w:r>
        <w:t xml:space="preserve">, and that’s what I’ll generally say.</w:t>
      </w:r>
    </w:p>
  </w:footnote>
  <w:footnote w:id="466">
    <w:p>
      <w:pPr>
        <w:pStyle w:val="FootnoteText"/>
      </w:pPr>
      <w:r>
        <w:rPr>
          <w:rStyle w:val="FootnoteReference"/>
        </w:rPr>
        <w:footnoteRef/>
      </w:r>
      <w:r>
        <w:t xml:space="preserve"> </w:t>
      </w:r>
      <w:r>
        <w:t xml:space="preserve">From now on, when I say</w:t>
      </w:r>
      <w:r>
        <w:t xml:space="preserve"> </w:t>
      </w:r>
      <w:r>
        <w:t xml:space="preserve">‘</w:t>
      </w:r>
      <w:r>
        <w:t xml:space="preserve">Uniqueness</w:t>
      </w:r>
      <w:r>
        <w:t xml:space="preserve">’</w:t>
      </w:r>
      <w:r>
        <w:t xml:space="preserve"> </w:t>
      </w:r>
      <w:r>
        <w:t xml:space="preserve">I mean Acknowledged Intrapersonal Uniqueness. It’s easier to simply stipulate this now than repeating the phrase every time.</w:t>
      </w:r>
    </w:p>
  </w:footnote>
  <w:footnote w:id="468">
    <w:p>
      <w:pPr>
        <w:pStyle w:val="FootnoteText"/>
      </w:pPr>
      <w:r>
        <w:rPr>
          <w:rStyle w:val="FootnoteReference"/>
        </w:rPr>
        <w:footnoteRef/>
      </w:r>
      <w:r>
        <w:t xml:space="preserve"> </w:t>
      </w:r>
      <w:r>
        <w:t xml:space="preserve">If Column was not indifferent between their options, the knowledge Row has by step 6 would be sufficient to deduce with certainty what Column will do. But at step 9 we showed that Row does not know what Column will do.</w:t>
      </w:r>
    </w:p>
  </w:footnote>
  <w:footnote w:id="470">
    <w:p>
      <w:pPr>
        <w:pStyle w:val="FootnoteText"/>
      </w:pPr>
      <w:r>
        <w:rPr>
          <w:rStyle w:val="FootnoteReference"/>
        </w:rPr>
        <w:footnoteRef/>
      </w:r>
      <w:r>
        <w:t xml:space="preserve"> </w:t>
      </w:r>
      <w:r>
        <w:t xml:space="preserve">In Fey’s game both players pick a real in [0, 1]. If both players pick numbers in (0, 1), the one who picks the larger number wins. But there are a lot of complications if one or both pick an extreme value, including the game not always being zero-sum. I’m not relying on it here because it is a little too close to the game I’ll discuss at the end of this section where everyone agrees there is no way to play it given common knowledge of rationality. Fey’s paper also includes a nice chronology of some of the proofs of positive answers to restricted forms of the question.</w:t>
      </w:r>
    </w:p>
  </w:footnote>
  <w:footnote w:id="472">
    <w:p>
      <w:pPr>
        <w:pStyle w:val="FootnoteText"/>
      </w:pPr>
      <w:r>
        <w:rPr>
          <w:rStyle w:val="FootnoteReference"/>
        </w:rPr>
        <w:footnoteRef/>
      </w:r>
      <w:r>
        <w:t xml:space="preserve"> </w:t>
      </w:r>
      <w:r>
        <w:t xml:space="preserve">There is a nice discussion of this argument, including citations of the papers I’m about to discuss, in</w:t>
      </w:r>
      <w:r>
        <w:t xml:space="preserve"> </w:t>
      </w:r>
      <w:r>
        <w:t xml:space="preserve">Kopec and Titelbaum (2016, 195)</w:t>
      </w:r>
      <w:r>
        <w:t xml:space="preserve">.</w:t>
      </w:r>
    </w:p>
  </w:footnote>
  <w:footnote w:id="473">
    <w:p>
      <w:pPr>
        <w:pStyle w:val="FootnoteText"/>
      </w:pPr>
      <w:r>
        <w:rPr>
          <w:rStyle w:val="FootnoteReference"/>
        </w:rPr>
        <w:footnoteRef/>
      </w:r>
      <w:r>
        <w:t xml:space="preserve"> </w:t>
      </w:r>
      <w:r>
        <w:t xml:space="preserve">This move won’t really help with Chicken; but maybe in that case they can simply insist that a rational player will rationally think the other player is more likely to make one of the two choices with equal expected payoffs.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mirrorMargin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167" Target="media/rId167.png" /><Relationship Type="http://schemas.openxmlformats.org/officeDocument/2006/relationships/image" Id="rId160" Target="media/rId160.png" /><Relationship Type="http://schemas.openxmlformats.org/officeDocument/2006/relationships/image" Id="rId150" Target="media/rId150.png" /><Relationship Type="http://schemas.openxmlformats.org/officeDocument/2006/relationships/image" Id="rId135" Target="media/rId135.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214" Target="media/rId214.png" /><Relationship Type="http://schemas.openxmlformats.org/officeDocument/2006/relationships/image" Id="rId444" Target="media/rId444.png" /><Relationship Type="http://schemas.openxmlformats.org/officeDocument/2006/relationships/hyperlink" Id="rId226" Target="dual.qmd" TargetMode="External" /><Relationship Type="http://schemas.openxmlformats.org/officeDocument/2006/relationships/hyperlink" Id="rId253" Target="http://faculty.econ.ucdavis.edu/faculty/bonanno/GT_Book.html" TargetMode="External" /><Relationship Type="http://schemas.openxmlformats.org/officeDocument/2006/relationships/hyperlink" Id="rId287" Target="https://10.1111/j.1468-0262.2005.00631.x" TargetMode="External" /><Relationship Type="http://schemas.openxmlformats.org/officeDocument/2006/relationships/hyperlink" Id="rId270" Target="https://arxiv.org/abs/2212.06025" TargetMode="External" /><Relationship Type="http://schemas.openxmlformats.org/officeDocument/2006/relationships/hyperlink" Id="rId291"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96" Target="https://doi.org/10.1006/reec.1999.0200" TargetMode="External" /><Relationship Type="http://schemas.openxmlformats.org/officeDocument/2006/relationships/hyperlink" Id="rId316" Target="https://doi.org/10.1007/978-94-009-2865-7_2" TargetMode="External" /><Relationship Type="http://schemas.openxmlformats.org/officeDocument/2006/relationships/hyperlink" Id="rId310" Target="https://doi.org/10.1007/BF00129168" TargetMode="External" /><Relationship Type="http://schemas.openxmlformats.org/officeDocument/2006/relationships/hyperlink" Id="rId314" Target="https://doi.org/10.1007/BF00183199" TargetMode="External" /><Relationship Type="http://schemas.openxmlformats.org/officeDocument/2006/relationships/hyperlink" Id="rId351" Target="https://doi.org/10.1007/BF01753236" TargetMode="External" /><Relationship Type="http://schemas.openxmlformats.org/officeDocument/2006/relationships/hyperlink" Id="rId378" Target="https://doi.org/10.1007/BF01766400" TargetMode="External" /><Relationship Type="http://schemas.openxmlformats.org/officeDocument/2006/relationships/hyperlink" Id="rId246" Target="https://doi.org/10.1007/s10670-007-9084-8" TargetMode="External" /><Relationship Type="http://schemas.openxmlformats.org/officeDocument/2006/relationships/hyperlink" Id="rId308" Target="https://doi.org/10.1007/s10670-010-9267-6" TargetMode="External" /><Relationship Type="http://schemas.openxmlformats.org/officeDocument/2006/relationships/hyperlink" Id="rId356" Target="https://doi.org/10.1007/s10670-020-00373-7" TargetMode="External" /><Relationship Type="http://schemas.openxmlformats.org/officeDocument/2006/relationships/hyperlink" Id="rId342" Target="https://doi.org/10.1007/s10670-021-00391-z" TargetMode="External" /><Relationship Type="http://schemas.openxmlformats.org/officeDocument/2006/relationships/hyperlink" Id="rId320" Target="https://doi.org/10.1007/s11098-013-0231-6" TargetMode="External" /><Relationship Type="http://schemas.openxmlformats.org/officeDocument/2006/relationships/hyperlink" Id="rId258" Target="https://doi.org/10.1007/s11098-017-0904-7" TargetMode="External" /><Relationship Type="http://schemas.openxmlformats.org/officeDocument/2006/relationships/hyperlink" Id="rId346" Target="https://doi.org/10.1007/s11098-018-1036-4" TargetMode="External" /><Relationship Type="http://schemas.openxmlformats.org/officeDocument/2006/relationships/hyperlink" Id="rId388" Target="https://doi.org/10.1007/s11098-020-01509-9" TargetMode="External" /><Relationship Type="http://schemas.openxmlformats.org/officeDocument/2006/relationships/hyperlink" Id="rId406" Target="https://doi.org/10.1007/s11229-011-0012-8" TargetMode="External" /><Relationship Type="http://schemas.openxmlformats.org/officeDocument/2006/relationships/hyperlink" Id="rId324" Target="https://doi.org/10.1007/s11229-011-0022-6" TargetMode="External" /><Relationship Type="http://schemas.openxmlformats.org/officeDocument/2006/relationships/hyperlink" Id="rId408" Target="https://doi.org/10.1007/s11229-011-9900-1" TargetMode="External" /><Relationship Type="http://schemas.openxmlformats.org/officeDocument/2006/relationships/hyperlink" Id="rId363" Target="https://doi.org/10.1016/0167-2681(82)90008-7" TargetMode="External" /><Relationship Type="http://schemas.openxmlformats.org/officeDocument/2006/relationships/hyperlink" Id="rId250" Target="https://doi.org/10.1016/S0022-0531(05)80039-0" TargetMode="External" /><Relationship Type="http://schemas.openxmlformats.org/officeDocument/2006/relationships/hyperlink" Id="rId394" Target="https://doi.org/10.1016/S0165-4896(98)00007-9" TargetMode="External" /><Relationship Type="http://schemas.openxmlformats.org/officeDocument/2006/relationships/hyperlink" Id="rId374" Target="https://doi.org/10.1016/S0927-0507(05)12001-5" TargetMode="External" /><Relationship Type="http://schemas.openxmlformats.org/officeDocument/2006/relationships/hyperlink" Id="rId289" Target="https://doi.org/10.1016/j.geb.2011.09.008" TargetMode="External" /><Relationship Type="http://schemas.openxmlformats.org/officeDocument/2006/relationships/hyperlink" Id="rId420" Target="https://doi.org/10.1016/j.geb.2014.12.001" TargetMode="External" /><Relationship Type="http://schemas.openxmlformats.org/officeDocument/2006/relationships/hyperlink" Id="rId260" Target="https://doi.org/10.1017/epi.2019.25" TargetMode="External" /><Relationship Type="http://schemas.openxmlformats.org/officeDocument/2006/relationships/hyperlink" Id="rId368" Target="https://doi.org/10.1023/a:1005259701040" TargetMode="External" /><Relationship Type="http://schemas.openxmlformats.org/officeDocument/2006/relationships/hyperlink" Id="rId390" Target="https://doi.org/10.1080/00048402.2021.1958880" TargetMode="External" /><Relationship Type="http://schemas.openxmlformats.org/officeDocument/2006/relationships/hyperlink" Id="rId366" Target="https://doi.org/10.1080/00048408412341601" TargetMode="External" /><Relationship Type="http://schemas.openxmlformats.org/officeDocument/2006/relationships/hyperlink" Id="rId410" Target="https://doi.org/10.1080/00048408512342061" TargetMode="External" /><Relationship Type="http://schemas.openxmlformats.org/officeDocument/2006/relationships/hyperlink" Id="rId414" Target="https://doi.org/10.1080/13501789400000009" TargetMode="External" /><Relationship Type="http://schemas.openxmlformats.org/officeDocument/2006/relationships/hyperlink" Id="rId264" Target="https://doi.org/10.1086/339673" TargetMode="External" /><Relationship Type="http://schemas.openxmlformats.org/officeDocument/2006/relationships/hyperlink" Id="rId276" Target="https://doi.org/10.1086/658093" TargetMode="External" /><Relationship Type="http://schemas.openxmlformats.org/officeDocument/2006/relationships/hyperlink" Id="rId234" Target="https://doi.org/10.1086/666065" TargetMode="External" /><Relationship Type="http://schemas.openxmlformats.org/officeDocument/2006/relationships/hyperlink" Id="rId401" Target="https://doi.org/10.1086/699256" TargetMode="External" /><Relationship Type="http://schemas.openxmlformats.org/officeDocument/2006/relationships/hyperlink" Id="rId283" Target="https://doi.org/10.1093/analys/60.2.143" TargetMode="External" /><Relationship Type="http://schemas.openxmlformats.org/officeDocument/2006/relationships/hyperlink" Id="rId236" Target="https://doi.org/10.1093/analys/anu084" TargetMode="External" /><Relationship Type="http://schemas.openxmlformats.org/officeDocument/2006/relationships/hyperlink" Id="rId285" Target="https://doi.org/10.1093/analys/anz059" TargetMode="External" /><Relationship Type="http://schemas.openxmlformats.org/officeDocument/2006/relationships/hyperlink" Id="rId300" Target="https://doi.org/10.1093/bjps/17.4.319" TargetMode="External" /><Relationship Type="http://schemas.openxmlformats.org/officeDocument/2006/relationships/hyperlink" Id="rId274" Target="https://doi.org/10.1093/bjps/axaa003" TargetMode="External" /><Relationship Type="http://schemas.openxmlformats.org/officeDocument/2006/relationships/hyperlink" Id="rId376" Target="https://doi.org/10.1093/mind/fzw065" TargetMode="External" /><Relationship Type="http://schemas.openxmlformats.org/officeDocument/2006/relationships/hyperlink" Id="rId412" Target="https://doi.org/10.1093/mind/fzx018" TargetMode="External" /><Relationship Type="http://schemas.openxmlformats.org/officeDocument/2006/relationships/hyperlink" Id="rId238" Target="https://doi.org/10.1093/mind/fzz073" TargetMode="External" /><Relationship Type="http://schemas.openxmlformats.org/officeDocument/2006/relationships/hyperlink" Id="rId318" Target="https://doi.org/10.1093/pq/pqac083" TargetMode="External" /><Relationship Type="http://schemas.openxmlformats.org/officeDocument/2006/relationships/hyperlink" Id="rId330" Target="https://doi.org/10.1093/pq/pqad072" TargetMode="External" /><Relationship Type="http://schemas.openxmlformats.org/officeDocument/2006/relationships/hyperlink" Id="rId348" Target="https://doi.org/10.1111/j.1527-2001.2005.tb00493.x" TargetMode="External" /><Relationship Type="http://schemas.openxmlformats.org/officeDocument/2006/relationships/hyperlink" Id="rId278" Target="https://doi.org/10.1111/j.1933-1592.2011.00566.x" TargetMode="External" /><Relationship Type="http://schemas.openxmlformats.org/officeDocument/2006/relationships/hyperlink" Id="rId312" Target="https://doi.org/10.1111/nous.12094" TargetMode="External" /><Relationship Type="http://schemas.openxmlformats.org/officeDocument/2006/relationships/hyperlink" Id="rId361" Target="https://doi.org/10.1111/nous.12353" TargetMode="External" /><Relationship Type="http://schemas.openxmlformats.org/officeDocument/2006/relationships/hyperlink" Id="rId293" Target="https://doi.org/10.1111/nous.12459" TargetMode="External" /><Relationship Type="http://schemas.openxmlformats.org/officeDocument/2006/relationships/hyperlink" Id="rId302" Target="https://doi.org/10.1111/nous.12473" TargetMode="External" /><Relationship Type="http://schemas.openxmlformats.org/officeDocument/2006/relationships/hyperlink" Id="rId306" Target="https://doi.org/10.1111/phc3.12318" TargetMode="External" /><Relationship Type="http://schemas.openxmlformats.org/officeDocument/2006/relationships/hyperlink" Id="rId403" Target="https://doi.org/10.1111/phco.2012.7.issue-9" TargetMode="External" /><Relationship Type="http://schemas.openxmlformats.org/officeDocument/2006/relationships/hyperlink" Id="rId392" Target="https://doi.org/10.1111/phpr.12466" TargetMode="External" /><Relationship Type="http://schemas.openxmlformats.org/officeDocument/2006/relationships/hyperlink" Id="rId422" Target="https://doi.org/10.1111/phpr.12845" TargetMode="External" /><Relationship Type="http://schemas.openxmlformats.org/officeDocument/2006/relationships/hyperlink" Id="rId280" Target="https://doi.org/10.1215/00318108-2006-023" TargetMode="External" /><Relationship Type="http://schemas.openxmlformats.org/officeDocument/2006/relationships/hyperlink" Id="rId416" Target="https://doi.org/10.1287/mnsc.13.11.816" TargetMode="External" /><Relationship Type="http://schemas.openxmlformats.org/officeDocument/2006/relationships/hyperlink" Id="rId304" Target="https://doi.org/10.1515/bejte-2018-0185" TargetMode="External" /><Relationship Type="http://schemas.openxmlformats.org/officeDocument/2006/relationships/hyperlink" Id="rId240" Target="https://doi.org/10.2307/1879431" TargetMode="External" /><Relationship Type="http://schemas.openxmlformats.org/officeDocument/2006/relationships/hyperlink" Id="rId268" Target="https://doi.org/10.2307/1885060" TargetMode="External" /><Relationship Type="http://schemas.openxmlformats.org/officeDocument/2006/relationships/hyperlink" Id="rId266" Target="https://doi.org/10.2307/1907435" TargetMode="External" /><Relationship Type="http://schemas.openxmlformats.org/officeDocument/2006/relationships/hyperlink" Id="rId244" Target="https://doi.org/10.2307/1907921" TargetMode="External" /><Relationship Type="http://schemas.openxmlformats.org/officeDocument/2006/relationships/hyperlink" Id="rId358" Target="https://doi.org/10.2307/1911197" TargetMode="External" /><Relationship Type="http://schemas.openxmlformats.org/officeDocument/2006/relationships/hyperlink" Id="rId336" Target="https://doi.org/10.2307/2215439" TargetMode="External" /><Relationship Type="http://schemas.openxmlformats.org/officeDocument/2006/relationships/hyperlink" Id="rId340" Target="https://doi.org/10.2307/2296233" TargetMode="External" /><Relationship Type="http://schemas.openxmlformats.org/officeDocument/2006/relationships/hyperlink" Id="rId380" Target="https://doi.org/10.2307/2296384" TargetMode="External" /><Relationship Type="http://schemas.openxmlformats.org/officeDocument/2006/relationships/hyperlink" Id="rId372" Target="https://doi.org/10.2307/2548836" TargetMode="External" /><Relationship Type="http://schemas.openxmlformats.org/officeDocument/2006/relationships/hyperlink" Id="rId382" Target="https://doi.org/10.5840/jphil2006103517" TargetMode="External" /><Relationship Type="http://schemas.openxmlformats.org/officeDocument/2006/relationships/hyperlink" Id="rId295" Target="https://doi.org/10.5840/jphil202011739" TargetMode="External" /><Relationship Type="http://schemas.openxmlformats.org/officeDocument/2006/relationships/hyperlink" Id="rId332" Target="https://doi.org/10.5840/jphil2020117516" TargetMode="External" /><Relationship Type="http://schemas.openxmlformats.org/officeDocument/2006/relationships/hyperlink" Id="rId248" Target="https://doi.org/10.5840/jphil202211925" TargetMode="External" /><Relationship Type="http://schemas.openxmlformats.org/officeDocument/2006/relationships/hyperlink" Id="rId255" Target="https://doi.org/doi.org/10.1111/phpr.13006" TargetMode="External" /><Relationship Type="http://schemas.openxmlformats.org/officeDocument/2006/relationships/hyperlink" Id="rId57" Target="https://people.sc.fsu.edu/~jburkardt/datasets/cities/cities.html" TargetMode="External" /><Relationship Type="http://schemas.openxmlformats.org/officeDocument/2006/relationships/hyperlink" Id="rId297" Target="https://philpapers.org/archive/GALTST-2.pdf" TargetMode="External" /><Relationship Type="http://schemas.openxmlformats.org/officeDocument/2006/relationships/hyperlink" Id="rId262" Target="https://plato.stanford.edu/archives/win2017/entries/decision-theory-descriptive/" TargetMode="External" /><Relationship Type="http://schemas.openxmlformats.org/officeDocument/2006/relationships/hyperlink" Id="rId242"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226" Target="dual.qmd" TargetMode="External" /><Relationship Type="http://schemas.openxmlformats.org/officeDocument/2006/relationships/hyperlink" Id="rId253" Target="http://faculty.econ.ucdavis.edu/faculty/bonanno/GT_Book.html" TargetMode="External" /><Relationship Type="http://schemas.openxmlformats.org/officeDocument/2006/relationships/hyperlink" Id="rId287" Target="https://10.1111/j.1468-0262.2005.00631.x" TargetMode="External" /><Relationship Type="http://schemas.openxmlformats.org/officeDocument/2006/relationships/hyperlink" Id="rId270" Target="https://arxiv.org/abs/2212.06025" TargetMode="External" /><Relationship Type="http://schemas.openxmlformats.org/officeDocument/2006/relationships/hyperlink" Id="rId291"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96" Target="https://doi.org/10.1006/reec.1999.0200" TargetMode="External" /><Relationship Type="http://schemas.openxmlformats.org/officeDocument/2006/relationships/hyperlink" Id="rId316" Target="https://doi.org/10.1007/978-94-009-2865-7_2" TargetMode="External" /><Relationship Type="http://schemas.openxmlformats.org/officeDocument/2006/relationships/hyperlink" Id="rId310" Target="https://doi.org/10.1007/BF00129168" TargetMode="External" /><Relationship Type="http://schemas.openxmlformats.org/officeDocument/2006/relationships/hyperlink" Id="rId314" Target="https://doi.org/10.1007/BF00183199" TargetMode="External" /><Relationship Type="http://schemas.openxmlformats.org/officeDocument/2006/relationships/hyperlink" Id="rId351" Target="https://doi.org/10.1007/BF01753236" TargetMode="External" /><Relationship Type="http://schemas.openxmlformats.org/officeDocument/2006/relationships/hyperlink" Id="rId378" Target="https://doi.org/10.1007/BF01766400" TargetMode="External" /><Relationship Type="http://schemas.openxmlformats.org/officeDocument/2006/relationships/hyperlink" Id="rId246" Target="https://doi.org/10.1007/s10670-007-9084-8" TargetMode="External" /><Relationship Type="http://schemas.openxmlformats.org/officeDocument/2006/relationships/hyperlink" Id="rId308" Target="https://doi.org/10.1007/s10670-010-9267-6" TargetMode="External" /><Relationship Type="http://schemas.openxmlformats.org/officeDocument/2006/relationships/hyperlink" Id="rId356" Target="https://doi.org/10.1007/s10670-020-00373-7" TargetMode="External" /><Relationship Type="http://schemas.openxmlformats.org/officeDocument/2006/relationships/hyperlink" Id="rId342" Target="https://doi.org/10.1007/s10670-021-00391-z" TargetMode="External" /><Relationship Type="http://schemas.openxmlformats.org/officeDocument/2006/relationships/hyperlink" Id="rId320" Target="https://doi.org/10.1007/s11098-013-0231-6" TargetMode="External" /><Relationship Type="http://schemas.openxmlformats.org/officeDocument/2006/relationships/hyperlink" Id="rId258" Target="https://doi.org/10.1007/s11098-017-0904-7" TargetMode="External" /><Relationship Type="http://schemas.openxmlformats.org/officeDocument/2006/relationships/hyperlink" Id="rId346" Target="https://doi.org/10.1007/s11098-018-1036-4" TargetMode="External" /><Relationship Type="http://schemas.openxmlformats.org/officeDocument/2006/relationships/hyperlink" Id="rId388" Target="https://doi.org/10.1007/s11098-020-01509-9" TargetMode="External" /><Relationship Type="http://schemas.openxmlformats.org/officeDocument/2006/relationships/hyperlink" Id="rId406" Target="https://doi.org/10.1007/s11229-011-0012-8" TargetMode="External" /><Relationship Type="http://schemas.openxmlformats.org/officeDocument/2006/relationships/hyperlink" Id="rId324" Target="https://doi.org/10.1007/s11229-011-0022-6" TargetMode="External" /><Relationship Type="http://schemas.openxmlformats.org/officeDocument/2006/relationships/hyperlink" Id="rId408" Target="https://doi.org/10.1007/s11229-011-9900-1" TargetMode="External" /><Relationship Type="http://schemas.openxmlformats.org/officeDocument/2006/relationships/hyperlink" Id="rId363" Target="https://doi.org/10.1016/0167-2681(82)90008-7" TargetMode="External" /><Relationship Type="http://schemas.openxmlformats.org/officeDocument/2006/relationships/hyperlink" Id="rId250" Target="https://doi.org/10.1016/S0022-0531(05)80039-0" TargetMode="External" /><Relationship Type="http://schemas.openxmlformats.org/officeDocument/2006/relationships/hyperlink" Id="rId394" Target="https://doi.org/10.1016/S0165-4896(98)00007-9" TargetMode="External" /><Relationship Type="http://schemas.openxmlformats.org/officeDocument/2006/relationships/hyperlink" Id="rId374" Target="https://doi.org/10.1016/S0927-0507(05)12001-5" TargetMode="External" /><Relationship Type="http://schemas.openxmlformats.org/officeDocument/2006/relationships/hyperlink" Id="rId289" Target="https://doi.org/10.1016/j.geb.2011.09.008" TargetMode="External" /><Relationship Type="http://schemas.openxmlformats.org/officeDocument/2006/relationships/hyperlink" Id="rId420" Target="https://doi.org/10.1016/j.geb.2014.12.001" TargetMode="External" /><Relationship Type="http://schemas.openxmlformats.org/officeDocument/2006/relationships/hyperlink" Id="rId260" Target="https://doi.org/10.1017/epi.2019.25" TargetMode="External" /><Relationship Type="http://schemas.openxmlformats.org/officeDocument/2006/relationships/hyperlink" Id="rId368" Target="https://doi.org/10.1023/a:1005259701040" TargetMode="External" /><Relationship Type="http://schemas.openxmlformats.org/officeDocument/2006/relationships/hyperlink" Id="rId390" Target="https://doi.org/10.1080/00048402.2021.1958880" TargetMode="External" /><Relationship Type="http://schemas.openxmlformats.org/officeDocument/2006/relationships/hyperlink" Id="rId366" Target="https://doi.org/10.1080/00048408412341601" TargetMode="External" /><Relationship Type="http://schemas.openxmlformats.org/officeDocument/2006/relationships/hyperlink" Id="rId410" Target="https://doi.org/10.1080/00048408512342061" TargetMode="External" /><Relationship Type="http://schemas.openxmlformats.org/officeDocument/2006/relationships/hyperlink" Id="rId414" Target="https://doi.org/10.1080/13501789400000009" TargetMode="External" /><Relationship Type="http://schemas.openxmlformats.org/officeDocument/2006/relationships/hyperlink" Id="rId264" Target="https://doi.org/10.1086/339673" TargetMode="External" /><Relationship Type="http://schemas.openxmlformats.org/officeDocument/2006/relationships/hyperlink" Id="rId276" Target="https://doi.org/10.1086/658093" TargetMode="External" /><Relationship Type="http://schemas.openxmlformats.org/officeDocument/2006/relationships/hyperlink" Id="rId234" Target="https://doi.org/10.1086/666065" TargetMode="External" /><Relationship Type="http://schemas.openxmlformats.org/officeDocument/2006/relationships/hyperlink" Id="rId401" Target="https://doi.org/10.1086/699256" TargetMode="External" /><Relationship Type="http://schemas.openxmlformats.org/officeDocument/2006/relationships/hyperlink" Id="rId283" Target="https://doi.org/10.1093/analys/60.2.143" TargetMode="External" /><Relationship Type="http://schemas.openxmlformats.org/officeDocument/2006/relationships/hyperlink" Id="rId236" Target="https://doi.org/10.1093/analys/anu084" TargetMode="External" /><Relationship Type="http://schemas.openxmlformats.org/officeDocument/2006/relationships/hyperlink" Id="rId285" Target="https://doi.org/10.1093/analys/anz059" TargetMode="External" /><Relationship Type="http://schemas.openxmlformats.org/officeDocument/2006/relationships/hyperlink" Id="rId300" Target="https://doi.org/10.1093/bjps/17.4.319" TargetMode="External" /><Relationship Type="http://schemas.openxmlformats.org/officeDocument/2006/relationships/hyperlink" Id="rId274" Target="https://doi.org/10.1093/bjps/axaa003" TargetMode="External" /><Relationship Type="http://schemas.openxmlformats.org/officeDocument/2006/relationships/hyperlink" Id="rId376" Target="https://doi.org/10.1093/mind/fzw065" TargetMode="External" /><Relationship Type="http://schemas.openxmlformats.org/officeDocument/2006/relationships/hyperlink" Id="rId412" Target="https://doi.org/10.1093/mind/fzx018" TargetMode="External" /><Relationship Type="http://schemas.openxmlformats.org/officeDocument/2006/relationships/hyperlink" Id="rId238" Target="https://doi.org/10.1093/mind/fzz073" TargetMode="External" /><Relationship Type="http://schemas.openxmlformats.org/officeDocument/2006/relationships/hyperlink" Id="rId318" Target="https://doi.org/10.1093/pq/pqac083" TargetMode="External" /><Relationship Type="http://schemas.openxmlformats.org/officeDocument/2006/relationships/hyperlink" Id="rId330" Target="https://doi.org/10.1093/pq/pqad072" TargetMode="External" /><Relationship Type="http://schemas.openxmlformats.org/officeDocument/2006/relationships/hyperlink" Id="rId348" Target="https://doi.org/10.1111/j.1527-2001.2005.tb00493.x" TargetMode="External" /><Relationship Type="http://schemas.openxmlformats.org/officeDocument/2006/relationships/hyperlink" Id="rId278" Target="https://doi.org/10.1111/j.1933-1592.2011.00566.x" TargetMode="External" /><Relationship Type="http://schemas.openxmlformats.org/officeDocument/2006/relationships/hyperlink" Id="rId312" Target="https://doi.org/10.1111/nous.12094" TargetMode="External" /><Relationship Type="http://schemas.openxmlformats.org/officeDocument/2006/relationships/hyperlink" Id="rId361" Target="https://doi.org/10.1111/nous.12353" TargetMode="External" /><Relationship Type="http://schemas.openxmlformats.org/officeDocument/2006/relationships/hyperlink" Id="rId293" Target="https://doi.org/10.1111/nous.12459" TargetMode="External" /><Relationship Type="http://schemas.openxmlformats.org/officeDocument/2006/relationships/hyperlink" Id="rId302" Target="https://doi.org/10.1111/nous.12473" TargetMode="External" /><Relationship Type="http://schemas.openxmlformats.org/officeDocument/2006/relationships/hyperlink" Id="rId306" Target="https://doi.org/10.1111/phc3.12318" TargetMode="External" /><Relationship Type="http://schemas.openxmlformats.org/officeDocument/2006/relationships/hyperlink" Id="rId403" Target="https://doi.org/10.1111/phco.2012.7.issue-9" TargetMode="External" /><Relationship Type="http://schemas.openxmlformats.org/officeDocument/2006/relationships/hyperlink" Id="rId392" Target="https://doi.org/10.1111/phpr.12466" TargetMode="External" /><Relationship Type="http://schemas.openxmlformats.org/officeDocument/2006/relationships/hyperlink" Id="rId422" Target="https://doi.org/10.1111/phpr.12845" TargetMode="External" /><Relationship Type="http://schemas.openxmlformats.org/officeDocument/2006/relationships/hyperlink" Id="rId280" Target="https://doi.org/10.1215/00318108-2006-023" TargetMode="External" /><Relationship Type="http://schemas.openxmlformats.org/officeDocument/2006/relationships/hyperlink" Id="rId416" Target="https://doi.org/10.1287/mnsc.13.11.816" TargetMode="External" /><Relationship Type="http://schemas.openxmlformats.org/officeDocument/2006/relationships/hyperlink" Id="rId304" Target="https://doi.org/10.1515/bejte-2018-0185" TargetMode="External" /><Relationship Type="http://schemas.openxmlformats.org/officeDocument/2006/relationships/hyperlink" Id="rId240" Target="https://doi.org/10.2307/1879431" TargetMode="External" /><Relationship Type="http://schemas.openxmlformats.org/officeDocument/2006/relationships/hyperlink" Id="rId268" Target="https://doi.org/10.2307/1885060" TargetMode="External" /><Relationship Type="http://schemas.openxmlformats.org/officeDocument/2006/relationships/hyperlink" Id="rId266" Target="https://doi.org/10.2307/1907435" TargetMode="External" /><Relationship Type="http://schemas.openxmlformats.org/officeDocument/2006/relationships/hyperlink" Id="rId244" Target="https://doi.org/10.2307/1907921" TargetMode="External" /><Relationship Type="http://schemas.openxmlformats.org/officeDocument/2006/relationships/hyperlink" Id="rId358" Target="https://doi.org/10.2307/1911197" TargetMode="External" /><Relationship Type="http://schemas.openxmlformats.org/officeDocument/2006/relationships/hyperlink" Id="rId336" Target="https://doi.org/10.2307/2215439" TargetMode="External" /><Relationship Type="http://schemas.openxmlformats.org/officeDocument/2006/relationships/hyperlink" Id="rId340" Target="https://doi.org/10.2307/2296233" TargetMode="External" /><Relationship Type="http://schemas.openxmlformats.org/officeDocument/2006/relationships/hyperlink" Id="rId380" Target="https://doi.org/10.2307/2296384" TargetMode="External" /><Relationship Type="http://schemas.openxmlformats.org/officeDocument/2006/relationships/hyperlink" Id="rId372" Target="https://doi.org/10.2307/2548836" TargetMode="External" /><Relationship Type="http://schemas.openxmlformats.org/officeDocument/2006/relationships/hyperlink" Id="rId382" Target="https://doi.org/10.5840/jphil2006103517" TargetMode="External" /><Relationship Type="http://schemas.openxmlformats.org/officeDocument/2006/relationships/hyperlink" Id="rId295" Target="https://doi.org/10.5840/jphil202011739" TargetMode="External" /><Relationship Type="http://schemas.openxmlformats.org/officeDocument/2006/relationships/hyperlink" Id="rId332" Target="https://doi.org/10.5840/jphil2020117516" TargetMode="External" /><Relationship Type="http://schemas.openxmlformats.org/officeDocument/2006/relationships/hyperlink" Id="rId248" Target="https://doi.org/10.5840/jphil202211925" TargetMode="External" /><Relationship Type="http://schemas.openxmlformats.org/officeDocument/2006/relationships/hyperlink" Id="rId255" Target="https://doi.org/doi.org/10.1111/phpr.13006" TargetMode="External" /><Relationship Type="http://schemas.openxmlformats.org/officeDocument/2006/relationships/hyperlink" Id="rId57" Target="https://people.sc.fsu.edu/~jburkardt/datasets/cities/cities.html" TargetMode="External" /><Relationship Type="http://schemas.openxmlformats.org/officeDocument/2006/relationships/hyperlink" Id="rId297" Target="https://philpapers.org/archive/GALTST-2.pdf" TargetMode="External" /><Relationship Type="http://schemas.openxmlformats.org/officeDocument/2006/relationships/hyperlink" Id="rId262" Target="https://plato.stanford.edu/archives/win2017/entries/decision-theory-descriptive/" TargetMode="External" /><Relationship Type="http://schemas.openxmlformats.org/officeDocument/2006/relationships/hyperlink" Id="rId242"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2023-12-09T02:49:09Z</dcterms:created>
  <dcterms:modified xsi:type="dcterms:W3CDTF">2023-12-09T02:49:09Z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2023-12-08</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