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22"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2"/>
    <w:bookmarkStart w:id="32"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2.1</w:t>
        </w:r>
      </w:hyperlink>
      <w:r>
        <w:t xml:space="preserve"> </w:t>
      </w:r>
      <w:r>
        <w:t xml:space="preserve">has the payout in table form.</w:t>
      </w:r>
    </w:p>
    <w:bookmarkStart w:id="23" w:name="tbl-multi"/>
    <w:p>
      <w:pPr>
        <w:pStyle w:val="TableCaption"/>
      </w:pPr>
      <w:r>
        <w:t xml:space="preserve">Table 2.1: The multiplication game</w:t>
      </w:r>
    </w:p>
    <w:tbl>
      <w:tblPr>
        <w:tblStyle w:val="Table"/>
        <w:tblW w:type="auto" w:w="0"/>
        <w:tblLook w:firstRow="0" w:lastRow="0" w:firstColumn="0" w:lastColumn="0" w:noHBand="0" w:noVBand="0" w:val="0000"/>
        <w:jc w:val="start"/>
        <w:tblCaption w:val="Table 2.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3"/>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4"/>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5"/>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6"/>
      </w:r>
      <w:r>
        <w:t xml:space="preserve"> </w:t>
      </w:r>
      <w:r>
        <w:t xml:space="preserve">But here’s a simpler surprising prediction that you need something like GDT to get.</w:t>
      </w:r>
      <w:r>
        <w:rPr>
          <w:rStyle w:val="FootnoteReference"/>
        </w:rPr>
        <w:footnoteReference w:id="27"/>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30" w:name="tbl-rps"/>
    <w:tbl>
      <w:tblPr>
        <w:tblStyle w:val="Table"/>
        <w:tblW w:type="pct" w:w="5000"/>
        <w:tblLook w:firstRow="0" w:lastRow="0" w:firstColumn="0" w:lastColumn="0" w:noHBand="0" w:noVBand="0" w:val="0000"/>
        <w:jc w:val="start"/>
      </w:tblPr>
      <w:tblGrid>
        <w:gridCol w:w="3960"/>
        <w:gridCol w:w="3960"/>
      </w:tblGrid>
      <w:tr>
        <w:tc>
          <w:tcPr/>
          <w:bookmarkStart w:id="28"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9"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29"/>
          <w:p/>
        </w:tc>
      </w:tr>
    </w:tbl>
    <w:p>
      <w:pPr>
        <w:pStyle w:val="BodyText"/>
      </w:pPr>
      <w:pPr>
        <w:spacing w:before="200"/>
        <w:pStyle w:val="ImageCaption"/>
      </w:pPr>
      <w:r>
        <w:t xml:space="preserve">Table 2.2: Two versions of Rock-Paper-Scissors</w:t>
      </w:r>
    </w:p>
    <w:bookmarkEnd w:id="30"/>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31"/>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32"/>
    <w:bookmarkStart w:id="36"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3"/>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4"/>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5"/>
      </w:r>
    </w:p>
    <w:bookmarkEnd w:id="36"/>
    <w:bookmarkStart w:id="44"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7"/>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8"/>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9"/>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Chapter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Chapter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Chapter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r>
        <w:rPr>
          <w:rStyle w:val="FootnoteReference"/>
        </w:rPr>
        <w:footnoteReference w:id="40"/>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4.1</w:t>
        </w:r>
      </w:hyperlink>
      <w:r>
        <w:t xml:space="preserve">.</w:t>
      </w:r>
    </w:p>
    <w:bookmarkStart w:id="43" w:name="tbl-edt-war"/>
    <w:tbl>
      <w:tblPr>
        <w:tblStyle w:val="Table"/>
        <w:tblW w:type="pct" w:w="5000"/>
        <w:tblLook w:firstRow="0" w:lastRow="0" w:firstColumn="0" w:lastColumn="0" w:noHBand="0" w:noVBand="0" w:val="0000"/>
        <w:jc w:val="start"/>
      </w:tblPr>
      <w:tblGrid>
        <w:gridCol w:w="3960"/>
        <w:gridCol w:w="3960"/>
      </w:tblGrid>
      <w:tr>
        <w:tc>
          <w:tcPr/>
          <w:bookmarkStart w:id="41"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4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2"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42"/>
          <w:p/>
        </w:tc>
      </w:tr>
    </w:tbl>
    <w:p>
      <w:pPr>
        <w:pStyle w:val="BodyText"/>
      </w:pPr>
      <w:pPr>
        <w:spacing w:before="200"/>
        <w:pStyle w:val="ImageCaption"/>
      </w:pPr>
      <w:r>
        <w:t xml:space="preserve">Table 4.1: A Newcomb problem with two demons</w:t>
      </w:r>
    </w:p>
    <w:bookmarkEnd w:id="43"/>
    <w:p>
      <w:pPr>
        <w:pStyle w:val="BodyText"/>
      </w:pPr>
      <w:r>
        <w:t xml:space="preserve">If Demon-1 predicts that Chooser will play Down, Demon-1 will offer Chooser</w:t>
      </w:r>
      <w:r>
        <w:t xml:space="preserve"> </w:t>
      </w:r>
      <w:hyperlink w:anchor="tbl-war-left">
        <w:r>
          <w:rPr>
            <w:rStyle w:val="Hyperlink"/>
          </w:rPr>
          <w:t xml:space="preserve">Table 4.1 (a)</w:t>
        </w:r>
      </w:hyperlink>
      <w:r>
        <w:t xml:space="preserve">; if Demon-1 predicts that Chooser will play Up, Demon-1 will offer Chooser</w:t>
      </w:r>
      <w:r>
        <w:t xml:space="preserve"> </w:t>
      </w:r>
      <w:hyperlink w:anchor="tbl-war-right">
        <w:r>
          <w:rPr>
            <w:rStyle w:val="Hyperlink"/>
          </w:rPr>
          <w:t xml:space="preserve">Table 4.1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4.1</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Chapter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4"/>
    <w:bookmarkStart w:id="48"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5"/>
      </w:r>
      <w:r>
        <w:t xml:space="preserve"> </w:t>
      </w:r>
      <w:r>
        <w:t xml:space="preserve">One is that the chooser might not be capable of carrying out a mixed strategy. They might not, for instance, have any coins in their pocket.</w:t>
      </w:r>
      <w:r>
        <w:rPr>
          <w:rStyle w:val="FootnoteReference"/>
        </w:rPr>
        <w:footnoteReference w:id="46"/>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7"/>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8"/>
    <w:bookmarkStart w:id="53"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49"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9"/>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50"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50"/>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51"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51"/>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52"/>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53"/>
    <w:bookmarkStart w:id="71"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4"/>
      </w:r>
      <w:r>
        <w:t xml:space="preserve"> </w:t>
      </w:r>
      <w:r>
        <w:t xml:space="preserve">Here is an example of a Stag Hunt decision.</w:t>
      </w:r>
    </w:p>
    <w:bookmarkStart w:id="55" w:name="tbl-stag-hunt"/>
    <w:p>
      <w:pPr>
        <w:pStyle w:val="TableCaption"/>
      </w:pPr>
      <w:r>
        <w:t xml:space="preserve">Table 7.1: An example of a Stag Hunt.</w:t>
      </w:r>
    </w:p>
    <w:tbl>
      <w:tblPr>
        <w:tblStyle w:val="Table"/>
        <w:tblW w:type="auto" w:w="0"/>
        <w:tblLook w:firstRow="0" w:lastRow="0" w:firstColumn="0" w:lastColumn="0" w:noHBand="0" w:noVBand="0" w:val="0000"/>
        <w:jc w:val="start"/>
        <w:tblCaption w:val="Table 7.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5"/>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6"/>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7.2</w:t>
        </w:r>
      </w:hyperlink>
      <w:r>
        <w:t xml:space="preserve">.</w:t>
      </w:r>
    </w:p>
    <w:bookmarkStart w:id="57" w:name="tbl-coord"/>
    <w:p>
      <w:pPr>
        <w:pStyle w:val="TableCaption"/>
      </w:pPr>
      <w:r>
        <w:t xml:space="preserve">Table 7.2: An example of a coordination game.</w:t>
      </w:r>
    </w:p>
    <w:tbl>
      <w:tblPr>
        <w:tblStyle w:val="Table"/>
        <w:tblW w:type="auto" w:w="0"/>
        <w:tblLook w:firstRow="0" w:lastRow="0" w:firstColumn="0" w:lastColumn="0" w:noHBand="0" w:noVBand="0" w:val="0000"/>
        <w:jc w:val="start"/>
        <w:tblCaption w:val="Table 7.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7"/>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7.3</w:t>
        </w:r>
      </w:hyperlink>
      <w:r>
        <w:t xml:space="preserve"> </w:t>
      </w:r>
      <w:r>
        <w:t xml:space="preserve">gives the general form of such a problem. Our problem has this abstract of</w:t>
      </w:r>
      <w:r>
        <w:t xml:space="preserve"> </w:t>
      </w:r>
      <w:hyperlink w:anchor="tbl-general-exit">
        <w:r>
          <w:rPr>
            <w:rStyle w:val="Hyperlink"/>
          </w:rPr>
          <w:t xml:space="preserve">Table 7.3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60" w:name="tbl-general-exit"/>
    <w:tbl>
      <w:tblPr>
        <w:tblStyle w:val="Table"/>
        <w:tblW w:type="pct" w:w="5000"/>
        <w:tblLook w:firstRow="0" w:lastRow="0" w:firstColumn="0" w:lastColumn="0" w:noHBand="0" w:noVBand="0" w:val="0000"/>
        <w:jc w:val="start"/>
      </w:tblPr>
      <w:tblGrid>
        <w:gridCol w:w="3960"/>
        <w:gridCol w:w="3960"/>
      </w:tblGrid>
      <w:tr>
        <w:tc>
          <w:tcPr/>
          <w:bookmarkStart w:id="58"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9"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9"/>
          <w:p/>
        </w:tc>
      </w:tr>
    </w:tbl>
    <w:p>
      <w:pPr>
        <w:pStyle w:val="BodyText"/>
      </w:pPr>
      <w:pPr>
        <w:spacing w:before="200"/>
        <w:pStyle w:val="ImageCaption"/>
      </w:pPr>
      <w:r>
        <w:t xml:space="preserve">Table 7.3: The abstract form of an exit problem.</w:t>
      </w:r>
    </w:p>
    <w:bookmarkEnd w:id="60"/>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61"/>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7.2</w:t>
        </w:r>
      </w:hyperlink>
      <w:r>
        <w:t xml:space="preserve"> </w:t>
      </w:r>
      <w:r>
        <w:t xml:space="preserve">cite above table will violate Exit Principle. Think about what they will say</w:t>
      </w:r>
      <w:r>
        <w:t xml:space="preserve"> </w:t>
      </w:r>
      <w:hyperlink w:anchor="tbl-early-choice">
        <w:r>
          <w:rPr>
            <w:rStyle w:val="Hyperlink"/>
          </w:rPr>
          <w:t xml:space="preserve">Table 7.4</w:t>
        </w:r>
      </w:hyperlink>
      <w:r>
        <w:t xml:space="preserve">.</w:t>
      </w:r>
    </w:p>
    <w:bookmarkStart w:id="62" w:name="tbl-early-choice"/>
    <w:p>
      <w:pPr>
        <w:pStyle w:val="TableCaption"/>
      </w:pPr>
      <w:r>
        <w:t xml:space="preserve">Table 7.4: The Early Choice decision.</w:t>
      </w:r>
    </w:p>
    <w:tbl>
      <w:tblPr>
        <w:tblStyle w:val="Table"/>
        <w:tblW w:type="auto" w:w="0"/>
        <w:tblLook w:firstRow="0" w:lastRow="0" w:firstColumn="0" w:lastColumn="0" w:noHBand="0" w:noVBand="0" w:val="0000"/>
        <w:jc w:val="start"/>
        <w:tblCaption w:val="Table 7.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62"/>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7.5</w:t>
        </w:r>
      </w:hyperlink>
      <w:r>
        <w:t xml:space="preserve">.</w:t>
      </w:r>
    </w:p>
    <w:bookmarkStart w:id="63" w:name="tbl-early-choice-simplified"/>
    <w:p>
      <w:pPr>
        <w:pStyle w:val="TableCaption"/>
      </w:pPr>
      <w:r>
        <w:t xml:space="preserve">Table 7.5: The Early Choice decision simplified.</w:t>
      </w:r>
    </w:p>
    <w:tbl>
      <w:tblPr>
        <w:tblStyle w:val="Table"/>
        <w:tblW w:type="auto" w:w="0"/>
        <w:tblLook w:firstRow="0" w:lastRow="0" w:firstColumn="0" w:lastColumn="0" w:noHBand="0" w:noVBand="0" w:val="0000"/>
        <w:jc w:val="start"/>
        <w:tblCaption w:val="Table 7.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63"/>
    <w:p>
      <w:pPr>
        <w:pStyle w:val="BodyText"/>
      </w:pPr>
      <w:r>
        <w:t xml:space="preserve">Now presumably if one prefers Up in above table, it is because one prefers Up in any game like</w:t>
      </w:r>
      <w:r>
        <w:t xml:space="preserve"> </w:t>
      </w:r>
      <w:hyperlink w:anchor="tbl-general-coord">
        <w:r>
          <w:rPr>
            <w:rStyle w:val="Hyperlink"/>
          </w:rPr>
          <w:t xml:space="preserve">Table 7.6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4" w:name="tbl-general-coord"/>
    <w:p>
      <w:pPr>
        <w:pStyle w:val="TableCaption"/>
      </w:pPr>
      <w:r>
        <w:t xml:space="preserve">Table 7.6: General coordination game.</w:t>
      </w:r>
    </w:p>
    <w:tbl>
      <w:tblPr>
        <w:tblStyle w:val="Table"/>
        <w:tblW w:type="auto" w:w="0"/>
        <w:tblLook w:firstRow="0" w:lastRow="0" w:firstColumn="0" w:lastColumn="0" w:noHBand="0" w:noVBand="0" w:val="0000"/>
        <w:jc w:val="start"/>
        <w:tblCaption w:val="Table 7.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4"/>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7.5</w:t>
        </w:r>
      </w:hyperlink>
      <w:r>
        <w:t xml:space="preserve"> </w:t>
      </w:r>
      <w:r>
        <w:t xml:space="preserve">and so, presumably, in</w:t>
      </w:r>
      <w:r>
        <w:t xml:space="preserve"> </w:t>
      </w:r>
      <w:hyperlink w:anchor="tbl-early-choice">
        <w:r>
          <w:rPr>
            <w:rStyle w:val="Hyperlink"/>
          </w:rPr>
          <w:t xml:space="preserve">Table 7.4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7.6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7.7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5" w:name="tbl-frustrating-button"/>
    <w:p>
      <w:pPr>
        <w:pStyle w:val="TableCaption"/>
      </w:pPr>
      <w:r>
        <w:t xml:space="preserve">Table 7.7: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7.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5"/>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7.8</w:t>
        </w:r>
      </w:hyperlink>
      <w:r>
        <w:t xml:space="preserve">, the intuitions shift.</w:t>
      </w:r>
    </w:p>
    <w:bookmarkStart w:id="68" w:name="tbl-frustrating-exit"/>
    <w:tbl>
      <w:tblPr>
        <w:tblStyle w:val="Table"/>
        <w:tblW w:type="pct" w:w="5000"/>
        <w:tblLook w:firstRow="0" w:lastRow="0" w:firstColumn="0" w:lastColumn="0" w:noHBand="0" w:noVBand="0" w:val="0000"/>
        <w:jc w:val="start"/>
      </w:tblPr>
      <w:tblGrid>
        <w:gridCol w:w="3960"/>
        <w:gridCol w:w="3960"/>
      </w:tblGrid>
      <w:tr>
        <w:tc>
          <w:tcPr/>
          <w:bookmarkStart w:id="66"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7"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7"/>
          <w:p/>
        </w:tc>
      </w:tr>
    </w:tbl>
    <w:p>
      <w:pPr>
        <w:pStyle w:val="BodyText"/>
      </w:pPr>
      <w:pPr>
        <w:spacing w:before="200"/>
        <w:pStyle w:val="ImageCaption"/>
      </w:pPr>
      <w:r>
        <w:t xml:space="preserve">Table 7.8: An exit problem with Frustrating Button in round 2.</w:t>
      </w:r>
    </w:p>
    <w:bookmarkEnd w:id="68"/>
    <w:p>
      <w:pPr>
        <w:pStyle w:val="BodyText"/>
      </w:pPr>
      <w:r>
        <w:t xml:space="preserve">The Early Version of</w:t>
      </w:r>
      <w:r>
        <w:t xml:space="preserve"> </w:t>
      </w:r>
      <w:hyperlink w:anchor="tbl-frustrating-exit">
        <w:r>
          <w:rPr>
            <w:rStyle w:val="Hyperlink"/>
          </w:rPr>
          <w:t xml:space="preserve">Table 7.8</w:t>
        </w:r>
      </w:hyperlink>
      <w:r>
        <w:t xml:space="preserve"> </w:t>
      </w:r>
      <w:r>
        <w:t xml:space="preserve">is</w:t>
      </w:r>
      <w:r>
        <w:t xml:space="preserve"> </w:t>
      </w:r>
      <w:hyperlink w:anchor="tbl-ev-fe">
        <w:r>
          <w:rPr>
            <w:rStyle w:val="Hyperlink"/>
          </w:rPr>
          <w:t xml:space="preserve">Table 7.9</w:t>
        </w:r>
      </w:hyperlink>
      <w:r>
        <w:t xml:space="preserve">.</w:t>
      </w:r>
    </w:p>
    <w:bookmarkStart w:id="69" w:name="tbl-ev-fe"/>
    <w:p>
      <w:pPr>
        <w:pStyle w:val="TableCaption"/>
      </w:pPr>
      <w:r>
        <w:t xml:space="preserve">Table 7.9: Early Version of</w:t>
      </w:r>
      <w:r>
        <w:t xml:space="preserve"> </w:t>
      </w:r>
      <w:hyperlink w:anchor="tbl-frustrating-exit">
        <w:r>
          <w:rPr>
            <w:rStyle w:val="Hyperlink"/>
          </w:rPr>
          <w:t xml:space="preserve">Table 7.8</w:t>
        </w:r>
      </w:hyperlink>
      <w:r>
        <w:t xml:space="preserve">.</w:t>
      </w:r>
    </w:p>
    <w:tbl>
      <w:tblPr>
        <w:tblStyle w:val="Table"/>
        <w:tblW w:type="auto" w:w="0"/>
        <w:tblLook w:firstRow="0" w:lastRow="0" w:firstColumn="0" w:lastColumn="0" w:noHBand="0" w:noVBand="0" w:val="0000"/>
        <w:jc w:val="start"/>
        <w:tblCaption w:val="Table 7.9: Early Version of Table 7.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9"/>
    <w:p>
      <w:pPr>
        <w:pStyle w:val="BodyText"/>
      </w:pPr>
      <w:r>
        <w:t xml:space="preserve">And if there is an intuition here, it is that it’s better to choose Down rather than Up.</w:t>
      </w:r>
      <w:r>
        <w:rPr>
          <w:rStyle w:val="FootnoteReference"/>
        </w:rPr>
        <w:footnoteReference w:id="70"/>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71"/>
    <w:bookmarkStart w:id="85"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72"/>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73"/>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4"/>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5" w:name="tbl-retaliation"/>
    <w:p>
      <w:pPr>
        <w:pStyle w:val="TableCaption"/>
      </w:pPr>
      <w:r>
        <w:t xml:space="preserve">Table 8.1: Deciding whether to retaliate.</w:t>
      </w:r>
    </w:p>
    <w:tbl>
      <w:tblPr>
        <w:tblStyle w:val="Table"/>
        <w:tblW w:type="auto" w:w="0"/>
        <w:tblLook w:firstRow="0" w:lastRow="0" w:firstColumn="0" w:lastColumn="0" w:noHBand="0" w:noVBand="0" w:val="0000"/>
        <w:jc w:val="start"/>
        <w:tblCaption w:val="Table 8.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5"/>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8.2</w:t>
        </w:r>
      </w:hyperlink>
      <w:r>
        <w:t xml:space="preserve">.</w:t>
      </w:r>
    </w:p>
    <w:bookmarkStart w:id="76" w:name="tbl-gallow-sophisticated"/>
    <w:p>
      <w:pPr>
        <w:pStyle w:val="TableCaption"/>
      </w:pPr>
      <w:r>
        <w:t xml:space="preserve">Table 8.2: A challenge for pure sophisticated decision.</w:t>
      </w:r>
    </w:p>
    <w:tbl>
      <w:tblPr>
        <w:tblStyle w:val="Table"/>
        <w:tblW w:type="auto" w:w="0"/>
        <w:tblLook w:firstRow="0" w:lastRow="0" w:firstColumn="0" w:lastColumn="0" w:noHBand="0" w:noVBand="0" w:val="0000"/>
        <w:jc w:val="start"/>
        <w:tblCaption w:val="Table 8.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6"/>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8.2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7"/>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8"/>
      </w:r>
    </w:p>
    <w:bookmarkStart w:id="81" w:name="tbl-newcomb-insurance"/>
    <w:tbl>
      <w:tblPr>
        <w:tblStyle w:val="Table"/>
        <w:tblW w:type="pct" w:w="5000"/>
        <w:tblLook w:firstRow="0" w:lastRow="0" w:firstColumn="0" w:lastColumn="0" w:noHBand="0" w:noVBand="0" w:val="0000"/>
        <w:jc w:val="start"/>
      </w:tblPr>
      <w:tblGrid>
        <w:gridCol w:w="3960"/>
        <w:gridCol w:w="3960"/>
      </w:tblGrid>
      <w:tr>
        <w:tc>
          <w:tcPr/>
          <w:bookmarkStart w:id="79"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80"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80"/>
          <w:p/>
        </w:tc>
      </w:tr>
    </w:tbl>
    <w:p>
      <w:pPr>
        <w:pStyle w:val="BodyText"/>
      </w:pPr>
      <w:pPr>
        <w:spacing w:before="200"/>
        <w:pStyle w:val="ImageCaption"/>
      </w:pPr>
      <w:r>
        <w:t xml:space="preserve">Table 8.3: Ahmed Insurance (from</w:t>
      </w:r>
      <w:r>
        <w:t xml:space="preserve"> </w:t>
      </w:r>
      <w:r>
        <w:t xml:space="preserve">Spencer (2021a)</w:t>
      </w:r>
      <w:r>
        <w:t xml:space="preserve">).</w:t>
      </w:r>
    </w:p>
    <w:bookmarkEnd w:id="81"/>
    <w:p>
      <w:pPr>
        <w:pStyle w:val="BodyText"/>
      </w:pPr>
      <w:r>
        <w:t xml:space="preserve">Note that in</w:t>
      </w:r>
      <w:r>
        <w:t xml:space="preserve"> </w:t>
      </w:r>
      <w:hyperlink w:anchor="tbl-ni-right">
        <w:r>
          <w:rPr>
            <w:rStyle w:val="Hyperlink"/>
          </w:rPr>
          <w:t xml:space="preserve">Table 8.3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8.3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82" w:name="tbl-ni-strategic"/>
    <w:p>
      <w:pPr>
        <w:pStyle w:val="TableCaption"/>
      </w:pPr>
      <w:r>
        <w:t xml:space="preserve">Table 8.4: Strategic form of Ahmed Insurance.</w:t>
      </w:r>
    </w:p>
    <w:tbl>
      <w:tblPr>
        <w:tblStyle w:val="Table"/>
        <w:tblW w:type="auto" w:w="0"/>
        <w:tblLook w:firstRow="0" w:lastRow="0" w:firstColumn="0" w:lastColumn="0" w:noHBand="0" w:noVBand="0" w:val="0000"/>
        <w:jc w:val="start"/>
        <w:tblCaption w:val="Table 8.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82"/>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8.3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8.3 (a)</w:t>
        </w:r>
      </w:hyperlink>
      <w:r>
        <w:t xml:space="preserve"> </w:t>
      </w:r>
      <w:r>
        <w:t xml:space="preserve">comes down to this.</w:t>
      </w:r>
    </w:p>
    <w:bookmarkStart w:id="83" w:name="tbl-ni-new-left"/>
    <w:p>
      <w:pPr>
        <w:pStyle w:val="TableCaption"/>
      </w:pPr>
      <w:r>
        <w:t xml:space="preserve">Table 8.5: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8.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83"/>
    <w:p>
      <w:pPr>
        <w:pStyle w:val="BodyText"/>
      </w:pPr>
      <w:r>
        <w:t xml:space="preserve">This game has two pure strategy equilibria, and on its own I think (because of the arguments in</w:t>
      </w:r>
      <w:r>
        <w:t xml:space="preserve"> </w:t>
      </w:r>
      <w:hyperlink w:anchor="sec-indecisive">
        <w:r>
          <w:rPr>
            <w:rStyle w:val="Hyperlink"/>
          </w:rPr>
          <w:t xml:space="preserve">Chapter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8.3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4"/>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8.2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5"/>
    <w:bookmarkStart w:id="92"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6"/>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87"/>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8"/>
      </w:r>
      <w:r>
        <w:t xml:space="preserve">. will say Heads if it is more probable the coin landed Heads, and Tails if it is more probable the coin landed Tails.</w:t>
      </w:r>
      <w:r>
        <w:rPr>
          <w:rStyle w:val="FootnoteReference"/>
        </w:rPr>
        <w:footnoteReference w:id="89"/>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90" w:name="tbl-cho-kreps"/>
    <w:p>
      <w:pPr>
        <w:pStyle w:val="TableCaption"/>
      </w:pPr>
      <w:r>
        <w:t xml:space="preserve">Table 9.1: The coin game.</w:t>
      </w:r>
    </w:p>
    <w:tbl>
      <w:tblPr>
        <w:tblStyle w:val="Table"/>
        <w:tblW w:type="auto" w:w="0"/>
        <w:tblLook w:firstRow="0" w:lastRow="0" w:firstColumn="0" w:lastColumn="0" w:noHBand="0" w:noVBand="0" w:val="0000"/>
        <w:jc w:val="start"/>
        <w:tblCaption w:val="Table 9.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90"/>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91"/>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92"/>
    <w:bookmarkStart w:id="96"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10.1</w:t>
        </w:r>
      </w:hyperlink>
      <w:r>
        <w:t xml:space="preserve">; what would the ideal chooser do?</w:t>
      </w:r>
    </w:p>
    <w:bookmarkStart w:id="93" w:name="tbl-first-wd"/>
    <w:p>
      <w:pPr>
        <w:pStyle w:val="TableCaption"/>
      </w:pPr>
      <w:r>
        <w:t xml:space="preserve">Table 10.1: A ratifiable, weakly dominated, option.</w:t>
      </w:r>
    </w:p>
    <w:tbl>
      <w:tblPr>
        <w:tblStyle w:val="Table"/>
        <w:tblW w:type="auto" w:w="0"/>
        <w:tblLook w:firstRow="0" w:lastRow="0" w:firstColumn="0" w:lastColumn="0" w:noHBand="0" w:noVBand="0" w:val="0000"/>
        <w:jc w:val="start"/>
        <w:tblCaption w:val="Table 10.1: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93"/>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4"/>
      </w:r>
      <w:r>
        <w:t xml:space="preserve"> </w:t>
      </w:r>
      <w:r>
        <w:t xml:space="preserve">Think about</w:t>
      </w:r>
      <w:r>
        <w:t xml:space="preserve"> </w:t>
      </w:r>
      <w:hyperlink w:anchor="tbl-wd-itd">
        <w:r>
          <w:rPr>
            <w:rStyle w:val="Hyperlink"/>
          </w:rPr>
          <w:t xml:space="preserve">Table 10.2</w:t>
        </w:r>
      </w:hyperlink>
      <w:r>
        <w:t xml:space="preserve">.</w:t>
      </w:r>
    </w:p>
    <w:bookmarkStart w:id="95" w:name="tbl-wd-itd"/>
    <w:p>
      <w:pPr>
        <w:pStyle w:val="TableCaption"/>
      </w:pPr>
      <w:r>
        <w:t xml:space="preserve">Table 10.2: An example of iterated weak dominance.</w:t>
      </w:r>
    </w:p>
    <w:tbl>
      <w:tblPr>
        <w:tblStyle w:val="Table"/>
        <w:tblW w:type="auto" w:w="0"/>
        <w:tblLook w:firstRow="0" w:lastRow="0" w:firstColumn="0" w:lastColumn="0" w:noHBand="0" w:noVBand="0" w:val="0000"/>
        <w:jc w:val="start"/>
        <w:tblCaption w:val="Table 10.2: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5"/>
    <w:p>
      <w:pPr>
        <w:pStyle w:val="BodyText"/>
      </w:pPr>
      <w:r>
        <w:t xml:space="preserve">In</w:t>
      </w:r>
      <w:r>
        <w:t xml:space="preserve"> </w:t>
      </w:r>
      <w:hyperlink w:anchor="tbl-wd-itd">
        <w:r>
          <w:rPr>
            <w:rStyle w:val="Hyperlink"/>
          </w:rPr>
          <w:t xml:space="preserve">Table 10.2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10.1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10.2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10.1</w:t>
        </w:r>
      </w:hyperlink>
      <w:r>
        <w:t xml:space="preserve"> </w:t>
      </w:r>
      <w:r>
        <w:t xml:space="preserve">simply don’t carry over to</w:t>
      </w:r>
      <w:r>
        <w:t xml:space="preserve"> </w:t>
      </w:r>
      <w:hyperlink w:anchor="tbl-wd-itd">
        <w:r>
          <w:rPr>
            <w:rStyle w:val="Hyperlink"/>
          </w:rPr>
          <w:t xml:space="preserve">Table 10.2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10.1</w:t>
        </w:r>
      </w:hyperlink>
      <w:r>
        <w:t xml:space="preserve">, but not in</w:t>
      </w:r>
      <w:r>
        <w:t xml:space="preserve"> </w:t>
      </w:r>
      <w:hyperlink w:anchor="tbl-wd-itd">
        <w:r>
          <w:rPr>
            <w:rStyle w:val="Hyperlink"/>
          </w:rPr>
          <w:t xml:space="preserve">Table 10.2</w:t>
        </w:r>
      </w:hyperlink>
      <w:r>
        <w:t xml:space="preserve">.</w:t>
      </w:r>
    </w:p>
    <w:bookmarkEnd w:id="96"/>
    <w:bookmarkStart w:id="98"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7"/>
      </w:r>
    </w:p>
    <w:bookmarkEnd w:id="98"/>
    <w:bookmarkStart w:id="99" w:name="sec-rps"/>
    <w:p>
      <w:pPr>
        <w:pStyle w:val="Heading1"/>
      </w:pPr>
      <w:r>
        <w:t xml:space="preserve">Appendix One: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99"/>
    <w:bookmarkStart w:id="112" w:name="sec-buchak"/>
    <w:p>
      <w:pPr>
        <w:pStyle w:val="Heading1"/>
      </w:pPr>
      <w:r>
        <w:t xml:space="preserve">Appendix Two: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11.1</w:t>
        </w:r>
      </w:hyperlink>
      <w:r>
        <w:t xml:space="preserve">.</w:t>
      </w:r>
    </w:p>
    <w:bookmarkStart w:id="102" w:name="tbl-general-coin-exit"/>
    <w:tbl>
      <w:tblPr>
        <w:tblStyle w:val="Table"/>
        <w:tblW w:type="pct" w:w="5000"/>
        <w:tblLook w:firstRow="0" w:lastRow="0" w:firstColumn="0" w:lastColumn="0" w:noHBand="0" w:noVBand="0" w:val="0000"/>
        <w:jc w:val="start"/>
      </w:tblPr>
      <w:tblGrid>
        <w:gridCol w:w="3960"/>
        <w:gridCol w:w="3960"/>
      </w:tblGrid>
      <w:tr>
        <w:tc>
          <w:tcPr/>
          <w:bookmarkStart w:id="100"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10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1"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101"/>
          <w:p/>
        </w:tc>
      </w:tr>
    </w:tbl>
    <w:p>
      <w:pPr>
        <w:pStyle w:val="BodyText"/>
      </w:pPr>
      <w:pPr>
        <w:spacing w:before="200"/>
        <w:pStyle w:val="ImageCaption"/>
      </w:pPr>
      <w:r>
        <w:t xml:space="preserve">Table 11.1: The abstract form of an exit problem with coins.</w:t>
      </w:r>
    </w:p>
    <w:bookmarkEnd w:id="102"/>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11.2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105" w:name="tbl-zero-coin-exit"/>
    <w:tbl>
      <w:tblPr>
        <w:tblStyle w:val="Table"/>
        <w:tblW w:type="pct" w:w="5000"/>
        <w:tblLook w:firstRow="0" w:lastRow="0" w:firstColumn="0" w:lastColumn="0" w:noHBand="0" w:noVBand="0" w:val="0000"/>
        <w:jc w:val="start"/>
      </w:tblPr>
      <w:tblGrid>
        <w:gridCol w:w="3960"/>
        <w:gridCol w:w="3960"/>
      </w:tblGrid>
      <w:tr>
        <w:tc>
          <w:tcPr/>
          <w:bookmarkStart w:id="103"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10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4"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4"/>
          <w:p/>
        </w:tc>
      </w:tr>
    </w:tbl>
    <w:p>
      <w:pPr>
        <w:pStyle w:val="BodyText"/>
      </w:pPr>
      <w:pPr>
        <w:spacing w:before="200"/>
        <w:pStyle w:val="ImageCaption"/>
      </w:pPr>
      <w:r>
        <w:t xml:space="preserve">Table 11.2: An exit game with exit payout 0.</w:t>
      </w:r>
    </w:p>
    <w:bookmarkEnd w:id="105"/>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11.3</w:t>
        </w:r>
      </w:hyperlink>
      <w:r>
        <w:t xml:space="preserve">, where</w:t>
      </w:r>
      <w:r>
        <w:t xml:space="preserve"> </w:t>
      </w:r>
      <m:oMath>
        <m:r>
          <m:t>y</m:t>
        </m:r>
      </m:oMath>
      <w:r>
        <w:t xml:space="preserve"> </w:t>
      </w:r>
      <w:r>
        <w:t xml:space="preserve">is arbitrary.</w:t>
      </w:r>
    </w:p>
    <w:bookmarkStart w:id="108" w:name="tbl-one-coin-exit"/>
    <w:tbl>
      <w:tblPr>
        <w:tblStyle w:val="Table"/>
        <w:tblW w:type="pct" w:w="5000"/>
        <w:tblLook w:firstRow="0" w:lastRow="0" w:firstColumn="0" w:lastColumn="0" w:noHBand="0" w:noVBand="0" w:val="0000"/>
        <w:jc w:val="start"/>
      </w:tblPr>
      <w:tblGrid>
        <w:gridCol w:w="3960"/>
        <w:gridCol w:w="3960"/>
      </w:tblGrid>
      <w:tr>
        <w:tc>
          <w:tcPr/>
          <w:bookmarkStart w:id="106"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7"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7"/>
          <w:p/>
        </w:tc>
      </w:tr>
    </w:tbl>
    <w:p>
      <w:pPr>
        <w:pStyle w:val="BodyText"/>
      </w:pPr>
      <w:pPr>
        <w:spacing w:before="200"/>
        <w:pStyle w:val="ImageCaption"/>
      </w:pPr>
      <w:r>
        <w:t xml:space="preserve">Table 11.3: An exit game with exit payout 1.</w:t>
      </w:r>
    </w:p>
    <w:bookmarkEnd w:id="108"/>
    <w:p>
      <w:pPr>
        <w:pStyle w:val="BodyText"/>
      </w:pPr>
      <w:r>
        <w:t xml:space="preserve">In</w:t>
      </w:r>
      <w:r>
        <w:t xml:space="preserve"> </w:t>
      </w:r>
      <w:hyperlink w:anchor="tbl-one-coin-exit">
        <w:r>
          <w:rPr>
            <w:rStyle w:val="Hyperlink"/>
          </w:rPr>
          <w:t xml:space="preserve">Table 11.3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11.4</w:t>
        </w:r>
      </w:hyperlink>
      <w:r>
        <w:t xml:space="preserve">, which is just the same as</w:t>
      </w:r>
      <w:r>
        <w:t xml:space="preserve"> </w:t>
      </w:r>
      <w:hyperlink w:anchor="tbl-one-coin-exit">
        <w:r>
          <w:rPr>
            <w:rStyle w:val="Hyperlink"/>
          </w:rPr>
          <w:t xml:space="preserve">Table 11.3</w:t>
        </w:r>
      </w:hyperlink>
      <w:r>
        <w:t xml:space="preserve">, except the exit payout is now 2.</w:t>
      </w:r>
    </w:p>
    <w:bookmarkStart w:id="111" w:name="tbl-two-coin-exit"/>
    <w:tbl>
      <w:tblPr>
        <w:tblStyle w:val="Table"/>
        <w:tblW w:type="pct" w:w="5000"/>
        <w:tblLook w:firstRow="0" w:lastRow="0" w:firstColumn="0" w:lastColumn="0" w:noHBand="0" w:noVBand="0" w:val="0000"/>
        <w:jc w:val="start"/>
      </w:tblPr>
      <w:tblGrid>
        <w:gridCol w:w="3960"/>
        <w:gridCol w:w="3960"/>
      </w:tblGrid>
      <w:tr>
        <w:tc>
          <w:tcPr/>
          <w:bookmarkStart w:id="109"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10"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10"/>
          <w:p/>
        </w:tc>
      </w:tr>
    </w:tbl>
    <w:p>
      <w:pPr>
        <w:pStyle w:val="BodyText"/>
      </w:pPr>
      <w:pPr>
        <w:spacing w:before="200"/>
        <w:pStyle w:val="ImageCaption"/>
      </w:pPr>
      <w:r>
        <w:t xml:space="preserve">Table 11.4: An exit game with exit payout 2.</w:t>
      </w:r>
    </w:p>
    <w:bookmarkEnd w:id="111"/>
    <w:p>
      <w:pPr>
        <w:pStyle w:val="BodyText"/>
      </w:pPr>
      <w:r>
        <w:t xml:space="preserve">In</w:t>
      </w:r>
      <w:r>
        <w:t xml:space="preserve"> </w:t>
      </w:r>
      <w:hyperlink w:anchor="tbl-two-coin-exit">
        <w:r>
          <w:rPr>
            <w:rStyle w:val="Hyperlink"/>
          </w:rPr>
          <w:t xml:space="preserve">Table 11.4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12"/>
    <w:bookmarkStart w:id="224" w:name="references"/>
    <w:p>
      <w:pPr>
        <w:pStyle w:val="Heading1"/>
      </w:pPr>
      <w:r>
        <w:t xml:space="preserve">References</w:t>
      </w:r>
    </w:p>
    <w:bookmarkStart w:id="223" w:name="refs"/>
    <w:bookmarkStart w:id="114"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13">
        <w:r>
          <w:rPr>
            <w:rStyle w:val="Hyperlink"/>
          </w:rPr>
          <w:t xml:space="preserve">https://doi.org/10.1086/666065</w:t>
        </w:r>
      </w:hyperlink>
      <w:r>
        <w:t xml:space="preserve">.</w:t>
      </w:r>
    </w:p>
    <w:bookmarkEnd w:id="114"/>
    <w:bookmarkStart w:id="116"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15">
        <w:r>
          <w:rPr>
            <w:rStyle w:val="Hyperlink"/>
          </w:rPr>
          <w:t xml:space="preserve">https://doi.org/10.1093/mind/fzz073</w:t>
        </w:r>
      </w:hyperlink>
      <w:r>
        <w:t xml:space="preserve">.</w:t>
      </w:r>
    </w:p>
    <w:bookmarkEnd w:id="116"/>
    <w:bookmarkStart w:id="118"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17">
        <w:r>
          <w:rPr>
            <w:rStyle w:val="Hyperlink"/>
          </w:rPr>
          <w:t xml:space="preserve">https://doi.org/10.2307/1879431</w:t>
        </w:r>
      </w:hyperlink>
      <w:r>
        <w:t xml:space="preserve">.</w:t>
      </w:r>
    </w:p>
    <w:bookmarkEnd w:id="118"/>
    <w:bookmarkStart w:id="120"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9">
        <w:r>
          <w:rPr>
            <w:rStyle w:val="Hyperlink"/>
          </w:rPr>
          <w:t xml:space="preserve">https://www.nytimes.com/2023/06/19/world/americas/argentina-inflation-peso-restaurants.html</w:t>
        </w:r>
      </w:hyperlink>
      <w:r>
        <w:t xml:space="preserve">.</w:t>
      </w:r>
    </w:p>
    <w:bookmarkEnd w:id="120"/>
    <w:bookmarkStart w:id="122"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21">
        <w:r>
          <w:rPr>
            <w:rStyle w:val="Hyperlink"/>
          </w:rPr>
          <w:t xml:space="preserve">https://doi.org/10.2307/1907921</w:t>
        </w:r>
      </w:hyperlink>
      <w:r>
        <w:t xml:space="preserve">.</w:t>
      </w:r>
    </w:p>
    <w:bookmarkEnd w:id="122"/>
    <w:bookmarkStart w:id="124"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23">
        <w:r>
          <w:rPr>
            <w:rStyle w:val="Hyperlink"/>
          </w:rPr>
          <w:t xml:space="preserve">https://doi.org/10.1007/s10670-007-9084-8</w:t>
        </w:r>
      </w:hyperlink>
      <w:r>
        <w:t xml:space="preserve">.</w:t>
      </w:r>
    </w:p>
    <w:bookmarkEnd w:id="124"/>
    <w:bookmarkStart w:id="126"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25">
        <w:r>
          <w:rPr>
            <w:rStyle w:val="Hyperlink"/>
          </w:rPr>
          <w:t xml:space="preserve">https://doi.org/10.5840/jphil202211925</w:t>
        </w:r>
      </w:hyperlink>
      <w:r>
        <w:t xml:space="preserve">.</w:t>
      </w:r>
    </w:p>
    <w:bookmarkEnd w:id="126"/>
    <w:bookmarkStart w:id="128"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27">
        <w:r>
          <w:rPr>
            <w:rStyle w:val="Hyperlink"/>
          </w:rPr>
          <w:t xml:space="preserve">https://doi.org/10.1016/S0022-0531(05)80039-0</w:t>
        </w:r>
      </w:hyperlink>
      <w:r>
        <w:t xml:space="preserve">.</w:t>
      </w:r>
    </w:p>
    <w:bookmarkEnd w:id="128"/>
    <w:bookmarkStart w:id="130"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9">
        <w:r>
          <w:rPr>
            <w:rStyle w:val="Hyperlink"/>
          </w:rPr>
          <w:t xml:space="preserve">http://faculty.econ.ucdavis.edu/faculty/bonanno/GT_Book.html</w:t>
        </w:r>
      </w:hyperlink>
      <w:r>
        <w:t xml:space="preserve">.</w:t>
      </w:r>
    </w:p>
    <w:bookmarkEnd w:id="130"/>
    <w:bookmarkStart w:id="132"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31">
        <w:r>
          <w:rPr>
            <w:rStyle w:val="Hyperlink"/>
          </w:rPr>
          <w:t xml:space="preserve">https://doi.org/doi.org/10.1111/phpr.13006</w:t>
        </w:r>
      </w:hyperlink>
      <w:r>
        <w:t xml:space="preserve">.</w:t>
      </w:r>
    </w:p>
    <w:bookmarkEnd w:id="132"/>
    <w:bookmarkStart w:id="133" w:name="ref-BuchakRisk"/>
    <w:p>
      <w:pPr>
        <w:pStyle w:val="Bibliography"/>
      </w:pPr>
      <w:r>
        <w:t xml:space="preserve">Buchak, Lara. 2013.</w:t>
      </w:r>
      <w:r>
        <w:t xml:space="preserve"> </w:t>
      </w:r>
      <w:r>
        <w:rPr>
          <w:iCs/>
          <w:i/>
        </w:rPr>
        <w:t xml:space="preserve">Risk and Rationality</w:t>
      </w:r>
      <w:r>
        <w:t xml:space="preserve">. Oxford: Oxford University Press.</w:t>
      </w:r>
    </w:p>
    <w:bookmarkEnd w:id="133"/>
    <w:bookmarkStart w:id="135"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34">
        <w:r>
          <w:rPr>
            <w:rStyle w:val="Hyperlink"/>
          </w:rPr>
          <w:t xml:space="preserve">https://doi.org/10.1086/339673</w:t>
        </w:r>
      </w:hyperlink>
      <w:r>
        <w:t xml:space="preserve">.</w:t>
      </w:r>
    </w:p>
    <w:bookmarkEnd w:id="135"/>
    <w:bookmarkStart w:id="137"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36">
        <w:r>
          <w:rPr>
            <w:rStyle w:val="Hyperlink"/>
          </w:rPr>
          <w:t xml:space="preserve">https://doi.org/10.2307/1885060</w:t>
        </w:r>
      </w:hyperlink>
      <w:r>
        <w:t xml:space="preserve">.</w:t>
      </w:r>
    </w:p>
    <w:bookmarkEnd w:id="137"/>
    <w:bookmarkStart w:id="139"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8">
        <w:r>
          <w:rPr>
            <w:rStyle w:val="Hyperlink"/>
          </w:rPr>
          <w:t xml:space="preserve">https://doi.org/10.1086/658093</w:t>
        </w:r>
      </w:hyperlink>
      <w:r>
        <w:t xml:space="preserve">.</w:t>
      </w:r>
    </w:p>
    <w:bookmarkEnd w:id="139"/>
    <w:bookmarkStart w:id="141"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40">
        <w:r>
          <w:rPr>
            <w:rStyle w:val="Hyperlink"/>
          </w:rPr>
          <w:t xml:space="preserve">https://doi.org/10.1215/00318108-2006-023</w:t>
        </w:r>
      </w:hyperlink>
      <w:r>
        <w:t xml:space="preserve">.</w:t>
      </w:r>
    </w:p>
    <w:bookmarkEnd w:id="141"/>
    <w:bookmarkStart w:id="143"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42">
        <w:r>
          <w:rPr>
            <w:rStyle w:val="Hyperlink"/>
          </w:rPr>
          <w:t xml:space="preserve">https://doi.org/10.1093/analys/anz059</w:t>
        </w:r>
      </w:hyperlink>
      <w:r>
        <w:t xml:space="preserve">.</w:t>
      </w:r>
    </w:p>
    <w:bookmarkEnd w:id="143"/>
    <w:bookmarkStart w:id="145"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44">
        <w:r>
          <w:rPr>
            <w:rStyle w:val="Hyperlink"/>
          </w:rPr>
          <w:t xml:space="preserve">10.1111/j.1468-0262.2005.00631.x</w:t>
        </w:r>
      </w:hyperlink>
      <w:r>
        <w:t xml:space="preserve">.</w:t>
      </w:r>
    </w:p>
    <w:bookmarkEnd w:id="145"/>
    <w:bookmarkStart w:id="147"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46">
        <w:r>
          <w:rPr>
            <w:rStyle w:val="Hyperlink"/>
          </w:rPr>
          <w:t xml:space="preserve">https://doi.org/10.1111/nous.12459</w:t>
        </w:r>
      </w:hyperlink>
      <w:r>
        <w:t xml:space="preserve">.</w:t>
      </w:r>
    </w:p>
    <w:bookmarkEnd w:id="147"/>
    <w:bookmarkStart w:id="149"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48">
        <w:r>
          <w:rPr>
            <w:rStyle w:val="Hyperlink"/>
          </w:rPr>
          <w:t xml:space="preserve">https://doi.org/10.5840/jphil202011739</w:t>
        </w:r>
      </w:hyperlink>
      <w:r>
        <w:t xml:space="preserve">.</w:t>
      </w:r>
    </w:p>
    <w:bookmarkEnd w:id="149"/>
    <w:bookmarkStart w:id="151"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50">
        <w:r>
          <w:rPr>
            <w:rStyle w:val="Hyperlink"/>
          </w:rPr>
          <w:t xml:space="preserve">https://philpapers.org/archive/GALTST-2.pdf</w:t>
        </w:r>
      </w:hyperlink>
      <w:r>
        <w:t xml:space="preserve">.</w:t>
      </w:r>
    </w:p>
    <w:bookmarkEnd w:id="151"/>
    <w:bookmarkStart w:id="153"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52">
        <w:r>
          <w:rPr>
            <w:rStyle w:val="Hyperlink"/>
          </w:rPr>
          <w:t xml:space="preserve">https://doi.org/10.1111/nous.12473</w:t>
        </w:r>
      </w:hyperlink>
      <w:r>
        <w:t xml:space="preserve">.</w:t>
      </w:r>
    </w:p>
    <w:bookmarkEnd w:id="153"/>
    <w:bookmarkStart w:id="155"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54">
        <w:r>
          <w:rPr>
            <w:rStyle w:val="Hyperlink"/>
          </w:rPr>
          <w:t xml:space="preserve">https://doi.org/10.1515/bejte-2018-0185</w:t>
        </w:r>
      </w:hyperlink>
      <w:r>
        <w:t xml:space="preserve">.</w:t>
      </w:r>
    </w:p>
    <w:bookmarkEnd w:id="155"/>
    <w:bookmarkStart w:id="157"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156">
        <w:r>
          <w:rPr>
            <w:rStyle w:val="Hyperlink"/>
          </w:rPr>
          <w:t xml:space="preserve">https://doi.org/10.1007/s10670-010-9267-6</w:t>
        </w:r>
      </w:hyperlink>
      <w:r>
        <w:t xml:space="preserve">.</w:t>
      </w:r>
    </w:p>
    <w:bookmarkEnd w:id="157"/>
    <w:bookmarkStart w:id="159"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58">
        <w:r>
          <w:rPr>
            <w:rStyle w:val="Hyperlink"/>
          </w:rPr>
          <w:t xml:space="preserve">https://doi.org/10.1111/nous.12094</w:t>
        </w:r>
      </w:hyperlink>
      <w:r>
        <w:t xml:space="preserve">.</w:t>
      </w:r>
    </w:p>
    <w:bookmarkEnd w:id="159"/>
    <w:bookmarkStart w:id="161"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60">
        <w:r>
          <w:rPr>
            <w:rStyle w:val="Hyperlink"/>
          </w:rPr>
          <w:t xml:space="preserve">https://doi.org/10.1007/BF00183199</w:t>
        </w:r>
      </w:hyperlink>
      <w:r>
        <w:t xml:space="preserve">.</w:t>
      </w:r>
    </w:p>
    <w:bookmarkEnd w:id="161"/>
    <w:bookmarkStart w:id="163"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62">
        <w:r>
          <w:rPr>
            <w:rStyle w:val="Hyperlink"/>
          </w:rPr>
          <w:t xml:space="preserve">https://doi.org/10.1007/978-94-009-2865-7_2</w:t>
        </w:r>
      </w:hyperlink>
      <w:r>
        <w:t xml:space="preserve">.</w:t>
      </w:r>
    </w:p>
    <w:bookmarkEnd w:id="163"/>
    <w:bookmarkStart w:id="165"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64">
        <w:r>
          <w:rPr>
            <w:rStyle w:val="Hyperlink"/>
          </w:rPr>
          <w:t xml:space="preserve">https://doi.org/10.1093/pq/pqac083</w:t>
        </w:r>
      </w:hyperlink>
      <w:r>
        <w:t xml:space="preserve">.</w:t>
      </w:r>
    </w:p>
    <w:bookmarkEnd w:id="165"/>
    <w:bookmarkStart w:id="167"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66">
        <w:r>
          <w:rPr>
            <w:rStyle w:val="Hyperlink"/>
          </w:rPr>
          <w:t xml:space="preserve">https://doi.org/10.2307/2185591</w:t>
        </w:r>
      </w:hyperlink>
      <w:r>
        <w:t xml:space="preserve">.</w:t>
      </w:r>
    </w:p>
    <w:bookmarkEnd w:id="167"/>
    <w:bookmarkStart w:id="168"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68"/>
    <w:bookmarkStart w:id="170"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69">
        <w:r>
          <w:rPr>
            <w:rStyle w:val="Hyperlink"/>
          </w:rPr>
          <w:t xml:space="preserve">https://doi.org/10.1093/pq/pqad072</w:t>
        </w:r>
      </w:hyperlink>
      <w:r>
        <w:t xml:space="preserve">.</w:t>
      </w:r>
    </w:p>
    <w:bookmarkEnd w:id="170"/>
    <w:bookmarkStart w:id="172"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71">
        <w:r>
          <w:rPr>
            <w:rStyle w:val="Hyperlink"/>
          </w:rPr>
          <w:t xml:space="preserve">https://doi.org/10.5840/jphil2020117516</w:t>
        </w:r>
      </w:hyperlink>
      <w:r>
        <w:t xml:space="preserve">.</w:t>
      </w:r>
    </w:p>
    <w:bookmarkEnd w:id="172"/>
    <w:bookmarkStart w:id="173"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73"/>
    <w:bookmarkStart w:id="175"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74">
        <w:r>
          <w:rPr>
            <w:rStyle w:val="Hyperlink"/>
          </w:rPr>
          <w:t xml:space="preserve">https://doi.org/10.2307/2215439</w:t>
        </w:r>
      </w:hyperlink>
      <w:r>
        <w:t xml:space="preserve">.</w:t>
      </w:r>
    </w:p>
    <w:bookmarkEnd w:id="175"/>
    <w:bookmarkStart w:id="176"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76"/>
    <w:bookmarkStart w:id="178"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77">
        <w:r>
          <w:rPr>
            <w:rStyle w:val="Hyperlink"/>
          </w:rPr>
          <w:t xml:space="preserve">https://doi.org/10.2307/2296233</w:t>
        </w:r>
      </w:hyperlink>
      <w:r>
        <w:t xml:space="preserve">.</w:t>
      </w:r>
    </w:p>
    <w:bookmarkEnd w:id="178"/>
    <w:bookmarkStart w:id="179"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79"/>
    <w:bookmarkStart w:id="181"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80">
        <w:r>
          <w:rPr>
            <w:rStyle w:val="Hyperlink"/>
          </w:rPr>
          <w:t xml:space="preserve">https://doi.org/10.1007/BF01753236</w:t>
        </w:r>
      </w:hyperlink>
      <w:r>
        <w:t xml:space="preserve">.</w:t>
      </w:r>
    </w:p>
    <w:bookmarkEnd w:id="181"/>
    <w:bookmarkStart w:id="182"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82"/>
    <w:bookmarkStart w:id="183"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83"/>
    <w:bookmarkStart w:id="185"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84">
        <w:r>
          <w:rPr>
            <w:rStyle w:val="Hyperlink"/>
          </w:rPr>
          <w:t xml:space="preserve">https://doi.org/10.1111/nous.12353</w:t>
        </w:r>
      </w:hyperlink>
      <w:r>
        <w:t xml:space="preserve">.</w:t>
      </w:r>
    </w:p>
    <w:bookmarkEnd w:id="185"/>
    <w:bookmarkStart w:id="187"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86">
        <w:r>
          <w:rPr>
            <w:rStyle w:val="Hyperlink"/>
          </w:rPr>
          <w:t xml:space="preserve">https://doi.org/10.1016/0167-2681(82)90008-7</w:t>
        </w:r>
      </w:hyperlink>
      <w:r>
        <w:t xml:space="preserve">.</w:t>
      </w:r>
    </w:p>
    <w:bookmarkEnd w:id="187"/>
    <w:bookmarkStart w:id="188"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88"/>
    <w:bookmarkStart w:id="190"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89">
        <w:r>
          <w:rPr>
            <w:rStyle w:val="Hyperlink"/>
          </w:rPr>
          <w:t xml:space="preserve">https://doi.org/10.1080/00048408412341601</w:t>
        </w:r>
      </w:hyperlink>
      <w:r>
        <w:t xml:space="preserve">.</w:t>
      </w:r>
    </w:p>
    <w:bookmarkEnd w:id="190"/>
    <w:bookmarkStart w:id="191"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91"/>
    <w:bookmarkStart w:id="193"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92">
        <w:r>
          <w:rPr>
            <w:rStyle w:val="Hyperlink"/>
          </w:rPr>
          <w:t xml:space="preserve">https://doi.org/10.1007/BF01766400</w:t>
        </w:r>
      </w:hyperlink>
      <w:r>
        <w:t xml:space="preserve">.</w:t>
      </w:r>
    </w:p>
    <w:bookmarkEnd w:id="193"/>
    <w:bookmarkStart w:id="194"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94"/>
    <w:bookmarkStart w:id="195"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95"/>
    <w:bookmarkStart w:id="196"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96"/>
    <w:bookmarkStart w:id="197"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97"/>
    <w:bookmarkStart w:id="199"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98">
        <w:r>
          <w:rPr>
            <w:rStyle w:val="Hyperlink"/>
          </w:rPr>
          <w:t xml:space="preserve">https://doi.org/10.1093/analys/anaa037</w:t>
        </w:r>
      </w:hyperlink>
      <w:r>
        <w:t xml:space="preserve">.</w:t>
      </w:r>
    </w:p>
    <w:bookmarkEnd w:id="199"/>
    <w:bookmarkStart w:id="201"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200">
        <w:r>
          <w:rPr>
            <w:rStyle w:val="Hyperlink"/>
          </w:rPr>
          <w:t xml:space="preserve">https://doi.org/10.1007/s11098-020-01509-9</w:t>
        </w:r>
      </w:hyperlink>
      <w:r>
        <w:t xml:space="preserve">.</w:t>
      </w:r>
    </w:p>
    <w:bookmarkEnd w:id="201"/>
    <w:bookmarkStart w:id="203"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202">
        <w:r>
          <w:rPr>
            <w:rStyle w:val="Hyperlink"/>
          </w:rPr>
          <w:t xml:space="preserve">https://doi.org/10.1080/00048402.2021.1958880</w:t>
        </w:r>
      </w:hyperlink>
      <w:r>
        <w:t xml:space="preserve">.</w:t>
      </w:r>
    </w:p>
    <w:bookmarkEnd w:id="203"/>
    <w:bookmarkStart w:id="205"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204">
        <w:r>
          <w:rPr>
            <w:rStyle w:val="Hyperlink"/>
          </w:rPr>
          <w:t xml:space="preserve">https://doi.org/10.1111/phpr.12466</w:t>
        </w:r>
      </w:hyperlink>
      <w:r>
        <w:t xml:space="preserve">.</w:t>
      </w:r>
    </w:p>
    <w:bookmarkEnd w:id="205"/>
    <w:bookmarkStart w:id="207"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06">
        <w:r>
          <w:rPr>
            <w:rStyle w:val="Hyperlink"/>
          </w:rPr>
          <w:t xml:space="preserve">https://doi.org/10.1016/S0165-4896(98)00007-9</w:t>
        </w:r>
      </w:hyperlink>
      <w:r>
        <w:t xml:space="preserve">.</w:t>
      </w:r>
    </w:p>
    <w:bookmarkEnd w:id="207"/>
    <w:bookmarkStart w:id="208"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08"/>
    <w:bookmarkStart w:id="209"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09"/>
    <w:bookmarkStart w:id="210"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10"/>
    <w:bookmarkStart w:id="212"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11">
        <w:r>
          <w:rPr>
            <w:rStyle w:val="Hyperlink"/>
          </w:rPr>
          <w:t xml:space="preserve">https://doi.org/10.1086/699256</w:t>
        </w:r>
      </w:hyperlink>
      <w:r>
        <w:t xml:space="preserve">.</w:t>
      </w:r>
    </w:p>
    <w:bookmarkEnd w:id="212"/>
    <w:bookmarkStart w:id="214"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13">
        <w:r>
          <w:rPr>
            <w:rStyle w:val="Hyperlink"/>
          </w:rPr>
          <w:t xml:space="preserve">https://doi.org/10.1007/s11229-011-9900-1</w:t>
        </w:r>
      </w:hyperlink>
      <w:r>
        <w:t xml:space="preserve">.</w:t>
      </w:r>
    </w:p>
    <w:bookmarkEnd w:id="214"/>
    <w:bookmarkStart w:id="216"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15">
        <w:r>
          <w:rPr>
            <w:rStyle w:val="Hyperlink"/>
          </w:rPr>
          <w:t xml:space="preserve">https://doi.org/10.1080/00048408512342061</w:t>
        </w:r>
      </w:hyperlink>
      <w:r>
        <w:t xml:space="preserve">.</w:t>
      </w:r>
    </w:p>
    <w:bookmarkEnd w:id="216"/>
    <w:bookmarkStart w:id="218"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17">
        <w:r>
          <w:rPr>
            <w:rStyle w:val="Hyperlink"/>
          </w:rPr>
          <w:t xml:space="preserve">https://doi.org/10.1093/mind/fzx018</w:t>
        </w:r>
      </w:hyperlink>
      <w:r>
        <w:t xml:space="preserve">.</w:t>
      </w:r>
    </w:p>
    <w:bookmarkEnd w:id="218"/>
    <w:bookmarkStart w:id="220"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19">
        <w:r>
          <w:rPr>
            <w:rStyle w:val="Hyperlink"/>
          </w:rPr>
          <w:t xml:space="preserve">https://doi.org/10.1287/mnsc.13.11.816</w:t>
        </w:r>
      </w:hyperlink>
      <w:r>
        <w:t xml:space="preserve">.</w:t>
      </w:r>
    </w:p>
    <w:bookmarkEnd w:id="220"/>
    <w:bookmarkStart w:id="221"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21"/>
    <w:bookmarkStart w:id="222"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22"/>
    <w:bookmarkEnd w:id="223"/>
    <w:bookmarkEnd w:id="224"/>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5">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6">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7">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1">
    <w:p>
      <w:pPr>
        <w:pStyle w:val="FootnoteText"/>
      </w:pPr>
      <w:r>
        <w:rPr>
          <w:rStyle w:val="FootnoteReference"/>
        </w:rPr>
        <w:footnoteRef/>
      </w:r>
      <w:r>
        <w:t xml:space="preserve"> </w:t>
      </w:r>
      <w:r>
        <w:t xml:space="preserve">The proof is in Appendix One.</w:t>
      </w:r>
    </w:p>
  </w:footnote>
  <w:footnote w:id="33">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4">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5">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7">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8">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9">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Chapter 7</w:t>
        </w:r>
      </w:hyperlink>
      <w:r>
        <w:t xml:space="preserve">. But the label seems entrenched, so I’ll use it. In contrast, evidential decision theory, EDT, is a theory; it is a full account of what to do in all cases.</w:t>
      </w:r>
    </w:p>
  </w:footnote>
  <w:footnote w:id="40">
    <w:p>
      <w:pPr>
        <w:pStyle w:val="FootnoteText"/>
      </w:pPr>
      <w:r>
        <w:rPr>
          <w:rStyle w:val="FootnoteReference"/>
        </w:rPr>
        <w:footnoteRef/>
      </w:r>
      <w:r>
        <w:t xml:space="preserve"> </w:t>
      </w:r>
      <w:r>
        <w:t xml:space="preserve">See</w:t>
      </w:r>
      <w:r>
        <w:t xml:space="preserve"> </w:t>
      </w:r>
      <w:r>
        <w:t xml:space="preserve">Wells (2019)</w:t>
      </w:r>
      <w:r>
        <w:t xml:space="preserve"> </w:t>
      </w:r>
      <w:r>
        <w:t xml:space="preserve">for a slightly more complicated case, and</w:t>
      </w:r>
      <w:r>
        <w:t xml:space="preserve"> </w:t>
      </w:r>
      <w:r>
        <w:t xml:space="preserve">Ahmed (2020)</w:t>
      </w:r>
      <w:r>
        <w:t xml:space="preserve"> </w:t>
      </w:r>
      <w:r>
        <w:t xml:space="preserve">for an argument that Wells’s argument is unfair to EDT.</w:t>
      </w:r>
    </w:p>
  </w:footnote>
  <w:footnote w:id="45">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6">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7">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52">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4">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6">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61">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70">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72">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73">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4">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7">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8">
    <w:p>
      <w:pPr>
        <w:pStyle w:val="FootnoteText"/>
      </w:pPr>
      <w:r>
        <w:rPr>
          <w:rStyle w:val="FootnoteReference"/>
        </w:rPr>
        <w:footnoteRef/>
      </w:r>
      <w:r>
        <w:t xml:space="preserve"> </w:t>
      </w:r>
      <w:r>
        <w:t xml:space="preserve">Assume Chooser is reasonably risk-neutral over dollars over this range of outcomes.</w:t>
      </w:r>
    </w:p>
  </w:footnote>
  <w:footnote w:id="84">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6">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87">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88">
    <w:p>
      <w:pPr>
        <w:pStyle w:val="FootnoteText"/>
      </w:pPr>
      <w:r>
        <w:rPr>
          <w:rStyle w:val="FootnoteReference"/>
        </w:rPr>
        <w:footnoteRef/>
      </w:r>
      <w:r>
        <w:t xml:space="preserve"> </w:t>
      </w:r>
      <w:r>
        <w:t xml:space="preserve">That is, what Chooser will do if Heads, and what they will do if Tails.</w:t>
      </w:r>
    </w:p>
  </w:footnote>
  <w:footnote w:id="89">
    <w:p>
      <w:pPr>
        <w:pStyle w:val="FootnoteText"/>
      </w:pPr>
      <w:r>
        <w:rPr>
          <w:rStyle w:val="FootnoteReference"/>
        </w:rPr>
        <w:footnoteRef/>
      </w:r>
      <w:r>
        <w:t xml:space="preserve"> </w:t>
      </w:r>
      <w:r>
        <w:t xml:space="preserve">If both are equally likely, Demon will flip a fair coin and say how it lands.</w:t>
      </w:r>
    </w:p>
  </w:footnote>
  <w:footnote w:id="91">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7</w:t>
        </w:r>
      </w:hyperlink>
      <w:r>
        <w:t xml:space="preserve"> </w:t>
      </w:r>
      <w:r>
        <w:t xml:space="preserve">also start preferring option 2. But applying these theories to complex cases is hard, so I’m not quite sure about this.</w:t>
      </w:r>
    </w:p>
  </w:footnote>
  <w:footnote w:id="94">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7">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129" Target="http://faculty.econ.ucdavis.edu/faculty/bonanno/GT_Book.html" TargetMode="External" /><Relationship Type="http://schemas.openxmlformats.org/officeDocument/2006/relationships/hyperlink" Id="rId144" Target="https://10.1111/j.1468-0262.2005.00631.x" TargetMode="External" /><Relationship Type="http://schemas.openxmlformats.org/officeDocument/2006/relationships/hyperlink" Id="rId20" Target="https://brian.weatherson.org/gdt/gdt.html" TargetMode="External" /><Relationship Type="http://schemas.openxmlformats.org/officeDocument/2006/relationships/hyperlink" Id="rId162" Target="https://doi.org/10.1007/978-94-009-2865-7_2" TargetMode="External" /><Relationship Type="http://schemas.openxmlformats.org/officeDocument/2006/relationships/hyperlink" Id="rId160" Target="https://doi.org/10.1007/BF00183199" TargetMode="External" /><Relationship Type="http://schemas.openxmlformats.org/officeDocument/2006/relationships/hyperlink" Id="rId180" Target="https://doi.org/10.1007/BF01753236" TargetMode="External" /><Relationship Type="http://schemas.openxmlformats.org/officeDocument/2006/relationships/hyperlink" Id="rId192" Target="https://doi.org/10.1007/BF01766400" TargetMode="External" /><Relationship Type="http://schemas.openxmlformats.org/officeDocument/2006/relationships/hyperlink" Id="rId123" Target="https://doi.org/10.1007/s10670-007-9084-8" TargetMode="External" /><Relationship Type="http://schemas.openxmlformats.org/officeDocument/2006/relationships/hyperlink" Id="rId156" Target="https://doi.org/10.1007/s10670-010-9267-6" TargetMode="External" /><Relationship Type="http://schemas.openxmlformats.org/officeDocument/2006/relationships/hyperlink" Id="rId200" Target="https://doi.org/10.1007/s11098-020-01509-9" TargetMode="External" /><Relationship Type="http://schemas.openxmlformats.org/officeDocument/2006/relationships/hyperlink" Id="rId213" Target="https://doi.org/10.1007/s11229-011-9900-1" TargetMode="External" /><Relationship Type="http://schemas.openxmlformats.org/officeDocument/2006/relationships/hyperlink" Id="rId186" Target="https://doi.org/10.1016/0167-2681(82)90008-7" TargetMode="External" /><Relationship Type="http://schemas.openxmlformats.org/officeDocument/2006/relationships/hyperlink" Id="rId127" Target="https://doi.org/10.1016/S0022-0531(05)80039-0" TargetMode="External" /><Relationship Type="http://schemas.openxmlformats.org/officeDocument/2006/relationships/hyperlink" Id="rId206" Target="https://doi.org/10.1016/S0165-4896(98)00007-9" TargetMode="External" /><Relationship Type="http://schemas.openxmlformats.org/officeDocument/2006/relationships/hyperlink" Id="rId202" Target="https://doi.org/10.1080/00048402.2021.1958880" TargetMode="External" /><Relationship Type="http://schemas.openxmlformats.org/officeDocument/2006/relationships/hyperlink" Id="rId189" Target="https://doi.org/10.1080/00048408412341601" TargetMode="External" /><Relationship Type="http://schemas.openxmlformats.org/officeDocument/2006/relationships/hyperlink" Id="rId215" Target="https://doi.org/10.1080/00048408512342061" TargetMode="External" /><Relationship Type="http://schemas.openxmlformats.org/officeDocument/2006/relationships/hyperlink" Id="rId134" Target="https://doi.org/10.1086/339673" TargetMode="External" /><Relationship Type="http://schemas.openxmlformats.org/officeDocument/2006/relationships/hyperlink" Id="rId138" Target="https://doi.org/10.1086/658093" TargetMode="External" /><Relationship Type="http://schemas.openxmlformats.org/officeDocument/2006/relationships/hyperlink" Id="rId113" Target="https://doi.org/10.1086/666065" TargetMode="External" /><Relationship Type="http://schemas.openxmlformats.org/officeDocument/2006/relationships/hyperlink" Id="rId211" Target="https://doi.org/10.1086/699256" TargetMode="External" /><Relationship Type="http://schemas.openxmlformats.org/officeDocument/2006/relationships/hyperlink" Id="rId198" Target="https://doi.org/10.1093/analys/anaa037" TargetMode="External" /><Relationship Type="http://schemas.openxmlformats.org/officeDocument/2006/relationships/hyperlink" Id="rId142" Target="https://doi.org/10.1093/analys/anz059" TargetMode="External" /><Relationship Type="http://schemas.openxmlformats.org/officeDocument/2006/relationships/hyperlink" Id="rId217" Target="https://doi.org/10.1093/mind/fzx018" TargetMode="External" /><Relationship Type="http://schemas.openxmlformats.org/officeDocument/2006/relationships/hyperlink" Id="rId115" Target="https://doi.org/10.1093/mind/fzz073" TargetMode="External" /><Relationship Type="http://schemas.openxmlformats.org/officeDocument/2006/relationships/hyperlink" Id="rId164" Target="https://doi.org/10.1093/pq/pqac083" TargetMode="External" /><Relationship Type="http://schemas.openxmlformats.org/officeDocument/2006/relationships/hyperlink" Id="rId169" Target="https://doi.org/10.1093/pq/pqad072" TargetMode="External" /><Relationship Type="http://schemas.openxmlformats.org/officeDocument/2006/relationships/hyperlink" Id="rId158" Target="https://doi.org/10.1111/nous.12094" TargetMode="External" /><Relationship Type="http://schemas.openxmlformats.org/officeDocument/2006/relationships/hyperlink" Id="rId184" Target="https://doi.org/10.1111/nous.12353" TargetMode="External" /><Relationship Type="http://schemas.openxmlformats.org/officeDocument/2006/relationships/hyperlink" Id="rId146" Target="https://doi.org/10.1111/nous.12459" TargetMode="External" /><Relationship Type="http://schemas.openxmlformats.org/officeDocument/2006/relationships/hyperlink" Id="rId152" Target="https://doi.org/10.1111/nous.12473" TargetMode="External" /><Relationship Type="http://schemas.openxmlformats.org/officeDocument/2006/relationships/hyperlink" Id="rId204" Target="https://doi.org/10.1111/phpr.12466" TargetMode="External" /><Relationship Type="http://schemas.openxmlformats.org/officeDocument/2006/relationships/hyperlink" Id="rId140" Target="https://doi.org/10.1215/00318108-2006-023" TargetMode="External" /><Relationship Type="http://schemas.openxmlformats.org/officeDocument/2006/relationships/hyperlink" Id="rId219" Target="https://doi.org/10.1287/mnsc.13.11.816" TargetMode="External" /><Relationship Type="http://schemas.openxmlformats.org/officeDocument/2006/relationships/hyperlink" Id="rId154" Target="https://doi.org/10.1515/bejte-2018-0185" TargetMode="External" /><Relationship Type="http://schemas.openxmlformats.org/officeDocument/2006/relationships/hyperlink" Id="rId117" Target="https://doi.org/10.2307/1879431" TargetMode="External" /><Relationship Type="http://schemas.openxmlformats.org/officeDocument/2006/relationships/hyperlink" Id="rId136" Target="https://doi.org/10.2307/1885060" TargetMode="External" /><Relationship Type="http://schemas.openxmlformats.org/officeDocument/2006/relationships/hyperlink" Id="rId121" Target="https://doi.org/10.2307/1907921" TargetMode="External" /><Relationship Type="http://schemas.openxmlformats.org/officeDocument/2006/relationships/hyperlink" Id="rId166" Target="https://doi.org/10.2307/2185591" TargetMode="External" /><Relationship Type="http://schemas.openxmlformats.org/officeDocument/2006/relationships/hyperlink" Id="rId174" Target="https://doi.org/10.2307/2215439" TargetMode="External" /><Relationship Type="http://schemas.openxmlformats.org/officeDocument/2006/relationships/hyperlink" Id="rId177" Target="https://doi.org/10.2307/2296233" TargetMode="External" /><Relationship Type="http://schemas.openxmlformats.org/officeDocument/2006/relationships/hyperlink" Id="rId148" Target="https://doi.org/10.5840/jphil202011739" TargetMode="External" /><Relationship Type="http://schemas.openxmlformats.org/officeDocument/2006/relationships/hyperlink" Id="rId171" Target="https://doi.org/10.5840/jphil2020117516" TargetMode="External" /><Relationship Type="http://schemas.openxmlformats.org/officeDocument/2006/relationships/hyperlink" Id="rId125" Target="https://doi.org/10.5840/jphil202211925" TargetMode="External" /><Relationship Type="http://schemas.openxmlformats.org/officeDocument/2006/relationships/hyperlink" Id="rId131" Target="https://doi.org/doi.org/10.1111/phpr.13006" TargetMode="External" /><Relationship Type="http://schemas.openxmlformats.org/officeDocument/2006/relationships/hyperlink" Id="rId150" Target="https://philpapers.org/archive/GALTST-2.pdf" TargetMode="External" /><Relationship Type="http://schemas.openxmlformats.org/officeDocument/2006/relationships/hyperlink" Id="rId119"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9" Target="http://faculty.econ.ucdavis.edu/faculty/bonanno/GT_Book.html" TargetMode="External" /><Relationship Type="http://schemas.openxmlformats.org/officeDocument/2006/relationships/hyperlink" Id="rId144" Target="https://10.1111/j.1468-0262.2005.00631.x" TargetMode="External" /><Relationship Type="http://schemas.openxmlformats.org/officeDocument/2006/relationships/hyperlink" Id="rId20" Target="https://brian.weatherson.org/gdt/gdt.html" TargetMode="External" /><Relationship Type="http://schemas.openxmlformats.org/officeDocument/2006/relationships/hyperlink" Id="rId162" Target="https://doi.org/10.1007/978-94-009-2865-7_2" TargetMode="External" /><Relationship Type="http://schemas.openxmlformats.org/officeDocument/2006/relationships/hyperlink" Id="rId160" Target="https://doi.org/10.1007/BF00183199" TargetMode="External" /><Relationship Type="http://schemas.openxmlformats.org/officeDocument/2006/relationships/hyperlink" Id="rId180" Target="https://doi.org/10.1007/BF01753236" TargetMode="External" /><Relationship Type="http://schemas.openxmlformats.org/officeDocument/2006/relationships/hyperlink" Id="rId192" Target="https://doi.org/10.1007/BF01766400" TargetMode="External" /><Relationship Type="http://schemas.openxmlformats.org/officeDocument/2006/relationships/hyperlink" Id="rId123" Target="https://doi.org/10.1007/s10670-007-9084-8" TargetMode="External" /><Relationship Type="http://schemas.openxmlformats.org/officeDocument/2006/relationships/hyperlink" Id="rId156" Target="https://doi.org/10.1007/s10670-010-9267-6" TargetMode="External" /><Relationship Type="http://schemas.openxmlformats.org/officeDocument/2006/relationships/hyperlink" Id="rId200" Target="https://doi.org/10.1007/s11098-020-01509-9" TargetMode="External" /><Relationship Type="http://schemas.openxmlformats.org/officeDocument/2006/relationships/hyperlink" Id="rId213" Target="https://doi.org/10.1007/s11229-011-9900-1" TargetMode="External" /><Relationship Type="http://schemas.openxmlformats.org/officeDocument/2006/relationships/hyperlink" Id="rId186" Target="https://doi.org/10.1016/0167-2681(82)90008-7" TargetMode="External" /><Relationship Type="http://schemas.openxmlformats.org/officeDocument/2006/relationships/hyperlink" Id="rId127" Target="https://doi.org/10.1016/S0022-0531(05)80039-0" TargetMode="External" /><Relationship Type="http://schemas.openxmlformats.org/officeDocument/2006/relationships/hyperlink" Id="rId206" Target="https://doi.org/10.1016/S0165-4896(98)00007-9" TargetMode="External" /><Relationship Type="http://schemas.openxmlformats.org/officeDocument/2006/relationships/hyperlink" Id="rId202" Target="https://doi.org/10.1080/00048402.2021.1958880" TargetMode="External" /><Relationship Type="http://schemas.openxmlformats.org/officeDocument/2006/relationships/hyperlink" Id="rId189" Target="https://doi.org/10.1080/00048408412341601" TargetMode="External" /><Relationship Type="http://schemas.openxmlformats.org/officeDocument/2006/relationships/hyperlink" Id="rId215" Target="https://doi.org/10.1080/00048408512342061" TargetMode="External" /><Relationship Type="http://schemas.openxmlformats.org/officeDocument/2006/relationships/hyperlink" Id="rId134" Target="https://doi.org/10.1086/339673" TargetMode="External" /><Relationship Type="http://schemas.openxmlformats.org/officeDocument/2006/relationships/hyperlink" Id="rId138" Target="https://doi.org/10.1086/658093" TargetMode="External" /><Relationship Type="http://schemas.openxmlformats.org/officeDocument/2006/relationships/hyperlink" Id="rId113" Target="https://doi.org/10.1086/666065" TargetMode="External" /><Relationship Type="http://schemas.openxmlformats.org/officeDocument/2006/relationships/hyperlink" Id="rId211" Target="https://doi.org/10.1086/699256" TargetMode="External" /><Relationship Type="http://schemas.openxmlformats.org/officeDocument/2006/relationships/hyperlink" Id="rId198" Target="https://doi.org/10.1093/analys/anaa037" TargetMode="External" /><Relationship Type="http://schemas.openxmlformats.org/officeDocument/2006/relationships/hyperlink" Id="rId142" Target="https://doi.org/10.1093/analys/anz059" TargetMode="External" /><Relationship Type="http://schemas.openxmlformats.org/officeDocument/2006/relationships/hyperlink" Id="rId217" Target="https://doi.org/10.1093/mind/fzx018" TargetMode="External" /><Relationship Type="http://schemas.openxmlformats.org/officeDocument/2006/relationships/hyperlink" Id="rId115" Target="https://doi.org/10.1093/mind/fzz073" TargetMode="External" /><Relationship Type="http://schemas.openxmlformats.org/officeDocument/2006/relationships/hyperlink" Id="rId164" Target="https://doi.org/10.1093/pq/pqac083" TargetMode="External" /><Relationship Type="http://schemas.openxmlformats.org/officeDocument/2006/relationships/hyperlink" Id="rId169" Target="https://doi.org/10.1093/pq/pqad072" TargetMode="External" /><Relationship Type="http://schemas.openxmlformats.org/officeDocument/2006/relationships/hyperlink" Id="rId158" Target="https://doi.org/10.1111/nous.12094" TargetMode="External" /><Relationship Type="http://schemas.openxmlformats.org/officeDocument/2006/relationships/hyperlink" Id="rId184" Target="https://doi.org/10.1111/nous.12353" TargetMode="External" /><Relationship Type="http://schemas.openxmlformats.org/officeDocument/2006/relationships/hyperlink" Id="rId146" Target="https://doi.org/10.1111/nous.12459" TargetMode="External" /><Relationship Type="http://schemas.openxmlformats.org/officeDocument/2006/relationships/hyperlink" Id="rId152" Target="https://doi.org/10.1111/nous.12473" TargetMode="External" /><Relationship Type="http://schemas.openxmlformats.org/officeDocument/2006/relationships/hyperlink" Id="rId204" Target="https://doi.org/10.1111/phpr.12466" TargetMode="External" /><Relationship Type="http://schemas.openxmlformats.org/officeDocument/2006/relationships/hyperlink" Id="rId140" Target="https://doi.org/10.1215/00318108-2006-023" TargetMode="External" /><Relationship Type="http://schemas.openxmlformats.org/officeDocument/2006/relationships/hyperlink" Id="rId219" Target="https://doi.org/10.1287/mnsc.13.11.816" TargetMode="External" /><Relationship Type="http://schemas.openxmlformats.org/officeDocument/2006/relationships/hyperlink" Id="rId154" Target="https://doi.org/10.1515/bejte-2018-0185" TargetMode="External" /><Relationship Type="http://schemas.openxmlformats.org/officeDocument/2006/relationships/hyperlink" Id="rId117" Target="https://doi.org/10.2307/1879431" TargetMode="External" /><Relationship Type="http://schemas.openxmlformats.org/officeDocument/2006/relationships/hyperlink" Id="rId136" Target="https://doi.org/10.2307/1885060" TargetMode="External" /><Relationship Type="http://schemas.openxmlformats.org/officeDocument/2006/relationships/hyperlink" Id="rId121" Target="https://doi.org/10.2307/1907921" TargetMode="External" /><Relationship Type="http://schemas.openxmlformats.org/officeDocument/2006/relationships/hyperlink" Id="rId166" Target="https://doi.org/10.2307/2185591" TargetMode="External" /><Relationship Type="http://schemas.openxmlformats.org/officeDocument/2006/relationships/hyperlink" Id="rId174" Target="https://doi.org/10.2307/2215439" TargetMode="External" /><Relationship Type="http://schemas.openxmlformats.org/officeDocument/2006/relationships/hyperlink" Id="rId177" Target="https://doi.org/10.2307/2296233" TargetMode="External" /><Relationship Type="http://schemas.openxmlformats.org/officeDocument/2006/relationships/hyperlink" Id="rId148" Target="https://doi.org/10.5840/jphil202011739" TargetMode="External" /><Relationship Type="http://schemas.openxmlformats.org/officeDocument/2006/relationships/hyperlink" Id="rId171" Target="https://doi.org/10.5840/jphil2020117516" TargetMode="External" /><Relationship Type="http://schemas.openxmlformats.org/officeDocument/2006/relationships/hyperlink" Id="rId125" Target="https://doi.org/10.5840/jphil202211925" TargetMode="External" /><Relationship Type="http://schemas.openxmlformats.org/officeDocument/2006/relationships/hyperlink" Id="rId131" Target="https://doi.org/doi.org/10.1111/phpr.13006" TargetMode="External" /><Relationship Type="http://schemas.openxmlformats.org/officeDocument/2006/relationships/hyperlink" Id="rId150" Target="https://philpapers.org/archive/GALTST-2.pdf" TargetMode="External" /><Relationship Type="http://schemas.openxmlformats.org/officeDocument/2006/relationships/hyperlink" Id="rId119"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2023-08-22T14:55:56Z</dcterms:created>
  <dcterms:modified xsi:type="dcterms:W3CDTF">2023-08-22T14:55:56Z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