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6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2023-08-28</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23" w:name="sec-intro"/>
    <w:p>
      <w:pPr>
        <w:pStyle w:val="Heading1"/>
      </w:pPr>
      <w:r>
        <w:t xml:space="preserve">Introduction</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There are ten characteristics of GDT (as I’ll understand it) that I will focus on. I’ll quickly list them here, then the bulk of the book will consist of a chapter describing and motivating each of the ten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to 8.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book.</w:t>
      </w:r>
      <w:r>
        <w:rPr>
          <w:rStyle w:val="FootnoteReference"/>
        </w:rPr>
        <w:footnoteReference w:id="22"/>
      </w:r>
    </w:p>
    <w:p>
      <w:pPr>
        <w:pStyle w:val="BodyText"/>
      </w:pPr>
      <w:r>
        <w:t xml:space="preserve">The conclusion of this book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 The aim is not to develop a novel theory, indeed part of the point is that the theory is implicit in a bunch of textbooks, but to develop arguments for that theory.</w:t>
      </w:r>
    </w:p>
    <w:bookmarkEnd w:id="23"/>
    <w:bookmarkStart w:id="52" w:name="sec-ideal"/>
    <w:p>
      <w:pPr>
        <w:pStyle w:val="Heading1"/>
      </w:pPr>
      <w:r>
        <w:t xml:space="preserve">1. Idealised</w:t>
      </w:r>
    </w:p>
    <w:bookmarkStart w:id="36" w:name="sec-ideal-intro"/>
    <w:p>
      <w:pPr>
        <w:pStyle w:val="Heading2"/>
      </w:pPr>
      <w:r>
        <w:t xml:space="preserve">1.1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24"/>
      </w:r>
    </w:p>
    <w:p>
      <w:pPr>
        <w:pStyle w:val="BlockText"/>
      </w:pPr>
      <w:r>
        <w:rPr>
          <w:bCs/>
          <w:b/>
        </w:rPr>
        <w:t xml:space="preserve">Salesman</w:t>
      </w:r>
      <w:r>
        <w:t xml:space="preserve"> </w:t>
      </w:r>
      <w:r>
        <w:t xml:space="preserve">Chooser is given the straight line distance between each pair of cities from the 257 represented on the map below. Using this information, Chooser has to find as short a path as possible that goes through all 257 cities and returns to the first one. The longer a path Chooser selects, the worse things will be for Chooser.</w:t>
      </w:r>
    </w:p>
    <w:p>
      <w:pPr>
        <w:pStyle w:val="SourceCode"/>
      </w:pPr>
      <w:r>
        <w:rPr>
          <w:rStyle w:val="VerbatimChar"/>
        </w:rPr>
        <w:t xml:space="preserve">Loading required package: 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Loading required package: TSP</w:t>
      </w:r>
      <w:r>
        <w:br/>
      </w:r>
      <w:r>
        <w:br/>
      </w:r>
      <w:r>
        <w:rPr>
          <w:rStyle w:val="VerbatimChar"/>
        </w:rPr>
        <w:t xml:space="preserve">Loading required package: maps</w:t>
      </w:r>
      <w:r>
        <w:br/>
      </w:r>
      <w:r>
        <w:br/>
      </w:r>
      <w:r>
        <w:br/>
      </w:r>
      <w:r>
        <w:rPr>
          <w:rStyle w:val="VerbatimChar"/>
        </w:rPr>
        <w:t xml:space="preserve">Attaching package: 'maps'</w:t>
      </w:r>
      <w:r>
        <w:br/>
      </w:r>
      <w:r>
        <w:br/>
      </w:r>
      <w:r>
        <w:br/>
      </w:r>
      <w:r>
        <w:rPr>
          <w:rStyle w:val="VerbatimChar"/>
        </w:rPr>
        <w:t xml:space="preserve">The following object is masked from 'package:purrr':</w:t>
      </w:r>
      <w:r>
        <w:br/>
      </w:r>
      <w:r>
        <w:br/>
      </w:r>
      <w:r>
        <w:rPr>
          <w:rStyle w:val="VerbatimChar"/>
        </w:rPr>
        <w:t xml:space="preserve">    map</w:t>
      </w:r>
    </w:p>
    <w:tbl>
      <w:tblPr>
        <w:tblStyle w:val="Table"/>
        <w:tblW w:type="pct" w:w="5000"/>
        <w:tblLook w:firstRow="0" w:lastRow="0" w:firstColumn="0" w:lastColumn="0" w:noHBand="0" w:noVBand="0" w:val="0000"/>
        <w:jc w:val="start"/>
      </w:tblPr>
      <w:tblGrid>
        <w:gridCol w:w="7920"/>
      </w:tblGrid>
      <w:tr>
        <w:tc>
          <w:tcPr/>
          <w:bookmarkStart w:id="28" w:name="fig-salesman-points"/>
          <w:p>
            <w:pPr>
              <w:jc w:val="center"/>
            </w:pPr>
            <w:r>
              <w:drawing>
                <wp:inline>
                  <wp:extent cx="5207000" cy="4165600"/>
                  <wp:effectExtent b="0" l="0" r="0" t="0"/>
                  <wp:docPr descr="" title="" id="26" name="Picture"/>
                  <a:graphic>
                    <a:graphicData uri="http://schemas.openxmlformats.org/drawingml/2006/picture">
                      <pic:pic>
                        <pic:nvPicPr>
                          <pic:cNvPr descr="idealised_files/figure-docx/fig-salesman-points-1.png" id="27" name="Picture"/>
                          <pic:cNvPicPr>
                            <a:picLocks noChangeArrowheads="1" noChangeAspect="1"/>
                          </pic:cNvPicPr>
                        </pic:nvPicPr>
                        <pic:blipFill>
                          <a:blip r:embed="rId25"/>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257 cities that must be visited in the Salesman problem.</w:t>
            </w:r>
          </w:p>
          <w:bookmarkEnd w:id="28"/>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29"/>
      </w:r>
      <w:r>
        <w:t xml:space="preserve"> </w:t>
      </w:r>
      <w:r>
        <w:t xml:space="preserve">Game theorists, and philosophical decision theorists, start with the assumption that the people in their models can solve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31"/>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32" w:name="tbl-three-theories"/>
    <w:p>
      <w:pPr>
        <w:pStyle w:val="TableCaption"/>
      </w:pPr>
      <w:r>
        <w:t xml:space="preserve">Table 1.1: How three kinds of theories handle two problems.</w:t>
      </w:r>
    </w:p>
    <w:tbl>
      <w:tblPr>
        <w:tblStyle w:val="Table"/>
        <w:tblW w:type="auto" w:w="0"/>
        <w:tblLook w:firstRow="1" w:lastRow="0" w:firstColumn="0" w:lastColumn="0" w:noHBand="0" w:noVBand="0" w:val="0020"/>
        <w:jc w:val="start"/>
        <w:tblCaption w:val="Table 1.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32"/>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33"/>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 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34"/>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35"/>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36"/>
    <w:bookmarkStart w:id="44" w:name="sec-uses-ideal"/>
    <w:p>
      <w:pPr>
        <w:pStyle w:val="Heading2"/>
      </w:pPr>
      <w:r>
        <w:t xml:space="preserve">1.2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37"/>
      </w:r>
    </w:p>
    <w:p>
      <w:pPr>
        <w:pStyle w:val="BodyText"/>
      </w:pPr>
      <w:r>
        <w:t xml:space="preserve">All social sciences use idealised models of some kind or other. The fact that real humans can’t solve problems like Salesman, but the modeled humans can, isn’t in itself a problem. It might be in some cases, like if you are giving a model of when humans fail at maximisation problems, but in itself it isn’t a problem. The real challenge is that the idealisation is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38"/>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And here’s a simpler surprising prediction that you need something like GDT to get, and which is relevant to some debates in philosophical decision theory.</w:t>
      </w:r>
      <w:r>
        <w:rPr>
          <w:rStyle w:val="FootnoteReference"/>
        </w:rPr>
        <w:footnoteReference w:id="39"/>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1.2 (a)</w:t>
        </w:r>
      </w:hyperlink>
      <w:r>
        <w:t xml:space="preserve"> </w:t>
      </w:r>
      <w:r>
        <w:t xml:space="preserve">to</w:t>
      </w:r>
      <w:r>
        <w:t xml:space="preserve"> </w:t>
      </w:r>
      <w:hyperlink w:anchor="tbl-rps-modified">
        <w:r>
          <w:rPr>
            <w:rStyle w:val="Hyperlink"/>
          </w:rPr>
          <w:t xml:space="preserve">Table 1.2 (b)</w:t>
        </w:r>
      </w:hyperlink>
      <w:r>
        <w:t xml:space="preserve">.</w:t>
      </w:r>
    </w:p>
    <w:bookmarkStart w:id="42" w:name="tbl-rps"/>
    <w:tbl>
      <w:tblPr>
        <w:tblStyle w:val="Table"/>
        <w:tblW w:type="pct" w:w="5000"/>
        <w:tblLook w:firstRow="0" w:lastRow="0" w:firstColumn="0" w:lastColumn="0" w:noHBand="0" w:noVBand="0" w:val="0000"/>
        <w:jc w:val="start"/>
      </w:tblPr>
      <w:tblGrid>
        <w:gridCol w:w="3960"/>
        <w:gridCol w:w="3960"/>
      </w:tblGrid>
      <w:tr>
        <w:tc>
          <w:tcPr/>
          <w:bookmarkStart w:id="40"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4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1"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41"/>
          <w:p/>
        </w:tc>
      </w:tr>
    </w:tbl>
    <w:p>
      <w:pPr>
        <w:pStyle w:val="BodyText"/>
      </w:pPr>
      <w:pPr>
        <w:spacing w:before="200"/>
        <w:pStyle w:val="ImageCaption"/>
      </w:pPr>
      <w:r>
        <w:t xml:space="preserve">Table 1.2: Two versions of Rock-Paper-Scissors</w:t>
      </w:r>
    </w:p>
    <w:bookmarkEnd w:id="42"/>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43"/>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neither of which the theory says.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44"/>
    <w:bookmarkStart w:id="46" w:name="sec-why-this-ideal"/>
    <w:p>
      <w:pPr>
        <w:pStyle w:val="Heading2"/>
      </w:pPr>
      <w:r>
        <w:t xml:space="preserve">1.3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45"/>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46"/>
    <w:bookmarkStart w:id="50" w:name="sec-ideal-bonus"/>
    <w:p>
      <w:pPr>
        <w:pStyle w:val="Heading2"/>
      </w:pPr>
      <w:r>
        <w:t xml:space="preserve">1.4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47"/>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and deserves emphasis.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the best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in ways that I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48"/>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49"/>
      </w:r>
      <w:r>
        <w:t xml:space="preserve"> </w:t>
      </w:r>
      <w:r>
        <w:t xml:space="preserve">was theoretically fruitful in the understanding of very non-ideal behavior.</w:t>
      </w:r>
    </w:p>
    <w:bookmarkEnd w:id="50"/>
    <w:bookmarkStart w:id="51" w:name="sec-ideal-summary"/>
    <w:p>
      <w:pPr>
        <w:pStyle w:val="Heading2"/>
      </w:pPr>
      <w:r>
        <w:t xml:space="preserve">1.5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4</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2</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51"/>
    <w:bookmarkEnd w:id="52"/>
    <w:bookmarkStart w:id="56" w:name="sec-expect"/>
    <w:p>
      <w:pPr>
        <w:pStyle w:val="Heading1"/>
      </w:pPr>
      <w:r>
        <w:t xml:space="preserve">2. Expectationist</w:t>
      </w:r>
    </w:p>
    <w:p>
      <w:pPr>
        <w:pStyle w:val="FirstParagraph"/>
      </w:pPr>
      <w:r>
        <w:t xml:space="preserve">—–Spell this all out much much more slowly—-</w:t>
      </w:r>
    </w:p>
    <w:p>
      <w:pPr>
        <w:pStyle w:val="BodyText"/>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53"/>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54"/>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55"/>
      </w:r>
    </w:p>
    <w:bookmarkEnd w:id="56"/>
    <w:bookmarkStart w:id="70" w:name="sec-causal"/>
    <w:p>
      <w:pPr>
        <w:pStyle w:val="Heading1"/>
      </w:pPr>
      <w:r>
        <w:t xml:space="preserve">3. Causal</w:t>
      </w:r>
    </w:p>
    <w:p>
      <w:pPr>
        <w:pStyle w:val="FirstParagraph"/>
      </w:pPr>
      <w:r>
        <w:t xml:space="preserve">It shouldn’t be controversial to claim that game theory textbooks are committed a broadly causal version of decision theory.</w:t>
      </w:r>
      <w:r>
        <w:rPr>
          <w:rStyle w:val="FootnoteReference"/>
        </w:rPr>
        <w:footnoteReference w:id="57"/>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58"/>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59"/>
      </w:r>
      <w:r>
        <w:t xml:space="preserve"> </w:t>
      </w:r>
      <w:r>
        <w:t xml:space="preserve">In the recent literature, I think there are four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(2007a)</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Chapter 1</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Chapter 6</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Chapter 4</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3.1</w:t>
        </w:r>
      </w:hyperlink>
      <w:r>
        <w:t xml:space="preserve">.</w:t>
      </w:r>
    </w:p>
    <w:bookmarkStart w:id="62" w:name="tbl-edt-war"/>
    <w:tbl>
      <w:tblPr>
        <w:tblStyle w:val="Table"/>
        <w:tblW w:type="pct" w:w="5000"/>
        <w:tblLook w:firstRow="0" w:lastRow="0" w:firstColumn="0" w:lastColumn="0" w:noHBand="0" w:noVBand="0" w:val="0000"/>
        <w:jc w:val="start"/>
      </w:tblPr>
      <w:tblGrid>
        <w:gridCol w:w="3960"/>
        <w:gridCol w:w="3960"/>
      </w:tblGrid>
      <w:tr>
        <w:tc>
          <w:tcPr/>
          <w:bookmarkStart w:id="60"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6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1"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61"/>
          <w:p/>
        </w:tc>
      </w:tr>
    </w:tbl>
    <w:p>
      <w:pPr>
        <w:pStyle w:val="BodyText"/>
      </w:pPr>
      <w:pPr>
        <w:spacing w:before="200"/>
        <w:pStyle w:val="ImageCaption"/>
      </w:pPr>
      <w:r>
        <w:t xml:space="preserve">Table 3.1: A Newcomb problem with two demons</w:t>
      </w:r>
    </w:p>
    <w:bookmarkEnd w:id="62"/>
    <w:p>
      <w:pPr>
        <w:pStyle w:val="BodyText"/>
      </w:pPr>
      <w:r>
        <w:t xml:space="preserve">If Demon-1 predicts that Chooser will play Down, Demon-1 will offer Chooser</w:t>
      </w:r>
      <w:r>
        <w:t xml:space="preserve"> </w:t>
      </w:r>
      <w:hyperlink w:anchor="tbl-war-left">
        <w:r>
          <w:rPr>
            <w:rStyle w:val="Hyperlink"/>
          </w:rPr>
          <w:t xml:space="preserve">Table 3.1 (a)</w:t>
        </w:r>
      </w:hyperlink>
      <w:r>
        <w:t xml:space="preserve">; if Demon-1 predicts that Chooser will play Up, Demon-1 will offer Chooser</w:t>
      </w:r>
      <w:r>
        <w:t xml:space="preserve"> </w:t>
      </w:r>
      <w:hyperlink w:anchor="tbl-war-right">
        <w:r>
          <w:rPr>
            <w:rStyle w:val="Hyperlink"/>
          </w:rPr>
          <w:t xml:space="preserve">Table 3.1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has some other complications. The example I’ll use to illustrate this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3.2</w:t>
        </w:r>
      </w:hyperlink>
      <w:r>
        <w:t xml:space="preserve">. (The payoffs here are all in utils.)</w:t>
      </w:r>
    </w:p>
    <w:bookmarkStart w:id="63" w:name="tbl-payoffs-demon-coin"/>
    <w:p>
      <w:pPr>
        <w:pStyle w:val="TableCaption"/>
      </w:pPr>
      <w:r>
        <w:t xml:space="preserve">Table 3.2: Payouts for the coins and signals game</w:t>
      </w:r>
    </w:p>
    <w:tbl>
      <w:tblPr>
        <w:tblStyle w:val="Table"/>
        <w:tblW w:type="auto" w:w="0"/>
        <w:tblLook w:firstRow="1" w:lastRow="0" w:firstColumn="0" w:lastColumn="0" w:noHBand="0" w:noVBand="0" w:val="0020"/>
        <w:jc w:val="start"/>
        <w:tblCaption w:val="Table 3.2: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63"/>
    <w:p>
      <w:pPr>
        <w:pStyle w:val="BodyText"/>
      </w:pPr>
      <w:hyperlink w:anchor="fig-second-anti-war">
        <w:r>
          <w:rPr>
            <w:rStyle w:val="Hyperlink"/>
          </w:rPr>
          <w:t xml:space="preserve">Figure 3.1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67" w:name="fig-second-anti-war"/>
          <w:p>
            <w:pPr>
              <w:jc w:val="center"/>
            </w:pPr>
            <w:r>
              <w:drawing>
                <wp:inline>
                  <wp:extent cx="2250830" cy="3208045"/>
                  <wp:effectExtent b="0" l="0" r="0" t="0"/>
                  <wp:docPr descr="" title="" id="65" name="Picture"/>
                  <a:graphic>
                    <a:graphicData uri="http://schemas.openxmlformats.org/drawingml/2006/picture">
                      <pic:pic>
                        <pic:nvPicPr>
                          <pic:cNvPr descr="causal_files/figure-docx/fig-second-anti-war-1.png" id="66" name="Picture"/>
                          <pic:cNvPicPr>
                            <a:picLocks noChangeArrowheads="1" noChangeAspect="1"/>
                          </pic:cNvPicPr>
                        </pic:nvPicPr>
                        <pic:blipFill>
                          <a:blip r:embed="rId64"/>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Tree Diagram of the Coins and Signals Game</w:t>
            </w:r>
          </w:p>
          <w:bookmarkEnd w:id="67"/>
        </w:tc>
      </w:tr>
    </w:tbl>
    <w:p>
      <w:pPr>
        <w:pStyle w:val="BodyText"/>
      </w:pPr>
      <w:r>
        <w:t xml:space="preserve">I intend the Demon to be a rational player in a game-theoretic sense. But to translate that into decision-theory terms, it’s important to make a few stipulations.</w:t>
      </w:r>
      <w:r>
        <w:rPr>
          <w:rStyle w:val="FootnoteReference"/>
        </w:rPr>
        <w:footnoteReference w:id="68"/>
      </w:r>
      <w:r>
        <w:t xml:space="preserve"> </w:t>
      </w:r>
      <w:r>
        <w:t xml:space="preserve">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other thing, Demon will also flip their own coin to make a guess.</w:t>
      </w:r>
      <w:r>
        <w:t xml:space="preserve">(^A key part of the discussion in Cho and Kreps 1987 is that in sone cases we can say substantuve things about what a player will do if they are surprised in this sense. But</w:t>
      </w:r>
      <w:r>
        <w:t xml:space="preserve"> </w:t>
      </w:r>
      <w:hyperlink w:anchor="fig-second-anti-war">
        <w:r>
          <w:rPr>
            <w:rStyle w:val="Hyperlink"/>
          </w:rPr>
          <w:t xml:space="preserve">Figure 3.1</w:t>
        </w:r>
      </w:hyperlink>
      <w:r>
        <w:t xml:space="preserve"> </w:t>
      </w:r>
      <w:r>
        <w:t xml:space="preserve">is not one of these cases.)</w:t>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3.3</w:t>
        </w:r>
      </w:hyperlink>
      <w:r>
        <w:t xml:space="preserve">.</w:t>
      </w:r>
    </w:p>
    <w:bookmarkStart w:id="69" w:name="tbl-payout-if-tails"/>
    <w:p>
      <w:pPr>
        <w:pStyle w:val="TableCaption"/>
      </w:pPr>
      <w:r>
        <w:t xml:space="preserve">Table 3.3: The expected payout to Chooser in four cases if the coin lands Tails</w:t>
      </w:r>
    </w:p>
    <w:tbl>
      <w:tblPr>
        <w:tblStyle w:val="Table"/>
        <w:tblW w:type="auto" w:w="0"/>
        <w:tblLook w:firstRow="1" w:lastRow="0" w:firstColumn="0" w:lastColumn="0" w:noHBand="0" w:noVBand="0" w:val="0020"/>
        <w:jc w:val="start"/>
        <w:tblCaption w:val="Table 3.3: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Predict Up</w:t>
            </w:r>
          </w:p>
        </w:tc>
        <w:tc>
          <w:tcPr/>
          <w:p>
            <w:pPr>
              <w:pStyle w:val="Compact"/>
              <w:jc w:val="center"/>
            </w:pPr>
            <w:r>
              <w:t xml:space="preserve">Predict 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69"/>
    <w:p>
      <w:pPr>
        <w:pStyle w:val="BodyText"/>
      </w:pPr>
      <w:r>
        <w:t xml:space="preserve">The numbers in</w:t>
      </w:r>
      <w:r>
        <w:t xml:space="preserve"> </w:t>
      </w:r>
      <w:hyperlink w:anchor="tbl-payout-if-tails">
        <w:r>
          <w:rPr>
            <w:rStyle w:val="Hyperlink"/>
          </w:rPr>
          <w:t xml:space="preserve">Table 3.3</w:t>
        </w:r>
      </w:hyperlink>
      <w:r>
        <w:t xml:space="preserve"> </w:t>
      </w:r>
      <w:r>
        <w:t xml:space="preserve">aren’t entirely obvious; I’ll spell out how I got them.</w:t>
      </w:r>
    </w:p>
    <w:p>
      <w:pPr>
        <w:numPr>
          <w:ilvl w:val="0"/>
          <w:numId w:val="1002"/>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3.2</w:t>
        </w:r>
      </w:hyperlink>
      <w:r>
        <w:t xml:space="preserve"> </w:t>
      </w:r>
      <w:r>
        <w:t xml:space="preserve">if they play Up, and the average of lines 7 and 8 if they play Down.</w:t>
      </w:r>
    </w:p>
    <w:p>
      <w:pPr>
        <w:numPr>
          <w:ilvl w:val="0"/>
          <w:numId w:val="1002"/>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3.2</w:t>
        </w:r>
      </w:hyperlink>
      <w:r>
        <w:t xml:space="preserve">, where Chooser gets 40.</w:t>
      </w:r>
    </w:p>
    <w:p>
      <w:pPr>
        <w:numPr>
          <w:ilvl w:val="0"/>
          <w:numId w:val="1002"/>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3.2</w:t>
        </w:r>
      </w:hyperlink>
      <w:r>
        <w:t xml:space="preserve">.</w:t>
      </w:r>
    </w:p>
    <w:p>
      <w:pPr>
        <w:pStyle w:val="FirstParagraph"/>
      </w:pPr>
      <w:r>
        <w:t xml:space="preserve">In a decision problem like</w:t>
      </w:r>
      <w:r>
        <w:t xml:space="preserve"> </w:t>
      </w:r>
      <w:hyperlink w:anchor="tbl-payout-if-tails">
        <w:r>
          <w:rPr>
            <w:rStyle w:val="Hyperlink"/>
          </w:rPr>
          <w:t xml:space="preserve">Table 3.3</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3.3</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3.3</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3.1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EDT survives Wells’s criticisms, that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p>
      <w:pPr>
        <w:pStyle w:val="BodyText"/>
      </w:pPr>
      <w:r>
        <w:t xml:space="preserve">All of this is to say that 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Up in</w:t>
      </w:r>
      <w:r>
        <w:t xml:space="preserve"> </w:t>
      </w:r>
      <w:hyperlink w:anchor="tbl-edt-war">
        <w:r>
          <w:rPr>
            <w:rStyle w:val="Hyperlink"/>
          </w:rPr>
          <w:t xml:space="preserve">Table 3.1</w:t>
        </w:r>
      </w:hyperlink>
      <w:r>
        <w:t xml:space="preserve">, and always Up in</w:t>
      </w:r>
      <w:r>
        <w:t xml:space="preserve"> </w:t>
      </w:r>
      <w:hyperlink w:anchor="fig-second-anti-war">
        <w:r>
          <w:rPr>
            <w:rStyle w:val="Hyperlink"/>
          </w:rPr>
          <w:t xml:space="preserve">Figure 3.1</w:t>
        </w:r>
      </w:hyperlink>
      <w:r>
        <w:t xml:space="preserve">. Those theories leave their proponents well off in all three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dualmandate">
        <w:r>
          <w:rPr>
            <w:rStyle w:val="Hyperlink"/>
          </w:rPr>
          <w:t xml:space="preserve">Chapter 7</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70"/>
    <w:bookmarkStart w:id="74" w:name="sec-mixed"/>
    <w:p>
      <w:pPr>
        <w:pStyle w:val="Heading1"/>
      </w:pPr>
      <w:r>
        <w:t xml:space="preserve">4.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71"/>
      </w:r>
      <w:r>
        <w:t xml:space="preserve"> </w:t>
      </w:r>
      <w:r>
        <w:t xml:space="preserve">One is that the chooser might not be capable of carrying out a mixed strategy. They might not, for instance, have any coins in their pocket.</w:t>
      </w:r>
      <w:r>
        <w:rPr>
          <w:rStyle w:val="FootnoteReference"/>
        </w:rPr>
        <w:footnoteReference w:id="72"/>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73"/>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74"/>
    <w:bookmarkStart w:id="79" w:name="sec-ratify"/>
    <w:p>
      <w:pPr>
        <w:pStyle w:val="Heading1"/>
      </w:pPr>
      <w:r>
        <w:t xml:space="preserve">5.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5.1</w:t>
        </w:r>
      </w:hyperlink>
      <w:r>
        <w:t xml:space="preserve"> </w:t>
      </w:r>
      <w:r>
        <w:t xml:space="preserve">is one such case.</w:t>
      </w:r>
    </w:p>
    <w:bookmarkStart w:id="75" w:name="tbl-no-pure"/>
    <w:p>
      <w:pPr>
        <w:pStyle w:val="TableCaption"/>
      </w:pPr>
      <w:r>
        <w:t xml:space="preserve">Table 5.1: A case with no pure ratifiable options.</w:t>
      </w:r>
    </w:p>
    <w:tbl>
      <w:tblPr>
        <w:tblStyle w:val="Table"/>
        <w:tblW w:type="auto" w:w="0"/>
        <w:tblLook w:firstRow="0" w:lastRow="0" w:firstColumn="0" w:lastColumn="0" w:noHBand="0" w:noVBand="0" w:val="0000"/>
        <w:jc w:val="start"/>
        <w:tblCaption w:val="Table 5.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75"/>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5.2</w:t>
        </w:r>
      </w:hyperlink>
      <w:r>
        <w:t xml:space="preserve">.</w:t>
      </w:r>
    </w:p>
    <w:bookmarkStart w:id="76" w:name="tbl-bad-third"/>
    <w:p>
      <w:pPr>
        <w:pStyle w:val="TableCaption"/>
      </w:pPr>
      <w:r>
        <w:t xml:space="preserve">Table 5.2: A case with only a bad pure ratifiable option.</w:t>
      </w:r>
    </w:p>
    <w:tbl>
      <w:tblPr>
        <w:tblStyle w:val="Table"/>
        <w:tblW w:type="auto" w:w="0"/>
        <w:tblLook w:firstRow="0" w:lastRow="0" w:firstColumn="0" w:lastColumn="0" w:noHBand="0" w:noVBand="0" w:val="0000"/>
        <w:jc w:val="start"/>
        <w:tblCaption w:val="Table 5.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76"/>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5.1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5.3</w:t>
        </w:r>
      </w:hyperlink>
      <w:r>
        <w:t xml:space="preserve"> </w:t>
      </w:r>
      <w:r>
        <w:t xml:space="preserve">there is no weakly dominant option, but X is surely still a bad play.</w:t>
      </w:r>
    </w:p>
    <w:bookmarkStart w:id="77" w:name="tbl-verybad-third"/>
    <w:p>
      <w:pPr>
        <w:pStyle w:val="TableCaption"/>
      </w:pPr>
      <w:r>
        <w:t xml:space="preserve">Table 5.3: Skyrms’s counterexample to ratificationism.</w:t>
      </w:r>
    </w:p>
    <w:tbl>
      <w:tblPr>
        <w:tblStyle w:val="Table"/>
        <w:tblW w:type="auto" w:w="0"/>
        <w:tblLook w:firstRow="0" w:lastRow="0" w:firstColumn="0" w:lastColumn="0" w:noHBand="0" w:noVBand="0" w:val="0000"/>
        <w:jc w:val="start"/>
        <w:tblCaption w:val="Table 5.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77"/>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5.1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78"/>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5.3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79"/>
    <w:bookmarkStart w:id="97" w:name="sec-indecisive"/>
    <w:p>
      <w:pPr>
        <w:pStyle w:val="Heading1"/>
      </w:pPr>
      <w:r>
        <w:t xml:space="preserve">6.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80"/>
      </w:r>
      <w:r>
        <w:t xml:space="preserve"> </w:t>
      </w:r>
      <w:r>
        <w:t xml:space="preserve">Here is an example of a Stag Hunt decision.</w:t>
      </w:r>
    </w:p>
    <w:bookmarkStart w:id="81" w:name="tbl-stag-hunt"/>
    <w:p>
      <w:pPr>
        <w:pStyle w:val="TableCaption"/>
      </w:pPr>
      <w:r>
        <w:t xml:space="preserve">Table 6.1: An example of a Stag Hunt.</w:t>
      </w:r>
    </w:p>
    <w:tbl>
      <w:tblPr>
        <w:tblStyle w:val="Table"/>
        <w:tblW w:type="auto" w:w="0"/>
        <w:tblLook w:firstRow="0" w:lastRow="0" w:firstColumn="0" w:lastColumn="0" w:noHBand="0" w:noVBand="0" w:val="0000"/>
        <w:jc w:val="start"/>
        <w:tblCaption w:val="Table 6.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81"/>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82"/>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6.2</w:t>
        </w:r>
      </w:hyperlink>
      <w:r>
        <w:t xml:space="preserve">.</w:t>
      </w:r>
    </w:p>
    <w:bookmarkStart w:id="83" w:name="tbl-coord"/>
    <w:p>
      <w:pPr>
        <w:pStyle w:val="TableCaption"/>
      </w:pPr>
      <w:r>
        <w:t xml:space="preserve">Table 6.2: An example of a coordination game.</w:t>
      </w:r>
    </w:p>
    <w:tbl>
      <w:tblPr>
        <w:tblStyle w:val="Table"/>
        <w:tblW w:type="auto" w:w="0"/>
        <w:tblLook w:firstRow="0" w:lastRow="0" w:firstColumn="0" w:lastColumn="0" w:noHBand="0" w:noVBand="0" w:val="0000"/>
        <w:jc w:val="start"/>
        <w:tblCaption w:val="Table 6.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83"/>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3"/>
        </w:numPr>
        <w:pStyle w:val="Compact"/>
      </w:pPr>
      <w:r>
        <w:t xml:space="preserve">Both Demon-1 and Demon-2 predict Chooser, but do not reveal their prediction.</w:t>
      </w:r>
    </w:p>
    <w:p>
      <w:pPr>
        <w:numPr>
          <w:ilvl w:val="0"/>
          <w:numId w:val="1003"/>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3"/>
        </w:numPr>
        <w:pStyle w:val="Compact"/>
      </w:pPr>
      <w:r>
        <w:t xml:space="preserve">Chooser chooses Up or Down.</w:t>
      </w:r>
    </w:p>
    <w:p>
      <w:pPr>
        <w:numPr>
          <w:ilvl w:val="0"/>
          <w:numId w:val="1003"/>
        </w:numPr>
        <w:pStyle w:val="Compact"/>
      </w:pPr>
      <w:r>
        <w:t xml:space="preserve">Demon-2’s prediction is chosen, and that determines whether we are in state PU or state PD.</w:t>
      </w:r>
    </w:p>
    <w:p>
      <w:pPr>
        <w:numPr>
          <w:ilvl w:val="0"/>
          <w:numId w:val="1003"/>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6.3</w:t>
        </w:r>
      </w:hyperlink>
      <w:r>
        <w:t xml:space="preserve"> </w:t>
      </w:r>
      <w:r>
        <w:t xml:space="preserve">gives the general form of such a problem. Our problem has this abstract of</w:t>
      </w:r>
      <w:r>
        <w:t xml:space="preserve"> </w:t>
      </w:r>
      <w:hyperlink w:anchor="tbl-general-exit">
        <w:r>
          <w:rPr>
            <w:rStyle w:val="Hyperlink"/>
          </w:rPr>
          <w:t xml:space="preserve">Table 6.3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86" w:name="tbl-general-exit"/>
    <w:tbl>
      <w:tblPr>
        <w:tblStyle w:val="Table"/>
        <w:tblW w:type="pct" w:w="5000"/>
        <w:tblLook w:firstRow="0" w:lastRow="0" w:firstColumn="0" w:lastColumn="0" w:noHBand="0" w:noVBand="0" w:val="0000"/>
        <w:jc w:val="start"/>
      </w:tblPr>
      <w:tblGrid>
        <w:gridCol w:w="3960"/>
        <w:gridCol w:w="3960"/>
      </w:tblGrid>
      <w:tr>
        <w:tc>
          <w:tcPr/>
          <w:bookmarkStart w:id="84"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8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85"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85"/>
          <w:p/>
        </w:tc>
      </w:tr>
    </w:tbl>
    <w:p>
      <w:pPr>
        <w:pStyle w:val="BodyText"/>
      </w:pPr>
      <w:pPr>
        <w:spacing w:before="200"/>
        <w:pStyle w:val="ImageCaption"/>
      </w:pPr>
      <w:r>
        <w:t xml:space="preserve">Table 6.3: The abstract form of an exit problem.</w:t>
      </w:r>
    </w:p>
    <w:bookmarkEnd w:id="86"/>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4"/>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5"/>
        </w:numPr>
        <w:pStyle w:val="Compact"/>
      </w:pPr>
      <w:r>
        <w:t xml:space="preserve">If</w:t>
      </w:r>
      <w:r>
        <w:t xml:space="preserve"> </w:t>
      </w:r>
      <w:r>
        <w:rPr>
          <w:iCs/>
          <w:i/>
        </w:rPr>
        <w:t xml:space="preserve">p</w:t>
      </w:r>
      <w:r>
        <w:t xml:space="preserve"> </w:t>
      </w:r>
      <w:r>
        <w:t xml:space="preserve">happens, what do you want to do?</w:t>
      </w:r>
    </w:p>
    <w:p>
      <w:pPr>
        <w:numPr>
          <w:ilvl w:val="0"/>
          <w:numId w:val="1005"/>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87"/>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6.2</w:t>
        </w:r>
      </w:hyperlink>
      <w:r>
        <w:t xml:space="preserve"> </w:t>
      </w:r>
      <w:r>
        <w:t xml:space="preserve">cite above table will violate Exit Principle. Think about what they will say</w:t>
      </w:r>
      <w:r>
        <w:t xml:space="preserve"> </w:t>
      </w:r>
      <w:hyperlink w:anchor="tbl-early-choice">
        <w:r>
          <w:rPr>
            <w:rStyle w:val="Hyperlink"/>
          </w:rPr>
          <w:t xml:space="preserve">Table 6.4</w:t>
        </w:r>
      </w:hyperlink>
      <w:r>
        <w:t xml:space="preserve">.</w:t>
      </w:r>
    </w:p>
    <w:bookmarkStart w:id="88" w:name="tbl-early-choice"/>
    <w:p>
      <w:pPr>
        <w:pStyle w:val="TableCaption"/>
      </w:pPr>
      <w:r>
        <w:t xml:space="preserve">Table 6.4: The Early Choice decision.</w:t>
      </w:r>
    </w:p>
    <w:tbl>
      <w:tblPr>
        <w:tblStyle w:val="Table"/>
        <w:tblW w:type="auto" w:w="0"/>
        <w:tblLook w:firstRow="0" w:lastRow="0" w:firstColumn="0" w:lastColumn="0" w:noHBand="0" w:noVBand="0" w:val="0000"/>
        <w:jc w:val="start"/>
        <w:tblCaption w:val="Table 6.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88"/>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6.5</w:t>
        </w:r>
      </w:hyperlink>
      <w:r>
        <w:t xml:space="preserve">.</w:t>
      </w:r>
    </w:p>
    <w:bookmarkStart w:id="89" w:name="tbl-early-choice-simplified"/>
    <w:p>
      <w:pPr>
        <w:pStyle w:val="TableCaption"/>
      </w:pPr>
      <w:r>
        <w:t xml:space="preserve">Table 6.5: The Early Choice decision simplified.</w:t>
      </w:r>
    </w:p>
    <w:tbl>
      <w:tblPr>
        <w:tblStyle w:val="Table"/>
        <w:tblW w:type="auto" w:w="0"/>
        <w:tblLook w:firstRow="0" w:lastRow="0" w:firstColumn="0" w:lastColumn="0" w:noHBand="0" w:noVBand="0" w:val="0000"/>
        <w:jc w:val="start"/>
        <w:tblCaption w:val="Table 6.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89"/>
    <w:p>
      <w:pPr>
        <w:pStyle w:val="BodyText"/>
      </w:pPr>
      <w:r>
        <w:t xml:space="preserve">Now presumably if one prefers Up in above table, it is because one prefers Up in any game like</w:t>
      </w:r>
      <w:r>
        <w:t xml:space="preserve"> </w:t>
      </w:r>
      <w:hyperlink w:anchor="tbl-general-coord">
        <w:r>
          <w:rPr>
            <w:rStyle w:val="Hyperlink"/>
          </w:rPr>
          <w:t xml:space="preserve">Table 6.6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90" w:name="tbl-general-coord"/>
    <w:p>
      <w:pPr>
        <w:pStyle w:val="TableCaption"/>
      </w:pPr>
      <w:r>
        <w:t xml:space="preserve">Table 6.6: General coordination game.</w:t>
      </w:r>
    </w:p>
    <w:tbl>
      <w:tblPr>
        <w:tblStyle w:val="Table"/>
        <w:tblW w:type="auto" w:w="0"/>
        <w:tblLook w:firstRow="0" w:lastRow="0" w:firstColumn="0" w:lastColumn="0" w:noHBand="0" w:noVBand="0" w:val="0000"/>
        <w:jc w:val="start"/>
        <w:tblCaption w:val="Table 6.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90"/>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6.5</w:t>
        </w:r>
      </w:hyperlink>
      <w:r>
        <w:t xml:space="preserve"> </w:t>
      </w:r>
      <w:r>
        <w:t xml:space="preserve">and so, presumably, in</w:t>
      </w:r>
      <w:r>
        <w:t xml:space="preserve"> </w:t>
      </w:r>
      <w:hyperlink w:anchor="tbl-early-choice">
        <w:r>
          <w:rPr>
            <w:rStyle w:val="Hyperlink"/>
          </w:rPr>
          <w:t xml:space="preserve">Table 6.4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6.6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6.7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2007a)</w:t>
      </w:r>
      <w:r>
        <w:t xml:space="preserve">, the asymmetric Death in Damascus case</w:t>
      </w:r>
      <w:r>
        <w:t xml:space="preserve"> </w:t>
      </w:r>
      <w:r>
        <w:t xml:space="preserve">(Richter 1984)</w:t>
      </w:r>
      <w:r>
        <w:t xml:space="preserve">, and other puzzles for CDT.</w:t>
      </w:r>
    </w:p>
    <w:bookmarkStart w:id="91" w:name="tbl-frustrating-button"/>
    <w:p>
      <w:pPr>
        <w:pStyle w:val="TableCaption"/>
      </w:pPr>
      <w:r>
        <w:t xml:space="preserve">Table 6.7: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6.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91"/>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6.8</w:t>
        </w:r>
      </w:hyperlink>
      <w:r>
        <w:t xml:space="preserve">, the intuitions shift.</w:t>
      </w:r>
    </w:p>
    <w:bookmarkStart w:id="94" w:name="tbl-frustrating-exit"/>
    <w:tbl>
      <w:tblPr>
        <w:tblStyle w:val="Table"/>
        <w:tblW w:type="pct" w:w="5000"/>
        <w:tblLook w:firstRow="0" w:lastRow="0" w:firstColumn="0" w:lastColumn="0" w:noHBand="0" w:noVBand="0" w:val="0000"/>
        <w:jc w:val="start"/>
      </w:tblPr>
      <w:tblGrid>
        <w:gridCol w:w="3960"/>
        <w:gridCol w:w="3960"/>
      </w:tblGrid>
      <w:tr>
        <w:tc>
          <w:tcPr/>
          <w:bookmarkStart w:id="92"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9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3"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93"/>
          <w:p/>
        </w:tc>
      </w:tr>
    </w:tbl>
    <w:p>
      <w:pPr>
        <w:pStyle w:val="BodyText"/>
      </w:pPr>
      <w:pPr>
        <w:spacing w:before="200"/>
        <w:pStyle w:val="ImageCaption"/>
      </w:pPr>
      <w:r>
        <w:t xml:space="preserve">Table 6.8: An exit problem with Frustrating Button in round 2.</w:t>
      </w:r>
    </w:p>
    <w:bookmarkEnd w:id="94"/>
    <w:p>
      <w:pPr>
        <w:pStyle w:val="BodyText"/>
      </w:pPr>
      <w:r>
        <w:t xml:space="preserve">The Early Version of</w:t>
      </w:r>
      <w:r>
        <w:t xml:space="preserve"> </w:t>
      </w:r>
      <w:hyperlink w:anchor="tbl-frustrating-exit">
        <w:r>
          <w:rPr>
            <w:rStyle w:val="Hyperlink"/>
          </w:rPr>
          <w:t xml:space="preserve">Table 6.8</w:t>
        </w:r>
      </w:hyperlink>
      <w:r>
        <w:t xml:space="preserve"> </w:t>
      </w:r>
      <w:r>
        <w:t xml:space="preserve">is</w:t>
      </w:r>
      <w:r>
        <w:t xml:space="preserve"> </w:t>
      </w:r>
      <w:hyperlink w:anchor="tbl-ev-fe">
        <w:r>
          <w:rPr>
            <w:rStyle w:val="Hyperlink"/>
          </w:rPr>
          <w:t xml:space="preserve">Table 6.9</w:t>
        </w:r>
      </w:hyperlink>
      <w:r>
        <w:t xml:space="preserve">.</w:t>
      </w:r>
    </w:p>
    <w:bookmarkStart w:id="95" w:name="tbl-ev-fe"/>
    <w:p>
      <w:pPr>
        <w:pStyle w:val="TableCaption"/>
      </w:pPr>
      <w:r>
        <w:t xml:space="preserve">Table 6.9: Early Version of</w:t>
      </w:r>
      <w:r>
        <w:t xml:space="preserve"> </w:t>
      </w:r>
      <w:hyperlink w:anchor="tbl-frustrating-exit">
        <w:r>
          <w:rPr>
            <w:rStyle w:val="Hyperlink"/>
          </w:rPr>
          <w:t xml:space="preserve">Table 6.8</w:t>
        </w:r>
      </w:hyperlink>
      <w:r>
        <w:t xml:space="preserve">.</w:t>
      </w:r>
    </w:p>
    <w:tbl>
      <w:tblPr>
        <w:tblStyle w:val="Table"/>
        <w:tblW w:type="auto" w:w="0"/>
        <w:tblLook w:firstRow="0" w:lastRow="0" w:firstColumn="0" w:lastColumn="0" w:noHBand="0" w:noVBand="0" w:val="0000"/>
        <w:jc w:val="start"/>
        <w:tblCaption w:val="Table 6.9: Early Version of Table 6.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95"/>
    <w:p>
      <w:r>
        <w:br w:type="page"/>
      </w:r>
    </w:p>
    <w:p>
      <w:pPr>
        <w:pStyle w:val="BodyText"/>
      </w:pPr>
      <w:r>
        <w:t xml:space="preserve">And if there is an intuition here, it is that it’s better to choose Down rather than Up.</w:t>
      </w:r>
      <w:r>
        <w:rPr>
          <w:rStyle w:val="FootnoteReference"/>
        </w:rPr>
        <w:footnoteReference w:id="96"/>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97"/>
    <w:bookmarkStart w:id="112" w:name="sec-dualmandate"/>
    <w:p>
      <w:pPr>
        <w:pStyle w:val="Heading1"/>
      </w:pPr>
      <w:r>
        <w:t xml:space="preserve">7. Dual Mandate</w:t>
      </w:r>
    </w:p>
    <w:p>
      <w:pPr>
        <w:pStyle w:val="FirstParagraph"/>
      </w:pPr>
      <w:r>
        <w:t xml:space="preserve">Say a decision tree is a series of steps with the following characteristics.</w:t>
      </w:r>
    </w:p>
    <w:p>
      <w:pPr>
        <w:numPr>
          <w:ilvl w:val="0"/>
          <w:numId w:val="1006"/>
        </w:numPr>
        <w:pStyle w:val="Compact"/>
      </w:pPr>
      <w:r>
        <w:t xml:space="preserve">At every step, Chooser either receives some information, or makes a choice.</w:t>
      </w:r>
    </w:p>
    <w:p>
      <w:pPr>
        <w:numPr>
          <w:ilvl w:val="0"/>
          <w:numId w:val="1006"/>
        </w:numPr>
        <w:pStyle w:val="Compact"/>
      </w:pPr>
      <w:r>
        <w:t xml:space="preserve">Chooser knows before the first step what possible choices will be available at each step, given the prior steps, or what possible pieces of information could be received.</w:t>
      </w:r>
    </w:p>
    <w:p>
      <w:pPr>
        <w:numPr>
          <w:ilvl w:val="0"/>
          <w:numId w:val="1006"/>
        </w:numPr>
        <w:pStyle w:val="Compact"/>
      </w:pPr>
      <w:r>
        <w:t xml:space="preserve">No matter what happens, the tree ends after finitely many steps. (Though it may end after more or fewer steps depending on what happens).</w:t>
      </w:r>
    </w:p>
    <w:p>
      <w:pPr>
        <w:numPr>
          <w:ilvl w:val="0"/>
          <w:numId w:val="1006"/>
        </w:numPr>
        <w:pStyle w:val="Compact"/>
      </w:pPr>
      <w:r>
        <w:t xml:space="preserve">Chooser knows before the first step what payout they will receive given each possible sequence of choices and information.</w:t>
      </w:r>
    </w:p>
    <w:p>
      <w:pPr>
        <w:numPr>
          <w:ilvl w:val="0"/>
          <w:numId w:val="1006"/>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98"/>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99"/>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100"/>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101" w:name="tbl-retaliation"/>
    <w:p>
      <w:pPr>
        <w:pStyle w:val="TableCaption"/>
      </w:pPr>
      <w:r>
        <w:t xml:space="preserve">Table 7.1: Deciding whether to retaliate.</w:t>
      </w:r>
    </w:p>
    <w:tbl>
      <w:tblPr>
        <w:tblStyle w:val="Table"/>
        <w:tblW w:type="auto" w:w="0"/>
        <w:tblLook w:firstRow="0" w:lastRow="0" w:firstColumn="0" w:lastColumn="0" w:noHBand="0" w:noVBand="0" w:val="0000"/>
        <w:jc w:val="start"/>
        <w:tblCaption w:val="Table 7.1: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101"/>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7.2</w:t>
        </w:r>
      </w:hyperlink>
      <w:r>
        <w:t xml:space="preserve">.</w:t>
      </w:r>
    </w:p>
    <w:bookmarkStart w:id="102" w:name="tbl-gallow-sophisticated"/>
    <w:p>
      <w:pPr>
        <w:pStyle w:val="TableCaption"/>
      </w:pPr>
      <w:r>
        <w:t xml:space="preserve">Table 7.2: A challenge for pure sophisticated decision.</w:t>
      </w:r>
    </w:p>
    <w:tbl>
      <w:tblPr>
        <w:tblStyle w:val="Table"/>
        <w:tblW w:type="auto" w:w="0"/>
        <w:tblLook w:firstRow="0" w:lastRow="0" w:firstColumn="0" w:lastColumn="0" w:noHBand="0" w:noVBand="0" w:val="0000"/>
        <w:jc w:val="start"/>
        <w:tblCaption w:val="Table 7.2: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102"/>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7.2</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w:t>
      </w:r>
      <w:r>
        <w:rPr>
          <w:rStyle w:val="FootnoteReference"/>
        </w:rPr>
        <w:footnoteReference w:id="103"/>
      </w:r>
      <w:r>
        <w:t xml:space="preserve"> </w:t>
      </w:r>
      <w:r>
        <w:t xml:space="preserve">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104"/>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105"/>
      </w:r>
    </w:p>
    <w:bookmarkStart w:id="108" w:name="tbl-newcomb-insurance"/>
    <w:tbl>
      <w:tblPr>
        <w:tblStyle w:val="Table"/>
        <w:tblW w:type="pct" w:w="5000"/>
        <w:tblLook w:firstRow="0" w:lastRow="0" w:firstColumn="0" w:lastColumn="0" w:noHBand="0" w:noVBand="0" w:val="0000"/>
        <w:jc w:val="start"/>
      </w:tblPr>
      <w:tblGrid>
        <w:gridCol w:w="3960"/>
        <w:gridCol w:w="3960"/>
      </w:tblGrid>
      <w:tr>
        <w:tc>
          <w:tcPr/>
          <w:bookmarkStart w:id="106"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10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7"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107"/>
          <w:p/>
        </w:tc>
      </w:tr>
    </w:tbl>
    <w:p>
      <w:pPr>
        <w:pStyle w:val="BodyText"/>
      </w:pPr>
      <w:pPr>
        <w:spacing w:before="200"/>
        <w:pStyle w:val="ImageCaption"/>
      </w:pPr>
      <w:r>
        <w:t xml:space="preserve">Table 7.3: Ahmed Insurance (from</w:t>
      </w:r>
      <w:r>
        <w:t xml:space="preserve"> </w:t>
      </w:r>
      <w:r>
        <w:t xml:space="preserve">Spencer (2021a)</w:t>
      </w:r>
      <w:r>
        <w:t xml:space="preserve">).</w:t>
      </w:r>
    </w:p>
    <w:bookmarkEnd w:id="108"/>
    <w:p>
      <w:pPr>
        <w:pStyle w:val="BodyText"/>
      </w:pPr>
      <w:r>
        <w:t xml:space="preserve">Note that in</w:t>
      </w:r>
      <w:r>
        <w:t xml:space="preserve"> </w:t>
      </w:r>
      <w:hyperlink w:anchor="tbl-ni-right">
        <w:r>
          <w:rPr>
            <w:rStyle w:val="Hyperlink"/>
          </w:rPr>
          <w:t xml:space="preserve">Table 7.3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7.3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109" w:name="tbl-ni-strategic"/>
    <w:p>
      <w:pPr>
        <w:pStyle w:val="TableCaption"/>
      </w:pPr>
      <w:r>
        <w:t xml:space="preserve">Table 7.4: Strategic form of Ahmed Insurance.</w:t>
      </w:r>
    </w:p>
    <w:tbl>
      <w:tblPr>
        <w:tblStyle w:val="Table"/>
        <w:tblW w:type="auto" w:w="0"/>
        <w:tblLook w:firstRow="0" w:lastRow="0" w:firstColumn="0" w:lastColumn="0" w:noHBand="0" w:noVBand="0" w:val="0000"/>
        <w:jc w:val="start"/>
        <w:tblCaption w:val="Table 7.4: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109"/>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7.3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7.3 (a)</w:t>
        </w:r>
      </w:hyperlink>
      <w:r>
        <w:t xml:space="preserve"> </w:t>
      </w:r>
      <w:r>
        <w:t xml:space="preserve">comes down to this.</w:t>
      </w:r>
    </w:p>
    <w:bookmarkStart w:id="110" w:name="tbl-ni-new-left"/>
    <w:p>
      <w:pPr>
        <w:pStyle w:val="TableCaption"/>
      </w:pPr>
      <w:r>
        <w:t xml:space="preserve">Table 7.5: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7.5: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110"/>
    <w:p>
      <w:pPr>
        <w:pStyle w:val="BodyText"/>
      </w:pPr>
      <w:r>
        <w:t xml:space="preserve">This game has two pure strategy equilibria, and on its own I think (because of the arguments in</w:t>
      </w:r>
      <w:r>
        <w:t xml:space="preserve"> </w:t>
      </w:r>
      <w:hyperlink w:anchor="sec-indecisive">
        <w:r>
          <w:rPr>
            <w:rStyle w:val="Hyperlink"/>
          </w:rPr>
          <w:t xml:space="preserve">Chapter 6</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7.3</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Chapter 5</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111"/>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7.2</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112"/>
    <w:bookmarkStart w:id="113" w:name="sec-select"/>
    <w:p>
      <w:pPr>
        <w:pStyle w:val="Heading1"/>
      </w:pPr>
      <w:r>
        <w:t xml:space="preserve">8. Selection</w:t>
      </w:r>
    </w:p>
    <w:p>
      <w:pPr>
        <w:numPr>
          <w:ilvl w:val="0"/>
          <w:numId w:val="1007"/>
        </w:numPr>
        <w:pStyle w:val="Compact"/>
      </w:pPr>
      <w:r>
        <w:t xml:space="preserve">Solution concepts are not preference ordering</w:t>
      </w:r>
    </w:p>
    <w:p>
      <w:pPr>
        <w:numPr>
          <w:ilvl w:val="0"/>
          <w:numId w:val="1007"/>
        </w:numPr>
        <w:pStyle w:val="Compact"/>
      </w:pPr>
      <w:r>
        <w:t xml:space="preserve">Talk about Sen for a bit, and how there are principled constraints on selection functions</w:t>
      </w:r>
    </w:p>
    <w:p>
      <w:pPr>
        <w:numPr>
          <w:ilvl w:val="0"/>
          <w:numId w:val="1007"/>
        </w:numPr>
        <w:pStyle w:val="Compact"/>
      </w:pPr>
      <w:r>
        <w:t xml:space="preserve">One reason why not preference ordering: Indecisiveness. The permissible choices are not things the chooser is indifferent between</w:t>
      </w:r>
    </w:p>
    <w:p>
      <w:pPr>
        <w:numPr>
          <w:ilvl w:val="0"/>
          <w:numId w:val="1007"/>
        </w:numPr>
        <w:pStyle w:val="Compact"/>
      </w:pPr>
      <w:r>
        <w:t xml:space="preserve">Another, better, reason why not preference ordering: doesn’t play an explanatory role.</w:t>
      </w:r>
    </w:p>
    <w:p>
      <w:pPr>
        <w:numPr>
          <w:ilvl w:val="0"/>
          <w:numId w:val="1007"/>
        </w:numPr>
        <w:pStyle w:val="Compact"/>
      </w:pPr>
      <w:r>
        <w:t xml:space="preserve">Possible objection: It does play an explanatory role, it explains what they would do with fewer choices.</w:t>
      </w:r>
    </w:p>
    <w:p>
      <w:pPr>
        <w:numPr>
          <w:ilvl w:val="0"/>
          <w:numId w:val="1007"/>
        </w:numPr>
        <w:pStyle w:val="Compact"/>
      </w:pPr>
      <w:r>
        <w:t xml:space="preserve">This is I think the most important point, and it’s why I’ve put off this discussion for so long.</w:t>
      </w:r>
    </w:p>
    <w:p>
      <w:pPr>
        <w:numPr>
          <w:ilvl w:val="0"/>
          <w:numId w:val="1007"/>
        </w:numPr>
        <w:pStyle w:val="Compact"/>
      </w:pPr>
      <w:r>
        <w:t xml:space="preserve">First reply: Gotta specify whether the loss of option is common knowledge or not, and both answers have flaws</w:t>
      </w:r>
    </w:p>
    <w:p>
      <w:pPr>
        <w:numPr>
          <w:ilvl w:val="0"/>
          <w:numId w:val="1007"/>
        </w:numPr>
        <w:pStyle w:val="Compact"/>
      </w:pPr>
      <w:r>
        <w:t xml:space="preserve">Second reply: Taking away mixed strategies might take us out of the realm of rational choice (if I’m right in mixed strategies chapter)</w:t>
      </w:r>
    </w:p>
    <w:p>
      <w:pPr>
        <w:numPr>
          <w:ilvl w:val="0"/>
          <w:numId w:val="1007"/>
        </w:numPr>
        <w:pStyle w:val="Compact"/>
      </w:pPr>
      <w:r>
        <w:t xml:space="preserve">Third reply: Taking away some strategies in dynamic cases might be really weird.</w:t>
      </w:r>
    </w:p>
    <w:p>
      <w:pPr>
        <w:numPr>
          <w:ilvl w:val="0"/>
          <w:numId w:val="1007"/>
        </w:numPr>
        <w:pStyle w:val="Compact"/>
      </w:pPr>
      <w:r>
        <w:t xml:space="preserve">Example: Two rounds. At each round a $1 bill is on table, and Chooser takes it or leaves it.</w:t>
      </w:r>
    </w:p>
    <w:p>
      <w:pPr>
        <w:numPr>
          <w:ilvl w:val="0"/>
          <w:numId w:val="1007"/>
        </w:numPr>
        <w:pStyle w:val="Compact"/>
      </w:pPr>
      <w:r>
        <w:t xml:space="preserve">What does it mean to remove the strategy TTT, i.e., take at R1, and then take at R2 whether you take or leave at R1.</w:t>
      </w:r>
    </w:p>
    <w:p>
      <w:pPr>
        <w:numPr>
          <w:ilvl w:val="0"/>
          <w:numId w:val="1007"/>
        </w:numPr>
        <w:pStyle w:val="Compact"/>
      </w:pPr>
      <w:r>
        <w:t xml:space="preserve">Counter: This is an artifact of the definition of strategies</w:t>
      </w:r>
    </w:p>
    <w:p>
      <w:pPr>
        <w:numPr>
          <w:ilvl w:val="0"/>
          <w:numId w:val="1007"/>
        </w:numPr>
        <w:pStyle w:val="Compact"/>
      </w:pPr>
      <w:r>
        <w:t xml:space="preserve">My reply: Need this definition of strategies to explain simple (3 step) centipede problems</w:t>
      </w:r>
    </w:p>
    <w:p>
      <w:pPr>
        <w:numPr>
          <w:ilvl w:val="0"/>
          <w:numId w:val="1007"/>
        </w:numPr>
        <w:pStyle w:val="Compact"/>
      </w:pPr>
      <w:r>
        <w:t xml:space="preserve">Counter: Stalnaker says that this is wrong</w:t>
      </w:r>
    </w:p>
    <w:p>
      <w:pPr>
        <w:numPr>
          <w:ilvl w:val="0"/>
          <w:numId w:val="1007"/>
        </w:numPr>
        <w:pStyle w:val="Compact"/>
      </w:pPr>
      <w:r>
        <w:t xml:space="preserve">My reply: Eh, that’s a point. I disagree here, but whatever</w:t>
      </w:r>
    </w:p>
    <w:p>
      <w:pPr>
        <w:numPr>
          <w:ilvl w:val="0"/>
          <w:numId w:val="1007"/>
        </w:numPr>
        <w:pStyle w:val="Compact"/>
      </w:pPr>
      <w:r>
        <w:t xml:space="preserve">This is why I reject strategic form normal form</w:t>
      </w:r>
    </w:p>
    <w:bookmarkEnd w:id="113"/>
    <w:bookmarkStart w:id="120"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14"/>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15"/>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8"/>
        </w:numPr>
        <w:pStyle w:val="Compact"/>
      </w:pPr>
      <w:r>
        <w:t xml:space="preserve">A coin will be flipped, landing Heads or Tails. It is biased, 60% likely to land Heads. It will be shown to Chooser, but not to Demon.</w:t>
      </w:r>
    </w:p>
    <w:p>
      <w:pPr>
        <w:numPr>
          <w:ilvl w:val="0"/>
          <w:numId w:val="1008"/>
        </w:numPr>
        <w:pStyle w:val="Compact"/>
      </w:pPr>
      <w:r>
        <w:t xml:space="preserve">Chooser will say either Heads or Tails.</w:t>
      </w:r>
    </w:p>
    <w:p>
      <w:pPr>
        <w:numPr>
          <w:ilvl w:val="0"/>
          <w:numId w:val="1008"/>
        </w:numPr>
        <w:pStyle w:val="Compact"/>
      </w:pPr>
      <w:r>
        <w:t xml:space="preserve">Demon, knowing what Chooser has said, and being arbitrarily good at predicting Chooser’s strategy</w:t>
      </w:r>
      <w:r>
        <w:rPr>
          <w:rStyle w:val="FootnoteReference"/>
        </w:rPr>
        <w:footnoteReference w:id="116"/>
      </w:r>
      <w:r>
        <w:t xml:space="preserve">. will say Heads if it is more probable the coin landed Heads, and Tails if it is more probable the coin landed Tails.</w:t>
      </w:r>
      <w:r>
        <w:rPr>
          <w:rStyle w:val="FootnoteReference"/>
        </w:rPr>
        <w:footnoteReference w:id="117"/>
      </w:r>
    </w:p>
    <w:p>
      <w:pPr>
        <w:numPr>
          <w:ilvl w:val="0"/>
          <w:numId w:val="1008"/>
        </w:numPr>
        <w:pStyle w:val="Compact"/>
      </w:pPr>
      <w:r>
        <w:t xml:space="preserve">Chooser is paid $30 if Demon says Heads, and nothing if Demon says Tails.</w:t>
      </w:r>
    </w:p>
    <w:p>
      <w:pPr>
        <w:numPr>
          <w:ilvl w:val="0"/>
          <w:numId w:val="1008"/>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118" w:name="tbl-cho-kreps"/>
    <w:p>
      <w:pPr>
        <w:pStyle w:val="TableCaption"/>
      </w:pPr>
      <w:r>
        <w:t xml:space="preserve">Table 9.1: The coin game.</w:t>
      </w:r>
    </w:p>
    <w:tbl>
      <w:tblPr>
        <w:tblStyle w:val="Table"/>
        <w:tblW w:type="auto" w:w="0"/>
        <w:tblLook w:firstRow="0" w:lastRow="0" w:firstColumn="0" w:lastColumn="0" w:noHBand="0" w:noVBand="0" w:val="0000"/>
        <w:jc w:val="start"/>
        <w:tblCaption w:val="Table 9.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18"/>
    <w:p>
      <w:pPr>
        <w:pStyle w:val="BodyText"/>
      </w:pPr>
      <w:r>
        <w:t xml:space="preserve">What will Chooser do? There are two coherent things for Chooser to do, though each of them is only coherent given a background belief that isn’t entailed by the evidence.</w:t>
      </w:r>
    </w:p>
    <w:p>
      <w:pPr>
        <w:numPr>
          <w:ilvl w:val="0"/>
          <w:numId w:val="1009"/>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9"/>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119"/>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120"/>
    <w:bookmarkStart w:id="124"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10.1</w:t>
        </w:r>
      </w:hyperlink>
      <w:r>
        <w:t xml:space="preserve">; what would the ideal chooser do?</w:t>
      </w:r>
    </w:p>
    <w:bookmarkStart w:id="121" w:name="tbl-first-wd"/>
    <w:p>
      <w:pPr>
        <w:pStyle w:val="TableCaption"/>
      </w:pPr>
      <w:r>
        <w:t xml:space="preserve">Table 10.1: A ratifiable, weakly dominated, option.</w:t>
      </w:r>
    </w:p>
    <w:tbl>
      <w:tblPr>
        <w:tblStyle w:val="Table"/>
        <w:tblW w:type="auto" w:w="0"/>
        <w:tblLook w:firstRow="0" w:lastRow="0" w:firstColumn="0" w:lastColumn="0" w:noHBand="0" w:noVBand="0" w:val="0000"/>
        <w:jc w:val="start"/>
        <w:tblCaption w:val="Table 10.1: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121"/>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122"/>
      </w:r>
      <w:r>
        <w:t xml:space="preserve"> </w:t>
      </w:r>
      <w:r>
        <w:t xml:space="preserve">Think about</w:t>
      </w:r>
      <w:r>
        <w:t xml:space="preserve"> </w:t>
      </w:r>
      <w:hyperlink w:anchor="tbl-wd-itd">
        <w:r>
          <w:rPr>
            <w:rStyle w:val="Hyperlink"/>
          </w:rPr>
          <w:t xml:space="preserve">Table 10.2</w:t>
        </w:r>
      </w:hyperlink>
      <w:r>
        <w:t xml:space="preserve">.</w:t>
      </w:r>
    </w:p>
    <w:bookmarkStart w:id="123" w:name="tbl-wd-itd"/>
    <w:p>
      <w:pPr>
        <w:pStyle w:val="TableCaption"/>
      </w:pPr>
      <w:r>
        <w:t xml:space="preserve">Table 10.2: An example of iterated weak dominance.</w:t>
      </w:r>
    </w:p>
    <w:tbl>
      <w:tblPr>
        <w:tblStyle w:val="Table"/>
        <w:tblW w:type="auto" w:w="0"/>
        <w:tblLook w:firstRow="0" w:lastRow="0" w:firstColumn="0" w:lastColumn="0" w:noHBand="0" w:noVBand="0" w:val="0000"/>
        <w:jc w:val="start"/>
        <w:tblCaption w:val="Table 10.2: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123"/>
    <w:p>
      <w:pPr>
        <w:pStyle w:val="BodyText"/>
      </w:pPr>
      <w:r>
        <w:t xml:space="preserve">In</w:t>
      </w:r>
      <w:r>
        <w:t xml:space="preserve"> </w:t>
      </w:r>
      <w:hyperlink w:anchor="tbl-wd-itd">
        <w:r>
          <w:rPr>
            <w:rStyle w:val="Hyperlink"/>
          </w:rPr>
          <w:t xml:space="preserve">Table 10.2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10.1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10.2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10.1</w:t>
        </w:r>
      </w:hyperlink>
      <w:r>
        <w:t xml:space="preserve"> </w:t>
      </w:r>
      <w:r>
        <w:t xml:space="preserve">simply don’t carry over to</w:t>
      </w:r>
      <w:r>
        <w:t xml:space="preserve"> </w:t>
      </w:r>
      <w:hyperlink w:anchor="tbl-wd-itd">
        <w:r>
          <w:rPr>
            <w:rStyle w:val="Hyperlink"/>
          </w:rPr>
          <w:t xml:space="preserve">Table 10.2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10.1</w:t>
        </w:r>
      </w:hyperlink>
      <w:r>
        <w:t xml:space="preserve">, but not in</w:t>
      </w:r>
      <w:r>
        <w:t xml:space="preserve"> </w:t>
      </w:r>
      <w:hyperlink w:anchor="tbl-wd-itd">
        <w:r>
          <w:rPr>
            <w:rStyle w:val="Hyperlink"/>
          </w:rPr>
          <w:t xml:space="preserve">Table 10.2</w:t>
        </w:r>
      </w:hyperlink>
      <w:r>
        <w:t xml:space="preserve">.</w:t>
      </w:r>
    </w:p>
    <w:bookmarkEnd w:id="124"/>
    <w:bookmarkStart w:id="126"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125"/>
      </w:r>
    </w:p>
    <w:bookmarkEnd w:id="126"/>
    <w:bookmarkStart w:id="261" w:name="references"/>
    <w:p>
      <w:pPr>
        <w:pStyle w:val="Heading1"/>
      </w:pPr>
      <w:r>
        <w:t xml:space="preserve">References</w:t>
      </w:r>
    </w:p>
    <w:bookmarkStart w:id="260" w:name="refs"/>
    <w:bookmarkStart w:id="128"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27">
        <w:r>
          <w:rPr>
            <w:rStyle w:val="Hyperlink"/>
          </w:rPr>
          <w:t xml:space="preserve">https://doi.org/10.1086/666065</w:t>
        </w:r>
      </w:hyperlink>
      <w:r>
        <w:t xml:space="preserve">.</w:t>
      </w:r>
    </w:p>
    <w:bookmarkEnd w:id="128"/>
    <w:bookmarkStart w:id="130"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29">
        <w:r>
          <w:rPr>
            <w:rStyle w:val="Hyperlink"/>
          </w:rPr>
          <w:t xml:space="preserve">https://doi.org/10.1093/mind/fzz073</w:t>
        </w:r>
      </w:hyperlink>
      <w:r>
        <w:t xml:space="preserve">.</w:t>
      </w:r>
    </w:p>
    <w:bookmarkEnd w:id="130"/>
    <w:bookmarkStart w:id="132"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31">
        <w:r>
          <w:rPr>
            <w:rStyle w:val="Hyperlink"/>
          </w:rPr>
          <w:t xml:space="preserve">https://doi.org/10.2307/1879431</w:t>
        </w:r>
      </w:hyperlink>
      <w:r>
        <w:t xml:space="preserve">.</w:t>
      </w:r>
    </w:p>
    <w:bookmarkEnd w:id="132"/>
    <w:bookmarkStart w:id="134"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33">
        <w:r>
          <w:rPr>
            <w:rStyle w:val="Hyperlink"/>
          </w:rPr>
          <w:t xml:space="preserve">https://www.nytimes.com/2023/06/19/world/americas/argentina-inflation-peso-restaurants.html</w:t>
        </w:r>
      </w:hyperlink>
      <w:r>
        <w:t xml:space="preserve">.</w:t>
      </w:r>
    </w:p>
    <w:bookmarkEnd w:id="134"/>
    <w:bookmarkStart w:id="136"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35">
        <w:r>
          <w:rPr>
            <w:rStyle w:val="Hyperlink"/>
          </w:rPr>
          <w:t xml:space="preserve">https://doi.org/10.2307/1907921</w:t>
        </w:r>
      </w:hyperlink>
      <w:r>
        <w:t xml:space="preserve">.</w:t>
      </w:r>
    </w:p>
    <w:bookmarkEnd w:id="136"/>
    <w:bookmarkStart w:id="138"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37">
        <w:r>
          <w:rPr>
            <w:rStyle w:val="Hyperlink"/>
          </w:rPr>
          <w:t xml:space="preserve">https://doi.org/10.1007/s10670-007-9084-8</w:t>
        </w:r>
      </w:hyperlink>
      <w:r>
        <w:t xml:space="preserve">.</w:t>
      </w:r>
    </w:p>
    <w:bookmarkEnd w:id="138"/>
    <w:bookmarkStart w:id="140"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39">
        <w:r>
          <w:rPr>
            <w:rStyle w:val="Hyperlink"/>
          </w:rPr>
          <w:t xml:space="preserve">https://doi.org/10.5840/jphil202211925</w:t>
        </w:r>
      </w:hyperlink>
      <w:r>
        <w:t xml:space="preserve">.</w:t>
      </w:r>
    </w:p>
    <w:bookmarkEnd w:id="140"/>
    <w:bookmarkStart w:id="142"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41">
        <w:r>
          <w:rPr>
            <w:rStyle w:val="Hyperlink"/>
          </w:rPr>
          <w:t xml:space="preserve">https://doi.org/10.1016/S0022-0531(05)80039-0</w:t>
        </w:r>
      </w:hyperlink>
      <w:r>
        <w:t xml:space="preserve">.</w:t>
      </w:r>
    </w:p>
    <w:bookmarkEnd w:id="142"/>
    <w:bookmarkStart w:id="144"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43">
        <w:r>
          <w:rPr>
            <w:rStyle w:val="Hyperlink"/>
          </w:rPr>
          <w:t xml:space="preserve">http://faculty.econ.ucdavis.edu/faculty/bonanno/GT_Book.html</w:t>
        </w:r>
      </w:hyperlink>
      <w:r>
        <w:t xml:space="preserve">.</w:t>
      </w:r>
    </w:p>
    <w:bookmarkEnd w:id="144"/>
    <w:bookmarkStart w:id="146"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45">
        <w:r>
          <w:rPr>
            <w:rStyle w:val="Hyperlink"/>
          </w:rPr>
          <w:t xml:space="preserve">https://doi.org/doi.org/10.1111/phpr.13006</w:t>
        </w:r>
      </w:hyperlink>
      <w:r>
        <w:t xml:space="preserve">.</w:t>
      </w:r>
    </w:p>
    <w:bookmarkEnd w:id="146"/>
    <w:bookmarkStart w:id="147" w:name="ref-BuchakRisk"/>
    <w:p>
      <w:pPr>
        <w:pStyle w:val="Bibliography"/>
      </w:pPr>
      <w:r>
        <w:t xml:space="preserve">Buchak, Lara. 2013.</w:t>
      </w:r>
      <w:r>
        <w:t xml:space="preserve"> </w:t>
      </w:r>
      <w:r>
        <w:rPr>
          <w:iCs/>
          <w:i/>
        </w:rPr>
        <w:t xml:space="preserve">Risk and Rationality</w:t>
      </w:r>
      <w:r>
        <w:t xml:space="preserve">. Oxford: Oxford University Press.</w:t>
      </w:r>
    </w:p>
    <w:bookmarkEnd w:id="147"/>
    <w:bookmarkStart w:id="149"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148">
        <w:r>
          <w:rPr>
            <w:rStyle w:val="Hyperlink"/>
          </w:rPr>
          <w:t xml:space="preserve">https://plato.stanford.edu/archives/win2017/entries/decision-theory-descriptive/</w:t>
        </w:r>
      </w:hyperlink>
      <w:r>
        <w:t xml:space="preserve">; Metaphysics Research Lab, Stanford University.</w:t>
      </w:r>
    </w:p>
    <w:bookmarkEnd w:id="149"/>
    <w:bookmarkStart w:id="151"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50">
        <w:r>
          <w:rPr>
            <w:rStyle w:val="Hyperlink"/>
          </w:rPr>
          <w:t xml:space="preserve">https://doi.org/10.1086/339673</w:t>
        </w:r>
      </w:hyperlink>
      <w:r>
        <w:t xml:space="preserve">.</w:t>
      </w:r>
    </w:p>
    <w:bookmarkEnd w:id="151"/>
    <w:bookmarkStart w:id="153"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52">
        <w:r>
          <w:rPr>
            <w:rStyle w:val="Hyperlink"/>
          </w:rPr>
          <w:t xml:space="preserve">https://doi.org/10.2307/1885060</w:t>
        </w:r>
      </w:hyperlink>
      <w:r>
        <w:t xml:space="preserve">.</w:t>
      </w:r>
    </w:p>
    <w:bookmarkEnd w:id="153"/>
    <w:bookmarkStart w:id="155" w:name="ref-cohen2023sequential"/>
    <w:p>
      <w:pPr>
        <w:pStyle w:val="Bibliography"/>
      </w:pPr>
      <w:r>
        <w:t xml:space="preserve">Cohen, Shani, and Shengwu Li. 2023.</w:t>
      </w:r>
      <w:r>
        <w:t xml:space="preserve"> </w:t>
      </w:r>
      <w:r>
        <w:t xml:space="preserve">“Sequential Cursed Equilibrium.”</w:t>
      </w:r>
      <w:r>
        <w:t xml:space="preserve"> </w:t>
      </w:r>
      <w:hyperlink r:id="rId154">
        <w:r>
          <w:rPr>
            <w:rStyle w:val="Hyperlink"/>
          </w:rPr>
          <w:t xml:space="preserve">https://arxiv.org/abs/2212.06025</w:t>
        </w:r>
      </w:hyperlink>
      <w:r>
        <w:t xml:space="preserve">.</w:t>
      </w:r>
    </w:p>
    <w:bookmarkEnd w:id="155"/>
    <w:bookmarkStart w:id="156"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156"/>
    <w:bookmarkStart w:id="158"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57">
        <w:r>
          <w:rPr>
            <w:rStyle w:val="Hyperlink"/>
          </w:rPr>
          <w:t xml:space="preserve">https://doi.org/10.1086/658093</w:t>
        </w:r>
      </w:hyperlink>
      <w:r>
        <w:t xml:space="preserve">.</w:t>
      </w:r>
    </w:p>
    <w:bookmarkEnd w:id="158"/>
    <w:bookmarkStart w:id="160" w:name="ref-Egan2007"/>
    <w:p>
      <w:pPr>
        <w:pStyle w:val="Bibliography"/>
      </w:pPr>
      <w:r>
        <w:t xml:space="preserve">Egan, Andy. 2007b.</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159">
        <w:r>
          <w:rPr>
            <w:rStyle w:val="Hyperlink"/>
          </w:rPr>
          <w:t xml:space="preserve">https://doi.org/10.1215/00318108-2006-023</w:t>
        </w:r>
      </w:hyperlink>
      <w:r>
        <w:t xml:space="preserve">.</w:t>
      </w:r>
    </w:p>
    <w:bookmarkEnd w:id="160"/>
    <w:bookmarkStart w:id="161" w:name="ref-Egan2007-EGASCT"/>
    <w:p>
      <w:pPr>
        <w:pStyle w:val="Bibliography"/>
      </w:pPr>
      <w:r>
        <w:t xml:space="preserve">———. 2007a.</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59">
        <w:r>
          <w:rPr>
            <w:rStyle w:val="Hyperlink"/>
          </w:rPr>
          <w:t xml:space="preserve">https://doi.org/10.1215/00318108-2006-023</w:t>
        </w:r>
      </w:hyperlink>
      <w:r>
        <w:t xml:space="preserve">.</w:t>
      </w:r>
    </w:p>
    <w:bookmarkEnd w:id="161"/>
    <w:bookmarkStart w:id="163"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62">
        <w:r>
          <w:rPr>
            <w:rStyle w:val="Hyperlink"/>
          </w:rPr>
          <w:t xml:space="preserve">https://doi.org/10.1093/analys/anz059</w:t>
        </w:r>
      </w:hyperlink>
      <w:r>
        <w:t xml:space="preserve">.</w:t>
      </w:r>
    </w:p>
    <w:bookmarkEnd w:id="163"/>
    <w:bookmarkStart w:id="165"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64">
        <w:r>
          <w:rPr>
            <w:rStyle w:val="Hyperlink"/>
          </w:rPr>
          <w:t xml:space="preserve">10.1111/j.1468-0262.2005.00631.x</w:t>
        </w:r>
      </w:hyperlink>
      <w:r>
        <w:t xml:space="preserve">.</w:t>
      </w:r>
    </w:p>
    <w:bookmarkEnd w:id="165"/>
    <w:bookmarkStart w:id="167" w:name="ref-fong2023cursed"/>
    <w:p>
      <w:pPr>
        <w:pStyle w:val="Bibliography"/>
      </w:pPr>
      <w:r>
        <w:t xml:space="preserve">Fong, Meng-Jhang, Po-Hsuan Lin, and Thomas R. Palfrey. 2023.</w:t>
      </w:r>
      <w:r>
        <w:t xml:space="preserve"> </w:t>
      </w:r>
      <w:r>
        <w:t xml:space="preserve">“Cursed Sequential Equilibrium.”</w:t>
      </w:r>
      <w:r>
        <w:t xml:space="preserve"> </w:t>
      </w:r>
      <w:hyperlink r:id="rId166">
        <w:r>
          <w:rPr>
            <w:rStyle w:val="Hyperlink"/>
          </w:rPr>
          <w:t xml:space="preserve">https://arxiv.org/abs/2301.11971</w:t>
        </w:r>
      </w:hyperlink>
      <w:r>
        <w:t xml:space="preserve">.</w:t>
      </w:r>
    </w:p>
    <w:bookmarkEnd w:id="167"/>
    <w:bookmarkStart w:id="169"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68">
        <w:r>
          <w:rPr>
            <w:rStyle w:val="Hyperlink"/>
          </w:rPr>
          <w:t xml:space="preserve">https://doi.org/10.1111/nous.12459</w:t>
        </w:r>
      </w:hyperlink>
      <w:r>
        <w:t xml:space="preserve">.</w:t>
      </w:r>
    </w:p>
    <w:bookmarkEnd w:id="169"/>
    <w:bookmarkStart w:id="171"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70">
        <w:r>
          <w:rPr>
            <w:rStyle w:val="Hyperlink"/>
          </w:rPr>
          <w:t xml:space="preserve">https://doi.org/10.5840/jphil202011739</w:t>
        </w:r>
      </w:hyperlink>
      <w:r>
        <w:t xml:space="preserve">.</w:t>
      </w:r>
    </w:p>
    <w:bookmarkEnd w:id="171"/>
    <w:bookmarkStart w:id="173"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72">
        <w:r>
          <w:rPr>
            <w:rStyle w:val="Hyperlink"/>
          </w:rPr>
          <w:t xml:space="preserve">https://philpapers.org/archive/GALTST-2.pdf</w:t>
        </w:r>
      </w:hyperlink>
      <w:r>
        <w:t xml:space="preserve">.</w:t>
      </w:r>
    </w:p>
    <w:bookmarkEnd w:id="173"/>
    <w:bookmarkStart w:id="174"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174"/>
    <w:bookmarkStart w:id="176"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75">
        <w:r>
          <w:rPr>
            <w:rStyle w:val="Hyperlink"/>
          </w:rPr>
          <w:t xml:space="preserve">https://doi.org/10.1111/nous.12473</w:t>
        </w:r>
      </w:hyperlink>
      <w:r>
        <w:t xml:space="preserve">.</w:t>
      </w:r>
    </w:p>
    <w:bookmarkEnd w:id="176"/>
    <w:bookmarkStart w:id="178"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77">
        <w:r>
          <w:rPr>
            <w:rStyle w:val="Hyperlink"/>
          </w:rPr>
          <w:t xml:space="preserve">https://doi.org/10.1515/bejte-2018-0185</w:t>
        </w:r>
      </w:hyperlink>
      <w:r>
        <w:t xml:space="preserve">.</w:t>
      </w:r>
    </w:p>
    <w:bookmarkEnd w:id="178"/>
    <w:bookmarkStart w:id="180"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179">
        <w:r>
          <w:rPr>
            <w:rStyle w:val="Hyperlink"/>
          </w:rPr>
          <w:t xml:space="preserve">https://doi.org/10.1007/s10670-010-9267-6</w:t>
        </w:r>
      </w:hyperlink>
      <w:r>
        <w:t xml:space="preserve">.</w:t>
      </w:r>
    </w:p>
    <w:bookmarkEnd w:id="180"/>
    <w:bookmarkStart w:id="182"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81">
        <w:r>
          <w:rPr>
            <w:rStyle w:val="Hyperlink"/>
          </w:rPr>
          <w:t xml:space="preserve">https://doi.org/10.1111/nous.12094</w:t>
        </w:r>
      </w:hyperlink>
      <w:r>
        <w:t xml:space="preserve">.</w:t>
      </w:r>
    </w:p>
    <w:bookmarkEnd w:id="182"/>
    <w:bookmarkStart w:id="184"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83">
        <w:r>
          <w:rPr>
            <w:rStyle w:val="Hyperlink"/>
          </w:rPr>
          <w:t xml:space="preserve">https://doi.org/10.1007/BF00183199</w:t>
        </w:r>
      </w:hyperlink>
      <w:r>
        <w:t xml:space="preserve">.</w:t>
      </w:r>
    </w:p>
    <w:bookmarkEnd w:id="184"/>
    <w:bookmarkStart w:id="186"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85">
        <w:r>
          <w:rPr>
            <w:rStyle w:val="Hyperlink"/>
          </w:rPr>
          <w:t xml:space="preserve">https://doi.org/10.1007/978-94-009-2865-7_2</w:t>
        </w:r>
      </w:hyperlink>
      <w:r>
        <w:t xml:space="preserve">.</w:t>
      </w:r>
    </w:p>
    <w:bookmarkEnd w:id="186"/>
    <w:bookmarkStart w:id="188"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87">
        <w:r>
          <w:rPr>
            <w:rStyle w:val="Hyperlink"/>
          </w:rPr>
          <w:t xml:space="preserve">https://doi.org/10.1093/pq/pqac083</w:t>
        </w:r>
      </w:hyperlink>
      <w:r>
        <w:t xml:space="preserve">.</w:t>
      </w:r>
    </w:p>
    <w:bookmarkEnd w:id="188"/>
    <w:bookmarkStart w:id="190"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89">
        <w:r>
          <w:rPr>
            <w:rStyle w:val="Hyperlink"/>
          </w:rPr>
          <w:t xml:space="preserve">https://doi.org/10.2307/2185591</w:t>
        </w:r>
      </w:hyperlink>
      <w:r>
        <w:t xml:space="preserve">.</w:t>
      </w:r>
    </w:p>
    <w:bookmarkEnd w:id="190"/>
    <w:bookmarkStart w:id="191"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91"/>
    <w:bookmarkStart w:id="192" w:name="ref-Keynes1923"/>
    <w:p>
      <w:pPr>
        <w:pStyle w:val="Bibliography"/>
      </w:pPr>
      <w:r>
        <w:t xml:space="preserve">Keynes, John Maynard. 1923.</w:t>
      </w:r>
      <w:r>
        <w:t xml:space="preserve"> </w:t>
      </w:r>
      <w:r>
        <w:rPr>
          <w:iCs/>
          <w:i/>
        </w:rPr>
        <w:t xml:space="preserve">A Tract on Monetary Reform</w:t>
      </w:r>
      <w:r>
        <w:t xml:space="preserve">. London: Macmillan.</w:t>
      </w:r>
    </w:p>
    <w:bookmarkEnd w:id="192"/>
    <w:bookmarkStart w:id="193"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193"/>
    <w:bookmarkStart w:id="195"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94">
        <w:r>
          <w:rPr>
            <w:rStyle w:val="Hyperlink"/>
          </w:rPr>
          <w:t xml:space="preserve">https://doi.org/10.1093/pq/pqad072</w:t>
        </w:r>
      </w:hyperlink>
      <w:r>
        <w:t xml:space="preserve">.</w:t>
      </w:r>
    </w:p>
    <w:bookmarkEnd w:id="195"/>
    <w:bookmarkStart w:id="197"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96">
        <w:r>
          <w:rPr>
            <w:rStyle w:val="Hyperlink"/>
          </w:rPr>
          <w:t xml:space="preserve">https://doi.org/10.5840/jphil2020117516</w:t>
        </w:r>
      </w:hyperlink>
      <w:r>
        <w:t xml:space="preserve">.</w:t>
      </w:r>
    </w:p>
    <w:bookmarkEnd w:id="197"/>
    <w:bookmarkStart w:id="198"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198"/>
    <w:bookmarkStart w:id="199"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99"/>
    <w:bookmarkStart w:id="201"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200">
        <w:r>
          <w:rPr>
            <w:rStyle w:val="Hyperlink"/>
          </w:rPr>
          <w:t xml:space="preserve">https://doi.org/10.2307/2215439</w:t>
        </w:r>
      </w:hyperlink>
      <w:r>
        <w:t xml:space="preserve">.</w:t>
      </w:r>
    </w:p>
    <w:bookmarkEnd w:id="201"/>
    <w:bookmarkStart w:id="202"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202"/>
    <w:bookmarkStart w:id="203"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203"/>
    <w:bookmarkStart w:id="205"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204">
        <w:r>
          <w:rPr>
            <w:rStyle w:val="Hyperlink"/>
          </w:rPr>
          <w:t xml:space="preserve">https://doi.org/10.2307/2296233</w:t>
        </w:r>
      </w:hyperlink>
      <w:r>
        <w:t xml:space="preserve">.</w:t>
      </w:r>
    </w:p>
    <w:bookmarkEnd w:id="205"/>
    <w:bookmarkStart w:id="206"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206"/>
    <w:bookmarkStart w:id="208"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207">
        <w:r>
          <w:rPr>
            <w:rStyle w:val="Hyperlink"/>
          </w:rPr>
          <w:t xml:space="preserve">https://doi.org/10.1111/j.1527-2001.2005.tb00493.x</w:t>
        </w:r>
      </w:hyperlink>
      <w:r>
        <w:t xml:space="preserve">.</w:t>
      </w:r>
    </w:p>
    <w:bookmarkEnd w:id="208"/>
    <w:bookmarkStart w:id="210"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209">
        <w:r>
          <w:rPr>
            <w:rStyle w:val="Hyperlink"/>
          </w:rPr>
          <w:t xml:space="preserve">https://doi.org/10.1007/BF01753236</w:t>
        </w:r>
      </w:hyperlink>
      <w:r>
        <w:t xml:space="preserve">.</w:t>
      </w:r>
    </w:p>
    <w:bookmarkEnd w:id="210"/>
    <w:bookmarkStart w:id="211"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211"/>
    <w:bookmarkStart w:id="212"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212"/>
    <w:bookmarkStart w:id="213"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13"/>
    <w:bookmarkStart w:id="215"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214">
        <w:r>
          <w:rPr>
            <w:rStyle w:val="Hyperlink"/>
          </w:rPr>
          <w:t xml:space="preserve">https://doi.org/10.1111/nous.12353</w:t>
        </w:r>
      </w:hyperlink>
      <w:r>
        <w:t xml:space="preserve">.</w:t>
      </w:r>
    </w:p>
    <w:bookmarkEnd w:id="215"/>
    <w:bookmarkStart w:id="217"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216">
        <w:r>
          <w:rPr>
            <w:rStyle w:val="Hyperlink"/>
          </w:rPr>
          <w:t xml:space="preserve">https://doi.org/10.1016/0167-2681(82)90008-7</w:t>
        </w:r>
      </w:hyperlink>
      <w:r>
        <w:t xml:space="preserve">.</w:t>
      </w:r>
    </w:p>
    <w:bookmarkEnd w:id="217"/>
    <w:bookmarkStart w:id="218"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218"/>
    <w:bookmarkStart w:id="220"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219">
        <w:r>
          <w:rPr>
            <w:rStyle w:val="Hyperlink"/>
          </w:rPr>
          <w:t xml:space="preserve">https://doi.org/10.1080/00048408412341601</w:t>
        </w:r>
      </w:hyperlink>
      <w:r>
        <w:t xml:space="preserve">.</w:t>
      </w:r>
    </w:p>
    <w:bookmarkEnd w:id="220"/>
    <w:bookmarkStart w:id="221"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221"/>
    <w:bookmarkStart w:id="223"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222">
        <w:r>
          <w:rPr>
            <w:rStyle w:val="Hyperlink"/>
          </w:rPr>
          <w:t xml:space="preserve">https://doi.org/10.1016/S0927-0507(05)12001-5</w:t>
        </w:r>
      </w:hyperlink>
      <w:r>
        <w:t xml:space="preserve">.</w:t>
      </w:r>
    </w:p>
    <w:bookmarkEnd w:id="223"/>
    <w:bookmarkStart w:id="225"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224">
        <w:r>
          <w:rPr>
            <w:rStyle w:val="Hyperlink"/>
          </w:rPr>
          <w:t xml:space="preserve">https://doi.org/10.1007/BF01766400</w:t>
        </w:r>
      </w:hyperlink>
      <w:r>
        <w:t xml:space="preserve">.</w:t>
      </w:r>
    </w:p>
    <w:bookmarkEnd w:id="225"/>
    <w:bookmarkStart w:id="226"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226"/>
    <w:bookmarkStart w:id="228" w:name="ref-Sen2006"/>
    <w:p>
      <w:pPr>
        <w:pStyle w:val="Bibliography"/>
      </w:pPr>
      <w:r>
        <w:t xml:space="preserve">Sen, Amartya.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227">
        <w:r>
          <w:rPr>
            <w:rStyle w:val="Hyperlink"/>
          </w:rPr>
          <w:t xml:space="preserve">https://doi.org/10.5840/jphil2006103517</w:t>
        </w:r>
      </w:hyperlink>
      <w:r>
        <w:t xml:space="preserve">.</w:t>
      </w:r>
    </w:p>
    <w:bookmarkEnd w:id="228"/>
    <w:bookmarkStart w:id="229"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229"/>
    <w:bookmarkStart w:id="230"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230"/>
    <w:bookmarkStart w:id="231"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231"/>
    <w:bookmarkStart w:id="232"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232"/>
    <w:bookmarkStart w:id="234"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233">
        <w:r>
          <w:rPr>
            <w:rStyle w:val="Hyperlink"/>
          </w:rPr>
          <w:t xml:space="preserve">https://doi.org/10.1093/analys/anaa037</w:t>
        </w:r>
      </w:hyperlink>
      <w:r>
        <w:t xml:space="preserve">.</w:t>
      </w:r>
    </w:p>
    <w:bookmarkEnd w:id="234"/>
    <w:bookmarkStart w:id="236"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235">
        <w:r>
          <w:rPr>
            <w:rStyle w:val="Hyperlink"/>
          </w:rPr>
          <w:t xml:space="preserve">https://doi.org/10.1007/s11098-020-01509-9</w:t>
        </w:r>
      </w:hyperlink>
      <w:r>
        <w:t xml:space="preserve">.</w:t>
      </w:r>
    </w:p>
    <w:bookmarkEnd w:id="236"/>
    <w:bookmarkStart w:id="238"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237">
        <w:r>
          <w:rPr>
            <w:rStyle w:val="Hyperlink"/>
          </w:rPr>
          <w:t xml:space="preserve">https://doi.org/10.1080/00048402.2021.1958880</w:t>
        </w:r>
      </w:hyperlink>
      <w:r>
        <w:t xml:space="preserve">.</w:t>
      </w:r>
    </w:p>
    <w:bookmarkEnd w:id="238"/>
    <w:bookmarkStart w:id="240"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239">
        <w:r>
          <w:rPr>
            <w:rStyle w:val="Hyperlink"/>
          </w:rPr>
          <w:t xml:space="preserve">https://doi.org/10.1111/phpr.12466</w:t>
        </w:r>
      </w:hyperlink>
      <w:r>
        <w:t xml:space="preserve">.</w:t>
      </w:r>
    </w:p>
    <w:bookmarkEnd w:id="240"/>
    <w:bookmarkStart w:id="242"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41">
        <w:r>
          <w:rPr>
            <w:rStyle w:val="Hyperlink"/>
          </w:rPr>
          <w:t xml:space="preserve">https://doi.org/10.1016/S0165-4896(98)00007-9</w:t>
        </w:r>
      </w:hyperlink>
      <w:r>
        <w:t xml:space="preserve">.</w:t>
      </w:r>
    </w:p>
    <w:bookmarkEnd w:id="242"/>
    <w:bookmarkStart w:id="243"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43"/>
    <w:bookmarkStart w:id="244"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44"/>
    <w:bookmarkStart w:id="245"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45"/>
    <w:bookmarkStart w:id="247"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46">
        <w:r>
          <w:rPr>
            <w:rStyle w:val="Hyperlink"/>
          </w:rPr>
          <w:t xml:space="preserve">https://doi.org/10.1086/699256</w:t>
        </w:r>
      </w:hyperlink>
      <w:r>
        <w:t xml:space="preserve">.</w:t>
      </w:r>
    </w:p>
    <w:bookmarkEnd w:id="247"/>
    <w:bookmarkStart w:id="249"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248">
        <w:r>
          <w:rPr>
            <w:rStyle w:val="Hyperlink"/>
          </w:rPr>
          <w:t xml:space="preserve">https://doi.org/10.1111/phco.2012.7.issue-9</w:t>
        </w:r>
      </w:hyperlink>
      <w:r>
        <w:t xml:space="preserve">.</w:t>
      </w:r>
    </w:p>
    <w:bookmarkEnd w:id="249"/>
    <w:bookmarkStart w:id="251"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50">
        <w:r>
          <w:rPr>
            <w:rStyle w:val="Hyperlink"/>
          </w:rPr>
          <w:t xml:space="preserve">https://doi.org/10.1007/s11229-011-9900-1</w:t>
        </w:r>
      </w:hyperlink>
      <w:r>
        <w:t xml:space="preserve">.</w:t>
      </w:r>
    </w:p>
    <w:bookmarkEnd w:id="251"/>
    <w:bookmarkStart w:id="253"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52">
        <w:r>
          <w:rPr>
            <w:rStyle w:val="Hyperlink"/>
          </w:rPr>
          <w:t xml:space="preserve">https://doi.org/10.1080/00048408512342061</w:t>
        </w:r>
      </w:hyperlink>
      <w:r>
        <w:t xml:space="preserve">.</w:t>
      </w:r>
    </w:p>
    <w:bookmarkEnd w:id="253"/>
    <w:bookmarkStart w:id="255"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54">
        <w:r>
          <w:rPr>
            <w:rStyle w:val="Hyperlink"/>
          </w:rPr>
          <w:t xml:space="preserve">https://doi.org/10.1093/mind/fzx018</w:t>
        </w:r>
      </w:hyperlink>
      <w:r>
        <w:t xml:space="preserve">.</w:t>
      </w:r>
    </w:p>
    <w:bookmarkEnd w:id="255"/>
    <w:bookmarkStart w:id="257"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56">
        <w:r>
          <w:rPr>
            <w:rStyle w:val="Hyperlink"/>
          </w:rPr>
          <w:t xml:space="preserve">https://doi.org/10.1287/mnsc.13.11.816</w:t>
        </w:r>
      </w:hyperlink>
      <w:r>
        <w:t xml:space="preserve">.</w:t>
      </w:r>
    </w:p>
    <w:bookmarkEnd w:id="257"/>
    <w:bookmarkStart w:id="258"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58"/>
    <w:bookmarkStart w:id="259"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59"/>
    <w:bookmarkEnd w:id="260"/>
    <w:bookmarkEnd w:id="261"/>
    <w:bookmarkStart w:id="275"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R. 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games into demonic decision problems is a bit more interesting. 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262"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262"/>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0"/>
        </w:numPr>
        <w:pStyle w:val="Compact"/>
      </w:pPr>
      <w:r>
        <w:rPr>
          <w:iCs/>
          <w:i/>
        </w:rPr>
        <w:t xml:space="preserve">x</w:t>
      </w:r>
      <w:r>
        <w:t xml:space="preserve"> </w:t>
      </w:r>
      <w:r>
        <w:t xml:space="preserve">&gt;</w:t>
      </w:r>
      <w:r>
        <w:t xml:space="preserve"> </w:t>
      </w:r>
      <w:r>
        <w:rPr>
          <w:iCs/>
          <w:i/>
        </w:rPr>
        <w:t xml:space="preserve">z</w:t>
      </w:r>
    </w:p>
    <w:p>
      <w:pPr>
        <w:numPr>
          <w:ilvl w:val="0"/>
          <w:numId w:val="1010"/>
        </w:numPr>
        <w:pStyle w:val="Compact"/>
      </w:pPr>
      <w:r>
        <w:rPr>
          <w:iCs/>
          <w:i/>
        </w:rPr>
        <w:t xml:space="preserve">y</w:t>
      </w:r>
      <w:r>
        <w:t xml:space="preserve"> </w:t>
      </w:r>
      <w:r>
        <w:t xml:space="preserve">&gt;</w:t>
      </w:r>
      <w:r>
        <w:t xml:space="preserve"> </w:t>
      </w:r>
      <w:r>
        <w:rPr>
          <w:iCs/>
          <w:i/>
        </w:rPr>
        <w:t xml:space="preserve">w</w:t>
      </w:r>
    </w:p>
    <w:p>
      <w:pPr>
        <w:numPr>
          <w:ilvl w:val="0"/>
          <w:numId w:val="1010"/>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263"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263"/>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w:t>
      </w:r>
    </w:p>
    <w:bookmarkStart w:id="264"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64"/>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11"/>
        </w:numPr>
        <w:pStyle w:val="Compact"/>
      </w:pPr>
      <w:r>
        <w:rPr>
          <w:iCs/>
          <w:i/>
        </w:rPr>
        <w:t xml:space="preserve">x</w:t>
      </w:r>
      <w:r>
        <w:t xml:space="preserve"> </w:t>
      </w:r>
      <w:r>
        <w:t xml:space="preserve">&lt;</w:t>
      </w:r>
      <w:r>
        <w:t xml:space="preserve"> </w:t>
      </w:r>
      <w:r>
        <w:rPr>
          <w:iCs/>
          <w:i/>
        </w:rPr>
        <w:t xml:space="preserve">z</w:t>
      </w:r>
    </w:p>
    <w:p>
      <w:pPr>
        <w:numPr>
          <w:ilvl w:val="0"/>
          <w:numId w:val="1011"/>
        </w:numPr>
        <w:pStyle w:val="Compact"/>
      </w:pPr>
      <w:r>
        <w:rPr>
          <w:iCs/>
          <w:i/>
        </w:rPr>
        <w:t xml:space="preserve">y</w:t>
      </w:r>
      <w:r>
        <w:t xml:space="preserve"> </w:t>
      </w:r>
      <w:r>
        <w:t xml:space="preserve">&gt;&gt;</w:t>
      </w:r>
      <w:r>
        <w:t xml:space="preserve"> </w:t>
      </w:r>
      <w:r>
        <w:rPr>
          <w:iCs/>
          <w:i/>
        </w:rPr>
        <w:t xml:space="preserve">w</w:t>
      </w:r>
    </w:p>
    <w:p>
      <w:pPr>
        <w:numPr>
          <w:ilvl w:val="0"/>
          <w:numId w:val="1011"/>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265"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265"/>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266"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266"/>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267"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267"/>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(2007b)</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268"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268"/>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269"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269"/>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270"/>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271"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271"/>
    <w:p>
      <w:pPr>
        <w:pStyle w:val="BodyText"/>
      </w:pPr>
      <w:r>
        <w:t xml:space="preserve">As it stands, that’s not a symmetric game. But we can make it a symmetric game by relabeling the choices. Let option A for each player be doing their favored choice, and option B be doing their less favored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272" w:name="tbl-bach-stravinsky-symmetric"/>
    <w:p>
      <w:pPr>
        <w:pStyle w:val="TableCaption"/>
      </w:pPr>
      <w:r>
        <w:t xml:space="preserve">Table A.10: Battle of the Sexes, relabeled.</w:t>
      </w:r>
    </w:p>
    <w:tbl>
      <w:tblPr>
        <w:tblStyle w:val="Table"/>
        <w:tblW w:type="auto" w:w="0"/>
        <w:tblLook w:firstRow="1" w:lastRow="0" w:firstColumn="0" w:lastColumn="0" w:noHBand="0" w:noVBand="0" w:val="0020"/>
        <w:jc w:val="start"/>
        <w:tblCaption w:val="Table A.10: Battle of the Sexes, relabe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272"/>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273"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273"/>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274"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274"/>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6</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The beer-quiche game that</w:t>
      </w:r>
      <w:r>
        <w:t xml:space="preserve"> </w:t>
      </w:r>
      <w:r>
        <w:t xml:space="preserve">Cho and Kreps (1987)</w:t>
      </w:r>
      <w:r>
        <w:t xml:space="preserve"> </w:t>
      </w:r>
      <w:r>
        <w:t xml:space="preserve">developed is not nearly as widely discussed as Chicken or Stag Hunt, but as we saw in</w:t>
      </w:r>
      <w:r>
        <w:t xml:space="preserve"> </w:t>
      </w:r>
      <w:hyperlink w:anchor="sec-causal">
        <w:r>
          <w:rPr>
            <w:rStyle w:val="Hyperlink"/>
          </w:rPr>
          <w:t xml:space="preserve">Chapter 3</w:t>
        </w:r>
      </w:hyperlink>
      <w:r>
        <w:t xml:space="preserve">, it has interesting consequences for decision theory. I’m sure that there are more interesting results that can be generated by transforming other games into decision problems.</w:t>
      </w:r>
    </w:p>
    <w:bookmarkEnd w:id="275"/>
    <w:bookmarkStart w:id="276" w:name="sec-nidt"/>
    <w:p>
      <w:pPr>
        <w:pStyle w:val="Heading1"/>
      </w:pPr>
      <w:r>
        <w:t xml:space="preserve">Appendix B — Non-Ideal Decision Theory</w:t>
      </w:r>
    </w:p>
    <w:bookmarkEnd w:id="276"/>
    <w:bookmarkStart w:id="277"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1.2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277"/>
    <w:bookmarkStart w:id="290" w:name="sec-buchak"/>
    <w:p>
      <w:pPr>
        <w:pStyle w:val="Heading1"/>
      </w:pPr>
      <w:r>
        <w:t xml:space="preserve">Appendix D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6</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12"/>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12"/>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12"/>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D.1</w:t>
        </w:r>
      </w:hyperlink>
      <w:r>
        <w:t xml:space="preserve">.</w:t>
      </w:r>
    </w:p>
    <w:bookmarkStart w:id="280" w:name="tbl-general-coin-exit"/>
    <w:tbl>
      <w:tblPr>
        <w:tblStyle w:val="Table"/>
        <w:tblW w:type="pct" w:w="5000"/>
        <w:tblLook w:firstRow="0" w:lastRow="0" w:firstColumn="0" w:lastColumn="0" w:noHBand="0" w:noVBand="0" w:val="0000"/>
        <w:jc w:val="start"/>
      </w:tblPr>
      <w:tblGrid>
        <w:gridCol w:w="3960"/>
        <w:gridCol w:w="3960"/>
      </w:tblGrid>
      <w:tr>
        <w:tc>
          <w:tcPr/>
          <w:bookmarkStart w:id="278"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27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9"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279"/>
          <w:p/>
        </w:tc>
      </w:tr>
    </w:tbl>
    <w:p>
      <w:pPr>
        <w:pStyle w:val="BodyText"/>
      </w:pPr>
      <w:pPr>
        <w:spacing w:before="200"/>
        <w:pStyle w:val="ImageCaption"/>
      </w:pPr>
      <w:r>
        <w:t xml:space="preserve">Table D.1: The abstract form of an exit problem with coins.</w:t>
      </w:r>
    </w:p>
    <w:bookmarkEnd w:id="280"/>
    <w:p>
      <w:pPr>
        <w:pStyle w:val="BodyText"/>
      </w:pPr>
      <w:r>
        <w:t xml:space="preserve">Then we get a version of Exit Principle that applies to games like this.</w:t>
      </w:r>
    </w:p>
    <w:p>
      <w:pPr>
        <w:numPr>
          <w:ilvl w:val="0"/>
          <w:numId w:val="1013"/>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D.2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283" w:name="tbl-zero-coin-exit"/>
    <w:tbl>
      <w:tblPr>
        <w:tblStyle w:val="Table"/>
        <w:tblW w:type="pct" w:w="5000"/>
        <w:tblLook w:firstRow="0" w:lastRow="0" w:firstColumn="0" w:lastColumn="0" w:noHBand="0" w:noVBand="0" w:val="0000"/>
        <w:jc w:val="start"/>
      </w:tblPr>
      <w:tblGrid>
        <w:gridCol w:w="3960"/>
        <w:gridCol w:w="3960"/>
      </w:tblGrid>
      <w:tr>
        <w:tc>
          <w:tcPr/>
          <w:bookmarkStart w:id="281"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28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82"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82"/>
          <w:p/>
        </w:tc>
      </w:tr>
    </w:tbl>
    <w:p>
      <w:pPr>
        <w:pStyle w:val="BodyText"/>
      </w:pPr>
      <w:pPr>
        <w:spacing w:before="200"/>
        <w:pStyle w:val="ImageCaption"/>
      </w:pPr>
      <w:r>
        <w:t xml:space="preserve">Table D.2: An exit game with exit payout 0.</w:t>
      </w:r>
    </w:p>
    <w:bookmarkEnd w:id="283"/>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D.3</w:t>
        </w:r>
      </w:hyperlink>
      <w:r>
        <w:t xml:space="preserve">, where</w:t>
      </w:r>
      <w:r>
        <w:t xml:space="preserve"> </w:t>
      </w:r>
      <m:oMath>
        <m:r>
          <m:t>y</m:t>
        </m:r>
      </m:oMath>
      <w:r>
        <w:t xml:space="preserve"> </w:t>
      </w:r>
      <w:r>
        <w:t xml:space="preserve">is arbitrary.</w:t>
      </w:r>
    </w:p>
    <w:bookmarkStart w:id="286" w:name="tbl-one-coin-exit"/>
    <w:tbl>
      <w:tblPr>
        <w:tblStyle w:val="Table"/>
        <w:tblW w:type="pct" w:w="5000"/>
        <w:tblLook w:firstRow="0" w:lastRow="0" w:firstColumn="0" w:lastColumn="0" w:noHBand="0" w:noVBand="0" w:val="0000"/>
        <w:jc w:val="start"/>
      </w:tblPr>
      <w:tblGrid>
        <w:gridCol w:w="3960"/>
        <w:gridCol w:w="3960"/>
      </w:tblGrid>
      <w:tr>
        <w:tc>
          <w:tcPr/>
          <w:bookmarkStart w:id="284"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28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85"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85"/>
          <w:p/>
        </w:tc>
      </w:tr>
    </w:tbl>
    <w:p>
      <w:pPr>
        <w:pStyle w:val="BodyText"/>
      </w:pPr>
      <w:pPr>
        <w:spacing w:before="200"/>
        <w:pStyle w:val="ImageCaption"/>
      </w:pPr>
      <w:r>
        <w:t xml:space="preserve">Table D.3: An exit game with exit payout 1.</w:t>
      </w:r>
    </w:p>
    <w:bookmarkEnd w:id="286"/>
    <w:p>
      <w:pPr>
        <w:pStyle w:val="BodyText"/>
      </w:pPr>
      <w:r>
        <w:t xml:space="preserve">In</w:t>
      </w:r>
      <w:r>
        <w:t xml:space="preserve"> </w:t>
      </w:r>
      <w:hyperlink w:anchor="tbl-one-coin-exit">
        <w:r>
          <w:rPr>
            <w:rStyle w:val="Hyperlink"/>
          </w:rPr>
          <w:t xml:space="preserve">Table D.3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D.4</w:t>
        </w:r>
      </w:hyperlink>
      <w:r>
        <w:t xml:space="preserve">, which is just the same as</w:t>
      </w:r>
      <w:r>
        <w:t xml:space="preserve"> </w:t>
      </w:r>
      <w:hyperlink w:anchor="tbl-one-coin-exit">
        <w:r>
          <w:rPr>
            <w:rStyle w:val="Hyperlink"/>
          </w:rPr>
          <w:t xml:space="preserve">Table D.3</w:t>
        </w:r>
      </w:hyperlink>
      <w:r>
        <w:t xml:space="preserve">, except the exit payout is now 2.</w:t>
      </w:r>
    </w:p>
    <w:bookmarkStart w:id="289" w:name="tbl-two-coin-exit"/>
    <w:tbl>
      <w:tblPr>
        <w:tblStyle w:val="Table"/>
        <w:tblW w:type="pct" w:w="5000"/>
        <w:tblLook w:firstRow="0" w:lastRow="0" w:firstColumn="0" w:lastColumn="0" w:noHBand="0" w:noVBand="0" w:val="0000"/>
        <w:jc w:val="start"/>
      </w:tblPr>
      <w:tblGrid>
        <w:gridCol w:w="3960"/>
        <w:gridCol w:w="3960"/>
      </w:tblGrid>
      <w:tr>
        <w:tc>
          <w:tcPr/>
          <w:bookmarkStart w:id="287"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28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88"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288"/>
          <w:p/>
        </w:tc>
      </w:tr>
    </w:tbl>
    <w:p>
      <w:pPr>
        <w:pStyle w:val="BodyText"/>
      </w:pPr>
      <w:pPr>
        <w:spacing w:before="200"/>
        <w:pStyle w:val="ImageCaption"/>
      </w:pPr>
      <w:r>
        <w:t xml:space="preserve">Table D.4: An exit game with exit payout 2.</w:t>
      </w:r>
    </w:p>
    <w:bookmarkEnd w:id="289"/>
    <w:p>
      <w:pPr>
        <w:pStyle w:val="BodyText"/>
      </w:pPr>
      <w:r>
        <w:t xml:space="preserve">In</w:t>
      </w:r>
      <w:r>
        <w:t xml:space="preserve"> </w:t>
      </w:r>
      <w:hyperlink w:anchor="tbl-two-coin-exit">
        <w:r>
          <w:rPr>
            <w:rStyle w:val="Hyperlink"/>
          </w:rPr>
          <w:t xml:space="preserve">Table D.4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290"/>
    <w:bookmarkStart w:id="291" w:name="sec-unique"/>
    <w:p>
      <w:pPr>
        <w:pStyle w:val="Heading1"/>
      </w:pPr>
      <w:r>
        <w:t xml:space="preserve">Appendix E — Against Uniqueness</w:t>
      </w:r>
    </w:p>
    <w:bookmarkEnd w:id="291"/>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I’ll have a more principled argument for scepticism about intuitions in</w:t>
      </w:r>
      <w:r>
        <w:t xml:space="preserve"> </w:t>
      </w:r>
      <w:hyperlink w:anchor="sec-expect">
        <w:r>
          <w:rPr>
            <w:rStyle w:val="Hyperlink"/>
          </w:rPr>
          <w:t xml:space="preserve">Chapter 2</w:t>
        </w:r>
      </w:hyperlink>
      <w:r>
        <w:t xml:space="preserve">.</w:t>
      </w:r>
    </w:p>
  </w:footnote>
  <w:footnote w:id="24">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29">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30">
        <w:r>
          <w:rPr>
            <w:rStyle w:val="Hyperlink"/>
          </w:rPr>
          <w:t xml:space="preserve">people.sc.fsu.edu/~jburkardt/datasets/cities/cities.html</w:t>
        </w:r>
      </w:hyperlink>
      <w:r>
        <w:t xml:space="preserve">.</w:t>
      </w:r>
    </w:p>
  </w:footnote>
  <w:footnote w:id="31">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33">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34">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35">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37">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38">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39">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43">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45">
    <w:p>
      <w:pPr>
        <w:pStyle w:val="FootnoteText"/>
      </w:pPr>
      <w:r>
        <w:rPr>
          <w:rStyle w:val="FootnoteReference"/>
        </w:rPr>
        <w:footnoteRef/>
      </w:r>
      <w:r>
        <w:t xml:space="preserve"> </w:t>
      </w:r>
      <w:r>
        <w:t xml:space="preserve">Here’s one relatively recent example, picked more or less at random - https://www.sciencedirect.com/science/article/pii/S0969698923000796.</w:t>
      </w:r>
    </w:p>
  </w:footnote>
  <w:footnote w:id="47">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48">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Cohen and Li (2023)</w:t>
      </w:r>
      <w:r>
        <w:t xml:space="preserve">.</w:t>
      </w:r>
    </w:p>
  </w:footnote>
  <w:footnote w:id="49">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53">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54">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55">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57">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58">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59">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Chapter 6</w:t>
        </w:r>
      </w:hyperlink>
      <w:r>
        <w:t xml:space="preserve">. But the label seems entrenched, so I’ll use it. In contrast, evidential decision theory, EDT, is a theory; it is a full account of what to do in all cases.</w:t>
      </w:r>
    </w:p>
  </w:footnote>
  <w:footnote w:id="68">
    <w:p>
      <w:pPr>
        <w:pStyle w:val="FootnoteText"/>
      </w:pPr>
      <w:r>
        <w:rPr>
          <w:rStyle w:val="FootnoteReference"/>
        </w:rPr>
        <w:footnoteRef/>
      </w:r>
      <w:r>
        <w:t xml:space="preserve"> </w:t>
      </w:r>
      <w:r>
        <w:t xml:space="preserve">I’ll make the same stipulations in subsequent cases that involve Demon and games that unfold over time.</w:t>
      </w:r>
    </w:p>
  </w:footnote>
  <w:footnote w:id="71">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72">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73">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78">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80">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82">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87">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96">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98">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99">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100">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103">
    <w:p>
      <w:pPr>
        <w:pStyle w:val="FootnoteText"/>
      </w:pPr>
      <w:r>
        <w:rPr>
          <w:rStyle w:val="FootnoteReference"/>
        </w:rPr>
        <w:footnoteRef/>
      </w:r>
      <w:r>
        <w:t xml:space="preserve"> </w:t>
      </w:r>
      <w:r>
        <w:t xml:space="preserve">IMPORTANT NOTE TO SELF: This isn’t right. In cases where there are multiple equilibria, earlier choices might rule out some later choices. E.g., when there is an exit choice that is guaranteed to be better than some earlier choice. Gotta fix all this.</w:t>
      </w:r>
    </w:p>
  </w:footnote>
  <w:footnote w:id="104">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105">
    <w:p>
      <w:pPr>
        <w:pStyle w:val="FootnoteText"/>
      </w:pPr>
      <w:r>
        <w:rPr>
          <w:rStyle w:val="FootnoteReference"/>
        </w:rPr>
        <w:footnoteRef/>
      </w:r>
      <w:r>
        <w:t xml:space="preserve"> </w:t>
      </w:r>
      <w:r>
        <w:t xml:space="preserve">Assume Chooser is reasonably risk-neutral over dollars over this range of outcomes.</w:t>
      </w:r>
    </w:p>
  </w:footnote>
  <w:footnote w:id="111">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114">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1</w:t>
        </w:r>
      </w:hyperlink>
      <w:r>
        <w:t xml:space="preserve">. But he thinks its descriptive role is primarily in defining belief and desire; I think it is in explaining social phenomena.</w:t>
      </w:r>
    </w:p>
  </w:footnote>
  <w:footnote w:id="115">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16">
    <w:p>
      <w:pPr>
        <w:pStyle w:val="FootnoteText"/>
      </w:pPr>
      <w:r>
        <w:rPr>
          <w:rStyle w:val="FootnoteReference"/>
        </w:rPr>
        <w:footnoteRef/>
      </w:r>
      <w:r>
        <w:t xml:space="preserve"> </w:t>
      </w:r>
      <w:r>
        <w:t xml:space="preserve">That is, what Chooser will do if Heads, and what they will do if Tails.</w:t>
      </w:r>
    </w:p>
  </w:footnote>
  <w:footnote w:id="117">
    <w:p>
      <w:pPr>
        <w:pStyle w:val="FootnoteText"/>
      </w:pPr>
      <w:r>
        <w:rPr>
          <w:rStyle w:val="FootnoteReference"/>
        </w:rPr>
        <w:footnoteRef/>
      </w:r>
      <w:r>
        <w:t xml:space="preserve"> </w:t>
      </w:r>
      <w:r>
        <w:t xml:space="preserve">If both are equally likely, Demon will flip a fair coin and say how it lands.</w:t>
      </w:r>
    </w:p>
  </w:footnote>
  <w:footnote w:id="119">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6</w:t>
        </w:r>
      </w:hyperlink>
      <w:r>
        <w:t xml:space="preserve"> </w:t>
      </w:r>
      <w:r>
        <w:t xml:space="preserve">also start preferring option 2. But applying these theories to complex cases is hard, so I’m not quite sure about this.</w:t>
      </w:r>
    </w:p>
  </w:footnote>
  <w:footnote w:id="122">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125">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270">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hyperlink" Id="rId143" Target="http://faculty.econ.ucdavis.edu/faculty/bonanno/GT_Book.html" TargetMode="External" /><Relationship Type="http://schemas.openxmlformats.org/officeDocument/2006/relationships/hyperlink" Id="rId164" Target="https://10.1111/j.1468-0262.2005.00631.x" TargetMode="External" /><Relationship Type="http://schemas.openxmlformats.org/officeDocument/2006/relationships/hyperlink" Id="rId154" Target="https://arxiv.org/abs/2212.06025" TargetMode="External" /><Relationship Type="http://schemas.openxmlformats.org/officeDocument/2006/relationships/hyperlink" Id="rId166"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185" Target="https://doi.org/10.1007/978-94-009-2865-7_2" TargetMode="External" /><Relationship Type="http://schemas.openxmlformats.org/officeDocument/2006/relationships/hyperlink" Id="rId183" Target="https://doi.org/10.1007/BF00183199" TargetMode="External" /><Relationship Type="http://schemas.openxmlformats.org/officeDocument/2006/relationships/hyperlink" Id="rId209" Target="https://doi.org/10.1007/BF01753236" TargetMode="External" /><Relationship Type="http://schemas.openxmlformats.org/officeDocument/2006/relationships/hyperlink" Id="rId224" Target="https://doi.org/10.1007/BF01766400" TargetMode="External" /><Relationship Type="http://schemas.openxmlformats.org/officeDocument/2006/relationships/hyperlink" Id="rId137" Target="https://doi.org/10.1007/s10670-007-9084-8" TargetMode="External" /><Relationship Type="http://schemas.openxmlformats.org/officeDocument/2006/relationships/hyperlink" Id="rId179" Target="https://doi.org/10.1007/s10670-010-9267-6" TargetMode="External" /><Relationship Type="http://schemas.openxmlformats.org/officeDocument/2006/relationships/hyperlink" Id="rId235" Target="https://doi.org/10.1007/s11098-020-01509-9" TargetMode="External" /><Relationship Type="http://schemas.openxmlformats.org/officeDocument/2006/relationships/hyperlink" Id="rId250" Target="https://doi.org/10.1007/s11229-011-9900-1" TargetMode="External" /><Relationship Type="http://schemas.openxmlformats.org/officeDocument/2006/relationships/hyperlink" Id="rId216" Target="https://doi.org/10.1016/0167-2681(82)90008-7" TargetMode="External" /><Relationship Type="http://schemas.openxmlformats.org/officeDocument/2006/relationships/hyperlink" Id="rId141" Target="https://doi.org/10.1016/S0022-0531(05)80039-0" TargetMode="External" /><Relationship Type="http://schemas.openxmlformats.org/officeDocument/2006/relationships/hyperlink" Id="rId241" Target="https://doi.org/10.1016/S0165-4896(98)00007-9" TargetMode="External" /><Relationship Type="http://schemas.openxmlformats.org/officeDocument/2006/relationships/hyperlink" Id="rId222" Target="https://doi.org/10.1016/S0927-0507(05)12001-5" TargetMode="External" /><Relationship Type="http://schemas.openxmlformats.org/officeDocument/2006/relationships/hyperlink" Id="rId237" Target="https://doi.org/10.1080/00048402.2021.1958880" TargetMode="External" /><Relationship Type="http://schemas.openxmlformats.org/officeDocument/2006/relationships/hyperlink" Id="rId219" Target="https://doi.org/10.1080/00048408412341601" TargetMode="External" /><Relationship Type="http://schemas.openxmlformats.org/officeDocument/2006/relationships/hyperlink" Id="rId252" Target="https://doi.org/10.1080/00048408512342061" TargetMode="External" /><Relationship Type="http://schemas.openxmlformats.org/officeDocument/2006/relationships/hyperlink" Id="rId150" Target="https://doi.org/10.1086/339673" TargetMode="External" /><Relationship Type="http://schemas.openxmlformats.org/officeDocument/2006/relationships/hyperlink" Id="rId157" Target="https://doi.org/10.1086/658093" TargetMode="External" /><Relationship Type="http://schemas.openxmlformats.org/officeDocument/2006/relationships/hyperlink" Id="rId127" Target="https://doi.org/10.1086/666065" TargetMode="External" /><Relationship Type="http://schemas.openxmlformats.org/officeDocument/2006/relationships/hyperlink" Id="rId246" Target="https://doi.org/10.1086/699256" TargetMode="External" /><Relationship Type="http://schemas.openxmlformats.org/officeDocument/2006/relationships/hyperlink" Id="rId233" Target="https://doi.org/10.1093/analys/anaa037" TargetMode="External" /><Relationship Type="http://schemas.openxmlformats.org/officeDocument/2006/relationships/hyperlink" Id="rId162" Target="https://doi.org/10.1093/analys/anz059" TargetMode="External" /><Relationship Type="http://schemas.openxmlformats.org/officeDocument/2006/relationships/hyperlink" Id="rId254" Target="https://doi.org/10.1093/mind/fzx018" TargetMode="External" /><Relationship Type="http://schemas.openxmlformats.org/officeDocument/2006/relationships/hyperlink" Id="rId129" Target="https://doi.org/10.1093/mind/fzz073" TargetMode="External" /><Relationship Type="http://schemas.openxmlformats.org/officeDocument/2006/relationships/hyperlink" Id="rId187" Target="https://doi.org/10.1093/pq/pqac083" TargetMode="External" /><Relationship Type="http://schemas.openxmlformats.org/officeDocument/2006/relationships/hyperlink" Id="rId194" Target="https://doi.org/10.1093/pq/pqad072" TargetMode="External" /><Relationship Type="http://schemas.openxmlformats.org/officeDocument/2006/relationships/hyperlink" Id="rId207" Target="https://doi.org/10.1111/j.1527-2001.2005.tb00493.x" TargetMode="External" /><Relationship Type="http://schemas.openxmlformats.org/officeDocument/2006/relationships/hyperlink" Id="rId181" Target="https://doi.org/10.1111/nous.12094" TargetMode="External" /><Relationship Type="http://schemas.openxmlformats.org/officeDocument/2006/relationships/hyperlink" Id="rId214" Target="https://doi.org/10.1111/nous.12353" TargetMode="External" /><Relationship Type="http://schemas.openxmlformats.org/officeDocument/2006/relationships/hyperlink" Id="rId168" Target="https://doi.org/10.1111/nous.12459" TargetMode="External" /><Relationship Type="http://schemas.openxmlformats.org/officeDocument/2006/relationships/hyperlink" Id="rId175" Target="https://doi.org/10.1111/nous.12473" TargetMode="External" /><Relationship Type="http://schemas.openxmlformats.org/officeDocument/2006/relationships/hyperlink" Id="rId248" Target="https://doi.org/10.1111/phco.2012.7.issue-9" TargetMode="External" /><Relationship Type="http://schemas.openxmlformats.org/officeDocument/2006/relationships/hyperlink" Id="rId239" Target="https://doi.org/10.1111/phpr.12466" TargetMode="External" /><Relationship Type="http://schemas.openxmlformats.org/officeDocument/2006/relationships/hyperlink" Id="rId159" Target="https://doi.org/10.1215/00318108-2006-023" TargetMode="External" /><Relationship Type="http://schemas.openxmlformats.org/officeDocument/2006/relationships/hyperlink" Id="rId256" Target="https://doi.org/10.1287/mnsc.13.11.816" TargetMode="External" /><Relationship Type="http://schemas.openxmlformats.org/officeDocument/2006/relationships/hyperlink" Id="rId177" Target="https://doi.org/10.1515/bejte-2018-0185" TargetMode="External" /><Relationship Type="http://schemas.openxmlformats.org/officeDocument/2006/relationships/hyperlink" Id="rId131" Target="https://doi.org/10.2307/1879431" TargetMode="External" /><Relationship Type="http://schemas.openxmlformats.org/officeDocument/2006/relationships/hyperlink" Id="rId152" Target="https://doi.org/10.2307/1885060" TargetMode="External" /><Relationship Type="http://schemas.openxmlformats.org/officeDocument/2006/relationships/hyperlink" Id="rId135" Target="https://doi.org/10.2307/1907921" TargetMode="External" /><Relationship Type="http://schemas.openxmlformats.org/officeDocument/2006/relationships/hyperlink" Id="rId189" Target="https://doi.org/10.2307/2185591" TargetMode="External" /><Relationship Type="http://schemas.openxmlformats.org/officeDocument/2006/relationships/hyperlink" Id="rId200" Target="https://doi.org/10.2307/2215439" TargetMode="External" /><Relationship Type="http://schemas.openxmlformats.org/officeDocument/2006/relationships/hyperlink" Id="rId204" Target="https://doi.org/10.2307/2296233" TargetMode="External" /><Relationship Type="http://schemas.openxmlformats.org/officeDocument/2006/relationships/hyperlink" Id="rId227" Target="https://doi.org/10.5840/jphil2006103517" TargetMode="External" /><Relationship Type="http://schemas.openxmlformats.org/officeDocument/2006/relationships/hyperlink" Id="rId170" Target="https://doi.org/10.5840/jphil202011739" TargetMode="External" /><Relationship Type="http://schemas.openxmlformats.org/officeDocument/2006/relationships/hyperlink" Id="rId196" Target="https://doi.org/10.5840/jphil2020117516" TargetMode="External" /><Relationship Type="http://schemas.openxmlformats.org/officeDocument/2006/relationships/hyperlink" Id="rId139" Target="https://doi.org/10.5840/jphil202211925" TargetMode="External" /><Relationship Type="http://schemas.openxmlformats.org/officeDocument/2006/relationships/hyperlink" Id="rId145" Target="https://doi.org/doi.org/10.1111/phpr.13006" TargetMode="External" /><Relationship Type="http://schemas.openxmlformats.org/officeDocument/2006/relationships/hyperlink" Id="rId30" Target="https://people.sc.fsu.edu/~jburkardt/datasets/cities/cities.html" TargetMode="External" /><Relationship Type="http://schemas.openxmlformats.org/officeDocument/2006/relationships/hyperlink" Id="rId172" Target="https://philpapers.org/archive/GALTST-2.pdf" TargetMode="External" /><Relationship Type="http://schemas.openxmlformats.org/officeDocument/2006/relationships/hyperlink" Id="rId148" Target="https://plato.stanford.edu/archives/win2017/entries/decision-theory-descriptive/" TargetMode="External" /><Relationship Type="http://schemas.openxmlformats.org/officeDocument/2006/relationships/hyperlink" Id="rId133"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43" Target="http://faculty.econ.ucdavis.edu/faculty/bonanno/GT_Book.html" TargetMode="External" /><Relationship Type="http://schemas.openxmlformats.org/officeDocument/2006/relationships/hyperlink" Id="rId164" Target="https://10.1111/j.1468-0262.2005.00631.x" TargetMode="External" /><Relationship Type="http://schemas.openxmlformats.org/officeDocument/2006/relationships/hyperlink" Id="rId154" Target="https://arxiv.org/abs/2212.06025" TargetMode="External" /><Relationship Type="http://schemas.openxmlformats.org/officeDocument/2006/relationships/hyperlink" Id="rId166"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185" Target="https://doi.org/10.1007/978-94-009-2865-7_2" TargetMode="External" /><Relationship Type="http://schemas.openxmlformats.org/officeDocument/2006/relationships/hyperlink" Id="rId183" Target="https://doi.org/10.1007/BF00183199" TargetMode="External" /><Relationship Type="http://schemas.openxmlformats.org/officeDocument/2006/relationships/hyperlink" Id="rId209" Target="https://doi.org/10.1007/BF01753236" TargetMode="External" /><Relationship Type="http://schemas.openxmlformats.org/officeDocument/2006/relationships/hyperlink" Id="rId224" Target="https://doi.org/10.1007/BF01766400" TargetMode="External" /><Relationship Type="http://schemas.openxmlformats.org/officeDocument/2006/relationships/hyperlink" Id="rId137" Target="https://doi.org/10.1007/s10670-007-9084-8" TargetMode="External" /><Relationship Type="http://schemas.openxmlformats.org/officeDocument/2006/relationships/hyperlink" Id="rId179" Target="https://doi.org/10.1007/s10670-010-9267-6" TargetMode="External" /><Relationship Type="http://schemas.openxmlformats.org/officeDocument/2006/relationships/hyperlink" Id="rId235" Target="https://doi.org/10.1007/s11098-020-01509-9" TargetMode="External" /><Relationship Type="http://schemas.openxmlformats.org/officeDocument/2006/relationships/hyperlink" Id="rId250" Target="https://doi.org/10.1007/s11229-011-9900-1" TargetMode="External" /><Relationship Type="http://schemas.openxmlformats.org/officeDocument/2006/relationships/hyperlink" Id="rId216" Target="https://doi.org/10.1016/0167-2681(82)90008-7" TargetMode="External" /><Relationship Type="http://schemas.openxmlformats.org/officeDocument/2006/relationships/hyperlink" Id="rId141" Target="https://doi.org/10.1016/S0022-0531(05)80039-0" TargetMode="External" /><Relationship Type="http://schemas.openxmlformats.org/officeDocument/2006/relationships/hyperlink" Id="rId241" Target="https://doi.org/10.1016/S0165-4896(98)00007-9" TargetMode="External" /><Relationship Type="http://schemas.openxmlformats.org/officeDocument/2006/relationships/hyperlink" Id="rId222" Target="https://doi.org/10.1016/S0927-0507(05)12001-5" TargetMode="External" /><Relationship Type="http://schemas.openxmlformats.org/officeDocument/2006/relationships/hyperlink" Id="rId237" Target="https://doi.org/10.1080/00048402.2021.1958880" TargetMode="External" /><Relationship Type="http://schemas.openxmlformats.org/officeDocument/2006/relationships/hyperlink" Id="rId219" Target="https://doi.org/10.1080/00048408412341601" TargetMode="External" /><Relationship Type="http://schemas.openxmlformats.org/officeDocument/2006/relationships/hyperlink" Id="rId252" Target="https://doi.org/10.1080/00048408512342061" TargetMode="External" /><Relationship Type="http://schemas.openxmlformats.org/officeDocument/2006/relationships/hyperlink" Id="rId150" Target="https://doi.org/10.1086/339673" TargetMode="External" /><Relationship Type="http://schemas.openxmlformats.org/officeDocument/2006/relationships/hyperlink" Id="rId157" Target="https://doi.org/10.1086/658093" TargetMode="External" /><Relationship Type="http://schemas.openxmlformats.org/officeDocument/2006/relationships/hyperlink" Id="rId127" Target="https://doi.org/10.1086/666065" TargetMode="External" /><Relationship Type="http://schemas.openxmlformats.org/officeDocument/2006/relationships/hyperlink" Id="rId246" Target="https://doi.org/10.1086/699256" TargetMode="External" /><Relationship Type="http://schemas.openxmlformats.org/officeDocument/2006/relationships/hyperlink" Id="rId233" Target="https://doi.org/10.1093/analys/anaa037" TargetMode="External" /><Relationship Type="http://schemas.openxmlformats.org/officeDocument/2006/relationships/hyperlink" Id="rId162" Target="https://doi.org/10.1093/analys/anz059" TargetMode="External" /><Relationship Type="http://schemas.openxmlformats.org/officeDocument/2006/relationships/hyperlink" Id="rId254" Target="https://doi.org/10.1093/mind/fzx018" TargetMode="External" /><Relationship Type="http://schemas.openxmlformats.org/officeDocument/2006/relationships/hyperlink" Id="rId129" Target="https://doi.org/10.1093/mind/fzz073" TargetMode="External" /><Relationship Type="http://schemas.openxmlformats.org/officeDocument/2006/relationships/hyperlink" Id="rId187" Target="https://doi.org/10.1093/pq/pqac083" TargetMode="External" /><Relationship Type="http://schemas.openxmlformats.org/officeDocument/2006/relationships/hyperlink" Id="rId194" Target="https://doi.org/10.1093/pq/pqad072" TargetMode="External" /><Relationship Type="http://schemas.openxmlformats.org/officeDocument/2006/relationships/hyperlink" Id="rId207" Target="https://doi.org/10.1111/j.1527-2001.2005.tb00493.x" TargetMode="External" /><Relationship Type="http://schemas.openxmlformats.org/officeDocument/2006/relationships/hyperlink" Id="rId181" Target="https://doi.org/10.1111/nous.12094" TargetMode="External" /><Relationship Type="http://schemas.openxmlformats.org/officeDocument/2006/relationships/hyperlink" Id="rId214" Target="https://doi.org/10.1111/nous.12353" TargetMode="External" /><Relationship Type="http://schemas.openxmlformats.org/officeDocument/2006/relationships/hyperlink" Id="rId168" Target="https://doi.org/10.1111/nous.12459" TargetMode="External" /><Relationship Type="http://schemas.openxmlformats.org/officeDocument/2006/relationships/hyperlink" Id="rId175" Target="https://doi.org/10.1111/nous.12473" TargetMode="External" /><Relationship Type="http://schemas.openxmlformats.org/officeDocument/2006/relationships/hyperlink" Id="rId248" Target="https://doi.org/10.1111/phco.2012.7.issue-9" TargetMode="External" /><Relationship Type="http://schemas.openxmlformats.org/officeDocument/2006/relationships/hyperlink" Id="rId239" Target="https://doi.org/10.1111/phpr.12466" TargetMode="External" /><Relationship Type="http://schemas.openxmlformats.org/officeDocument/2006/relationships/hyperlink" Id="rId159" Target="https://doi.org/10.1215/00318108-2006-023" TargetMode="External" /><Relationship Type="http://schemas.openxmlformats.org/officeDocument/2006/relationships/hyperlink" Id="rId256" Target="https://doi.org/10.1287/mnsc.13.11.816" TargetMode="External" /><Relationship Type="http://schemas.openxmlformats.org/officeDocument/2006/relationships/hyperlink" Id="rId177" Target="https://doi.org/10.1515/bejte-2018-0185" TargetMode="External" /><Relationship Type="http://schemas.openxmlformats.org/officeDocument/2006/relationships/hyperlink" Id="rId131" Target="https://doi.org/10.2307/1879431" TargetMode="External" /><Relationship Type="http://schemas.openxmlformats.org/officeDocument/2006/relationships/hyperlink" Id="rId152" Target="https://doi.org/10.2307/1885060" TargetMode="External" /><Relationship Type="http://schemas.openxmlformats.org/officeDocument/2006/relationships/hyperlink" Id="rId135" Target="https://doi.org/10.2307/1907921" TargetMode="External" /><Relationship Type="http://schemas.openxmlformats.org/officeDocument/2006/relationships/hyperlink" Id="rId189" Target="https://doi.org/10.2307/2185591" TargetMode="External" /><Relationship Type="http://schemas.openxmlformats.org/officeDocument/2006/relationships/hyperlink" Id="rId200" Target="https://doi.org/10.2307/2215439" TargetMode="External" /><Relationship Type="http://schemas.openxmlformats.org/officeDocument/2006/relationships/hyperlink" Id="rId204" Target="https://doi.org/10.2307/2296233" TargetMode="External" /><Relationship Type="http://schemas.openxmlformats.org/officeDocument/2006/relationships/hyperlink" Id="rId227" Target="https://doi.org/10.5840/jphil2006103517" TargetMode="External" /><Relationship Type="http://schemas.openxmlformats.org/officeDocument/2006/relationships/hyperlink" Id="rId170" Target="https://doi.org/10.5840/jphil202011739" TargetMode="External" /><Relationship Type="http://schemas.openxmlformats.org/officeDocument/2006/relationships/hyperlink" Id="rId196" Target="https://doi.org/10.5840/jphil2020117516" TargetMode="External" /><Relationship Type="http://schemas.openxmlformats.org/officeDocument/2006/relationships/hyperlink" Id="rId139" Target="https://doi.org/10.5840/jphil202211925" TargetMode="External" /><Relationship Type="http://schemas.openxmlformats.org/officeDocument/2006/relationships/hyperlink" Id="rId145" Target="https://doi.org/doi.org/10.1111/phpr.13006" TargetMode="External" /><Relationship Type="http://schemas.openxmlformats.org/officeDocument/2006/relationships/hyperlink" Id="rId30" Target="https://people.sc.fsu.edu/~jburkardt/datasets/cities/cities.html" TargetMode="External" /><Relationship Type="http://schemas.openxmlformats.org/officeDocument/2006/relationships/hyperlink" Id="rId172" Target="https://philpapers.org/archive/GALTST-2.pdf" TargetMode="External" /><Relationship Type="http://schemas.openxmlformats.org/officeDocument/2006/relationships/hyperlink" Id="rId148" Target="https://plato.stanford.edu/archives/win2017/entries/decision-theory-descriptive/" TargetMode="External" /><Relationship Type="http://schemas.openxmlformats.org/officeDocument/2006/relationships/hyperlink" Id="rId133"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2023-08-28T18:19:53Z</dcterms:created>
  <dcterms:modified xsi:type="dcterms:W3CDTF">2023-08-28T18:19:53Z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2023-08-28</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