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2024-08-28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theoretical reasons from game theory that raise doubts about expected utility maximisation being the full theory of rational choice. Weak dominance reasoning is part of our theory of rational choice, and can’t be modelled as expected utility maximisation. Perhaps some kinds of equilibrium seeking are parts of practical inquiry, and can’t be modelled as expected utility maximisation.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8"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w:t>
      </w:r>
    </w:p>
    <w:p>
      <w:pPr>
        <w:pStyle w:val="BodyText"/>
      </w:pPr>
      <w:r>
        <w:t xml:space="preserve">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w:t>
      </w:r>
    </w:p>
    <w:p>
      <w:pPr>
        <w:pStyle w:val="BodyText"/>
      </w:pPr>
      <w:r>
        <w:t xml:space="preserve">The solution is to identify knowledge with a level of certainty which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had a ratio of discussion to endorsement that philosophy hadn’t seen since Lewis put concrete modal realism on the agenda.</w:t>
      </w:r>
    </w:p>
    <w:p>
      <w:pPr>
        <w:pStyle w:val="BodyText"/>
      </w:pPr>
      <w:r>
        <w:t xml:space="preserve">The terminology that is used to describe the debate about interest-relativity is striking. The interest-relative view is usually opposed to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This is a particularly curious choice of word, and I think its curiosity is related to the strange shape of the literature around interest-relativity.</w:t>
      </w:r>
    </w:p>
    <w:p>
      <w:pPr>
        <w:pStyle w:val="BodyText"/>
      </w:pPr>
      <w:r>
        <w:t xml:space="preserve">The recent literature on interest-relativity was kick-started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The difference between the misdeeds,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Buridan isn’tthe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Friedman (2024)</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w:t>
      </w:r>
      <w:r>
        <w:rPr>
          <w:rStyle w:val="FootnoteReference"/>
        </w:rPr>
        <w:footnoteReference w:id="26"/>
      </w:r>
      <w:r>
        <w:t xml:space="preserve"> </w:t>
      </w:r>
      <w:r>
        <w:t xml:space="preserve">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p>
    <w:p>
      <w:pPr>
        <w:pStyle w:val="BodyText"/>
      </w:pPr>
      <w:r>
        <w:t xml:space="preserve">The next chapter presents a straightforward argument for interest-relative epistemology.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He also wants to be able to act in the world. Action requires a picture of what reality is like. So we need some mental state that aims to fit the world, and which can guide action.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Still, you should expect that the norms of a practical state are typically practical. So you should expect that epistemology, the study of norms for belief, will be shot through with practical considerations. That’s what the interest-relative theorist says is in fact the case.</w:t>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This defence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Nevertheless,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That’s not because it makes the lexicography important. Rather, it’s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Those patterns are, usually, best explained in terms of what those humans know.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w:t>
      </w:r>
    </w:p>
    <w:p>
      <w:pPr>
        <w:pStyle w:val="BodyText"/>
      </w:pPr>
      <w:r>
        <w:t xml:space="preserve">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It can’t be that the trigger is stated in terms of what is absolutely certain because no one can be absolutely certain of contingent things like the price that a supplier is charging for a good. Nor can the trigger be stated in terms of high probability. No matter how probable I think it is that supplier B is cheaper than supplier A, it might still be rational to buy from supplier A if the rest of the probability goes to possibilities where B is much much more expensive.</w:t>
      </w:r>
    </w:p>
    <w:p>
      <w:pPr>
        <w:pStyle w:val="BodyText"/>
      </w:pPr>
      <w:r>
        <w:t xml:space="preserve">Knowledge alone seems to do the trick. The generalisation that people buy from suppliers they know to be cheaper seems both true, and to rationalise their purchasing behavior.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Alternatively, one could hold that knowledge is primitively natural, not natural in virtue of its analysis or parts.</w:t>
      </w:r>
      <w:r>
        <w:rPr>
          <w:rStyle w:val="FootnoteReference"/>
        </w:rPr>
        <w:footnoteReference w:id="27"/>
      </w:r>
      <w:r>
        <w:t xml:space="preserve"> </w:t>
      </w:r>
      <w:r>
        <w:t xml:space="preserve">That’s not completely implausible; it isn’t obvious that the naturalness of social kinds has to be explained in virtue of what metaphysically makes it the case that things satisfy those kinds. Still, it would be nice to have a better explanation of why knowledge is natural.</w:t>
      </w:r>
    </w:p>
    <w:p>
      <w:pPr>
        <w:pStyle w:val="BodyText"/>
      </w:pPr>
      <w:r>
        <w:t xml:space="preserve">On the view defended here, a person knows a proposition if and only if they properly take it to be settled.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While these are motivations, neither of them is strictly speaking an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Accepting 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Ultimately though,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primarily focussed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Knowledge is often lost in these cases. There is somewhat less discussion, however, about how knowledge is also lost in</w:t>
      </w:r>
      <w:r>
        <w:t xml:space="preserve"> </w:t>
      </w:r>
      <w:r>
        <w:t xml:space="preserve">‘</w:t>
      </w:r>
      <w:r>
        <w:t xml:space="preserve">easy checking</w:t>
      </w:r>
      <w:r>
        <w:t xml:space="preserve">’</w:t>
      </w:r>
      <w:r>
        <w:t xml:space="preserve"> </w:t>
      </w:r>
      <w:r>
        <w:t xml:space="preserve">cases, or about how (as Mark</w:t>
      </w:r>
      <w:r>
        <w:t xml:space="preserve"> </w:t>
      </w:r>
      <w:r>
        <w:t xml:space="preserve">Schroeder (2012)</w:t>
      </w:r>
      <w:r>
        <w:t xml:space="preserve"> </w:t>
      </w:r>
      <w:r>
        <w:t xml:space="preserve">notes), knowledge might not be lost in cases where the stakes are high but checking is impossible.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 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 Unfortunately,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I’ve come to see that this isn’t right; depending on what one wants to do in an inquiry one may want to deliberately set aside some premises.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It turns out that the reason the theory of that paper respects closure is that it has absurdly sceptical consequences in cases where there are similar objects to choose between. That’s hardly better than a closure failure. In this chapter I aim to do better.</w:t>
      </w:r>
    </w:p>
    <w:p>
      <w:pPr>
        <w:pStyle w:val="BodyText"/>
      </w:pPr>
      <w:r>
        <w:t xml:space="preserve">I show that the objection relies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In some cases, this means we end up playing a kind of coordination game with the radical interpreter. What our evidence is turns on what the right solution to that game.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We shouldn’t concede that; the saying is true, and interest-relative epistemology explains why it is true.</w:t>
      </w:r>
    </w:p>
    <w:bookmarkEnd w:id="28"/>
    <w:bookmarkStart w:id="53" w:name="sec-interests"/>
    <w:p>
      <w:pPr>
        <w:pStyle w:val="Heading1"/>
      </w:pPr>
      <w:r>
        <w:t xml:space="preserve">2. Interests</w:t>
      </w:r>
    </w:p>
    <w:bookmarkStart w:id="30"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took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These beliefs were correct; the book was reliable and accurate on this point.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29"/>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plausible interest-invariant explanations of the intuitions about Blaise’s case exist. Because these competing explanations exist, it’s hard to argue that interest-relativity is the best explanation of why Blaise’s action is wrong.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This puts a limit on how we can argue. At least one instance of the argument</w:t>
      </w:r>
      <w:r>
        <w:t xml:space="preserve"> </w:t>
      </w:r>
      <w:r>
        <w:rPr>
          <w:iCs/>
          <w:i/>
        </w:rPr>
        <w:t xml:space="preserve">this is counterintuitive, so it is false</w:t>
      </w:r>
      <w:r>
        <w:t xml:space="preserve"> </w:t>
      </w:r>
      <w:r>
        <w:t xml:space="preserve">must fail.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0"/>
    <w:bookmarkStart w:id="32"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1"/>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Our hero, called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Still,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2"/>
    <w:bookmarkStart w:id="40"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3"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Chamari’s position sounds much worse than it should if contextualism is right.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3"/>
    <w:bookmarkStart w:id="35"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they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w:t>
      </w:r>
      <w:r>
        <w:rPr>
          <w:rStyle w:val="FootnoteReference"/>
        </w:rPr>
        <w:footnoteReference w:id="34"/>
      </w:r>
      <w:r>
        <w:t xml:space="preserve"> </w:t>
      </w:r>
      <w:r>
        <w:t xml:space="preserve">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If the super-knowledge based explanation of why she should play Red-True worked, there should be some sense of super-knowledge where 1 is true and 2 is false. There isn’t, so the explanation doesn’t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which means she doesn’t super-know she’ll win if she plays Red-True.</w:t>
      </w:r>
    </w:p>
    <w:bookmarkEnd w:id="35"/>
    <w:bookmarkStart w:id="37"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Assume also that Anisa must, if she is to be rational, maximise expected utility. Then we get the natural result that Anisa should pick the sentence that is more probably true.</w:t>
      </w:r>
      <w:r>
        <w:rPr>
          <w:rStyle w:val="FootnoteReference"/>
        </w:rPr>
        <w:footnoteReference w:id="36"/>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even though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7"/>
    <w:bookmarkStart w:id="39"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8"/>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actually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9"/>
    <w:bookmarkEnd w:id="40"/>
    <w:bookmarkStart w:id="44"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1"/>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They also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2"/>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If the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w:r>
        <w:rPr>
          <w:iCs/>
          <w:i/>
        </w:rPr>
        <w:t xml:space="preserve">G</w:t>
      </w:r>
      <w:r>
        <w:t xml:space="preserve">, another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G</w:t>
      </w:r>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3"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3"/>
          <w:p/>
        </w:tc>
      </w:tr>
    </w:tbl>
    <w:p>
      <w:pPr>
        <w:pStyle w:val="BodyText"/>
      </w:pPr>
      <w:r>
        <w:t xml:space="preserve">If Darja has her phone near her, and has cheap easy access to Google, then ε might be really low. In that case she should take the safe option; it’s the one that maximises expected utility.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4"/>
    <w:bookmarkStart w:id="46"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5"/>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6"/>
    <w:bookmarkStart w:id="48"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7"/>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w:t>
      </w:r>
    </w:p>
    <w:bookmarkEnd w:id="48"/>
    <w:bookmarkStart w:id="52" w:name="sec-neutrality"/>
    <w:p>
      <w:pPr>
        <w:pStyle w:val="Heading2"/>
      </w:pPr>
      <w:r>
        <w:t xml:space="preserve">2.7 Neutrality</w:t>
      </w:r>
    </w:p>
    <w:p>
      <w:pPr>
        <w:pStyle w:val="FirstParagraph"/>
      </w:pPr>
      <w:r>
        <w:t xml:space="preserve">This book defends, at some length, the idea that knowledge is interest-relative. I am, however, staying neutral on a number of other topics in the vicinity.</w:t>
      </w:r>
    </w:p>
    <w:bookmarkStart w:id="50"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49"/>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Finally,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0"/>
    <w:bookmarkStart w:id="51"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just defending a particular necessary condition on knowledge. That condition entails that knowledge is interest-relative given some common-sense assumptions about how widespread knowledge is.</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1"/>
    <w:bookmarkEnd w:id="52"/>
    <w:bookmarkEnd w:id="53"/>
    <w:bookmarkStart w:id="83" w:name="sec-belief"/>
    <w:p>
      <w:pPr>
        <w:pStyle w:val="Heading1"/>
      </w:pPr>
      <w:r>
        <w:t xml:space="preserve">3. Belief</w:t>
      </w:r>
    </w:p>
    <w:bookmarkStart w:id="55"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4"/>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Note though that in the circumstances of the TV show, they could say</w:t>
      </w:r>
      <w:r>
        <w:t xml:space="preserve"> </w:t>
      </w:r>
      <w:r>
        <w:t xml:space="preserve">“</w:t>
      </w:r>
      <w:r>
        <w:t xml:space="preserve">I think Tranmere will win</w:t>
      </w:r>
      <w:r>
        <w:t xml:space="preserve">”</w:t>
      </w:r>
      <w:r>
        <w:t xml:space="preserve"> </w:t>
      </w:r>
      <w:r>
        <w:t xml:space="preserve">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For now though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If the</w:t>
      </w:r>
      <w:r>
        <w:t xml:space="preserve"> </w:t>
      </w:r>
      <w:r>
        <w:t xml:space="preserve">‘</w:t>
      </w:r>
      <w:r>
        <w:t xml:space="preserve">belief is weak</w:t>
      </w:r>
      <w:r>
        <w:t xml:space="preserve">’</w:t>
      </w:r>
      <w:r>
        <w:t xml:space="preserve"> </w:t>
      </w:r>
      <w:r>
        <w:t xml:space="preserve">thesis is correct, however,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5"/>
    <w:bookmarkStart w:id="58"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6"/>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Still, I won’t always do that. For example, I won’t do it when thinking about changes in the minimum wage, because systematic changes like that push simple models beyond their breaking point.</w:t>
      </w:r>
      <w:r>
        <w:rPr>
          <w:rStyle w:val="FootnoteReference"/>
        </w:rPr>
        <w:footnoteReference w:id="57"/>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8"/>
    <w:bookmarkStart w:id="60"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59"/>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0"/>
    <w:bookmarkStart w:id="63"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1"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1"/>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2"/>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3"/>
    <w:bookmarkStart w:id="66"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4"/>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5"/>
      </w:r>
      <w:r>
        <w:t xml:space="preserve"> </w:t>
      </w:r>
      <w:r>
        <w:t xml:space="preserve">But they could be part of a theory of belief, and the theory they are part of is helpful for seeing how beliefs and interests fit together.</w:t>
      </w:r>
    </w:p>
    <w:bookmarkEnd w:id="66"/>
    <w:bookmarkStart w:id="72"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7"/>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8"/>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for another day to work out when they occur.)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69"/>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0"/>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I can accept that by simply buying the eggs. There were many other answers I could equally well have accepted, since there were many other cartons I could buy.</w:t>
      </w:r>
      <w:r>
        <w:rPr>
          <w:rStyle w:val="FootnoteReference"/>
        </w:rPr>
        <w:footnoteReference w:id="71"/>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2"/>
    <w:bookmarkStart w:id="80"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Even without those complications, I’ve said enough that you can see the basic view, and perhaps see its problems.</w:t>
      </w:r>
    </w:p>
    <w:p>
      <w:pPr>
        <w:pStyle w:val="BodyText"/>
      </w:pPr>
      <w:r>
        <w:t xml:space="preserve">The biggest change from that view to the one I’m defending here concerns propositions that are not relevant to any question S is considering. I used to say in that case belief required credence above 0.5; I now say that S must be willing, at least sometimes, to take</w:t>
      </w:r>
      <w:r>
        <w:t xml:space="preserve"> </w:t>
      </w:r>
      <w:r>
        <w:rPr>
          <w:iCs/>
          <w:i/>
        </w:rPr>
        <w:t xml:space="preserve">p</w:t>
      </w:r>
      <w:r>
        <w:t xml:space="preserve"> </w:t>
      </w:r>
      <w:r>
        <w:t xml:space="preserve">for granted.</w:t>
      </w:r>
    </w:p>
    <w:p>
      <w:pPr>
        <w:pStyle w:val="BodyText"/>
      </w:pPr>
      <w:r>
        <w:t xml:space="preserve">There are other changes too.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4"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3"/>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Not all mental states are like this. Hoping for something that doesn’t turn out to happen is unfortunate, but not incorrect. To say that a false belief is incorrect is not to just make the trivial point that it is false. It is also to say that the belief failed to meet one important standard of evaluation for beliefs - correctly representing the world. Credences do not have these correctness conditions, so the relatively simple reduction I proposed of belief to credence must be mistaken.</w:t>
      </w:r>
    </w:p>
    <w:p>
      <w:pPr>
        <w:pStyle w:val="BodyText"/>
      </w:pPr>
      <w:r>
        <w:t xml:space="preserve">The new theory does not have this problem. Doing dominance reasoning where all of the situations one considers are non-actual is a mistake. It’s not a mistake because it will inevitably lead to an irrational decision. Rather, it’s a mistake because one draws a conclusion that is not supported by the premises it is based on. Those premises only say that one option is better than another conditional on one or other condition obtaining.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One can make the same mistake by treating a situation that doesn’t obtain, but might, as one that could not obtain. Believing something one doesn’t know will (typically) lead to doing that.</w:t>
      </w:r>
    </w:p>
    <w:bookmarkEnd w:id="74"/>
    <w:bookmarkStart w:id="75"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which I do not.</w:t>
      </w:r>
    </w:p>
    <w:p>
      <w:pPr>
        <w:pStyle w:val="BodyText"/>
      </w:pPr>
      <w:r>
        <w:t xml:space="preserve">I added clause 2 to the theory to try in order to fix this problem, but it turned out only to fix a special case. Here’s a case it doesn’t fix.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That’s absurd, since I know it is just 2/3 likely.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It does seem plausible to say that whether such a choice ever feels like a dominating choice correlates with whether we could ever straight up believe that the remainder is not precisely 537 on purely probabilistic grounds.</w:t>
      </w:r>
    </w:p>
    <w:bookmarkEnd w:id="75"/>
    <w:bookmarkStart w:id="76"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Moreover, she has a stable disposition to choose Red-True over Blue-True; I think that stable disposition is a strict preference.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This now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That distinction matters, and the hybrid pragmatic theory handles it better than my old theory.</w:t>
      </w:r>
    </w:p>
    <w:bookmarkEnd w:id="76"/>
    <w:bookmarkStart w:id="77"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7"/>
    <w:bookmarkStart w:id="79"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8"/>
      </w:r>
      <w:r>
        <w:t xml:space="preserve"> </w:t>
      </w:r>
      <w:r>
        <w:t xml:space="preserve">That’s something that it has in common with everything I’ve written about IRT.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Still, it is a useful enough heuristic to work with.</w:t>
      </w:r>
    </w:p>
    <w:p>
      <w:pPr>
        <w:pStyle w:val="BodyText"/>
      </w:pPr>
      <w:r>
        <w:t xml:space="preserve">What wasn’t originally obvious to me was that there are counterexamples to principle 2 as well.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All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79"/>
    <w:bookmarkEnd w:id="80"/>
    <w:bookmarkStart w:id="82"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1"/>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2"/>
    <w:bookmarkEnd w:id="83"/>
    <w:bookmarkStart w:id="113"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0"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4"/>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5"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5"/>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6"/>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7"/>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88"/>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89"/>
      </w:r>
      <w:r>
        <w:t xml:space="preserve"> </w:t>
      </w:r>
      <w:r>
        <w:t xml:space="preserve">In any case, the conditional will be enough.</w:t>
      </w:r>
    </w:p>
    <w:bookmarkEnd w:id="90"/>
    <w:bookmarkStart w:id="95"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1"/>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2"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2"/>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3"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3"/>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4"/>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5"/>
    <w:bookmarkStart w:id="101"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96"/>
      </w:r>
    </w:p>
    <w:bookmarkStart w:id="97"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97"/>
    <w:bookmarkStart w:id="98"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98"/>
    <w:bookmarkStart w:id="99"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99"/>
    <w:bookmarkStart w:id="100"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0"/>
    <w:bookmarkEnd w:id="101"/>
    <w:bookmarkStart w:id="103"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2"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2"/>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3"/>
    <w:bookmarkStart w:id="105"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4"/>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5"/>
    <w:bookmarkStart w:id="111"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07"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06"/>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07"/>
    <w:bookmarkStart w:id="110"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08"/>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09"/>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0"/>
    <w:bookmarkEnd w:id="111"/>
    <w:bookmarkStart w:id="112"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2"/>
    <w:bookmarkEnd w:id="113"/>
    <w:bookmarkStart w:id="137"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5"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4"/>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5"/>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17"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16"/>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17"/>
    <w:bookmarkStart w:id="118"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18"/>
    <w:bookmarkStart w:id="119"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19"/>
    <w:bookmarkStart w:id="121"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0"/>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1"/>
    <w:bookmarkStart w:id="122"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2"/>
    <w:bookmarkStart w:id="123"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3"/>
    <w:bookmarkStart w:id="124"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4"/>
    <w:bookmarkEnd w:id="125"/>
    <w:bookmarkStart w:id="126"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26"/>
    <w:bookmarkStart w:id="128"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27"/>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28"/>
    <w:bookmarkStart w:id="131"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29"/>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0"/>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1"/>
    <w:bookmarkStart w:id="133"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2"/>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3"/>
    <w:bookmarkStart w:id="136"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4"/>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5"/>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36"/>
    <w:bookmarkEnd w:id="137"/>
    <w:bookmarkStart w:id="151"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38"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38"/>
    <w:bookmarkStart w:id="139"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39"/>
    <w:bookmarkStart w:id="142"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0"/>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1"/>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2"/>
    <w:bookmarkStart w:id="144"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3"/>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4"/>
    <w:bookmarkStart w:id="145"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5"/>
    <w:bookmarkStart w:id="148"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6"/>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47"/>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48"/>
    <w:bookmarkStart w:id="150"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49"/>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0"/>
    <w:bookmarkEnd w:id="151"/>
    <w:bookmarkStart w:id="161"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2"/>
      </w:r>
    </w:p>
    <w:bookmarkStart w:id="153"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3"/>
    <w:bookmarkStart w:id="155"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4"/>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5"/>
    <w:bookmarkStart w:id="158"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6"/>
      </w:r>
      <w:r>
        <w:t xml:space="preserve"> </w:t>
      </w:r>
      <w:r>
        <w:t xml:space="preserve">It isn’t extensional adequacy; Dharmottara refuted that 1300 years ago. But it can be expressed using the modern</w:t>
      </w:r>
      <w:r>
        <w:rPr>
          <w:rStyle w:val="FootnoteReference"/>
        </w:rPr>
        <w:footnoteReference w:id="157"/>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58"/>
    <w:bookmarkStart w:id="160"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59"/>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0"/>
    <w:bookmarkEnd w:id="161"/>
    <w:bookmarkStart w:id="188"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4"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2"/>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3"/>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4"/>
    <w:bookmarkStart w:id="165"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5"/>
    <w:bookmarkStart w:id="176"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6"/>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7"/>
      </w:r>
      <w:r>
        <w:t xml:space="preserve"> </w:t>
      </w:r>
      <w:r>
        <w:t xml:space="preserve">So I’ll set the basic points slowly, and then circle back to the puzzle for the Lockeans.</w:t>
      </w:r>
      <w:r>
        <w:rPr>
          <w:rStyle w:val="FootnoteReference"/>
        </w:rPr>
        <w:footnoteReference w:id="168"/>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69"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69"/>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0"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0"/>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1"/>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2"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2"/>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3"/>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4"/>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5"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5"/>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76"/>
    <w:bookmarkStart w:id="182"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7"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7"/>
    <w:bookmarkStart w:id="178"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78"/>
    <w:bookmarkStart w:id="179"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79"/>
    <w:bookmarkStart w:id="181"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0"/>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1"/>
    <w:bookmarkEnd w:id="182"/>
    <w:bookmarkStart w:id="187"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3"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3"/>
    <w:bookmarkStart w:id="184"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4"/>
    <w:bookmarkStart w:id="185"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5"/>
    <w:bookmarkStart w:id="186"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86"/>
    <w:bookmarkEnd w:id="187"/>
    <w:bookmarkEnd w:id="188"/>
    <w:bookmarkStart w:id="211" w:name="sec-evidence"/>
    <w:p>
      <w:pPr>
        <w:pStyle w:val="Heading1"/>
      </w:pPr>
      <w:r>
        <w:t xml:space="preserve">9. Evidence</w:t>
      </w:r>
    </w:p>
    <w:bookmarkStart w:id="190"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89"/>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0"/>
    <w:bookmarkStart w:id="191"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1"/>
    <w:bookmarkStart w:id="195"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2"/>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3"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3"/>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w:t>
      </w:r>
      <w:r>
        <w:t xml:space="preserve"> </w:t>
      </w:r>
      <w:r>
        <w:rPr>
          <w:iCs/>
          <w:i/>
        </w:rPr>
        <w:t xml:space="preserve">p</w:t>
      </w:r>
      <w:r>
        <w:t xml:space="preserve"> </w:t>
      </w:r>
      <w:r>
        <w:t xml:space="preserve">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4"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4"/>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5"/>
    <w:bookmarkStart w:id="204" w:name="sec-globalgame"/>
    <w:p>
      <w:pPr>
        <w:pStyle w:val="Heading2"/>
      </w:pPr>
      <w:r>
        <w:t xml:space="preserve">9.4 Risk-Dominant Equilibria</w:t>
      </w:r>
    </w:p>
    <w:p>
      <w:pPr>
        <w:pStyle w:val="FirstParagraph"/>
      </w:pPr>
      <w:r>
        <w:t xml:space="preserve">At an almost maximal level of abstraction, a two player, two option each game looks like</w:t>
      </w:r>
      <w:r>
        <w:t xml:space="preserve"> </w:t>
      </w:r>
      <w:hyperlink w:anchor="tbl-generic-game">
        <w:r>
          <w:rPr>
            <w:rStyle w:val="Hyperlink"/>
          </w:rPr>
          <w:t xml:space="preserve">Table 9.3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6"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96"/>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in</w:t>
      </w:r>
      <w:r>
        <w:t xml:space="preserve"> </w:t>
      </w:r>
      <w:hyperlink w:anchor="tbl-stag-hunt">
        <w:r>
          <w:rPr>
            <w:rStyle w:val="Hyperlink"/>
          </w:rPr>
          <w:t xml:space="preserve">Table 9.4</w:t>
        </w:r>
      </w:hyperlink>
      <w:r>
        <w:t xml:space="preserv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197"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7"/>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198"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198"/>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99"/>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0"/>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2"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1"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1"/>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2"/>
    <w:bookmarkStart w:id="203"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3"/>
    <w:bookmarkEnd w:id="204"/>
    <w:bookmarkStart w:id="205"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5"/>
    <w:bookmarkStart w:id="206"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06"/>
    <w:bookmarkStart w:id="207"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07"/>
    <w:bookmarkStart w:id="209"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08"/>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09"/>
    <w:bookmarkStart w:id="210"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0"/>
    <w:bookmarkEnd w:id="211"/>
    <w:bookmarkStart w:id="215"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2"/>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3"/>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4"/>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5"/>
    <w:bookmarkStart w:id="531" w:name="references"/>
    <w:p>
      <w:pPr>
        <w:pStyle w:val="Heading1"/>
      </w:pPr>
      <w:r>
        <w:t xml:space="preserve">References</w:t>
      </w:r>
    </w:p>
    <w:bookmarkStart w:id="530" w:name="refs"/>
    <w:bookmarkStart w:id="216"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16"/>
    <w:bookmarkStart w:id="217"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17"/>
    <w:bookmarkStart w:id="218"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18"/>
    <w:bookmarkStart w:id="219"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19"/>
    <w:bookmarkStart w:id="220"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0"/>
    <w:bookmarkStart w:id="222"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1">
        <w:r>
          <w:rPr>
            <w:rStyle w:val="Hyperlink"/>
          </w:rPr>
          <w:t xml:space="preserve">10.1093/analys/anr083</w:t>
        </w:r>
      </w:hyperlink>
    </w:p>
    <w:bookmarkEnd w:id="222"/>
    <w:bookmarkStart w:id="224"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3">
        <w:r>
          <w:rPr>
            <w:rStyle w:val="Hyperlink"/>
          </w:rPr>
          <w:t xml:space="preserve">10.1007/s001820050111</w:t>
        </w:r>
      </w:hyperlink>
    </w:p>
    <w:bookmarkEnd w:id="224"/>
    <w:bookmarkStart w:id="225"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5"/>
    <w:bookmarkStart w:id="226" w:name="ref-Bennett2017"/>
    <w:p>
      <w:pPr>
        <w:pStyle w:val="Bibliography"/>
      </w:pPr>
      <w:r>
        <w:t xml:space="preserve">Bennett, Karen. (2017).</w:t>
      </w:r>
      <w:r>
        <w:t xml:space="preserve"> </w:t>
      </w:r>
      <w:r>
        <w:rPr>
          <w:iCs/>
          <w:i/>
        </w:rPr>
        <w:t xml:space="preserve">Making things up</w:t>
      </w:r>
      <w:r>
        <w:t xml:space="preserve">. Oxford University Press.</w:t>
      </w:r>
    </w:p>
    <w:bookmarkEnd w:id="226"/>
    <w:bookmarkStart w:id="227"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27"/>
    <w:bookmarkStart w:id="228"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28"/>
    <w:bookmarkStart w:id="230"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29">
        <w:r>
          <w:rPr>
            <w:rStyle w:val="Hyperlink"/>
          </w:rPr>
          <w:t xml:space="preserve">10.1111/j.0031-8094.2004.00350.x</w:t>
        </w:r>
      </w:hyperlink>
    </w:p>
    <w:bookmarkEnd w:id="230"/>
    <w:bookmarkStart w:id="232"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1">
        <w:r>
          <w:rPr>
            <w:rStyle w:val="Hyperlink"/>
          </w:rPr>
          <w:t xml:space="preserve">10.1111/j.1933-1592.2009.00280.x</w:t>
        </w:r>
      </w:hyperlink>
    </w:p>
    <w:bookmarkEnd w:id="232"/>
    <w:bookmarkStart w:id="234"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3">
        <w:r>
          <w:rPr>
            <w:rStyle w:val="Hyperlink"/>
          </w:rPr>
          <w:t xml:space="preserve">10.1007/s11229-015-0878-y</w:t>
        </w:r>
      </w:hyperlink>
    </w:p>
    <w:bookmarkEnd w:id="234"/>
    <w:bookmarkStart w:id="236"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5">
        <w:r>
          <w:rPr>
            <w:rStyle w:val="Hyperlink"/>
          </w:rPr>
          <w:t xml:space="preserve">10.1111/j.1468-0262.2008.00835.x</w:t>
        </w:r>
      </w:hyperlink>
    </w:p>
    <w:bookmarkEnd w:id="236"/>
    <w:bookmarkStart w:id="238"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37">
        <w:r>
          <w:rPr>
            <w:rStyle w:val="Hyperlink"/>
          </w:rPr>
          <w:t xml:space="preserve">https://plato.stanford.edu/archives/sum2021/entries/philo-larissa/</w:t>
        </w:r>
      </w:hyperlink>
      <w:r>
        <w:t xml:space="preserve">; Metaphysics Research Lab, Stanford University.</w:t>
      </w:r>
    </w:p>
    <w:bookmarkEnd w:id="238"/>
    <w:bookmarkStart w:id="240"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39">
        <w:r>
          <w:rPr>
            <w:rStyle w:val="Hyperlink"/>
          </w:rPr>
          <w:t xml:space="preserve">10.1111/j.1468-0068.2008.00677.x</w:t>
        </w:r>
      </w:hyperlink>
    </w:p>
    <w:bookmarkEnd w:id="240"/>
    <w:bookmarkStart w:id="241" w:name="ref-BuchakRisk"/>
    <w:p>
      <w:pPr>
        <w:pStyle w:val="Bibliography"/>
      </w:pPr>
      <w:r>
        <w:t xml:space="preserve">Buchak, Lara. (2013).</w:t>
      </w:r>
      <w:r>
        <w:t xml:space="preserve"> </w:t>
      </w:r>
      <w:r>
        <w:rPr>
          <w:iCs/>
          <w:i/>
        </w:rPr>
        <w:t xml:space="preserve">Risk and rationality</w:t>
      </w:r>
      <w:r>
        <w:t xml:space="preserve">. Oxford University Press.</w:t>
      </w:r>
    </w:p>
    <w:bookmarkEnd w:id="241"/>
    <w:bookmarkStart w:id="243"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2">
        <w:r>
          <w:rPr>
            <w:rStyle w:val="Hyperlink"/>
          </w:rPr>
          <w:t xml:space="preserve">10.1257/aer.101.7.2899</w:t>
        </w:r>
      </w:hyperlink>
    </w:p>
    <w:bookmarkEnd w:id="243"/>
    <w:bookmarkStart w:id="245"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4">
        <w:r>
          <w:rPr>
            <w:rStyle w:val="Hyperlink"/>
          </w:rPr>
          <w:t xml:space="preserve">10.2307/2951491</w:t>
        </w:r>
      </w:hyperlink>
    </w:p>
    <w:bookmarkEnd w:id="245"/>
    <w:bookmarkStart w:id="247"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46">
        <w:r>
          <w:rPr>
            <w:rStyle w:val="Hyperlink"/>
          </w:rPr>
          <w:t xml:space="preserve">10.1080/00213624.2017.1391594</w:t>
        </w:r>
      </w:hyperlink>
    </w:p>
    <w:bookmarkEnd w:id="247"/>
    <w:bookmarkStart w:id="249"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48">
        <w:r>
          <w:rPr>
            <w:rStyle w:val="Hyperlink"/>
          </w:rPr>
          <w:t xml:space="preserve">10.1016/j.jcps.2014.08.002</w:t>
        </w:r>
      </w:hyperlink>
    </w:p>
    <w:bookmarkEnd w:id="249"/>
    <w:bookmarkStart w:id="250" w:name="ref-Cherniak1986"/>
    <w:p>
      <w:pPr>
        <w:pStyle w:val="Bibliography"/>
      </w:pPr>
      <w:r>
        <w:t xml:space="preserve">Cherniak, Christopher. (1986).</w:t>
      </w:r>
      <w:r>
        <w:t xml:space="preserve"> </w:t>
      </w:r>
      <w:r>
        <w:rPr>
          <w:iCs/>
          <w:i/>
        </w:rPr>
        <w:t xml:space="preserve">Minimal rationality</w:t>
      </w:r>
      <w:r>
        <w:t xml:space="preserve">. MIT Press.</w:t>
      </w:r>
    </w:p>
    <w:bookmarkEnd w:id="250"/>
    <w:bookmarkStart w:id="251"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1"/>
    <w:bookmarkStart w:id="252"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2"/>
    <w:bookmarkStart w:id="254"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3">
        <w:r>
          <w:rPr>
            <w:rStyle w:val="Hyperlink"/>
          </w:rPr>
          <w:t xml:space="preserve">http://hdl.handle.net/2027/spo.3521354.0011.006</w:t>
        </w:r>
      </w:hyperlink>
    </w:p>
    <w:bookmarkEnd w:id="254"/>
    <w:bookmarkStart w:id="255"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5"/>
    <w:bookmarkStart w:id="256"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56"/>
    <w:bookmarkStart w:id="258"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57">
        <w:r>
          <w:rPr>
            <w:rStyle w:val="Hyperlink"/>
          </w:rPr>
          <w:t xml:space="preserve">10.1111/j.1933-1592.2002.tb00204.x</w:t>
        </w:r>
      </w:hyperlink>
    </w:p>
    <w:bookmarkEnd w:id="258"/>
    <w:bookmarkStart w:id="260"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59">
        <w:r>
          <w:rPr>
            <w:rStyle w:val="Hyperlink"/>
          </w:rPr>
          <w:t xml:space="preserve">10.1111/j.1533-6077.2004.00040.x</w:t>
        </w:r>
      </w:hyperlink>
    </w:p>
    <w:bookmarkEnd w:id="260"/>
    <w:bookmarkStart w:id="261"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1"/>
    <w:bookmarkStart w:id="262"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2"/>
    <w:bookmarkStart w:id="264"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3">
        <w:r>
          <w:rPr>
            <w:rStyle w:val="Hyperlink"/>
          </w:rPr>
          <w:t xml:space="preserve">https://plato.stanford.edu/archives/spr2018/entries/questions/</w:t>
        </w:r>
      </w:hyperlink>
      <w:r>
        <w:t xml:space="preserve">; Metaphysics Research Lab, Stanford University.</w:t>
      </w:r>
    </w:p>
    <w:bookmarkEnd w:id="264"/>
    <w:bookmarkStart w:id="265"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5"/>
    <w:bookmarkStart w:id="267"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66">
        <w:r>
          <w:rPr>
            <w:rStyle w:val="Hyperlink"/>
          </w:rPr>
          <w:t xml:space="preserve">10.2307/3182618</w:t>
        </w:r>
      </w:hyperlink>
    </w:p>
    <w:bookmarkEnd w:id="267"/>
    <w:bookmarkStart w:id="269"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68">
        <w:r>
          <w:rPr>
            <w:rStyle w:val="Hyperlink"/>
          </w:rPr>
          <w:t xml:space="preserve">http://journal.sjdm.org/8320/jdm8320.pdf</w:t>
        </w:r>
      </w:hyperlink>
    </w:p>
    <w:bookmarkEnd w:id="269"/>
    <w:bookmarkStart w:id="270"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0"/>
    <w:bookmarkStart w:id="272"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1">
        <w:r>
          <w:rPr>
            <w:rStyle w:val="Hyperlink"/>
          </w:rPr>
          <w:t xml:space="preserve">10.3998/ergo.12405314.0002.026</w:t>
        </w:r>
      </w:hyperlink>
    </w:p>
    <w:bookmarkEnd w:id="272"/>
    <w:bookmarkStart w:id="273" w:name="ref-Dylan2016"/>
    <w:p>
      <w:pPr>
        <w:pStyle w:val="Bibliography"/>
      </w:pPr>
      <w:r>
        <w:t xml:space="preserve">Dylan, Bob. (2016).</w:t>
      </w:r>
      <w:r>
        <w:t xml:space="preserve"> </w:t>
      </w:r>
      <w:r>
        <w:rPr>
          <w:iCs/>
          <w:i/>
        </w:rPr>
        <w:t xml:space="preserve">The lyrics: 1961-2012</w:t>
      </w:r>
      <w:r>
        <w:t xml:space="preserve">. Simon &amp; Schuster.</w:t>
      </w:r>
    </w:p>
    <w:bookmarkEnd w:id="273"/>
    <w:bookmarkStart w:id="275"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4">
        <w:r>
          <w:rPr>
            <w:rStyle w:val="Hyperlink"/>
          </w:rPr>
          <w:t xml:space="preserve">10.1007/s11098-015-0461-x</w:t>
        </w:r>
      </w:hyperlink>
    </w:p>
    <w:bookmarkEnd w:id="275"/>
    <w:bookmarkStart w:id="277"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76">
        <w:r>
          <w:rPr>
            <w:rStyle w:val="Hyperlink"/>
          </w:rPr>
          <w:t xml:space="preserve">10.1007/s11098-008-9225-1</w:t>
        </w:r>
      </w:hyperlink>
    </w:p>
    <w:bookmarkEnd w:id="277"/>
    <w:bookmarkStart w:id="278"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78"/>
    <w:bookmarkStart w:id="280"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81</w:t>
      </w:r>
      <w:r>
        <w:t xml:space="preserve">(4), 622–631. doi:</w:t>
      </w:r>
      <w:hyperlink r:id="rId279">
        <w:r>
          <w:rPr>
            <w:rStyle w:val="Hyperlink"/>
          </w:rPr>
          <w:t xml:space="preserve">10.1093/analys/anab037</w:t>
        </w:r>
      </w:hyperlink>
    </w:p>
    <w:bookmarkEnd w:id="280"/>
    <w:bookmarkStart w:id="282"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1">
        <w:r>
          <w:rPr>
            <w:rStyle w:val="Hyperlink"/>
          </w:rPr>
          <w:t xml:space="preserve">10.2307/3182570</w:t>
        </w:r>
      </w:hyperlink>
    </w:p>
    <w:bookmarkEnd w:id="282"/>
    <w:bookmarkStart w:id="283"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3"/>
    <w:bookmarkStart w:id="284" w:name="ref-Foley1993"/>
    <w:p>
      <w:pPr>
        <w:pStyle w:val="Bibliography"/>
      </w:pPr>
      <w:r>
        <w:t xml:space="preserve">Foley, Richard. (1993).</w:t>
      </w:r>
      <w:r>
        <w:t xml:space="preserve"> </w:t>
      </w:r>
      <w:r>
        <w:rPr>
          <w:iCs/>
          <w:i/>
        </w:rPr>
        <w:t xml:space="preserve">Working without a net</w:t>
      </w:r>
      <w:r>
        <w:t xml:space="preserve">. Oxford University Press.</w:t>
      </w:r>
    </w:p>
    <w:bookmarkEnd w:id="284"/>
    <w:bookmarkStart w:id="286"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5">
        <w:r>
          <w:rPr>
            <w:rStyle w:val="Hyperlink"/>
          </w:rPr>
          <w:t xml:space="preserve">10.1111/nous.12137</w:t>
        </w:r>
      </w:hyperlink>
    </w:p>
    <w:bookmarkEnd w:id="286"/>
    <w:bookmarkStart w:id="288"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87">
        <w:r>
          <w:rPr>
            <w:rStyle w:val="Hyperlink"/>
          </w:rPr>
          <w:t xml:space="preserve">10.1111/phis.12141</w:t>
        </w:r>
      </w:hyperlink>
    </w:p>
    <w:bookmarkEnd w:id="288"/>
    <w:bookmarkStart w:id="290"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89">
        <w:r>
          <w:rPr>
            <w:rStyle w:val="Hyperlink"/>
          </w:rPr>
          <w:t xml:space="preserve">10.1111/nous.12222</w:t>
        </w:r>
      </w:hyperlink>
    </w:p>
    <w:bookmarkEnd w:id="290"/>
    <w:bookmarkStart w:id="292"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1">
        <w:r>
          <w:rPr>
            <w:rStyle w:val="Hyperlink"/>
          </w:rPr>
          <w:t xml:space="preserve">10.1215/00318108-8540918</w:t>
        </w:r>
      </w:hyperlink>
    </w:p>
    <w:bookmarkEnd w:id="292"/>
    <w:bookmarkStart w:id="294" w:name="ref-Friedman2024"/>
    <w:p>
      <w:pPr>
        <w:pStyle w:val="Bibliography"/>
      </w:pPr>
      <w:r>
        <w:t xml:space="preserve">Friedman, Jane. (2024). The aim of inquiry?</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w:t>
      </w:r>
      <w:r>
        <w:t xml:space="preserve"> </w:t>
      </w:r>
      <w:r>
        <w:rPr>
          <w:iCs/>
          <w:i/>
        </w:rPr>
        <w:t xml:space="preserve">108</w:t>
      </w:r>
      <w:r>
        <w:t xml:space="preserve">(2), 506–523. doi:</w:t>
      </w:r>
      <w:hyperlink r:id="rId293">
        <w:r>
          <w:rPr>
            <w:rStyle w:val="Hyperlink"/>
          </w:rPr>
          <w:t xml:space="preserve">10.1111/phpr.12982</w:t>
        </w:r>
      </w:hyperlink>
    </w:p>
    <w:bookmarkEnd w:id="294"/>
    <w:bookmarkStart w:id="296"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5">
        <w:r>
          <w:rPr>
            <w:rStyle w:val="Hyperlink"/>
          </w:rPr>
          <w:t xml:space="preserve">10.1007/s11098-007-9133-9</w:t>
        </w:r>
      </w:hyperlink>
    </w:p>
    <w:bookmarkEnd w:id="296"/>
    <w:bookmarkStart w:id="297"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7"/>
    <w:bookmarkStart w:id="299"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8">
        <w:r>
          <w:rPr>
            <w:rStyle w:val="Hyperlink"/>
          </w:rPr>
          <w:t xml:space="preserve">10.1111/mila.12451</w:t>
        </w:r>
      </w:hyperlink>
    </w:p>
    <w:bookmarkEnd w:id="299"/>
    <w:bookmarkStart w:id="301"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0">
        <w:r>
          <w:rPr>
            <w:rStyle w:val="Hyperlink"/>
          </w:rPr>
          <w:t xml:space="preserve">10.1007/s11098-005-7779-8</w:t>
        </w:r>
      </w:hyperlink>
    </w:p>
    <w:bookmarkEnd w:id="301"/>
    <w:bookmarkStart w:id="303"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2">
        <w:r>
          <w:rPr>
            <w:rStyle w:val="Hyperlink"/>
          </w:rPr>
          <w:t xml:space="preserve">10.2307/3326922</w:t>
        </w:r>
      </w:hyperlink>
    </w:p>
    <w:bookmarkEnd w:id="303"/>
    <w:bookmarkStart w:id="304"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4"/>
    <w:bookmarkStart w:id="306"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5">
        <w:r>
          <w:rPr>
            <w:rStyle w:val="Hyperlink"/>
          </w:rPr>
          <w:t xml:space="preserve">10.3765/sp.3.4</w:t>
        </w:r>
      </w:hyperlink>
    </w:p>
    <w:bookmarkEnd w:id="306"/>
    <w:bookmarkStart w:id="307"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7"/>
    <w:bookmarkStart w:id="308" w:name="ref-Harman1973"/>
    <w:p>
      <w:pPr>
        <w:pStyle w:val="Bibliography"/>
      </w:pPr>
      <w:r>
        <w:t xml:space="preserve">Harman, Gilbert. (1973).</w:t>
      </w:r>
      <w:r>
        <w:t xml:space="preserve"> </w:t>
      </w:r>
      <w:r>
        <w:rPr>
          <w:iCs/>
          <w:i/>
        </w:rPr>
        <w:t xml:space="preserve">Thought</w:t>
      </w:r>
      <w:r>
        <w:t xml:space="preserve">. Princeton University Press.</w:t>
      </w:r>
    </w:p>
    <w:bookmarkEnd w:id="308"/>
    <w:bookmarkStart w:id="309"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09"/>
    <w:bookmarkStart w:id="311"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0">
        <w:r>
          <w:rPr>
            <w:rStyle w:val="Hyperlink"/>
          </w:rPr>
          <w:t xml:space="preserve">10.1007/BF00183199</w:t>
        </w:r>
      </w:hyperlink>
    </w:p>
    <w:bookmarkEnd w:id="311"/>
    <w:bookmarkStart w:id="312" w:name="ref-Hawthorne2004"/>
    <w:p>
      <w:pPr>
        <w:pStyle w:val="Bibliography"/>
      </w:pPr>
      <w:r>
        <w:t xml:space="preserve">Hawthorne, John. (2004).</w:t>
      </w:r>
      <w:r>
        <w:t xml:space="preserve"> </w:t>
      </w:r>
      <w:r>
        <w:rPr>
          <w:iCs/>
          <w:i/>
        </w:rPr>
        <w:t xml:space="preserve">Knowledge and lotteries</w:t>
      </w:r>
      <w:r>
        <w:t xml:space="preserve">. Oxford University Press.</w:t>
      </w:r>
    </w:p>
    <w:bookmarkEnd w:id="312"/>
    <w:bookmarkStart w:id="314"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3">
        <w:r>
          <w:rPr>
            <w:rStyle w:val="Hyperlink"/>
          </w:rPr>
          <w:t xml:space="preserve">10.1111/j.1933-1592.2005.tb00540.x</w:t>
        </w:r>
      </w:hyperlink>
    </w:p>
    <w:bookmarkEnd w:id="314"/>
    <w:bookmarkStart w:id="316"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5">
        <w:r>
          <w:rPr>
            <w:rStyle w:val="Hyperlink"/>
          </w:rPr>
          <w:t xml:space="preserve">10.1007/s11098-015-0553-7</w:t>
        </w:r>
      </w:hyperlink>
    </w:p>
    <w:bookmarkEnd w:id="316"/>
    <w:bookmarkStart w:id="317"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7"/>
    <w:bookmarkStart w:id="319"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8">
        <w:r>
          <w:rPr>
            <w:rStyle w:val="Hyperlink"/>
          </w:rPr>
          <w:t xml:space="preserve">10.5840/jphil20081051022</w:t>
        </w:r>
      </w:hyperlink>
    </w:p>
    <w:bookmarkEnd w:id="319"/>
    <w:bookmarkStart w:id="321"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0">
        <w:r>
          <w:rPr>
            <w:rStyle w:val="Hyperlink"/>
          </w:rPr>
          <w:t xml:space="preserve">10.1007/s11098-012-9880-0</w:t>
        </w:r>
      </w:hyperlink>
    </w:p>
    <w:bookmarkEnd w:id="321"/>
    <w:bookmarkStart w:id="323"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2">
        <w:r>
          <w:rPr>
            <w:rStyle w:val="Hyperlink"/>
          </w:rPr>
          <w:t xml:space="preserve">10.1086/671402</w:t>
        </w:r>
      </w:hyperlink>
    </w:p>
    <w:bookmarkEnd w:id="323"/>
    <w:bookmarkStart w:id="325"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4">
        <w:r>
          <w:rPr>
            <w:rStyle w:val="Hyperlink"/>
          </w:rPr>
          <w:t xml:space="preserve">10.1086/648610</w:t>
        </w:r>
      </w:hyperlink>
    </w:p>
    <w:bookmarkEnd w:id="325"/>
    <w:bookmarkStart w:id="327"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6">
        <w:r>
          <w:rPr>
            <w:rStyle w:val="Hyperlink"/>
          </w:rPr>
          <w:t xml:space="preserve">10.2307/2224214</w:t>
        </w:r>
      </w:hyperlink>
    </w:p>
    <w:bookmarkEnd w:id="327"/>
    <w:bookmarkStart w:id="329"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8">
        <w:r>
          <w:rPr>
            <w:rStyle w:val="Hyperlink"/>
          </w:rPr>
          <w:t xml:space="preserve">10.1007/BF00293423</w:t>
        </w:r>
      </w:hyperlink>
    </w:p>
    <w:bookmarkEnd w:id="329"/>
    <w:bookmarkStart w:id="331"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0">
        <w:r>
          <w:rPr>
            <w:rStyle w:val="Hyperlink"/>
          </w:rPr>
          <w:t xml:space="preserve">10.2307/2216304</w:t>
        </w:r>
      </w:hyperlink>
    </w:p>
    <w:bookmarkEnd w:id="331"/>
    <w:bookmarkStart w:id="333"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2">
        <w:r>
          <w:rPr>
            <w:rStyle w:val="Hyperlink"/>
          </w:rPr>
          <w:t xml:space="preserve">10.1111/j.1467-9280.2006.01677.x</w:t>
        </w:r>
      </w:hyperlink>
    </w:p>
    <w:bookmarkEnd w:id="333"/>
    <w:bookmarkStart w:id="334" w:name="ref-Jackson1987"/>
    <w:p>
      <w:pPr>
        <w:pStyle w:val="Bibliography"/>
      </w:pPr>
      <w:r>
        <w:t xml:space="preserve">Jackson, Frank. (1987).</w:t>
      </w:r>
      <w:r>
        <w:t xml:space="preserve"> </w:t>
      </w:r>
      <w:r>
        <w:rPr>
          <w:iCs/>
          <w:i/>
        </w:rPr>
        <w:t xml:space="preserve">Conditionals</w:t>
      </w:r>
      <w:r>
        <w:t xml:space="preserve">. Oxford.</w:t>
      </w:r>
    </w:p>
    <w:bookmarkEnd w:id="334"/>
    <w:bookmarkStart w:id="335"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5"/>
    <w:bookmarkStart w:id="336"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6"/>
    <w:bookmarkStart w:id="337"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7"/>
    <w:bookmarkStart w:id="339"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8">
        <w:r>
          <w:rPr>
            <w:rStyle w:val="Hyperlink"/>
          </w:rPr>
          <w:t xml:space="preserve">10.2307/2224674</w:t>
        </w:r>
      </w:hyperlink>
    </w:p>
    <w:bookmarkEnd w:id="339"/>
    <w:bookmarkStart w:id="340"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0"/>
    <w:bookmarkStart w:id="342"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1">
        <w:r>
          <w:rPr>
            <w:rStyle w:val="Hyperlink"/>
          </w:rPr>
          <w:t xml:space="preserve">10.1007/s44204-023-00097-9</w:t>
        </w:r>
      </w:hyperlink>
    </w:p>
    <w:bookmarkEnd w:id="342"/>
    <w:bookmarkStart w:id="344"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3">
        <w:r>
          <w:rPr>
            <w:rStyle w:val="Hyperlink"/>
          </w:rPr>
          <w:t xml:space="preserve">10.1111/jere.12070</w:t>
        </w:r>
      </w:hyperlink>
    </w:p>
    <w:bookmarkEnd w:id="344"/>
    <w:bookmarkStart w:id="345"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5"/>
    <w:bookmarkStart w:id="347"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6">
        <w:r>
          <w:rPr>
            <w:rStyle w:val="Hyperlink"/>
          </w:rPr>
          <w:t xml:space="preserve">10.2307/1912320</w:t>
        </w:r>
      </w:hyperlink>
    </w:p>
    <w:bookmarkEnd w:id="347"/>
    <w:bookmarkStart w:id="348" w:name="ref-Kratzer2012"/>
    <w:p>
      <w:pPr>
        <w:pStyle w:val="Bibliography"/>
      </w:pPr>
      <w:r>
        <w:t xml:space="preserve">Kratzer, Angelika. (2012).</w:t>
      </w:r>
      <w:r>
        <w:t xml:space="preserve"> </w:t>
      </w:r>
      <w:r>
        <w:rPr>
          <w:iCs/>
          <w:i/>
        </w:rPr>
        <w:t xml:space="preserve">Modals and conditionals</w:t>
      </w:r>
      <w:r>
        <w:t xml:space="preserve">. Oxford University Press.</w:t>
      </w:r>
    </w:p>
    <w:bookmarkEnd w:id="348"/>
    <w:bookmarkStart w:id="349"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49"/>
    <w:bookmarkStart w:id="351"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0">
        <w:r>
          <w:rPr>
            <w:rStyle w:val="Hyperlink"/>
          </w:rPr>
          <w:t xml:space="preserve">10.1093/analys/anr129</w:t>
        </w:r>
      </w:hyperlink>
    </w:p>
    <w:bookmarkEnd w:id="351"/>
    <w:bookmarkStart w:id="353"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2">
        <w:r>
          <w:rPr>
            <w:rStyle w:val="Hyperlink"/>
          </w:rPr>
          <w:t xml:space="preserve">10.1111/j.1520-8583.2010.00183.x</w:t>
        </w:r>
      </w:hyperlink>
    </w:p>
    <w:bookmarkEnd w:id="353"/>
    <w:bookmarkStart w:id="355"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4">
        <w:r>
          <w:rPr>
            <w:rStyle w:val="Hyperlink"/>
          </w:rPr>
          <w:t xml:space="preserve">10.1111/phpr.12090</w:t>
        </w:r>
      </w:hyperlink>
    </w:p>
    <w:bookmarkEnd w:id="355"/>
    <w:bookmarkStart w:id="357"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6">
        <w:r>
          <w:rPr>
            <w:rStyle w:val="Hyperlink"/>
          </w:rPr>
          <w:t xml:space="preserve">10.1111/nous.12186</w:t>
        </w:r>
      </w:hyperlink>
    </w:p>
    <w:bookmarkEnd w:id="357"/>
    <w:bookmarkStart w:id="359"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8">
        <w:r>
          <w:rPr>
            <w:rStyle w:val="Hyperlink"/>
          </w:rPr>
          <w:t xml:space="preserve">10.1017/S0012217317000154</w:t>
        </w:r>
      </w:hyperlink>
    </w:p>
    <w:bookmarkEnd w:id="359"/>
    <w:bookmarkStart w:id="361"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0">
        <w:r>
          <w:rPr>
            <w:rStyle w:val="Hyperlink"/>
          </w:rPr>
          <w:t xml:space="preserve">10.1080/05568641.2017.1364142</w:t>
        </w:r>
      </w:hyperlink>
    </w:p>
    <w:bookmarkEnd w:id="361"/>
    <w:bookmarkStart w:id="362"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2"/>
    <w:bookmarkStart w:id="364"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3">
        <w:r>
          <w:rPr>
            <w:rStyle w:val="Hyperlink"/>
          </w:rPr>
          <w:t xml:space="preserve">10.2307/2184045</w:t>
        </w:r>
      </w:hyperlink>
    </w:p>
    <w:bookmarkEnd w:id="364"/>
    <w:bookmarkStart w:id="366"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5">
        <w:r>
          <w:rPr>
            <w:rStyle w:val="Hyperlink"/>
          </w:rPr>
          <w:t xml:space="preserve">10.1017/cbo9780511625237.009</w:t>
        </w:r>
      </w:hyperlink>
    </w:p>
    <w:bookmarkEnd w:id="366"/>
    <w:bookmarkStart w:id="368"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7">
        <w:r>
          <w:rPr>
            <w:rStyle w:val="Hyperlink"/>
          </w:rPr>
          <w:t xml:space="preserve">10.2307/2185051</w:t>
        </w:r>
      </w:hyperlink>
    </w:p>
    <w:bookmarkEnd w:id="368"/>
    <w:bookmarkStart w:id="370"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69">
        <w:r>
          <w:rPr>
            <w:rStyle w:val="Hyperlink"/>
          </w:rPr>
          <w:t xml:space="preserve">10.1093/mind/xcvii.387.323</w:t>
        </w:r>
      </w:hyperlink>
    </w:p>
    <w:bookmarkEnd w:id="370"/>
    <w:bookmarkStart w:id="372"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1">
        <w:r>
          <w:rPr>
            <w:rStyle w:val="Hyperlink"/>
          </w:rPr>
          <w:t xml:space="preserve">10.1093/mind/105.418.303</w:t>
        </w:r>
      </w:hyperlink>
    </w:p>
    <w:bookmarkEnd w:id="372"/>
    <w:bookmarkStart w:id="373"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3"/>
    <w:bookmarkStart w:id="375"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4">
        <w:r>
          <w:rPr>
            <w:rStyle w:val="Hyperlink"/>
          </w:rPr>
          <w:t xml:space="preserve">10.2307/2296233</w:t>
        </w:r>
      </w:hyperlink>
    </w:p>
    <w:bookmarkEnd w:id="375"/>
    <w:bookmarkStart w:id="377"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6">
        <w:r>
          <w:rPr>
            <w:rStyle w:val="Hyperlink"/>
          </w:rPr>
          <w:t xml:space="preserve">10.1111/phpr.12271</w:t>
        </w:r>
      </w:hyperlink>
    </w:p>
    <w:bookmarkEnd w:id="377"/>
    <w:bookmarkStart w:id="378"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8"/>
    <w:bookmarkStart w:id="380"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79">
        <w:r>
          <w:rPr>
            <w:rStyle w:val="Hyperlink"/>
          </w:rPr>
          <w:t xml:space="preserve">10.1086/392759</w:t>
        </w:r>
      </w:hyperlink>
    </w:p>
    <w:bookmarkEnd w:id="380"/>
    <w:bookmarkStart w:id="382"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1">
        <w:r>
          <w:rPr>
            <w:rStyle w:val="Hyperlink"/>
          </w:rPr>
          <w:t xml:space="preserve">10.1086/289906</w:t>
        </w:r>
      </w:hyperlink>
    </w:p>
    <w:bookmarkEnd w:id="382"/>
    <w:bookmarkStart w:id="383"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3"/>
    <w:bookmarkStart w:id="385"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4">
        <w:r>
          <w:rPr>
            <w:rStyle w:val="Hyperlink"/>
          </w:rPr>
          <w:t xml:space="preserve">10.1007/s11098-010-9542-z</w:t>
        </w:r>
      </w:hyperlink>
    </w:p>
    <w:bookmarkEnd w:id="385"/>
    <w:bookmarkStart w:id="387"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6">
        <w:r>
          <w:rPr>
            <w:rStyle w:val="Hyperlink"/>
          </w:rPr>
          <w:t xml:space="preserve">10.1215/00318108-3878483</w:t>
        </w:r>
      </w:hyperlink>
    </w:p>
    <w:bookmarkEnd w:id="387"/>
    <w:bookmarkStart w:id="389"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8">
        <w:r>
          <w:rPr>
            <w:rStyle w:val="Hyperlink"/>
          </w:rPr>
          <w:t xml:space="preserve">10.1007/s10734-010-9309-7</w:t>
        </w:r>
      </w:hyperlink>
    </w:p>
    <w:bookmarkEnd w:id="389"/>
    <w:bookmarkStart w:id="391"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0">
        <w:r>
          <w:rPr>
            <w:rStyle w:val="Hyperlink"/>
          </w:rPr>
          <w:t xml:space="preserve">10.1007/s11238-017-9592-1</w:t>
        </w:r>
      </w:hyperlink>
    </w:p>
    <w:bookmarkEnd w:id="391"/>
    <w:bookmarkStart w:id="393"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2">
        <w:r>
          <w:rPr>
            <w:rStyle w:val="Hyperlink"/>
          </w:rPr>
          <w:t xml:space="preserve">10.1111/nous.12323</w:t>
        </w:r>
      </w:hyperlink>
    </w:p>
    <w:bookmarkEnd w:id="393"/>
    <w:bookmarkStart w:id="394"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4"/>
    <w:bookmarkStart w:id="395"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5"/>
    <w:bookmarkStart w:id="396"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6"/>
    <w:bookmarkStart w:id="398"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7">
        <w:r>
          <w:rPr>
            <w:rStyle w:val="Hyperlink"/>
          </w:rPr>
          <w:t xml:space="preserve">10.1111/j.1520-8583.2010.00198.x</w:t>
        </w:r>
      </w:hyperlink>
    </w:p>
    <w:bookmarkEnd w:id="398"/>
    <w:bookmarkStart w:id="400"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399">
        <w:r>
          <w:rPr>
            <w:rStyle w:val="Hyperlink"/>
          </w:rPr>
          <w:t xml:space="preserve">10.1080/0020174X.2013.775014</w:t>
        </w:r>
      </w:hyperlink>
    </w:p>
    <w:bookmarkEnd w:id="400"/>
    <w:bookmarkStart w:id="401"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1"/>
    <w:bookmarkStart w:id="403"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2">
        <w:r>
          <w:rPr>
            <w:rStyle w:val="Hyperlink"/>
          </w:rPr>
          <w:t xml:space="preserve">10.1111/phpr.12431</w:t>
        </w:r>
      </w:hyperlink>
    </w:p>
    <w:bookmarkEnd w:id="403"/>
    <w:bookmarkStart w:id="405"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4">
        <w:r>
          <w:rPr>
            <w:rStyle w:val="Hyperlink"/>
          </w:rPr>
          <w:t xml:space="preserve">10.1111/j.1933-1592.2007.00069.x</w:t>
        </w:r>
      </w:hyperlink>
    </w:p>
    <w:bookmarkEnd w:id="405"/>
    <w:bookmarkStart w:id="407"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6">
        <w:r>
          <w:rPr>
            <w:rStyle w:val="Hyperlink"/>
          </w:rPr>
          <w:t xml:space="preserve">10.1037/pspp0000141</w:t>
        </w:r>
      </w:hyperlink>
    </w:p>
    <w:bookmarkEnd w:id="407"/>
    <w:bookmarkStart w:id="409"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08">
        <w:r>
          <w:rPr>
            <w:rStyle w:val="Hyperlink"/>
          </w:rPr>
          <w:t xml:space="preserve">10.1016/j.shpsb.2009.08.008</w:t>
        </w:r>
      </w:hyperlink>
    </w:p>
    <w:bookmarkEnd w:id="409"/>
    <w:bookmarkStart w:id="410" w:name="ref-Nozick1981"/>
    <w:p>
      <w:pPr>
        <w:pStyle w:val="Bibliography"/>
      </w:pPr>
      <w:r>
        <w:t xml:space="preserve">Nozick, Robert. (1981).</w:t>
      </w:r>
      <w:r>
        <w:t xml:space="preserve"> </w:t>
      </w:r>
      <w:r>
        <w:rPr>
          <w:iCs/>
          <w:i/>
        </w:rPr>
        <w:t xml:space="preserve">Philosophical explorations</w:t>
      </w:r>
      <w:r>
        <w:t xml:space="preserve">. Harvard University Press.</w:t>
      </w:r>
    </w:p>
    <w:bookmarkEnd w:id="410"/>
    <w:bookmarkStart w:id="411"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1"/>
    <w:bookmarkStart w:id="412"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2"/>
    <w:bookmarkStart w:id="414"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3">
        <w:r>
          <w:rPr>
            <w:rStyle w:val="Hyperlink"/>
          </w:rPr>
          <w:t xml:space="preserve">10.1016/j.mathsocsci.2013.08.005</w:t>
        </w:r>
      </w:hyperlink>
    </w:p>
    <w:bookmarkEnd w:id="414"/>
    <w:bookmarkStart w:id="415"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5"/>
    <w:bookmarkStart w:id="417" w:name="ref-Pearce1983"/>
    <w:p>
      <w:pPr>
        <w:pStyle w:val="Bibliography"/>
      </w:pPr>
      <w:r>
        <w:t xml:space="preserve">Pearce, David G. (1983). A problem with single valued solution concepts. Retrieved from</w:t>
      </w:r>
      <w:r>
        <w:t xml:space="preserve"> </w:t>
      </w:r>
      <w:hyperlink r:id="rId416">
        <w:r>
          <w:rPr>
            <w:rStyle w:val="Hyperlink"/>
          </w:rPr>
          <w:t xml:space="preserve">https://sites.google.com/a/nyu.edu/davidpearce/</w:t>
        </w:r>
      </w:hyperlink>
    </w:p>
    <w:bookmarkEnd w:id="417"/>
    <w:bookmarkStart w:id="418"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18"/>
    <w:bookmarkStart w:id="420"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19">
        <w:r>
          <w:rPr>
            <w:rStyle w:val="Hyperlink"/>
          </w:rPr>
          <w:t xml:space="preserve">10.1111/j.1533-6077.2004.00034.x</w:t>
        </w:r>
      </w:hyperlink>
    </w:p>
    <w:bookmarkEnd w:id="420"/>
    <w:bookmarkStart w:id="422"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1">
        <w:r>
          <w:rPr>
            <w:rStyle w:val="Hyperlink"/>
          </w:rPr>
          <w:t xml:space="preserve">10.1016/0167-2681(82)90008-7</w:t>
        </w:r>
      </w:hyperlink>
    </w:p>
    <w:bookmarkEnd w:id="422"/>
    <w:bookmarkStart w:id="424"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3">
        <w:r>
          <w:rPr>
            <w:rStyle w:val="Hyperlink"/>
          </w:rPr>
          <w:t xml:space="preserve">https://plato.stanford.edu/archives/spr2018/entries/public-reason/</w:t>
        </w:r>
      </w:hyperlink>
      <w:r>
        <w:t xml:space="preserve">; Metaphysics Research Lab, Stanford University.</w:t>
      </w:r>
    </w:p>
    <w:bookmarkEnd w:id="424"/>
    <w:bookmarkStart w:id="425"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5"/>
    <w:bookmarkStart w:id="426"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6"/>
    <w:bookmarkStart w:id="428"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7">
        <w:r>
          <w:rPr>
            <w:rStyle w:val="Hyperlink"/>
          </w:rPr>
          <w:t xml:space="preserve">10.1257/aer.101.2.900</w:t>
        </w:r>
      </w:hyperlink>
    </w:p>
    <w:bookmarkEnd w:id="428"/>
    <w:bookmarkStart w:id="430"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29">
        <w:r>
          <w:rPr>
            <w:rStyle w:val="Hyperlink"/>
          </w:rPr>
          <w:t xml:space="preserve">10.1080/00048408412341601</w:t>
        </w:r>
      </w:hyperlink>
    </w:p>
    <w:bookmarkEnd w:id="430"/>
    <w:bookmarkStart w:id="432"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1">
        <w:r>
          <w:rPr>
            <w:rStyle w:val="Hyperlink"/>
          </w:rPr>
          <w:t xml:space="preserve">10.3765/sp.5.6</w:t>
        </w:r>
      </w:hyperlink>
    </w:p>
    <w:bookmarkEnd w:id="432"/>
    <w:bookmarkStart w:id="434"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3">
        <w:r>
          <w:rPr>
            <w:rStyle w:val="Hyperlink"/>
          </w:rPr>
          <w:t xml:space="preserve">10.1111/j.1933-1592.2011.00552.x</w:t>
        </w:r>
      </w:hyperlink>
    </w:p>
    <w:bookmarkEnd w:id="434"/>
    <w:bookmarkStart w:id="435"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5"/>
    <w:bookmarkStart w:id="437"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6">
        <w:r>
          <w:rPr>
            <w:rStyle w:val="Hyperlink"/>
          </w:rPr>
          <w:t xml:space="preserve">10.1080/00048400802001996</w:t>
        </w:r>
      </w:hyperlink>
    </w:p>
    <w:bookmarkEnd w:id="437"/>
    <w:bookmarkStart w:id="439"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38">
        <w:r>
          <w:rPr>
            <w:rStyle w:val="Hyperlink"/>
          </w:rPr>
          <w:t xml:space="preserve">10.1016/S0004-3702(97)00026-X</w:t>
        </w:r>
      </w:hyperlink>
    </w:p>
    <w:bookmarkEnd w:id="439"/>
    <w:bookmarkStart w:id="441"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0">
        <w:r>
          <w:rPr>
            <w:rStyle w:val="Hyperlink"/>
          </w:rPr>
          <w:t xml:space="preserve">10.1086/288168</w:t>
        </w:r>
      </w:hyperlink>
    </w:p>
    <w:bookmarkEnd w:id="441"/>
    <w:bookmarkStart w:id="443"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2">
        <w:r>
          <w:rPr>
            <w:rStyle w:val="Hyperlink"/>
          </w:rPr>
          <w:t xml:space="preserve">10.1086/651235</w:t>
        </w:r>
      </w:hyperlink>
    </w:p>
    <w:bookmarkEnd w:id="443"/>
    <w:bookmarkStart w:id="445"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4">
        <w:r>
          <w:rPr>
            <w:rStyle w:val="Hyperlink"/>
          </w:rPr>
          <w:t xml:space="preserve">10.1111/phib.12314</w:t>
        </w:r>
      </w:hyperlink>
    </w:p>
    <w:bookmarkEnd w:id="445"/>
    <w:bookmarkStart w:id="447"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6">
        <w:r>
          <w:rPr>
            <w:rStyle w:val="Hyperlink"/>
          </w:rPr>
          <w:t xml:space="preserve">10.1111/nous.12006</w:t>
        </w:r>
      </w:hyperlink>
    </w:p>
    <w:bookmarkEnd w:id="447"/>
    <w:bookmarkStart w:id="449"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48">
        <w:r>
          <w:rPr>
            <w:rStyle w:val="Hyperlink"/>
          </w:rPr>
          <w:t xml:space="preserve">10.1007/s11098-008-9200-x</w:t>
        </w:r>
      </w:hyperlink>
    </w:p>
    <w:bookmarkEnd w:id="449"/>
    <w:bookmarkStart w:id="451" w:name="ref-Schroeder2012"/>
    <w:p>
      <w:pPr>
        <w:pStyle w:val="Bibliography"/>
      </w:pPr>
      <w:r>
        <w:t xml:space="preserve">Schroeder, Mark. (2012). Stakes, withholding and pragmatic encroachment on knowledge.</w:t>
      </w:r>
      <w:r>
        <w:t xml:space="preserve"> </w:t>
      </w:r>
      <w:r>
        <w:rPr>
          <w:iCs/>
          <w:i/>
        </w:rPr>
        <w:t xml:space="preserve">Philosophical Studies</w:t>
      </w:r>
      <w:r>
        <w:t xml:space="preserve">,</w:t>
      </w:r>
      <w:r>
        <w:t xml:space="preserve"> </w:t>
      </w:r>
      <w:r>
        <w:rPr>
          <w:iCs/>
          <w:i/>
        </w:rPr>
        <w:t xml:space="preserve">160</w:t>
      </w:r>
      <w:r>
        <w:t xml:space="preserve">(2), 265–285. doi:</w:t>
      </w:r>
      <w:hyperlink r:id="rId450">
        <w:r>
          <w:rPr>
            <w:rStyle w:val="Hyperlink"/>
          </w:rPr>
          <w:t xml:space="preserve">10.1007/s11098-011-9718-1</w:t>
        </w:r>
      </w:hyperlink>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2"/>
    <w:bookmarkStart w:id="454"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3">
        <w:r>
          <w:rPr>
            <w:rStyle w:val="Hyperlink"/>
          </w:rPr>
          <w:t xml:space="preserve">10.1037/0022-3514.83.5.1178</w:t>
        </w:r>
      </w:hyperlink>
    </w:p>
    <w:bookmarkEnd w:id="454"/>
    <w:bookmarkStart w:id="456"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5">
        <w:r>
          <w:rPr>
            <w:rStyle w:val="Hyperlink"/>
          </w:rPr>
          <w:t xml:space="preserve">10.1215/00318108-2007-037</w:t>
        </w:r>
      </w:hyperlink>
    </w:p>
    <w:bookmarkEnd w:id="456"/>
    <w:bookmarkStart w:id="458"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7">
        <w:r>
          <w:rPr>
            <w:rStyle w:val="Hyperlink"/>
          </w:rPr>
          <w:t xml:space="preserve">10.2307/3218711</w:t>
        </w:r>
      </w:hyperlink>
    </w:p>
    <w:bookmarkEnd w:id="458"/>
    <w:bookmarkStart w:id="460"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9">
        <w:r>
          <w:rPr>
            <w:rStyle w:val="Hyperlink"/>
          </w:rPr>
          <w:t xml:space="preserve">10.1111/0029-4624.33.s13.7</w:t>
        </w:r>
      </w:hyperlink>
    </w:p>
    <w:bookmarkEnd w:id="460"/>
    <w:bookmarkStart w:id="462"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1">
        <w:r>
          <w:rPr>
            <w:rStyle w:val="Hyperlink"/>
          </w:rPr>
          <w:t xml:space="preserve">10.1111/j.1468-0017.2010.01394.x</w:t>
        </w:r>
      </w:hyperlink>
    </w:p>
    <w:bookmarkEnd w:id="462"/>
    <w:bookmarkStart w:id="464"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3">
        <w:r>
          <w:rPr>
            <w:rStyle w:val="Hyperlink"/>
          </w:rPr>
          <w:t xml:space="preserve">10.1111/nous.12254</w:t>
        </w:r>
      </w:hyperlink>
    </w:p>
    <w:bookmarkEnd w:id="464"/>
    <w:bookmarkStart w:id="466"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5">
        <w:r>
          <w:rPr>
            <w:rStyle w:val="Hyperlink"/>
          </w:rPr>
          <w:t xml:space="preserve">10.1007/bf02379021</w:t>
        </w:r>
      </w:hyperlink>
    </w:p>
    <w:bookmarkEnd w:id="466"/>
    <w:bookmarkStart w:id="467" w:name="ref-Stalnaker1984"/>
    <w:p>
      <w:pPr>
        <w:pStyle w:val="Bibliography"/>
      </w:pPr>
      <w:r>
        <w:t xml:space="preserve">Stalnaker, Robert. (1984).</w:t>
      </w:r>
      <w:r>
        <w:t xml:space="preserve"> </w:t>
      </w:r>
      <w:r>
        <w:rPr>
          <w:iCs/>
          <w:i/>
        </w:rPr>
        <w:t xml:space="preserve">Inquiry</w:t>
      </w:r>
      <w:r>
        <w:t xml:space="preserve">. MIT Press.</w:t>
      </w:r>
    </w:p>
    <w:bookmarkEnd w:id="467"/>
    <w:bookmarkStart w:id="469"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8">
        <w:r>
          <w:rPr>
            <w:rStyle w:val="Hyperlink"/>
          </w:rPr>
          <w:t xml:space="preserve">10.1007/BF01079205</w:t>
        </w:r>
      </w:hyperlink>
    </w:p>
    <w:bookmarkEnd w:id="469"/>
    <w:bookmarkStart w:id="471"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0">
        <w:r>
          <w:rPr>
            <w:rStyle w:val="Hyperlink"/>
          </w:rPr>
          <w:t xml:space="preserve">10.1017/S0266267100004132</w:t>
        </w:r>
      </w:hyperlink>
    </w:p>
    <w:bookmarkEnd w:id="471"/>
    <w:bookmarkStart w:id="473"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2">
        <w:r>
          <w:rPr>
            <w:rStyle w:val="Hyperlink"/>
          </w:rPr>
          <w:t xml:space="preserve">10.1016/S0165-4896(98)00007-9</w:t>
        </w:r>
      </w:hyperlink>
    </w:p>
    <w:bookmarkEnd w:id="473"/>
    <w:bookmarkStart w:id="475"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4">
        <w:r>
          <w:rPr>
            <w:rStyle w:val="Hyperlink"/>
          </w:rPr>
          <w:t xml:space="preserve">10.1006/reec.1999.0200</w:t>
        </w:r>
      </w:hyperlink>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Stanley, Jason. (2011).</w:t>
      </w:r>
      <w:r>
        <w:t xml:space="preserve"> </w:t>
      </w:r>
      <w:r>
        <w:rPr>
          <w:iCs/>
          <w:i/>
        </w:rPr>
        <w:t xml:space="preserve">Know how</w:t>
      </w:r>
      <w:r>
        <w:t xml:space="preserve">. Oxford University Press.</w:t>
      </w:r>
    </w:p>
    <w:bookmarkEnd w:id="477"/>
    <w:bookmarkStart w:id="479" w:name="ref-Steglich-Petersen2024"/>
    <w:p>
      <w:pPr>
        <w:pStyle w:val="Bibliography"/>
      </w:pPr>
      <w:r>
        <w:t xml:space="preserve">Steglich-Petersen, Asbjørn. (2024). An instrumentalist explanation of pragmatic encroachment.</w:t>
      </w:r>
      <w:r>
        <w:t xml:space="preserve"> </w:t>
      </w:r>
      <w:r>
        <w:rPr>
          <w:iCs/>
          <w:i/>
        </w:rPr>
        <w:t xml:space="preserve">Analytic Philosophy</w:t>
      </w:r>
      <w:r>
        <w:t xml:space="preserve">,</w:t>
      </w:r>
      <w:r>
        <w:t xml:space="preserve"> </w:t>
      </w:r>
      <w:r>
        <w:rPr>
          <w:iCs/>
          <w:i/>
        </w:rPr>
        <w:t xml:space="preserve">65</w:t>
      </w:r>
      <w:r>
        <w:t xml:space="preserve">(3), 374–392. doi:</w:t>
      </w:r>
      <w:hyperlink r:id="rId478">
        <w:r>
          <w:rPr>
            <w:rStyle w:val="Hyperlink"/>
          </w:rPr>
          <w:t xml:space="preserve">10.1111/phib.12283</w:t>
        </w:r>
      </w:hyperlink>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0"/>
    <w:bookmarkStart w:id="482"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1">
        <w:r>
          <w:rPr>
            <w:rStyle w:val="Hyperlink"/>
          </w:rPr>
          <w:t xml:space="preserve">10.1111/phpr.12191</w:t>
        </w:r>
      </w:hyperlink>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3"/>
    <w:bookmarkStart w:id="485"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4">
        <w:r>
          <w:rPr>
            <w:rStyle w:val="Hyperlink"/>
          </w:rPr>
          <w:t xml:space="preserve">10.1111/j.1520-8583.2005.00068.x</w:t>
        </w:r>
      </w:hyperlink>
    </w:p>
    <w:bookmarkEnd w:id="485"/>
    <w:bookmarkStart w:id="487"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6">
        <w:r>
          <w:rPr>
            <w:rStyle w:val="Hyperlink"/>
          </w:rPr>
          <w:t xml:space="preserve">10.1007/s11098-004-5218-x</w:t>
        </w:r>
      </w:hyperlink>
    </w:p>
    <w:bookmarkEnd w:id="487"/>
    <w:bookmarkStart w:id="489"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8">
        <w:r>
          <w:rPr>
            <w:rStyle w:val="Hyperlink"/>
          </w:rPr>
          <w:t xml:space="preserve">10.5840/logos-episteme2011248</w:t>
        </w:r>
      </w:hyperlink>
    </w:p>
    <w:bookmarkEnd w:id="489"/>
    <w:bookmarkStart w:id="490"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0"/>
    <w:bookmarkStart w:id="492"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1">
        <w:r>
          <w:rPr>
            <w:rStyle w:val="Hyperlink"/>
          </w:rPr>
          <w:t xml:space="preserve">10.1080/00455091.2015.1125250</w:t>
        </w:r>
      </w:hyperlink>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w:t>
      </w:r>
      <w:r>
        <w:t xml:space="preserve"> </w:t>
      </w:r>
      <w:r>
        <w:rPr>
          <w:iCs/>
          <w:i/>
        </w:rPr>
        <w:t xml:space="preserve">Episteme</w:t>
      </w:r>
      <w:r>
        <w:t xml:space="preserve">,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Schmidt (forthcoming)</w:t>
      </w:r>
      <w:r>
        <w:t xml:space="preserve">,</w:t>
      </w:r>
      <w:r>
        <w:t xml:space="preserve"> </w:t>
      </w:r>
      <w:r>
        <w:t xml:space="preserve">Steglich-Petersen (2024)</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(or tertiary) source. I do hope in the future there will be more work which looks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Note that</w:t>
      </w:r>
      <w:r>
        <w:t xml:space="preserve"> </w:t>
      </w:r>
      <w:r>
        <w:t xml:space="preserve">Friedman (2024)</w:t>
      </w:r>
      <w:r>
        <w:t xml:space="preserve"> </w:t>
      </w:r>
      <w:r>
        <w:t xml:space="preserve">also rejects 3, but not because she thinks inquiry aims at something else; she is sceptical of the metaphor of</w:t>
      </w:r>
      <w:r>
        <w:t xml:space="preserve"> </w:t>
      </w:r>
      <w:r>
        <w:rPr>
          <w:iCs/>
          <w:i/>
        </w:rPr>
        <w:t xml:space="preserve">aiming</w:t>
      </w:r>
      <w:r>
        <w:t xml:space="preserve"> </w:t>
      </w:r>
      <w:r>
        <w:t xml:space="preserve">in this context. Note also that Falbo and Melchior developed similar arguments to Woodard’s.</w:t>
      </w:r>
    </w:p>
  </w:footnote>
  <w:footnote w:id="27">
    <w:p>
      <w:pPr>
        <w:pStyle w:val="FootnoteText"/>
      </w:pPr>
      <w:r>
        <w:rPr>
          <w:rStyle w:val="FootnoteReference"/>
        </w:rPr>
        <w:footnoteRef/>
      </w:r>
      <w:r>
        <w:t xml:space="preserve"> </w:t>
      </w:r>
      <w:r>
        <w:t xml:space="preserve">Such a view might be inspired by the</w:t>
      </w:r>
      <w:r>
        <w:t xml:space="preserve"> </w:t>
      </w:r>
      <w:r>
        <w:t xml:space="preserve">‘</w:t>
      </w:r>
      <w:r>
        <w:t xml:space="preserve">knowledge first</w:t>
      </w:r>
      <w:r>
        <w:t xml:space="preserve">’</w:t>
      </w:r>
      <w:r>
        <w:t xml:space="preserve"> </w:t>
      </w:r>
      <w:r>
        <w:t xml:space="preserve">program of Williamson</w:t>
      </w:r>
      <w:r>
        <w:t xml:space="preserve"> </w:t>
      </w:r>
      <w:r>
        <w:t xml:space="preserve">(2000)</w:t>
      </w:r>
      <w:r>
        <w:t xml:space="preserve">.</w:t>
      </w:r>
    </w:p>
  </w:footnote>
  <w:footnote w:id="29">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More importantly, this extra knowledge might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1">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4">
    <w:p>
      <w:pPr>
        <w:pStyle w:val="FootnoteText"/>
      </w:pPr>
      <w:r>
        <w:rPr>
          <w:rStyle w:val="FootnoteReference"/>
        </w:rPr>
        <w:footnoteRef/>
      </w:r>
      <w:r>
        <w:t xml:space="preserve"> </w:t>
      </w:r>
      <w:r>
        <w:t xml:space="preserve">To be sure, she presumably doesn’t know for most people what they know about medieval history. What I’m imagining is that if she was presented with a bunch of people, asked if they know when the Battle of Agincourt was, and was allowed to say</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or</w:t>
      </w:r>
      <w:r>
        <w:t xml:space="preserve"> </w:t>
      </w:r>
      <w:r>
        <w:t xml:space="preserve">“</w:t>
      </w:r>
      <w:r>
        <w:t xml:space="preserve">Don’t Know</w:t>
      </w:r>
      <w:r>
        <w:t xml:space="preserve">”</w:t>
      </w:r>
      <w:r>
        <w:t xml:space="preserve">, then most of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answers would be correct, and she would say</w:t>
      </w:r>
      <w:r>
        <w:t xml:space="preserve"> </w:t>
      </w:r>
      <w:r>
        <w:t xml:space="preserve">“</w:t>
      </w:r>
      <w:r>
        <w:t xml:space="preserve">Yes</w:t>
      </w:r>
      <w:r>
        <w:t xml:space="preserve">”</w:t>
      </w:r>
      <w:r>
        <w:t xml:space="preserve"> </w:t>
      </w:r>
      <w:r>
        <w:t xml:space="preserve">about herself.</w:t>
      </w:r>
    </w:p>
  </w:footnote>
  <w:footnote w:id="36">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38">
    <w:p>
      <w:pPr>
        <w:pStyle w:val="FootnoteText"/>
      </w:pPr>
      <w:r>
        <w:rPr>
          <w:rStyle w:val="FootnoteReference"/>
        </w:rPr>
        <w:footnoteRef/>
      </w:r>
      <w:r>
        <w:t xml:space="preserve"> </w:t>
      </w:r>
      <w:r>
        <w:t xml:space="preserve">This subsection is based on my</w:t>
      </w:r>
      <w:r>
        <w:t xml:space="preserve"> </w:t>
      </w:r>
      <w:r>
        <w:t xml:space="preserve">(2018: 2)</w:t>
      </w:r>
      <w:r>
        <w:t xml:space="preserve">.</w:t>
      </w:r>
    </w:p>
  </w:footnote>
  <w:footnote w:id="41">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42">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5">
    <w:p>
      <w:pPr>
        <w:pStyle w:val="FootnoteText"/>
      </w:pPr>
      <w:r>
        <w:rPr>
          <w:rStyle w:val="FootnoteReference"/>
        </w:rPr>
        <w:footnoteRef/>
      </w:r>
      <w:r>
        <w:t xml:space="preserve"> </w:t>
      </w:r>
      <w:r>
        <w:t xml:space="preserve">This section is based on my</w:t>
      </w:r>
      <w:r>
        <w:t xml:space="preserve"> </w:t>
      </w:r>
      <w:r>
        <w:t xml:space="preserve">(2017: 4)</w:t>
      </w:r>
      <w:r>
        <w:t xml:space="preserve">.</w:t>
      </w:r>
    </w:p>
  </w:footnote>
  <w:footnote w:id="47">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49">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The points I’m making in this section aren’t sensitive to this level of technical detail.</w:t>
      </w:r>
    </w:p>
  </w:footnote>
  <w:footnote w:id="54">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6">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7">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Once we allow beliefs to be interest-relative, this role for the belief/acceptance distinction seems to go away. A lot of what are commonly called acceptances are, on my theory, beliefs that are highly sensitive to changes in interests.</w:t>
      </w:r>
    </w:p>
  </w:footnote>
  <w:footnote w:id="59">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2">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Still, it’s often a helpful heuristic, and there isn’t anything wrong with using a model that breaks down when applied outside its appropriate zone.</w:t>
      </w:r>
    </w:p>
  </w:footnote>
  <w:footnote w:id="64">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5">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7">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8">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69">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0">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1">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If</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 the spirit of Stanley’s view is preserved, even if the letter isn’t.</w:t>
      </w:r>
    </w:p>
  </w:footnote>
  <w:footnote w:id="73">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78">
    <w:p>
      <w:pPr>
        <w:pStyle w:val="FootnoteText"/>
      </w:pPr>
      <w:r>
        <w:rPr>
          <w:rStyle w:val="FootnoteReference"/>
        </w:rPr>
        <w:footnoteRef/>
      </w:r>
      <w:r>
        <w:t xml:space="preserve"> </w:t>
      </w:r>
      <w:r>
        <w:t xml:space="preserve">This subsection is based on my</w:t>
      </w:r>
      <w:r>
        <w:t xml:space="preserve"> </w:t>
      </w:r>
      <w:r>
        <w:t xml:space="preserve">(2016a: 1)</w:t>
      </w:r>
      <w:r>
        <w:t xml:space="preserve">.</w:t>
      </w:r>
    </w:p>
  </w:footnote>
  <w:footnote w:id="81">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84">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86">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7">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88">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89">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1">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4">
    <w:p>
      <w:pPr>
        <w:pStyle w:val="FootnoteText"/>
      </w:pPr>
      <w:r>
        <w:rPr>
          <w:rStyle w:val="FootnoteReference"/>
        </w:rPr>
        <w:footnoteRef/>
      </w:r>
      <w:r>
        <w:t xml:space="preserve"> </w:t>
      </w:r>
      <w:r>
        <w:t xml:space="preserve">I’m indebted here to conversations with Eric Swanson.</w:t>
      </w:r>
    </w:p>
  </w:footnote>
  <w:footnote w:id="96">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4">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6">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08">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09">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4">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5">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16">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0">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27">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29">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0">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2">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4">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5">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0">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1">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3">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6">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47">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49">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2">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4">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56">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7">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59">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2">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3">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6">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67">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68">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1">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3">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4">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0">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89">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2">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199">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0">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08">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2">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3">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4">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6" w:val="bestFit"/>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3" Target="http://hdl.handle.net/2027/spo.3521354.0011.006" TargetMode="External" /><Relationship Type="http://schemas.openxmlformats.org/officeDocument/2006/relationships/hyperlink" Id="rId268"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0" Target="https://doi.org/10.1007/BF00183199" TargetMode="External" /><Relationship Type="http://schemas.openxmlformats.org/officeDocument/2006/relationships/hyperlink" Id="rId328"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3"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8"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0" Target="https://doi.org/10.1007/s11098-005-7779-8" TargetMode="External" /><Relationship Type="http://schemas.openxmlformats.org/officeDocument/2006/relationships/hyperlink" Id="rId295" Target="https://doi.org/10.1007/s11098-007-9133-9" TargetMode="External" /><Relationship Type="http://schemas.openxmlformats.org/officeDocument/2006/relationships/hyperlink" Id="rId448" Target="https://doi.org/10.1007/s11098-008-9200-x" TargetMode="External" /><Relationship Type="http://schemas.openxmlformats.org/officeDocument/2006/relationships/hyperlink" Id="rId276" Target="https://doi.org/10.1007/s11098-008-9225-1" TargetMode="External" /><Relationship Type="http://schemas.openxmlformats.org/officeDocument/2006/relationships/hyperlink" Id="rId384" Target="https://doi.org/10.1007/s11098-010-9542-z" TargetMode="External" /><Relationship Type="http://schemas.openxmlformats.org/officeDocument/2006/relationships/hyperlink" Id="rId450" Target="https://doi.org/10.1007/s11098-011-9718-1" TargetMode="External" /><Relationship Type="http://schemas.openxmlformats.org/officeDocument/2006/relationships/hyperlink" Id="rId320" Target="https://doi.org/10.1007/s11098-012-9880-0" TargetMode="External" /><Relationship Type="http://schemas.openxmlformats.org/officeDocument/2006/relationships/hyperlink" Id="rId274" Target="https://doi.org/10.1007/s11098-015-0461-x" TargetMode="External" /><Relationship Type="http://schemas.openxmlformats.org/officeDocument/2006/relationships/hyperlink" Id="rId315"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3" Target="https://doi.org/10.1007/s11229-015-0878-y" TargetMode="External" /><Relationship Type="http://schemas.openxmlformats.org/officeDocument/2006/relationships/hyperlink" Id="rId390" Target="https://doi.org/10.1007/s11238-017-9592-1" TargetMode="External" /><Relationship Type="http://schemas.openxmlformats.org/officeDocument/2006/relationships/hyperlink" Id="rId341" Target="https://doi.org/10.1007/s44204-023-00097-9" TargetMode="External" /><Relationship Type="http://schemas.openxmlformats.org/officeDocument/2006/relationships/hyperlink" Id="rId421" Target="https://doi.org/10.1016/0167-2681(82)90008-7" TargetMode="External" /><Relationship Type="http://schemas.openxmlformats.org/officeDocument/2006/relationships/hyperlink" Id="rId438"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48" Target="https://doi.org/10.1016/j.jcps.2014.08.002" TargetMode="External" /><Relationship Type="http://schemas.openxmlformats.org/officeDocument/2006/relationships/hyperlink" Id="rId413" Target="https://doi.org/10.1016/j.mathsocsci.2013.08.005" TargetMode="External" /><Relationship Type="http://schemas.openxmlformats.org/officeDocument/2006/relationships/hyperlink" Id="rId408" Target="https://doi.org/10.1016/j.shpsb.2009.08.008" TargetMode="External" /><Relationship Type="http://schemas.openxmlformats.org/officeDocument/2006/relationships/hyperlink" Id="rId358"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5"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6" Target="https://doi.org/10.1037/pspp0000141" TargetMode="External" /><Relationship Type="http://schemas.openxmlformats.org/officeDocument/2006/relationships/hyperlink" Id="rId436" Target="https://doi.org/10.1080/00048400802001996" TargetMode="External" /><Relationship Type="http://schemas.openxmlformats.org/officeDocument/2006/relationships/hyperlink" Id="rId429"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399" Target="https://doi.org/10.1080/0020174X.2013.775014" TargetMode="External" /><Relationship Type="http://schemas.openxmlformats.org/officeDocument/2006/relationships/hyperlink" Id="rId246"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0" Target="https://doi.org/10.1080/05568641.2017.1364142" TargetMode="External" /><Relationship Type="http://schemas.openxmlformats.org/officeDocument/2006/relationships/hyperlink" Id="rId440" Target="https://doi.org/10.1086/288168" TargetMode="External" /><Relationship Type="http://schemas.openxmlformats.org/officeDocument/2006/relationships/hyperlink" Id="rId381" Target="https://doi.org/10.1086/289906" TargetMode="External" /><Relationship Type="http://schemas.openxmlformats.org/officeDocument/2006/relationships/hyperlink" Id="rId379" Target="https://doi.org/10.1086/392759" TargetMode="External" /><Relationship Type="http://schemas.openxmlformats.org/officeDocument/2006/relationships/hyperlink" Id="rId324" Target="https://doi.org/10.1086/648610" TargetMode="External" /><Relationship Type="http://schemas.openxmlformats.org/officeDocument/2006/relationships/hyperlink" Id="rId442" Target="https://doi.org/10.1086/651235" TargetMode="External" /><Relationship Type="http://schemas.openxmlformats.org/officeDocument/2006/relationships/hyperlink" Id="rId322" Target="https://doi.org/10.1086/671402" TargetMode="External" /><Relationship Type="http://schemas.openxmlformats.org/officeDocument/2006/relationships/hyperlink" Id="rId279" Target="https://doi.org/10.1093/analys/anab037" TargetMode="External" /><Relationship Type="http://schemas.openxmlformats.org/officeDocument/2006/relationships/hyperlink" Id="rId221" Target="https://doi.org/10.1093/analys/anr083" TargetMode="External" /><Relationship Type="http://schemas.openxmlformats.org/officeDocument/2006/relationships/hyperlink" Id="rId350" Target="https://doi.org/10.1093/analys/anr129" TargetMode="External" /><Relationship Type="http://schemas.openxmlformats.org/officeDocument/2006/relationships/hyperlink" Id="rId371" Target="https://doi.org/10.1093/mind/105.418.303" TargetMode="External" /><Relationship Type="http://schemas.openxmlformats.org/officeDocument/2006/relationships/hyperlink" Id="rId369"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29"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2"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39" Target="https://doi.org/10.1111/j.1468-0068.2008.00677.x" TargetMode="External" /><Relationship Type="http://schemas.openxmlformats.org/officeDocument/2006/relationships/hyperlink" Id="rId235"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2" Target="https://doi.org/10.1111/j.1520-8583.2010.00183.x" TargetMode="External" /><Relationship Type="http://schemas.openxmlformats.org/officeDocument/2006/relationships/hyperlink" Id="rId397" Target="https://doi.org/10.1111/j.1520-8583.2010.00198.x" TargetMode="External" /><Relationship Type="http://schemas.openxmlformats.org/officeDocument/2006/relationships/hyperlink" Id="rId419" Target="https://doi.org/10.1111/j.1533-6077.2004.00034.x" TargetMode="External" /><Relationship Type="http://schemas.openxmlformats.org/officeDocument/2006/relationships/hyperlink" Id="rId259" Target="https://doi.org/10.1111/j.1533-6077.2004.00040.x" TargetMode="External" /><Relationship Type="http://schemas.openxmlformats.org/officeDocument/2006/relationships/hyperlink" Id="rId257"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3" Target="https://doi.org/10.1111/j.1933-1592.2005.tb00540.x" TargetMode="External" /><Relationship Type="http://schemas.openxmlformats.org/officeDocument/2006/relationships/hyperlink" Id="rId404" Target="https://doi.org/10.1111/j.1933-1592.2007.00069.x" TargetMode="External" /><Relationship Type="http://schemas.openxmlformats.org/officeDocument/2006/relationships/hyperlink" Id="rId231"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3" Target="https://doi.org/10.1111/j.1933-1592.2011.00552.x" TargetMode="External" /><Relationship Type="http://schemas.openxmlformats.org/officeDocument/2006/relationships/hyperlink" Id="rId343" Target="https://doi.org/10.1111/jere.12070" TargetMode="External" /><Relationship Type="http://schemas.openxmlformats.org/officeDocument/2006/relationships/hyperlink" Id="rId298" Target="https://doi.org/10.1111/mila.12451" TargetMode="External" /><Relationship Type="http://schemas.openxmlformats.org/officeDocument/2006/relationships/hyperlink" Id="rId446" Target="https://doi.org/10.1111/nous.12006" TargetMode="External" /><Relationship Type="http://schemas.openxmlformats.org/officeDocument/2006/relationships/hyperlink" Id="rId285" Target="https://doi.org/10.1111/nous.12137" TargetMode="External" /><Relationship Type="http://schemas.openxmlformats.org/officeDocument/2006/relationships/hyperlink" Id="rId356" Target="https://doi.org/10.1111/nous.12186" TargetMode="External" /><Relationship Type="http://schemas.openxmlformats.org/officeDocument/2006/relationships/hyperlink" Id="rId289"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2"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4" Target="https://doi.org/10.1111/phib.12314" TargetMode="External" /><Relationship Type="http://schemas.openxmlformats.org/officeDocument/2006/relationships/hyperlink" Id="rId287"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4"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6"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2" Target="https://doi.org/10.1111/phpr.12431" TargetMode="External" /><Relationship Type="http://schemas.openxmlformats.org/officeDocument/2006/relationships/hyperlink" Id="rId293" Target="https://doi.org/10.1111/phpr.12982" TargetMode="External" /><Relationship Type="http://schemas.openxmlformats.org/officeDocument/2006/relationships/hyperlink" Id="rId455" Target="https://doi.org/10.1215/00318108-2007-037" TargetMode="External" /><Relationship Type="http://schemas.openxmlformats.org/officeDocument/2006/relationships/hyperlink" Id="rId386" Target="https://doi.org/10.1215/00318108-3878483" TargetMode="External" /><Relationship Type="http://schemas.openxmlformats.org/officeDocument/2006/relationships/hyperlink" Id="rId291" Target="https://doi.org/10.1215/00318108-8540918" TargetMode="External" /><Relationship Type="http://schemas.openxmlformats.org/officeDocument/2006/relationships/hyperlink" Id="rId427" Target="https://doi.org/10.1257/aer.101.2.900" TargetMode="External" /><Relationship Type="http://schemas.openxmlformats.org/officeDocument/2006/relationships/hyperlink" Id="rId242" Target="https://doi.org/10.1257/aer.101.7.2899" TargetMode="External" /><Relationship Type="http://schemas.openxmlformats.org/officeDocument/2006/relationships/hyperlink" Id="rId346" Target="https://doi.org/10.2307/1912320" TargetMode="External" /><Relationship Type="http://schemas.openxmlformats.org/officeDocument/2006/relationships/hyperlink" Id="rId363" Target="https://doi.org/10.2307/2184045" TargetMode="External" /><Relationship Type="http://schemas.openxmlformats.org/officeDocument/2006/relationships/hyperlink" Id="rId367" Target="https://doi.org/10.2307/2185051" TargetMode="External" /><Relationship Type="http://schemas.openxmlformats.org/officeDocument/2006/relationships/hyperlink" Id="rId330" Target="https://doi.org/10.2307/2216304" TargetMode="External" /><Relationship Type="http://schemas.openxmlformats.org/officeDocument/2006/relationships/hyperlink" Id="rId326" Target="https://doi.org/10.2307/2224214" TargetMode="External" /><Relationship Type="http://schemas.openxmlformats.org/officeDocument/2006/relationships/hyperlink" Id="rId338" Target="https://doi.org/10.2307/2224674" TargetMode="External" /><Relationship Type="http://schemas.openxmlformats.org/officeDocument/2006/relationships/hyperlink" Id="rId374" Target="https://doi.org/10.2307/2296233" TargetMode="External" /><Relationship Type="http://schemas.openxmlformats.org/officeDocument/2006/relationships/hyperlink" Id="rId244" Target="https://doi.org/10.2307/2951491" TargetMode="External" /><Relationship Type="http://schemas.openxmlformats.org/officeDocument/2006/relationships/hyperlink" Id="rId281" Target="https://doi.org/10.2307/3182570" TargetMode="External" /><Relationship Type="http://schemas.openxmlformats.org/officeDocument/2006/relationships/hyperlink" Id="rId266"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2" Target="https://doi.org/10.2307/3326922" TargetMode="External" /><Relationship Type="http://schemas.openxmlformats.org/officeDocument/2006/relationships/hyperlink" Id="rId305" Target="https://doi.org/10.3765/sp.3.4" TargetMode="External" /><Relationship Type="http://schemas.openxmlformats.org/officeDocument/2006/relationships/hyperlink" Id="rId431" Target="https://doi.org/10.3765/sp.5.6" TargetMode="External" /><Relationship Type="http://schemas.openxmlformats.org/officeDocument/2006/relationships/hyperlink" Id="rId271" Target="https://doi.org/10.3998/ergo.12405314.0002.026" TargetMode="External" /><Relationship Type="http://schemas.openxmlformats.org/officeDocument/2006/relationships/hyperlink" Id="rId318"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3" Target="https://plato.stanford.edu/archives/spr2018/entries/public-reason/" TargetMode="External" /><Relationship Type="http://schemas.openxmlformats.org/officeDocument/2006/relationships/hyperlink" Id="rId263" Target="https://plato.stanford.edu/archives/spr2018/entries/questions/" TargetMode="External" /><Relationship Type="http://schemas.openxmlformats.org/officeDocument/2006/relationships/hyperlink" Id="rId237" Target="https://plato.stanford.edu/archives/sum2021/entries/philo-larissa/" TargetMode="External" /><Relationship Type="http://schemas.openxmlformats.org/officeDocument/2006/relationships/hyperlink" Id="rId416"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3" Target="http://hdl.handle.net/2027/spo.3521354.0011.006" TargetMode="External" /><Relationship Type="http://schemas.openxmlformats.org/officeDocument/2006/relationships/hyperlink" Id="rId268"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0" Target="https://doi.org/10.1007/BF00183199" TargetMode="External" /><Relationship Type="http://schemas.openxmlformats.org/officeDocument/2006/relationships/hyperlink" Id="rId328"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3"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8"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0" Target="https://doi.org/10.1007/s11098-005-7779-8" TargetMode="External" /><Relationship Type="http://schemas.openxmlformats.org/officeDocument/2006/relationships/hyperlink" Id="rId295" Target="https://doi.org/10.1007/s11098-007-9133-9" TargetMode="External" /><Relationship Type="http://schemas.openxmlformats.org/officeDocument/2006/relationships/hyperlink" Id="rId448" Target="https://doi.org/10.1007/s11098-008-9200-x" TargetMode="External" /><Relationship Type="http://schemas.openxmlformats.org/officeDocument/2006/relationships/hyperlink" Id="rId276" Target="https://doi.org/10.1007/s11098-008-9225-1" TargetMode="External" /><Relationship Type="http://schemas.openxmlformats.org/officeDocument/2006/relationships/hyperlink" Id="rId384" Target="https://doi.org/10.1007/s11098-010-9542-z" TargetMode="External" /><Relationship Type="http://schemas.openxmlformats.org/officeDocument/2006/relationships/hyperlink" Id="rId450" Target="https://doi.org/10.1007/s11098-011-9718-1" TargetMode="External" /><Relationship Type="http://schemas.openxmlformats.org/officeDocument/2006/relationships/hyperlink" Id="rId320" Target="https://doi.org/10.1007/s11098-012-9880-0" TargetMode="External" /><Relationship Type="http://schemas.openxmlformats.org/officeDocument/2006/relationships/hyperlink" Id="rId274" Target="https://doi.org/10.1007/s11098-015-0461-x" TargetMode="External" /><Relationship Type="http://schemas.openxmlformats.org/officeDocument/2006/relationships/hyperlink" Id="rId315"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3" Target="https://doi.org/10.1007/s11229-015-0878-y" TargetMode="External" /><Relationship Type="http://schemas.openxmlformats.org/officeDocument/2006/relationships/hyperlink" Id="rId390" Target="https://doi.org/10.1007/s11238-017-9592-1" TargetMode="External" /><Relationship Type="http://schemas.openxmlformats.org/officeDocument/2006/relationships/hyperlink" Id="rId341" Target="https://doi.org/10.1007/s44204-023-00097-9" TargetMode="External" /><Relationship Type="http://schemas.openxmlformats.org/officeDocument/2006/relationships/hyperlink" Id="rId421" Target="https://doi.org/10.1016/0167-2681(82)90008-7" TargetMode="External" /><Relationship Type="http://schemas.openxmlformats.org/officeDocument/2006/relationships/hyperlink" Id="rId438"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48" Target="https://doi.org/10.1016/j.jcps.2014.08.002" TargetMode="External" /><Relationship Type="http://schemas.openxmlformats.org/officeDocument/2006/relationships/hyperlink" Id="rId413" Target="https://doi.org/10.1016/j.mathsocsci.2013.08.005" TargetMode="External" /><Relationship Type="http://schemas.openxmlformats.org/officeDocument/2006/relationships/hyperlink" Id="rId408" Target="https://doi.org/10.1016/j.shpsb.2009.08.008" TargetMode="External" /><Relationship Type="http://schemas.openxmlformats.org/officeDocument/2006/relationships/hyperlink" Id="rId358"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5"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6" Target="https://doi.org/10.1037/pspp0000141" TargetMode="External" /><Relationship Type="http://schemas.openxmlformats.org/officeDocument/2006/relationships/hyperlink" Id="rId436" Target="https://doi.org/10.1080/00048400802001996" TargetMode="External" /><Relationship Type="http://schemas.openxmlformats.org/officeDocument/2006/relationships/hyperlink" Id="rId429"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399" Target="https://doi.org/10.1080/0020174X.2013.775014" TargetMode="External" /><Relationship Type="http://schemas.openxmlformats.org/officeDocument/2006/relationships/hyperlink" Id="rId246"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0" Target="https://doi.org/10.1080/05568641.2017.1364142" TargetMode="External" /><Relationship Type="http://schemas.openxmlformats.org/officeDocument/2006/relationships/hyperlink" Id="rId440" Target="https://doi.org/10.1086/288168" TargetMode="External" /><Relationship Type="http://schemas.openxmlformats.org/officeDocument/2006/relationships/hyperlink" Id="rId381" Target="https://doi.org/10.1086/289906" TargetMode="External" /><Relationship Type="http://schemas.openxmlformats.org/officeDocument/2006/relationships/hyperlink" Id="rId379" Target="https://doi.org/10.1086/392759" TargetMode="External" /><Relationship Type="http://schemas.openxmlformats.org/officeDocument/2006/relationships/hyperlink" Id="rId324" Target="https://doi.org/10.1086/648610" TargetMode="External" /><Relationship Type="http://schemas.openxmlformats.org/officeDocument/2006/relationships/hyperlink" Id="rId442" Target="https://doi.org/10.1086/651235" TargetMode="External" /><Relationship Type="http://schemas.openxmlformats.org/officeDocument/2006/relationships/hyperlink" Id="rId322" Target="https://doi.org/10.1086/671402" TargetMode="External" /><Relationship Type="http://schemas.openxmlformats.org/officeDocument/2006/relationships/hyperlink" Id="rId279" Target="https://doi.org/10.1093/analys/anab037" TargetMode="External" /><Relationship Type="http://schemas.openxmlformats.org/officeDocument/2006/relationships/hyperlink" Id="rId221" Target="https://doi.org/10.1093/analys/anr083" TargetMode="External" /><Relationship Type="http://schemas.openxmlformats.org/officeDocument/2006/relationships/hyperlink" Id="rId350" Target="https://doi.org/10.1093/analys/anr129" TargetMode="External" /><Relationship Type="http://schemas.openxmlformats.org/officeDocument/2006/relationships/hyperlink" Id="rId371" Target="https://doi.org/10.1093/mind/105.418.303" TargetMode="External" /><Relationship Type="http://schemas.openxmlformats.org/officeDocument/2006/relationships/hyperlink" Id="rId369"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29"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2"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39" Target="https://doi.org/10.1111/j.1468-0068.2008.00677.x" TargetMode="External" /><Relationship Type="http://schemas.openxmlformats.org/officeDocument/2006/relationships/hyperlink" Id="rId235"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2" Target="https://doi.org/10.1111/j.1520-8583.2010.00183.x" TargetMode="External" /><Relationship Type="http://schemas.openxmlformats.org/officeDocument/2006/relationships/hyperlink" Id="rId397" Target="https://doi.org/10.1111/j.1520-8583.2010.00198.x" TargetMode="External" /><Relationship Type="http://schemas.openxmlformats.org/officeDocument/2006/relationships/hyperlink" Id="rId419" Target="https://doi.org/10.1111/j.1533-6077.2004.00034.x" TargetMode="External" /><Relationship Type="http://schemas.openxmlformats.org/officeDocument/2006/relationships/hyperlink" Id="rId259" Target="https://doi.org/10.1111/j.1533-6077.2004.00040.x" TargetMode="External" /><Relationship Type="http://schemas.openxmlformats.org/officeDocument/2006/relationships/hyperlink" Id="rId257"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3" Target="https://doi.org/10.1111/j.1933-1592.2005.tb00540.x" TargetMode="External" /><Relationship Type="http://schemas.openxmlformats.org/officeDocument/2006/relationships/hyperlink" Id="rId404" Target="https://doi.org/10.1111/j.1933-1592.2007.00069.x" TargetMode="External" /><Relationship Type="http://schemas.openxmlformats.org/officeDocument/2006/relationships/hyperlink" Id="rId231"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3" Target="https://doi.org/10.1111/j.1933-1592.2011.00552.x" TargetMode="External" /><Relationship Type="http://schemas.openxmlformats.org/officeDocument/2006/relationships/hyperlink" Id="rId343" Target="https://doi.org/10.1111/jere.12070" TargetMode="External" /><Relationship Type="http://schemas.openxmlformats.org/officeDocument/2006/relationships/hyperlink" Id="rId298" Target="https://doi.org/10.1111/mila.12451" TargetMode="External" /><Relationship Type="http://schemas.openxmlformats.org/officeDocument/2006/relationships/hyperlink" Id="rId446" Target="https://doi.org/10.1111/nous.12006" TargetMode="External" /><Relationship Type="http://schemas.openxmlformats.org/officeDocument/2006/relationships/hyperlink" Id="rId285" Target="https://doi.org/10.1111/nous.12137" TargetMode="External" /><Relationship Type="http://schemas.openxmlformats.org/officeDocument/2006/relationships/hyperlink" Id="rId356" Target="https://doi.org/10.1111/nous.12186" TargetMode="External" /><Relationship Type="http://schemas.openxmlformats.org/officeDocument/2006/relationships/hyperlink" Id="rId289"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2"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4" Target="https://doi.org/10.1111/phib.12314" TargetMode="External" /><Relationship Type="http://schemas.openxmlformats.org/officeDocument/2006/relationships/hyperlink" Id="rId287"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4"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6"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2" Target="https://doi.org/10.1111/phpr.12431" TargetMode="External" /><Relationship Type="http://schemas.openxmlformats.org/officeDocument/2006/relationships/hyperlink" Id="rId293" Target="https://doi.org/10.1111/phpr.12982" TargetMode="External" /><Relationship Type="http://schemas.openxmlformats.org/officeDocument/2006/relationships/hyperlink" Id="rId455" Target="https://doi.org/10.1215/00318108-2007-037" TargetMode="External" /><Relationship Type="http://schemas.openxmlformats.org/officeDocument/2006/relationships/hyperlink" Id="rId386" Target="https://doi.org/10.1215/00318108-3878483" TargetMode="External" /><Relationship Type="http://schemas.openxmlformats.org/officeDocument/2006/relationships/hyperlink" Id="rId291" Target="https://doi.org/10.1215/00318108-8540918" TargetMode="External" /><Relationship Type="http://schemas.openxmlformats.org/officeDocument/2006/relationships/hyperlink" Id="rId427" Target="https://doi.org/10.1257/aer.101.2.900" TargetMode="External" /><Relationship Type="http://schemas.openxmlformats.org/officeDocument/2006/relationships/hyperlink" Id="rId242" Target="https://doi.org/10.1257/aer.101.7.2899" TargetMode="External" /><Relationship Type="http://schemas.openxmlformats.org/officeDocument/2006/relationships/hyperlink" Id="rId346" Target="https://doi.org/10.2307/1912320" TargetMode="External" /><Relationship Type="http://schemas.openxmlformats.org/officeDocument/2006/relationships/hyperlink" Id="rId363" Target="https://doi.org/10.2307/2184045" TargetMode="External" /><Relationship Type="http://schemas.openxmlformats.org/officeDocument/2006/relationships/hyperlink" Id="rId367" Target="https://doi.org/10.2307/2185051" TargetMode="External" /><Relationship Type="http://schemas.openxmlformats.org/officeDocument/2006/relationships/hyperlink" Id="rId330" Target="https://doi.org/10.2307/2216304" TargetMode="External" /><Relationship Type="http://schemas.openxmlformats.org/officeDocument/2006/relationships/hyperlink" Id="rId326" Target="https://doi.org/10.2307/2224214" TargetMode="External" /><Relationship Type="http://schemas.openxmlformats.org/officeDocument/2006/relationships/hyperlink" Id="rId338" Target="https://doi.org/10.2307/2224674" TargetMode="External" /><Relationship Type="http://schemas.openxmlformats.org/officeDocument/2006/relationships/hyperlink" Id="rId374" Target="https://doi.org/10.2307/2296233" TargetMode="External" /><Relationship Type="http://schemas.openxmlformats.org/officeDocument/2006/relationships/hyperlink" Id="rId244" Target="https://doi.org/10.2307/2951491" TargetMode="External" /><Relationship Type="http://schemas.openxmlformats.org/officeDocument/2006/relationships/hyperlink" Id="rId281" Target="https://doi.org/10.2307/3182570" TargetMode="External" /><Relationship Type="http://schemas.openxmlformats.org/officeDocument/2006/relationships/hyperlink" Id="rId266"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2" Target="https://doi.org/10.2307/3326922" TargetMode="External" /><Relationship Type="http://schemas.openxmlformats.org/officeDocument/2006/relationships/hyperlink" Id="rId305" Target="https://doi.org/10.3765/sp.3.4" TargetMode="External" /><Relationship Type="http://schemas.openxmlformats.org/officeDocument/2006/relationships/hyperlink" Id="rId431" Target="https://doi.org/10.3765/sp.5.6" TargetMode="External" /><Relationship Type="http://schemas.openxmlformats.org/officeDocument/2006/relationships/hyperlink" Id="rId271" Target="https://doi.org/10.3998/ergo.12405314.0002.026" TargetMode="External" /><Relationship Type="http://schemas.openxmlformats.org/officeDocument/2006/relationships/hyperlink" Id="rId318"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3" Target="https://plato.stanford.edu/archives/spr2018/entries/public-reason/" TargetMode="External" /><Relationship Type="http://schemas.openxmlformats.org/officeDocument/2006/relationships/hyperlink" Id="rId263" Target="https://plato.stanford.edu/archives/spr2018/entries/questions/" TargetMode="External" /><Relationship Type="http://schemas.openxmlformats.org/officeDocument/2006/relationships/hyperlink" Id="rId237" Target="https://plato.stanford.edu/archives/sum2021/entries/philo-larissa/" TargetMode="External" /><Relationship Type="http://schemas.openxmlformats.org/officeDocument/2006/relationships/hyperlink" Id="rId416"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2024-08-28T10:58:57Z</dcterms:created>
  <dcterms:modified xsi:type="dcterms:W3CDTF">2024-08-28T10:58:57Z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2024-08-28</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