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2023-12-10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modeled as expected utility maximisation. Perhaps some kinds of equilibrium seeking are parts of practical inquiry, and can’t be modeled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organized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1"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held a place last occupied by concrete modal realism. Rarely does a theory give rise to a literature with so many opponents and so few proponents.</w:t>
      </w:r>
    </w:p>
    <w:p>
      <w:pPr>
        <w:pStyle w:val="BodyText"/>
      </w:pPr>
      <w:r>
        <w:t xml:space="preserve">The terminology that is used to describe the debate about interest-relativity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and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6"/>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7"/>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and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8"/>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9"/>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30"/>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1"/>
    <w:bookmarkStart w:id="57" w:name="sec-interests"/>
    <w:p>
      <w:pPr>
        <w:pStyle w:val="Heading1"/>
      </w:pPr>
      <w:r>
        <w:t xml:space="preserve">2. Interests</w:t>
      </w:r>
    </w:p>
    <w:bookmarkStart w:id="33"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2"/>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3"/>
    <w:bookmarkStart w:id="36"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4"/>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5"/>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6"/>
    <w:bookmarkStart w:id="43"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7"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and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(DeRose 2002; Cohen 2004)</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7"/>
    <w:bookmarkStart w:id="38"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8"/>
    <w:bookmarkStart w:id="40"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9"/>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40"/>
    <w:bookmarkStart w:id="42"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1"/>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2"/>
    <w:bookmarkEnd w:id="43"/>
    <w:bookmarkStart w:id="47"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4"/>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5"/>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6"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6"/>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7"/>
    <w:bookmarkStart w:id="49"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8"/>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and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9"/>
    <w:bookmarkStart w:id="51"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50"/>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51"/>
    <w:bookmarkStart w:id="56"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bookmarkStart w:id="54"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2"/>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3"/>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4"/>
    <w:bookmarkStart w:id="55"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5"/>
    <w:bookmarkEnd w:id="56"/>
    <w:bookmarkEnd w:id="57"/>
    <w:bookmarkStart w:id="87" w:name="sec-belief"/>
    <w:p>
      <w:pPr>
        <w:pStyle w:val="Heading1"/>
      </w:pPr>
      <w:r>
        <w:t xml:space="preserve">3. Belief</w:t>
      </w:r>
    </w:p>
    <w:bookmarkStart w:id="59"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8"/>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and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9"/>
    <w:bookmarkStart w:id="62"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60"/>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61"/>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62"/>
    <w:bookmarkStart w:id="64"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3"/>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4"/>
    <w:bookmarkStart w:id="67"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and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5"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5"/>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6"/>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7"/>
    <w:bookmarkStart w:id="70"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8"/>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9"/>
      </w:r>
      <w:r>
        <w:t xml:space="preserve"> </w:t>
      </w:r>
      <w:r>
        <w:t xml:space="preserve">But they could be part of a theory of belief, and the theory they are part of is helpful for seeing how beliefs and interests fit together.</w:t>
      </w:r>
    </w:p>
    <w:bookmarkEnd w:id="70"/>
    <w:bookmarkStart w:id="76"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71"/>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72"/>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3"/>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4"/>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5"/>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6"/>
    <w:bookmarkStart w:id="84"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8"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7"/>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8"/>
    <w:bookmarkStart w:id="79"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9"/>
    <w:bookmarkStart w:id="80"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80"/>
    <w:bookmarkStart w:id="81"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81"/>
    <w:bookmarkStart w:id="83"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82"/>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3"/>
    <w:bookmarkEnd w:id="84"/>
    <w:bookmarkStart w:id="86"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5"/>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and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 Stability.</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6"/>
    <w:bookmarkEnd w:id="87"/>
    <w:bookmarkStart w:id="117"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4"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8"/>
      </w:r>
      <w:r>
        <w:t xml:space="preserve"> </w:t>
      </w:r>
      <w:r>
        <w:t xml:space="preserve">Here,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9"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9"/>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90"/>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tend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91"/>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2"/>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3"/>
      </w:r>
      <w:r>
        <w:t xml:space="preserve"> </w:t>
      </w:r>
      <w:r>
        <w:t xml:space="preserve">In any case, the conditional will be enough.</w:t>
      </w:r>
    </w:p>
    <w:bookmarkEnd w:id="94"/>
    <w:bookmarkStart w:id="99"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5"/>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type="pct" w:w="5000"/>
        <w:tblLook w:firstRow="0" w:lastRow="0" w:firstColumn="0" w:lastColumn="0" w:noHBand="0" w:noVBand="0" w:val="0000"/>
        <w:jc w:val="start"/>
        <w:tblLayout w:type="fixed"/>
      </w:tblPr>
      <w:tblGrid>
        <w:gridCol w:w="7920"/>
      </w:tblGrid>
      <w:tr>
        <w:tc>
          <w:tcPr/>
          <w:bookmarkStart w:id="96"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6"/>
          <w:p/>
        </w:tc>
      </w:tr>
    </w:tbl>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tbl>
      <w:tblPr>
        <w:tblStyle w:val="Table"/>
        <w:tblW w:type="pct" w:w="5000"/>
        <w:tblLook w:firstRow="0" w:lastRow="0" w:firstColumn="0" w:lastColumn="0" w:noHBand="0" w:noVBand="0" w:val="0000"/>
        <w:jc w:val="start"/>
        <w:tblLayout w:type="fixed"/>
      </w:tblPr>
      <w:tblGrid>
        <w:gridCol w:w="7920"/>
      </w:tblGrid>
      <w:tr>
        <w:tc>
          <w:tcPr/>
          <w:bookmarkStart w:id="97"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7"/>
          <w:p/>
        </w:tc>
      </w:tr>
    </w:tbl>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8"/>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9"/>
    <w:bookmarkStart w:id="105" w:name="sec-other-answers"/>
    <w:p>
      <w:pPr>
        <w:pStyle w:val="Heading2"/>
      </w:pPr>
      <w:r>
        <w:t xml:space="preserve">4.3 Other Answers</w:t>
      </w:r>
    </w:p>
    <w:p>
      <w:pPr>
        <w:pStyle w:val="FirstParagraph"/>
      </w:pPr>
      <w:r>
        <w:t xml:space="preserve">If KAE is false, what should go in its place? What could be the state which does allow exclusion?</w:t>
      </w:r>
      <w:r>
        <w:rPr>
          <w:rStyle w:val="FootnoteReference"/>
        </w:rPr>
        <w:footnoteReference w:id="100"/>
      </w:r>
    </w:p>
    <w:bookmarkStart w:id="101"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beacuse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bookmarkEnd w:id="101"/>
    <w:bookmarkStart w:id="102"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But since I’m going to argue in</w:t>
      </w:r>
      <w:r>
        <w:t xml:space="preserve"> </w:t>
      </w:r>
      <w:hyperlink w:anchor="sec-evidence">
        <w:r>
          <w:rPr>
            <w:rStyle w:val="Hyperlink"/>
          </w:rPr>
          <w:t xml:space="preserve">Chapter 9</w:t>
        </w:r>
      </w:hyperlink>
      <w:r>
        <w:t xml:space="preserve"> </w:t>
      </w:r>
      <w:r>
        <w:t xml:space="preserve">against this claim of Williamson’s, I can’t rely on that.</w:t>
      </w:r>
    </w:p>
    <w:p>
      <w:pPr>
        <w:pStyle w:val="BodyText"/>
      </w:pPr>
      <w:r>
        <w:t xml:space="preserve">Instead I’ll offer a two-part response.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excludable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But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102"/>
    <w:bookmarkStart w:id="103"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simply ignore the chance that there will be a passing shower, even though that probably still has a 1 in 10000 chance. But it’s absurd to ignore one in 10,000 chances when deciding what insurance to buy. Fewer than one home in 10,000 burns down in any given year; that’s not a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Some of those objections will come up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But I’ll end this survey with a different puzzle case.</w:t>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Cs/>
          <w:i/>
        </w:rPr>
        <w:t xml:space="preserve">x</w:t>
      </w:r>
      <w:r>
        <w:t xml:space="preserve">, Luc gets utility</w:t>
      </w:r>
      <w:r>
        <w:t xml:space="preserve"> </w:t>
      </w:r>
      <w:r>
        <w:rPr>
          <w:iCs/>
          <w:i/>
        </w:rPr>
        <w:t xml:space="preserve">x</w:t>
      </w:r>
      <w:r>
        <w:rPr>
          <w:vertAlign w:val="subscript"/>
        </w:rPr>
        <w:t xml:space="preserve">0.5</w:t>
      </w:r>
      <w:r>
        <w:t xml:space="preserve"> </w:t>
      </w:r>
      <w:r>
        <w:t xml:space="preserve">out of having $</w:t>
      </w:r>
      <w:r>
        <w:rPr>
          <w:iCs/>
          <w:i/>
        </w:rPr>
        <w:t xml:space="preserve">x</w:t>
      </w:r>
      <w:r>
        <w:t xml:space="preserve">.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b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bookmarkEnd w:id="103"/>
    <w:bookmarkStart w:id="104"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4"/>
    <w:bookmarkEnd w:id="105"/>
    <w:bookmarkStart w:id="107" w:name="sec-from-kae-to-irt"/>
    <w:p>
      <w:pPr>
        <w:pStyle w:val="Heading2"/>
      </w:pPr>
      <w:r>
        <w:t xml:space="preserve">4.4 From KAE to Interest-Relativity</w:t>
      </w:r>
    </w:p>
    <w:p>
      <w:pPr>
        <w:pStyle w:val="FirstParagraph"/>
      </w:pPr>
      <w:r>
        <w:t xml:space="preserve">If Knowledge Allows Exclusion, then there is a simple argument that Anisa loses knowledge when playing the red-blue game. The following 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6"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6"/>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7"/>
    <w:bookmarkStart w:id="109" w:name="sec-theoreticalknowledge"/>
    <w:p>
      <w:pPr>
        <w:pStyle w:val="Heading2"/>
      </w:pPr>
      <w:r>
        <w:t xml:space="preserve">4.5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115–16)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8"/>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9"/>
    <w:bookmarkStart w:id="115"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11"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10"/>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11"/>
    <w:bookmarkStart w:id="114" w:name="sec-andintro"/>
    <w:p>
      <w:pPr>
        <w:pStyle w:val="Heading3"/>
      </w:pPr>
      <w:r>
        <w:t xml:space="preserve">4.6.2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12"/>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3"/>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14"/>
    <w:bookmarkEnd w:id="115"/>
    <w:bookmarkStart w:id="116"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6"/>
    <w:bookmarkEnd w:id="117"/>
    <w:bookmarkStart w:id="141"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9"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8"/>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9"/>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and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21"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20"/>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21"/>
    <w:bookmarkStart w:id="122"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and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2"/>
    <w:bookmarkStart w:id="123"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23"/>
    <w:bookmarkStart w:id="12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4"/>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5"/>
    <w:bookmarkStart w:id="12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26"/>
    <w:bookmarkStart w:id="127"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7"/>
    <w:bookmarkStart w:id="128"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8"/>
    <w:bookmarkEnd w:id="129"/>
    <w:bookmarkStart w:id="130"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30"/>
    <w:bookmarkStart w:id="132"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1"/>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32"/>
    <w:bookmarkStart w:id="135"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133"/>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t xml:space="preserve"> </w:t>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And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4"/>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5"/>
    <w:bookmarkStart w:id="13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and Schroeder (2019)</w:t>
      </w:r>
      <w:r>
        <w:t xml:space="preserve">.</w:t>
      </w:r>
      <w:r>
        <w:rPr>
          <w:rStyle w:val="FootnoteReference"/>
        </w:rPr>
        <w:footnoteReference w:id="136"/>
      </w:r>
      <w:r>
        <w:t xml:space="preserve"> </w:t>
      </w:r>
      <w:r>
        <w:t xml:space="preserve">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7"/>
    <w:bookmarkStart w:id="140" w:name="sec-multiple"/>
    <w:p>
      <w:pPr>
        <w:pStyle w:val="Heading2"/>
      </w:pPr>
      <w:r>
        <w:t xml:space="preserve">5.6 Multiple Inquiries</w:t>
      </w:r>
    </w:p>
    <w:p>
      <w:pPr>
        <w:pStyle w:val="FirstParagraph"/>
      </w:pPr>
      <w:r>
        <w:t xml:space="preserve">IRT says that what one knows is a function of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8"/>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w:t>
      </w:r>
      <w:r>
        <w:rPr>
          <w:rStyle w:val="FootnoteReference"/>
        </w:rPr>
        <w:footnoteReference w:id="139"/>
      </w:r>
      <w:r>
        <w:t xml:space="preserve"> </w:t>
      </w:r>
      <w:r>
        <w:t xml:space="preserve">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And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But in normal cases, where one knows at least something about one’s audience, one should calibrate one’s assertions to the projects of one’s audience.</w:t>
      </w:r>
    </w:p>
    <w:p>
      <w:pPr>
        <w:pStyle w:val="BodyText"/>
      </w:pPr>
      <w:r>
        <w:t xml:space="preserve">This pictures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and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the end of the chapter.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40"/>
    <w:bookmarkEnd w:id="141"/>
    <w:bookmarkStart w:id="155"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42"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And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bookmarkEnd w:id="142"/>
    <w:bookmarkStart w:id="143"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3"/>
    <w:bookmarkStart w:id="146"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4"/>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45"/>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6"/>
    <w:bookmarkStart w:id="148"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7"/>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8"/>
    <w:bookmarkStart w:id="149"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and Schwartz 2006)</w:t>
      </w:r>
      <w:r>
        <w:t xml:space="preserve"> </w:t>
      </w:r>
      <w:r>
        <w:t xml:space="preserve">where the maximisers end up with higher salaries but less job satisfaction, and to friend choice</w:t>
      </w:r>
      <w:r>
        <w:t xml:space="preserve"> </w:t>
      </w:r>
      <w:r>
        <w:t xml:space="preserve">(Newman et al.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and Todd 2010)</w:t>
      </w:r>
      <w:r>
        <w:t xml:space="preserve"> </w:t>
      </w:r>
      <w:r>
        <w:t xml:space="preserve">did not show the effect existing at all, though a later meta-analysis finds a significant mediated effect</w:t>
      </w:r>
      <w:r>
        <w:t xml:space="preserve"> </w:t>
      </w:r>
      <w:r>
        <w:t xml:space="preserve">(Chernev, Böckenholt, and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and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Wells, and Schwartz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49"/>
    <w:bookmarkStart w:id="152"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and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and Slack (2010)</w:t>
      </w:r>
      <w:r>
        <w:t xml:space="preserve">,</w:t>
      </w:r>
      <w:r>
        <w:t xml:space="preserve"> </w:t>
      </w:r>
      <w:r>
        <w:t xml:space="preserve">Ogaki and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50"/>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51"/>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52"/>
    <w:bookmarkStart w:id="154"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In general</w:t>
      </w:r>
      <w:r>
        <w:t xml:space="preserve"> </w:t>
      </w:r>
      <w:r>
        <w:t xml:space="preserve">However,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3"/>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4"/>
    <w:bookmarkEnd w:id="155"/>
    <w:bookmarkStart w:id="165" w:name="sec-changes"/>
    <w:p>
      <w:pPr>
        <w:pStyle w:val="Heading1"/>
      </w:pPr>
      <w:r>
        <w:t xml:space="preserve">7. Changes</w:t>
      </w:r>
    </w:p>
    <w:p>
      <w:pPr>
        <w:pStyle w:val="FirstParagraph"/>
      </w:pPr>
      <w:r>
        <w:t xml:space="preserve">My version of IRT version endorse shares defects with more familiar versions of IRT. For instance, it is subject to the criticism that Crispin Wright makes here.</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6"/>
      </w:r>
    </w:p>
    <w:bookmarkStart w:id="157"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57"/>
    <w:bookmarkStart w:id="159" w:name="sec-gettier"/>
    <w:p>
      <w:pPr>
        <w:pStyle w:val="Heading2"/>
      </w:pPr>
      <w:r>
        <w:t xml:space="preserve">7.2 So Long JTB</w:t>
      </w:r>
    </w:p>
    <w:p>
      <w:pPr>
        <w:pStyle w:val="FirstParagraph"/>
      </w:pPr>
      <w:r>
        <w:t xml:space="preserve">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158"/>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Charlotte is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more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and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9"/>
    <w:bookmarkStart w:id="162"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60"/>
      </w:r>
      <w:r>
        <w:t xml:space="preserve"> </w:t>
      </w:r>
      <w:r>
        <w:t xml:space="preserve">It isn’t extensional adequacy; Dharmottara refuted that 1300 years ago. But it can be expressed using the modern</w:t>
      </w:r>
      <w:r>
        <w:rPr>
          <w:rStyle w:val="FootnoteReference"/>
        </w:rPr>
        <w:footnoteReference w:id="161"/>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62"/>
    <w:bookmarkStart w:id="164"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3"/>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4"/>
    <w:bookmarkEnd w:id="165"/>
    <w:bookmarkStart w:id="192"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8"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6"/>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67"/>
      </w:r>
      <w:r>
        <w:t xml:space="preserve"> </w:t>
      </w: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8"/>
    <w:bookmarkStart w:id="169"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9"/>
    <w:bookmarkStart w:id="180"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70"/>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71"/>
      </w:r>
      <w:r>
        <w:t xml:space="preserve"> </w:t>
      </w:r>
      <w:r>
        <w:t xml:space="preserve">So I’ll set the basic points slowly, and then circle back to the puzzle for the Lockeans.</w:t>
      </w:r>
      <w:r>
        <w:rPr>
          <w:rStyle w:val="FootnoteReference"/>
        </w:rPr>
        <w:footnoteReference w:id="172"/>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pct" w:w="5000"/>
        <w:tblLook w:firstRow="0" w:lastRow="0" w:firstColumn="0" w:lastColumn="0" w:noHBand="0" w:noVBand="0" w:val="0000"/>
        <w:jc w:val="start"/>
        <w:tblLayout w:type="fixed"/>
      </w:tblPr>
      <w:tblGrid>
        <w:gridCol w:w="7920"/>
      </w:tblGrid>
      <w:tr>
        <w:tc>
          <w:tcPr/>
          <w:bookmarkStart w:id="173"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3"/>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4"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4"/>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75"/>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6"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6"/>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Column wants the two players to make the</w:t>
      </w:r>
      <w:r>
        <w:t xml:space="preserve"> </w:t>
      </w:r>
      <w:r>
        <w:t xml:space="preserve">‘</w:t>
      </w:r>
      <w:r>
        <w:t xml:space="preserve">same</w:t>
      </w:r>
      <w:r>
        <w:t xml:space="preserve">’</w:t>
      </w:r>
      <w:r>
        <w:t xml:space="preserve"> </w:t>
      </w:r>
      <w:r>
        <w:t xml:space="preserve">choice, i.e., both choose option 1 or both choose option 2. They get 1 if they do, 0 otherwise. Row wants them to make different choices, and gets 10 if they do. Row also dislikes playing</w:t>
      </w:r>
      <w:r>
        <w:t xml:space="preserve"> </w:t>
      </w:r>
      <w:r>
        <w:rPr>
          <w:iCs/>
          <w:i/>
        </w:rPr>
        <w:t xml:space="preserve">A</w:t>
      </w:r>
      <w:r>
        <w:rPr>
          <w:vertAlign w:val="subscript"/>
        </w:rPr>
        <w:t xml:space="preserve">2</w:t>
      </w:r>
      <w:r>
        <w:t xml:space="preserve">, and this costs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iCs/>
          <w:i/>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and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57–58)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77"/>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78"/>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9"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9"/>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Since I rejected an unrestricted version of expected utility maximisation in</w:t>
      </w:r>
      <w:r>
        <w:t xml:space="preserve"> </w:t>
      </w:r>
      <w:hyperlink w:anchor="sec-ties">
        <w:r>
          <w:rPr>
            <w:rStyle w:val="Hyperlink"/>
          </w:rPr>
          <w:t xml:space="preserve">Chapter 6</w:t>
        </w:r>
      </w:hyperlink>
      <w:r>
        <w:t xml:space="preserve">,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pPr>
        <w:pStyle w:val="BodyText"/>
      </w:pPr>
      <w:r>
        <w:t xml:space="preserve">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80"/>
    <w:bookmarkStart w:id="186"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81"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This won’t help at all on theories of truth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 But 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81"/>
    <w:bookmarkStart w:id="182"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82"/>
    <w:bookmarkStart w:id="183"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3"/>
    <w:bookmarkStart w:id="185"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4"/>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85"/>
    <w:bookmarkEnd w:id="186"/>
    <w:bookmarkStart w:id="191"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7"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7"/>
    <w:bookmarkStart w:id="188"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8"/>
    <w:bookmarkStart w:id="189"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89"/>
    <w:bookmarkStart w:id="190"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90"/>
    <w:bookmarkEnd w:id="191"/>
    <w:bookmarkEnd w:id="192"/>
    <w:bookmarkStart w:id="215" w:name="sec-evidence"/>
    <w:p>
      <w:pPr>
        <w:pStyle w:val="Heading1"/>
      </w:pPr>
      <w:r>
        <w:t xml:space="preserve">9. Evidence</w:t>
      </w:r>
    </w:p>
    <w:bookmarkStart w:id="194"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93"/>
      </w:r>
    </w:p>
    <w:p>
      <w:pPr>
        <w:numPr>
          <w:ilvl w:val="0"/>
          <w:numId w:val="1051"/>
        </w:numPr>
        <w:pStyle w:val="Compact"/>
      </w:pPr>
      <w:r>
        <w:t xml:space="preserve">The red sentence is that two plus two equals four.</w:t>
      </w:r>
    </w:p>
    <w:p>
      <w:pPr>
        <w:numPr>
          <w:ilvl w:val="0"/>
          <w:numId w:val="1051"/>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we want to say that, ordinarily, is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2"/>
        </w:numPr>
        <w:pStyle w:val="Compact"/>
      </w:pPr>
      <w:r>
        <w:t xml:space="preserve">The red sentence is</w:t>
      </w:r>
      <w:r>
        <w:t xml:space="preserve"> </w:t>
      </w:r>
      <w:r>
        <w:rPr>
          <w:iCs/>
          <w:i/>
        </w:rPr>
        <w:t xml:space="preserve">Two plus two equals four</w:t>
      </w:r>
      <w:r>
        <w:t xml:space="preserve">.</w:t>
      </w:r>
    </w:p>
    <w:p>
      <w:pPr>
        <w:numPr>
          <w:ilvl w:val="0"/>
          <w:numId w:val="1052"/>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3"/>
        </w:numPr>
        <w:pStyle w:val="Compact"/>
      </w:pPr>
      <w:r>
        <w:t xml:space="preserve">The unique rational play for Parveen is Red-True; and</w:t>
      </w:r>
    </w:p>
    <w:p>
      <w:pPr>
        <w:numPr>
          <w:ilvl w:val="0"/>
          <w:numId w:val="1053"/>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94"/>
    <w:bookmarkStart w:id="195"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95"/>
    <w:bookmarkStart w:id="199"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96"/>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7"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7"/>
          <w:p/>
        </w:tc>
      </w:tr>
    </w:tbl>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4"/>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4"/>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5"/>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5"/>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tbl>
      <w:tblPr>
        <w:tblStyle w:val="Table"/>
        <w:tblW w:type="pct" w:w="5000"/>
        <w:tblLook w:firstRow="0" w:lastRow="0" w:firstColumn="0" w:lastColumn="0" w:noHBand="0" w:noVBand="0" w:val="0000"/>
        <w:jc w:val="start"/>
        <w:tblLayout w:type="fixed"/>
      </w:tblPr>
      <w:tblGrid>
        <w:gridCol w:w="7920"/>
      </w:tblGrid>
      <w:tr>
        <w:tc>
          <w:tcPr/>
          <w:bookmarkStart w:id="198"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8"/>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99"/>
    <w:bookmarkStart w:id="208" w:name="sec-globalgame"/>
    <w:p>
      <w:pPr>
        <w:pStyle w:val="Heading2"/>
      </w:pPr>
      <w:r>
        <w:t xml:space="preserve">9.4 Risk-Dominant Equilibria</w:t>
      </w:r>
    </w:p>
    <w:p>
      <w:pPr>
        <w:pStyle w:val="FirstParagraph"/>
      </w:pPr>
      <w:r>
        <w:t xml:space="preserve">At an almost maximal level of abstraction, a two player, two option each game looks like this.</w:t>
      </w:r>
    </w:p>
    <w:tbl>
      <w:tblPr>
        <w:tblStyle w:val="Table"/>
        <w:tblW w:type="pct" w:w="5000"/>
        <w:tblLook w:firstRow="0" w:lastRow="0" w:firstColumn="0" w:lastColumn="0" w:noHBand="0" w:noVBand="0" w:val="0000"/>
        <w:jc w:val="start"/>
        <w:tblLayout w:type="fixed"/>
      </w:tblPr>
      <w:tblGrid>
        <w:gridCol w:w="7920"/>
      </w:tblGrid>
      <w:tr>
        <w:tc>
          <w:tcPr/>
          <w:bookmarkStart w:id="200"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200"/>
          <w:p/>
        </w:tc>
      </w:tr>
    </w:tbl>
    <w:p>
      <w:pPr>
        <w:pStyle w:val="BodyText"/>
      </w:pPr>
      <w:r>
        <w:t xml:space="preserve">We’re going to focus on games that have the following eight properties:</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6"/>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6"/>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6"/>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6"/>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tbl>
      <w:tblPr>
        <w:tblStyle w:val="Table"/>
        <w:tblW w:type="pct" w:w="5000"/>
        <w:tblLook w:firstRow="0" w:lastRow="0" w:firstColumn="0" w:lastColumn="0" w:noHBand="0" w:noVBand="0" w:val="0000"/>
        <w:jc w:val="start"/>
        <w:tblLayout w:type="fixed"/>
      </w:tblPr>
      <w:tblGrid>
        <w:gridCol w:w="7920"/>
      </w:tblGrid>
      <w:tr>
        <w:tc>
          <w:tcPr/>
          <w:bookmarkStart w:id="201"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201"/>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202"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202"/>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203"/>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204"/>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206"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5"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5"/>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206"/>
    <w:bookmarkStart w:id="207"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207"/>
    <w:bookmarkEnd w:id="208"/>
    <w:bookmarkStart w:id="209"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209"/>
    <w:bookmarkStart w:id="210"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7"/>
        </w:numPr>
        <w:pStyle w:val="Compact"/>
      </w:pPr>
      <w:r>
        <w:t xml:space="preserve">Γ ⊨ A</w:t>
      </w:r>
    </w:p>
    <w:p>
      <w:pPr>
        <w:numPr>
          <w:ilvl w:val="0"/>
          <w:numId w:val="1057"/>
        </w:numPr>
        <w:pStyle w:val="Compact"/>
      </w:pPr>
      <w:r>
        <w:t xml:space="preserve">{A} ∪ Δ ⊨ B</w:t>
      </w:r>
    </w:p>
    <w:p>
      <w:pPr>
        <w:numPr>
          <w:ilvl w:val="0"/>
          <w:numId w:val="1057"/>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210"/>
    <w:bookmarkStart w:id="211"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11"/>
    <w:bookmarkStart w:id="213"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2"/>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8"/>
        </w:numPr>
        <w:pStyle w:val="Compact"/>
      </w:pPr>
      <w:r>
        <w:t xml:space="preserve">Both signs supply evidence directly to Kate, so her evidence includes that she is on State and that she is on Main.</w:t>
      </w:r>
    </w:p>
    <w:p>
      <w:pPr>
        <w:numPr>
          <w:ilvl w:val="0"/>
          <w:numId w:val="1058"/>
        </w:numPr>
        <w:pStyle w:val="Compact"/>
      </w:pPr>
      <w:r>
        <w:t xml:space="preserve">Neither sign contributes evidence directly to Kate, so her evidence includes what the signs say, but nothing directly about her location.</w:t>
      </w:r>
    </w:p>
    <w:p>
      <w:pPr>
        <w:numPr>
          <w:ilvl w:val="0"/>
          <w:numId w:val="1058"/>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3"/>
    <w:bookmarkStart w:id="214"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and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4"/>
    <w:bookmarkEnd w:id="215"/>
    <w:bookmarkStart w:id="219"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6"/>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7"/>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8"/>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formally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w:t>
      </w:r>
      <w:r>
        <w:t xml:space="preserve"> </w:t>
      </w:r>
      <w:hyperlink w:anchor="sec-changes">
        <w:r>
          <w:rPr>
            <w:rStyle w:val="Hyperlink"/>
          </w:rPr>
          <w:t xml:space="preserve">Chapter 7</w:t>
        </w:r>
      </w:hyperlink>
      <w:r>
        <w:t xml:space="preserve"> </w:t>
      </w:r>
      <w:r>
        <w:t xml:space="preserve">about how many sensitive knowledge is to a variety of environmental factors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9"/>
    <w:bookmarkStart w:id="531" w:name="references"/>
    <w:p>
      <w:pPr>
        <w:pStyle w:val="Heading1"/>
      </w:pPr>
      <w:r>
        <w:t xml:space="preserve">References</w:t>
      </w:r>
    </w:p>
    <w:bookmarkStart w:id="530" w:name="refs"/>
    <w:bookmarkStart w:id="220"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Oxford. Oxford University Press.</w:t>
      </w:r>
    </w:p>
    <w:bookmarkEnd w:id="220"/>
    <w:bookmarkStart w:id="221" w:name="ref-Adamson2019"/>
    <w:p>
      <w:pPr>
        <w:pStyle w:val="Bibliography"/>
      </w:pPr>
      <w:r>
        <w:t xml:space="preserve">———. 2019.</w:t>
      </w:r>
      <w:r>
        <w:t xml:space="preserve"> </w:t>
      </w:r>
      <w:r>
        <w:rPr>
          <w:iCs/>
          <w:i/>
        </w:rPr>
        <w:t xml:space="preserve">Medieval Philosophy: A History of Philosophy Without Any Gaps, Volume 4</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21"/>
    <w:bookmarkStart w:id="222"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Oxford University Press.</w:t>
      </w:r>
    </w:p>
    <w:bookmarkEnd w:id="222"/>
    <w:bookmarkStart w:id="223" w:name="ref-AndersonHawthorne2019a"/>
    <w:p>
      <w:pPr>
        <w:pStyle w:val="Bibliography"/>
      </w:pPr>
      <w:r>
        <w:t xml:space="preserve">Anderson, Charity, and John Hawthorne. 2019a.</w:t>
      </w:r>
      <w:r>
        <w:t xml:space="preserve"> </w:t>
      </w:r>
      <w:r>
        <w:t xml:space="preserve">“Knowledge, Practical Adequacy, and Stakes.”</w:t>
      </w:r>
      <w:r>
        <w:t xml:space="preserve"> </w:t>
      </w:r>
      <w:r>
        <w:rPr>
          <w:iCs/>
          <w:i/>
        </w:rPr>
        <w:t xml:space="preserve">Oxford Studies in Epistemology</w:t>
      </w:r>
      <w:r>
        <w:t xml:space="preserve"> </w:t>
      </w:r>
      <w:r>
        <w:t xml:space="preserve">6: 234–57.</w:t>
      </w:r>
    </w:p>
    <w:bookmarkEnd w:id="223"/>
    <w:bookmarkStart w:id="224" w:name="ref-AndersonHawthorne2019b"/>
    <w:p>
      <w:pPr>
        <w:pStyle w:val="Bibliography"/>
      </w:pPr>
      <w:r>
        <w:t xml:space="preserve">———. 2019b.</w:t>
      </w:r>
      <w:r>
        <w:t xml:space="preserve"> </w:t>
      </w:r>
      <w:r>
        <w:t xml:space="preserve">“Pragmatic Encroachment and Closure.”</w:t>
      </w:r>
      <w:r>
        <w:t xml:space="preserve"> </w:t>
      </w:r>
      <w:r>
        <w:t xml:space="preserve">In</w:t>
      </w:r>
      <w:r>
        <w:t xml:space="preserve"> </w:t>
      </w:r>
      <w:r>
        <w:rPr>
          <w:iCs/>
          <w:i/>
        </w:rPr>
        <w:t xml:space="preserve">Pragmatic Encroachment in Epistemology</w:t>
      </w:r>
      <w:r>
        <w:t xml:space="preserve">, edited by Brian Kim and Matthew McGrath, 107–15. New York: Routledge.</w:t>
      </w:r>
    </w:p>
    <w:bookmarkEnd w:id="224"/>
    <w:bookmarkStart w:id="226" w:name="ref-ArmourGarb2011"/>
    <w:p>
      <w:pPr>
        <w:pStyle w:val="Bibliography"/>
      </w:pPr>
      <w:r>
        <w:t xml:space="preserve">Armour-Garb, B. 2011.</w:t>
      </w:r>
      <w:r>
        <w:t xml:space="preserve"> </w:t>
      </w:r>
      <w:r>
        <w:t xml:space="preserve">“Contextualism Without Pragmatic Encroachment.”</w:t>
      </w:r>
      <w:r>
        <w:t xml:space="preserve"> </w:t>
      </w:r>
      <w:r>
        <w:rPr>
          <w:iCs/>
          <w:i/>
        </w:rPr>
        <w:t xml:space="preserve">Analysis</w:t>
      </w:r>
      <w:r>
        <w:t xml:space="preserve"> </w:t>
      </w:r>
      <w:r>
        <w:t xml:space="preserve">71 (4): 667–76.</w:t>
      </w:r>
      <w:r>
        <w:t xml:space="preserve"> </w:t>
      </w:r>
      <w:hyperlink r:id="rId225">
        <w:r>
          <w:rPr>
            <w:rStyle w:val="Hyperlink"/>
          </w:rPr>
          <w:t xml:space="preserve">https://doi.org/10.1093/analys/anr083</w:t>
        </w:r>
      </w:hyperlink>
      <w:r>
        <w:t xml:space="preserve">.</w:t>
      </w:r>
    </w:p>
    <w:bookmarkEnd w:id="226"/>
    <w:bookmarkStart w:id="228" w:name="ref-Aumann1999"/>
    <w:p>
      <w:pPr>
        <w:pStyle w:val="Bibliography"/>
      </w:pPr>
      <w:r>
        <w:t xml:space="preserve">Aumann, Robert J. 1999.</w:t>
      </w:r>
      <w:r>
        <w:t xml:space="preserve"> </w:t>
      </w:r>
      <w:r>
        <w:t xml:space="preserve">“Interactive Epistemology i: Knowledge.”</w:t>
      </w:r>
      <w:r>
        <w:t xml:space="preserve"> </w:t>
      </w:r>
      <w:r>
        <w:rPr>
          <w:iCs/>
          <w:i/>
        </w:rPr>
        <w:t xml:space="preserve">International Journal of Game Theory</w:t>
      </w:r>
      <w:r>
        <w:t xml:space="preserve"> </w:t>
      </w:r>
      <w:r>
        <w:t xml:space="preserve">28 (3): 263–300.</w:t>
      </w:r>
      <w:r>
        <w:t xml:space="preserve"> </w:t>
      </w:r>
      <w:hyperlink r:id="rId227">
        <w:r>
          <w:rPr>
            <w:rStyle w:val="Hyperlink"/>
          </w:rPr>
          <w:t xml:space="preserve">https://doi.org/10.1007/s001820050111</w:t>
        </w:r>
      </w:hyperlink>
      <w:r>
        <w:t xml:space="preserve">.</w:t>
      </w:r>
    </w:p>
    <w:bookmarkEnd w:id="228"/>
    <w:bookmarkStart w:id="229" w:name="ref-BasuSchroeder2019"/>
    <w:p>
      <w:pPr>
        <w:pStyle w:val="Bibliography"/>
      </w:pPr>
      <w:r>
        <w:t xml:space="preserve">Basu, Rima, and Mark Schroeder. 2019.</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181–205. New York: Routledge.</w:t>
      </w:r>
    </w:p>
    <w:bookmarkEnd w:id="229"/>
    <w:bookmarkStart w:id="230" w:name="ref-Bennett2017"/>
    <w:p>
      <w:pPr>
        <w:pStyle w:val="Bibliography"/>
      </w:pPr>
      <w:r>
        <w:t xml:space="preserve">Bennett, Karen. 2017.</w:t>
      </w:r>
      <w:r>
        <w:t xml:space="preserve"> </w:t>
      </w:r>
      <w:r>
        <w:rPr>
          <w:iCs/>
          <w:i/>
        </w:rPr>
        <w:t xml:space="preserve">Making Things up</w:t>
      </w:r>
      <w:r>
        <w:t xml:space="preserve">. Oxford: Oxford University Press.</w:t>
      </w:r>
    </w:p>
    <w:bookmarkEnd w:id="230"/>
    <w:bookmarkStart w:id="231" w:name="ref-Bhatt1999"/>
    <w:p>
      <w:pPr>
        <w:pStyle w:val="Bibliography"/>
      </w:pPr>
      <w:r>
        <w:t xml:space="preserve">Bhatt, Rajesh. 1999.</w:t>
      </w:r>
      <w:r>
        <w:t xml:space="preserve"> </w:t>
      </w:r>
      <w:r>
        <w:t xml:space="preserve">“Covert Modality in Non-Finite Contexts.”</w:t>
      </w:r>
      <w:r>
        <w:t xml:space="preserve"> </w:t>
      </w:r>
      <w:r>
        <w:t xml:space="preserve">PhD thesis, University of Pennsylvania.</w:t>
      </w:r>
    </w:p>
    <w:bookmarkEnd w:id="231"/>
    <w:bookmarkStart w:id="232" w:name="ref-Binmore2007"/>
    <w:p>
      <w:pPr>
        <w:pStyle w:val="Bibliography"/>
      </w:pPr>
      <w:r>
        <w:t xml:space="preserve">Binmore, Ken. 2007.</w:t>
      </w:r>
      <w:r>
        <w:t xml:space="preserve"> </w:t>
      </w:r>
      <w:r>
        <w:rPr>
          <w:iCs/>
          <w:i/>
        </w:rPr>
        <w:t xml:space="preserve">Playing for Real: A Text on Game Theory</w:t>
      </w:r>
      <w:r>
        <w:t xml:space="preserve">. Oxford: Oxford University Press.</w:t>
      </w:r>
    </w:p>
    <w:bookmarkEnd w:id="232"/>
    <w:bookmarkStart w:id="234" w:name="ref-Bird2004"/>
    <w:p>
      <w:pPr>
        <w:pStyle w:val="Bibliography"/>
      </w:pPr>
      <w:r>
        <w:t xml:space="preserve">Bird, Alexander. 2004.</w:t>
      </w:r>
      <w:r>
        <w:t xml:space="preserve"> </w:t>
      </w:r>
      <w:r>
        <w:t xml:space="preserve">“Is Evidence Non-Inferential?”</w:t>
      </w:r>
      <w:r>
        <w:t xml:space="preserve"> </w:t>
      </w:r>
      <w:r>
        <w:rPr>
          <w:iCs/>
          <w:i/>
        </w:rPr>
        <w:t xml:space="preserve">Philosophical Quarterly</w:t>
      </w:r>
      <w:r>
        <w:t xml:space="preserve"> </w:t>
      </w:r>
      <w:r>
        <w:t xml:space="preserve">54 (215): 252–65.</w:t>
      </w:r>
      <w:r>
        <w:t xml:space="preserve"> </w:t>
      </w:r>
      <w:hyperlink r:id="rId233">
        <w:r>
          <w:rPr>
            <w:rStyle w:val="Hyperlink"/>
          </w:rPr>
          <w:t xml:space="preserve">https://doi.org/10.1111/j.0031-8094.2004.00350.x</w:t>
        </w:r>
      </w:hyperlink>
      <w:r>
        <w:t xml:space="preserve">.</w:t>
      </w:r>
    </w:p>
    <w:bookmarkEnd w:id="234"/>
    <w:bookmarkStart w:id="236" w:name="ref-BlomeTillmann2009"/>
    <w:p>
      <w:pPr>
        <w:pStyle w:val="Bibliography"/>
      </w:pPr>
      <w:r>
        <w:t xml:space="preserve">Blome-Tillmann, Michael. 2009.</w:t>
      </w:r>
      <w:r>
        <w:t xml:space="preserve"> </w:t>
      </w:r>
      <w:r>
        <w:t xml:space="preserve">“Contextualism,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 </w:t>
      </w:r>
      <w:r>
        <w:t xml:space="preserve">79 (2): 315–31.</w:t>
      </w:r>
      <w:r>
        <w:t xml:space="preserve"> </w:t>
      </w:r>
      <w:hyperlink r:id="rId235">
        <w:r>
          <w:rPr>
            <w:rStyle w:val="Hyperlink"/>
          </w:rPr>
          <w:t xml:space="preserve">https://doi.org/10.1111/j.1933-1592.2009.00280.x</w:t>
        </w:r>
      </w:hyperlink>
      <w:r>
        <w:t xml:space="preserve">.</w:t>
      </w:r>
    </w:p>
    <w:bookmarkEnd w:id="236"/>
    <w:bookmarkStart w:id="238" w:name="ref-Boyd2015"/>
    <w:p>
      <w:pPr>
        <w:pStyle w:val="Bibliography"/>
      </w:pPr>
      <w:r>
        <w:t xml:space="preserve">Boyd, Kenneth. 2016.</w:t>
      </w:r>
      <w:r>
        <w:t xml:space="preserve"> </w:t>
      </w:r>
      <w:r>
        <w:t xml:space="preserve">“Pragmatic Encroachment and Epistemically Responsible Action.”</w:t>
      </w:r>
      <w:r>
        <w:t xml:space="preserve"> </w:t>
      </w:r>
      <w:r>
        <w:rPr>
          <w:iCs/>
          <w:i/>
        </w:rPr>
        <w:t xml:space="preserve">Synthese</w:t>
      </w:r>
      <w:r>
        <w:t xml:space="preserve"> </w:t>
      </w:r>
      <w:r>
        <w:t xml:space="preserve">193 (9): 2721–45.</w:t>
      </w:r>
      <w:r>
        <w:t xml:space="preserve"> </w:t>
      </w:r>
      <w:hyperlink r:id="rId237">
        <w:r>
          <w:rPr>
            <w:rStyle w:val="Hyperlink"/>
          </w:rPr>
          <w:t xml:space="preserve">https://doi.org/10.1007/s11229-015-0878-y</w:t>
        </w:r>
      </w:hyperlink>
      <w:r>
        <w:t xml:space="preserve">.</w:t>
      </w:r>
    </w:p>
    <w:bookmarkEnd w:id="238"/>
    <w:bookmarkStart w:id="240" w:name="ref-Brandenburger2008"/>
    <w:p>
      <w:pPr>
        <w:pStyle w:val="Bibliography"/>
      </w:pPr>
      <w:r>
        <w:t xml:space="preserve">Brandenburger, Adam, Amanda Friedenberg, and H. Jerome Keisler. 2008.</w:t>
      </w:r>
      <w:r>
        <w:t xml:space="preserve"> </w:t>
      </w:r>
      <w:r>
        <w:t xml:space="preserve">“Admissibility in Games.”</w:t>
      </w:r>
      <w:r>
        <w:t xml:space="preserve"> </w:t>
      </w:r>
      <w:r>
        <w:rPr>
          <w:iCs/>
          <w:i/>
        </w:rPr>
        <w:t xml:space="preserve">Econometrica</w:t>
      </w:r>
      <w:r>
        <w:t xml:space="preserve"> </w:t>
      </w:r>
      <w:r>
        <w:t xml:space="preserve">76 (2): 307–52.</w:t>
      </w:r>
      <w:r>
        <w:t xml:space="preserve"> </w:t>
      </w:r>
      <w:hyperlink r:id="rId239">
        <w:r>
          <w:rPr>
            <w:rStyle w:val="Hyperlink"/>
          </w:rPr>
          <w:t xml:space="preserve">https://doi.org/10.1111/j.1468-0262.2008.00835.x</w:t>
        </w:r>
      </w:hyperlink>
      <w:r>
        <w:t xml:space="preserve">.</w:t>
      </w:r>
    </w:p>
    <w:bookmarkEnd w:id="240"/>
    <w:bookmarkStart w:id="242" w:name="ref-Brittain2021"/>
    <w:p>
      <w:pPr>
        <w:pStyle w:val="Bibliography"/>
      </w:pPr>
      <w:r>
        <w:t xml:space="preserve">Brittain, Charles, and Peter Osorio. 2021.</w:t>
      </w:r>
      <w:r>
        <w:t xml:space="preserve"> </w:t>
      </w:r>
      <w:r>
        <w:t xml:space="preserve">“</w:t>
      </w:r>
      <w:r>
        <w:t xml:space="preserve">Philo of Larissa</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ummer 2021.</w:t>
      </w:r>
      <w:r>
        <w:t xml:space="preserve"> </w:t>
      </w:r>
      <w:hyperlink r:id="rId241">
        <w:r>
          <w:rPr>
            <w:rStyle w:val="Hyperlink"/>
          </w:rPr>
          <w:t xml:space="preserve">https://plato.stanford.edu/archives/sum2021/entries/philo-larissa/</w:t>
        </w:r>
      </w:hyperlink>
      <w:r>
        <w:t xml:space="preserve">; Metaphysics Research Lab, Stanford University.</w:t>
      </w:r>
    </w:p>
    <w:bookmarkEnd w:id="242"/>
    <w:bookmarkStart w:id="244" w:name="ref-Brown2008"/>
    <w:p>
      <w:pPr>
        <w:pStyle w:val="Bibliography"/>
      </w:pPr>
      <w:r>
        <w:t xml:space="preserve">Brown, Jessica. 2008.</w:t>
      </w:r>
      <w:r>
        <w:t xml:space="preserve"> </w:t>
      </w:r>
      <w:r>
        <w:t xml:space="preserve">“Subject-Sensitive Invariantism and the Knowledge Norm for Practical Reasoning.”</w:t>
      </w:r>
      <w:r>
        <w:t xml:space="preserve"> </w:t>
      </w:r>
      <w:r>
        <w:rPr>
          <w:iCs/>
          <w:i/>
        </w:rPr>
        <w:t xml:space="preserve">No</w:t>
      </w:r>
      <w:r>
        <w:rPr>
          <w:iCs/>
          <w:i/>
        </w:rPr>
        <w:t xml:space="preserve">û</w:t>
      </w:r>
      <w:r>
        <w:rPr>
          <w:iCs/>
          <w:i/>
        </w:rPr>
        <w:t xml:space="preserve">s</w:t>
      </w:r>
      <w:r>
        <w:t xml:space="preserve"> </w:t>
      </w:r>
      <w:r>
        <w:t xml:space="preserve">42 (2): 167–89.</w:t>
      </w:r>
      <w:r>
        <w:t xml:space="preserve"> </w:t>
      </w:r>
      <w:hyperlink r:id="rId243">
        <w:r>
          <w:rPr>
            <w:rStyle w:val="Hyperlink"/>
          </w:rPr>
          <w:t xml:space="preserve">https://doi.org/10.1111/j.1468-0068.2008.00677.x</w:t>
        </w:r>
      </w:hyperlink>
      <w:r>
        <w:t xml:space="preserve">.</w:t>
      </w:r>
    </w:p>
    <w:bookmarkEnd w:id="244"/>
    <w:bookmarkStart w:id="245" w:name="ref-BuchakRisk"/>
    <w:p>
      <w:pPr>
        <w:pStyle w:val="Bibliography"/>
      </w:pPr>
      <w:r>
        <w:t xml:space="preserve">Buchak, Lara. 2013.</w:t>
      </w:r>
      <w:r>
        <w:t xml:space="preserve"> </w:t>
      </w:r>
      <w:r>
        <w:rPr>
          <w:iCs/>
          <w:i/>
        </w:rPr>
        <w:t xml:space="preserve">Risk and Rationality</w:t>
      </w:r>
      <w:r>
        <w:t xml:space="preserve">. Oxford: Oxford University Press.</w:t>
      </w:r>
    </w:p>
    <w:bookmarkEnd w:id="245"/>
    <w:bookmarkStart w:id="247" w:name="ref-Caplin2011"/>
    <w:p>
      <w:pPr>
        <w:pStyle w:val="Bibliography"/>
      </w:pPr>
      <w:r>
        <w:t xml:space="preserve">Caplin, Andrew, Mark Dean, and Daniel Martin. 2011.</w:t>
      </w:r>
      <w:r>
        <w:t xml:space="preserve"> </w:t>
      </w:r>
      <w:r>
        <w:t xml:space="preserve">“Search and Satisficing.”</w:t>
      </w:r>
      <w:r>
        <w:t xml:space="preserve"> </w:t>
      </w:r>
      <w:r>
        <w:rPr>
          <w:iCs/>
          <w:i/>
        </w:rPr>
        <w:t xml:space="preserve">American Economic Review</w:t>
      </w:r>
      <w:r>
        <w:t xml:space="preserve"> </w:t>
      </w:r>
      <w:r>
        <w:t xml:space="preserve">101 (7): 2899–2922.</w:t>
      </w:r>
      <w:r>
        <w:t xml:space="preserve"> </w:t>
      </w:r>
      <w:hyperlink r:id="rId246">
        <w:r>
          <w:rPr>
            <w:rStyle w:val="Hyperlink"/>
          </w:rPr>
          <w:t xml:space="preserve">https://doi.org/10.1257/aer.101.7.2899</w:t>
        </w:r>
      </w:hyperlink>
      <w:r>
        <w:t xml:space="preserve">.</w:t>
      </w:r>
    </w:p>
    <w:bookmarkEnd w:id="247"/>
    <w:bookmarkStart w:id="249" w:name="ref-CarlssonVanDamme1993"/>
    <w:p>
      <w:pPr>
        <w:pStyle w:val="Bibliography"/>
      </w:pPr>
      <w:r>
        <w:t xml:space="preserve">Carlsson, Hans, and Eric van Damme. 1993.</w:t>
      </w:r>
      <w:r>
        <w:t xml:space="preserve"> </w:t>
      </w:r>
      <w:r>
        <w:t xml:space="preserve">“Global Games and Equilibrium Selection.”</w:t>
      </w:r>
      <w:r>
        <w:t xml:space="preserve"> </w:t>
      </w:r>
      <w:r>
        <w:rPr>
          <w:iCs/>
          <w:i/>
        </w:rPr>
        <w:t xml:space="preserve">Econometrica</w:t>
      </w:r>
      <w:r>
        <w:t xml:space="preserve"> </w:t>
      </w:r>
      <w:r>
        <w:t xml:space="preserve">61 (5): 989–1018.</w:t>
      </w:r>
      <w:r>
        <w:t xml:space="preserve"> </w:t>
      </w:r>
      <w:hyperlink r:id="rId248">
        <w:r>
          <w:rPr>
            <w:rStyle w:val="Hyperlink"/>
          </w:rPr>
          <w:t xml:space="preserve">https://doi.org/10.2307/2951491</w:t>
        </w:r>
      </w:hyperlink>
      <w:r>
        <w:t xml:space="preserve">.</w:t>
      </w:r>
    </w:p>
    <w:bookmarkEnd w:id="249"/>
    <w:bookmarkStart w:id="251" w:name="ref-Chakravarti2017"/>
    <w:p>
      <w:pPr>
        <w:pStyle w:val="Bibliography"/>
      </w:pPr>
      <w:r>
        <w:t xml:space="preserve">Chakravarti, Ashok. 2017.</w:t>
      </w:r>
      <w:r>
        <w:t xml:space="preserve"> </w:t>
      </w:r>
      <w:r>
        <w:t xml:space="preserve">“Imperfect Information and Opportunism.”</w:t>
      </w:r>
      <w:r>
        <w:t xml:space="preserve"> </w:t>
      </w:r>
      <w:r>
        <w:rPr>
          <w:iCs/>
          <w:i/>
        </w:rPr>
        <w:t xml:space="preserve">Journal of Economic Issues</w:t>
      </w:r>
      <w:r>
        <w:t xml:space="preserve"> </w:t>
      </w:r>
      <w:r>
        <w:t xml:space="preserve">51 (4): 1114–36.</w:t>
      </w:r>
      <w:r>
        <w:t xml:space="preserve"> </w:t>
      </w:r>
      <w:hyperlink r:id="rId250">
        <w:r>
          <w:rPr>
            <w:rStyle w:val="Hyperlink"/>
          </w:rPr>
          <w:t xml:space="preserve">https://doi.org/10.1080/00213624.2017.1391594</w:t>
        </w:r>
      </w:hyperlink>
      <w:r>
        <w:t xml:space="preserve">.</w:t>
      </w:r>
    </w:p>
    <w:bookmarkEnd w:id="251"/>
    <w:bookmarkStart w:id="253" w:name="ref-ChernevEtAl2015"/>
    <w:p>
      <w:pPr>
        <w:pStyle w:val="Bibliography"/>
      </w:pPr>
      <w:r>
        <w:t xml:space="preserve">Chernev, Alexander, Ulf Böckenholt, and Joseph Goodman. 2015.</w:t>
      </w:r>
      <w:r>
        <w:t xml:space="preserve"> </w:t>
      </w:r>
      <w:r>
        <w:t xml:space="preserve">“Choice Overload: A Conceptual Review and Meta-Analysis.”</w:t>
      </w:r>
      <w:r>
        <w:t xml:space="preserve"> </w:t>
      </w:r>
      <w:r>
        <w:rPr>
          <w:iCs/>
          <w:i/>
        </w:rPr>
        <w:t xml:space="preserve">Journal of Consumer Psychology</w:t>
      </w:r>
      <w:r>
        <w:t xml:space="preserve"> </w:t>
      </w:r>
      <w:r>
        <w:t xml:space="preserve">25 (2): 333–58.</w:t>
      </w:r>
      <w:r>
        <w:t xml:space="preserve"> </w:t>
      </w:r>
      <w:hyperlink r:id="rId252">
        <w:r>
          <w:rPr>
            <w:rStyle w:val="Hyperlink"/>
          </w:rPr>
          <w:t xml:space="preserve">https://doi.org/10.1016/j.jcps.2014.08.002</w:t>
        </w:r>
      </w:hyperlink>
      <w:r>
        <w:t xml:space="preserve">.</w:t>
      </w:r>
    </w:p>
    <w:bookmarkEnd w:id="253"/>
    <w:bookmarkStart w:id="254" w:name="ref-Cherniak1986"/>
    <w:p>
      <w:pPr>
        <w:pStyle w:val="Bibliography"/>
      </w:pPr>
      <w:r>
        <w:t xml:space="preserve">Cherniak, Christopher. 1986.</w:t>
      </w:r>
      <w:r>
        <w:t xml:space="preserve"> </w:t>
      </w:r>
      <w:r>
        <w:rPr>
          <w:iCs/>
          <w:i/>
        </w:rPr>
        <w:t xml:space="preserve">Minimal Rationality</w:t>
      </w:r>
      <w:r>
        <w:t xml:space="preserve">. Cambridge, MA: MIT Press.</w:t>
      </w:r>
    </w:p>
    <w:bookmarkEnd w:id="254"/>
    <w:bookmarkStart w:id="255"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55"/>
    <w:bookmarkStart w:id="256" w:name="ref-Christensen2007"/>
    <w:p>
      <w:pPr>
        <w:pStyle w:val="Bibliography"/>
      </w:pPr>
      <w:r>
        <w:t xml:space="preserve">———. 2007.</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56"/>
    <w:bookmarkStart w:id="258"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57">
        <w:r>
          <w:rPr>
            <w:rStyle w:val="Hyperlink"/>
          </w:rPr>
          <w:t xml:space="preserve">http://hdl.handle.net/2027/spo.3521354.0011.006</w:t>
        </w:r>
      </w:hyperlink>
      <w:r>
        <w:t xml:space="preserve">.</w:t>
      </w:r>
    </w:p>
    <w:bookmarkEnd w:id="258"/>
    <w:bookmarkStart w:id="259" w:name="ref-Christensen2019"/>
    <w:p>
      <w:pPr>
        <w:pStyle w:val="Bibliography"/>
      </w:pPr>
      <w:r>
        <w:t xml:space="preserve">———. 2019.</w:t>
      </w:r>
      <w:r>
        <w:t xml:space="preserve"> </w:t>
      </w:r>
      <w:r>
        <w:t xml:space="preserve">“Formulating Independence.”</w:t>
      </w:r>
      <w:r>
        <w:t xml:space="preserve"> </w:t>
      </w:r>
      <w:r>
        <w:t xml:space="preserve">In</w:t>
      </w:r>
      <w:r>
        <w:t xml:space="preserve"> </w:t>
      </w:r>
      <w:r>
        <w:rPr>
          <w:iCs/>
          <w:i/>
        </w:rPr>
        <w:t xml:space="preserve">Higher-Order Evidence: New Essays</w:t>
      </w:r>
      <w:r>
        <w:t xml:space="preserve">, edited by Mattias Skipper and Asbjørn Steglich-Petersen, 13–34. Oxford: Oxford University Press.</w:t>
      </w:r>
    </w:p>
    <w:bookmarkEnd w:id="259"/>
    <w:bookmarkStart w:id="260" w:name="ref-Clark2012"/>
    <w:p>
      <w:pPr>
        <w:pStyle w:val="Bibliography"/>
      </w:pPr>
      <w:r>
        <w:t xml:space="preserve">Clark, Christopher. 2012.</w:t>
      </w:r>
      <w:r>
        <w:t xml:space="preserve"> </w:t>
      </w:r>
      <w:r>
        <w:rPr>
          <w:iCs/>
          <w:i/>
        </w:rPr>
        <w:t xml:space="preserve">The Sleepwalkers: How Europe Went to War in 1914</w:t>
      </w:r>
      <w:r>
        <w:t xml:space="preserve">. New York: Harper Collins.</w:t>
      </w:r>
    </w:p>
    <w:bookmarkEnd w:id="260"/>
    <w:bookmarkStart w:id="262" w:name="ref-Cohen2002"/>
    <w:p>
      <w:pPr>
        <w:pStyle w:val="Bibliography"/>
      </w:pPr>
      <w:r>
        <w:t xml:space="preserve">Cohen, Stewart.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61">
        <w:r>
          <w:rPr>
            <w:rStyle w:val="Hyperlink"/>
          </w:rPr>
          <w:t xml:space="preserve">https://doi.org/10.1111/j.1933-1592.2002.tb00204.x</w:t>
        </w:r>
      </w:hyperlink>
      <w:r>
        <w:t xml:space="preserve">.</w:t>
      </w:r>
    </w:p>
    <w:bookmarkEnd w:id="262"/>
    <w:bookmarkStart w:id="264" w:name="ref-Cohen2004"/>
    <w:p>
      <w:pPr>
        <w:pStyle w:val="Bibliography"/>
      </w:pPr>
      <w:r>
        <w:t xml:space="preserve">———. 2004.</w:t>
      </w:r>
      <w:r>
        <w:t xml:space="preserve"> </w:t>
      </w:r>
      <w:r>
        <w:t xml:space="preserve">“Knowledge, Assertion, and Practical Reasoning.”</w:t>
      </w:r>
      <w:r>
        <w:t xml:space="preserve"> </w:t>
      </w:r>
      <w:r>
        <w:rPr>
          <w:iCs/>
          <w:i/>
        </w:rPr>
        <w:t xml:space="preserve">Philosophical Issues</w:t>
      </w:r>
      <w:r>
        <w:t xml:space="preserve"> </w:t>
      </w:r>
      <w:r>
        <w:t xml:space="preserve">14 (1): 482–91.</w:t>
      </w:r>
      <w:r>
        <w:t xml:space="preserve"> </w:t>
      </w:r>
      <w:hyperlink r:id="rId263">
        <w:r>
          <w:rPr>
            <w:rStyle w:val="Hyperlink"/>
          </w:rPr>
          <w:t xml:space="preserve">https://doi.org/10.1111/j.1533-6077.2004.00040.x</w:t>
        </w:r>
      </w:hyperlink>
      <w:r>
        <w:t xml:space="preserve">.</w:t>
      </w:r>
    </w:p>
    <w:bookmarkEnd w:id="264"/>
    <w:bookmarkStart w:id="265"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65"/>
    <w:bookmarkStart w:id="266" w:name="ref-sep-well-being"/>
    <w:p>
      <w:pPr>
        <w:pStyle w:val="Bibliography"/>
      </w:pPr>
      <w:r>
        <w:t xml:space="preserve">Crisp, Roger. 2021.</w:t>
      </w:r>
      <w:r>
        <w:t xml:space="preserve"> </w:t>
      </w:r>
      <w:r>
        <w:t xml:space="preserve">“</w:t>
      </w:r>
      <w:r>
        <w:t xml:space="preserve">Well-Being</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2021. Metaphysics Research Lab, Stanford University.</w:t>
      </w:r>
    </w:p>
    <w:bookmarkEnd w:id="266"/>
    <w:bookmarkStart w:id="268" w:name="ref-sep-questions"/>
    <w:p>
      <w:pPr>
        <w:pStyle w:val="Bibliography"/>
      </w:pPr>
      <w:r>
        <w:t xml:space="preserve">Cross, Charles, and Floris Roelofsen. 2018.</w:t>
      </w:r>
      <w:r>
        <w:t xml:space="preserve"> </w:t>
      </w:r>
      <w:r>
        <w:t xml:space="preserve">“Questions.”</w:t>
      </w:r>
      <w:r>
        <w:t xml:space="preserve"> </w:t>
      </w:r>
      <w:r>
        <w:t xml:space="preserve">In</w:t>
      </w:r>
      <w:r>
        <w:t xml:space="preserve"> </w:t>
      </w:r>
      <w:r>
        <w:rPr>
          <w:iCs/>
          <w:i/>
        </w:rPr>
        <w:t xml:space="preserve">The Stanford Encyclopedia of Philosophy</w:t>
      </w:r>
      <w:r>
        <w:t xml:space="preserve">, edited by Edward N. Zalta, Spring 2018.</w:t>
      </w:r>
      <w:r>
        <w:t xml:space="preserve"> </w:t>
      </w:r>
      <w:hyperlink r:id="rId267">
        <w:r>
          <w:rPr>
            <w:rStyle w:val="Hyperlink"/>
          </w:rPr>
          <w:t xml:space="preserve">https://plato.stanford.edu/archives/spr2018/entries/questions/</w:t>
        </w:r>
      </w:hyperlink>
      <w:r>
        <w:t xml:space="preserve">; Metaphysics Research Lab, Stanford University.</w:t>
      </w:r>
    </w:p>
    <w:bookmarkEnd w:id="268"/>
    <w:bookmarkStart w:id="269" w:name="ref-DasThesis"/>
    <w:p>
      <w:pPr>
        <w:pStyle w:val="Bibliography"/>
      </w:pPr>
      <w:r>
        <w:t xml:space="preserve">Das, Nilanjan. 2016.</w:t>
      </w:r>
      <w:r>
        <w:t xml:space="preserve"> </w:t>
      </w:r>
      <w:r>
        <w:t xml:space="preserve">“Epistemic Stability.”</w:t>
      </w:r>
      <w:r>
        <w:t xml:space="preserve"> </w:t>
      </w:r>
      <w:r>
        <w:t xml:space="preserve">PhD thesis,</w:t>
      </w:r>
      <w:r>
        <w:t xml:space="preserve"> </w:t>
      </w:r>
      <w:r>
        <w:t xml:space="preserve">MIT</w:t>
      </w:r>
      <w:r>
        <w:t xml:space="preserve">.</w:t>
      </w:r>
    </w:p>
    <w:bookmarkEnd w:id="269"/>
    <w:bookmarkStart w:id="271" w:name="ref-DeRose2002"/>
    <w:p>
      <w:pPr>
        <w:pStyle w:val="Bibliography"/>
      </w:pPr>
      <w:r>
        <w:t xml:space="preserve">DeRose, Keith. 2002.</w:t>
      </w:r>
      <w:r>
        <w:t xml:space="preserve"> </w:t>
      </w:r>
      <w:r>
        <w:t xml:space="preserve">“Assertion, Knowledge and Context.”</w:t>
      </w:r>
      <w:r>
        <w:t xml:space="preserve"> </w:t>
      </w:r>
      <w:r>
        <w:rPr>
          <w:iCs/>
          <w:i/>
        </w:rPr>
        <w:t xml:space="preserve">Philosophical Review</w:t>
      </w:r>
      <w:r>
        <w:t xml:space="preserve"> </w:t>
      </w:r>
      <w:r>
        <w:t xml:space="preserve">111 (2): 167–203.</w:t>
      </w:r>
      <w:r>
        <w:t xml:space="preserve"> </w:t>
      </w:r>
      <w:hyperlink r:id="rId270">
        <w:r>
          <w:rPr>
            <w:rStyle w:val="Hyperlink"/>
          </w:rPr>
          <w:t xml:space="preserve">https://doi.org/10.2307/3182618</w:t>
        </w:r>
      </w:hyperlink>
      <w:r>
        <w:t xml:space="preserve">.</w:t>
      </w:r>
    </w:p>
    <w:bookmarkEnd w:id="271"/>
    <w:bookmarkStart w:id="273" w:name="ref-DiabEtAl2008"/>
    <w:p>
      <w:pPr>
        <w:pStyle w:val="Bibliography"/>
      </w:pPr>
      <w:r>
        <w:t xml:space="preserve">Diab, Dalia L., Michael A. Gillespie, and Scott Highhouse. 2008.</w:t>
      </w:r>
      <w:r>
        <w:t xml:space="preserve"> </w:t>
      </w:r>
      <w:r>
        <w:t xml:space="preserve">“Are Maximizers Really Unhappy? The Measurement of Maximizing Tendency.”</w:t>
      </w:r>
      <w:r>
        <w:t xml:space="preserve"> </w:t>
      </w:r>
      <w:r>
        <w:rPr>
          <w:iCs/>
          <w:i/>
        </w:rPr>
        <w:t xml:space="preserve">Judgment and Decision Making</w:t>
      </w:r>
      <w:r>
        <w:t xml:space="preserve"> </w:t>
      </w:r>
      <w:r>
        <w:t xml:space="preserve">3 (5): 364–70.</w:t>
      </w:r>
      <w:r>
        <w:t xml:space="preserve"> </w:t>
      </w:r>
      <w:hyperlink r:id="rId272">
        <w:r>
          <w:rPr>
            <w:rStyle w:val="Hyperlink"/>
          </w:rPr>
          <w:t xml:space="preserve">http://journal.sjdm.org/8320/jdm8320.pdf</w:t>
        </w:r>
      </w:hyperlink>
      <w:r>
        <w:t xml:space="preserve">.</w:t>
      </w:r>
    </w:p>
    <w:bookmarkEnd w:id="273"/>
    <w:bookmarkStart w:id="274" w:name="ref-DixitSkeath2004"/>
    <w:p>
      <w:pPr>
        <w:pStyle w:val="Bibliography"/>
      </w:pPr>
      <w:r>
        <w:t xml:space="preserve">Dixit, Avinash K., and Susan Skeath. 2004.</w:t>
      </w:r>
      <w:r>
        <w:t xml:space="preserve"> </w:t>
      </w:r>
      <w:r>
        <w:rPr>
          <w:iCs/>
          <w:i/>
        </w:rPr>
        <w:t xml:space="preserve">Games of Strategy</w:t>
      </w:r>
      <w:r>
        <w:t xml:space="preserve">. Second. New York: W. W. Norton &amp; Company.</w:t>
      </w:r>
    </w:p>
    <w:bookmarkEnd w:id="274"/>
    <w:bookmarkStart w:id="276" w:name="ref-Dogramaci2015"/>
    <w:p>
      <w:pPr>
        <w:pStyle w:val="Bibliography"/>
      </w:pPr>
      <w:r>
        <w:t xml:space="preserve">Dogramaci, Sinan. 2015.</w:t>
      </w:r>
      <w:r>
        <w:t xml:space="preserve"> </w:t>
      </w:r>
      <w:r>
        <w:t xml:space="preserve">“Forget and Forgive: A Practical Approach to Forgotten Evidence.”</w:t>
      </w:r>
      <w:r>
        <w:t xml:space="preserve"> </w:t>
      </w:r>
      <w:r>
        <w:rPr>
          <w:iCs/>
          <w:i/>
        </w:rPr>
        <w:t xml:space="preserve">Ergo</w:t>
      </w:r>
      <w:r>
        <w:t xml:space="preserve"> </w:t>
      </w:r>
      <w:r>
        <w:t xml:space="preserve">2 (26): 645–77.</w:t>
      </w:r>
      <w:r>
        <w:t xml:space="preserve"> </w:t>
      </w:r>
      <w:hyperlink r:id="rId275">
        <w:r>
          <w:rPr>
            <w:rStyle w:val="Hyperlink"/>
          </w:rPr>
          <w:t xml:space="preserve">https://doi.org/10.3998/ergo.12405314.0002.026</w:t>
        </w:r>
      </w:hyperlink>
      <w:r>
        <w:t xml:space="preserve">.</w:t>
      </w:r>
    </w:p>
    <w:bookmarkEnd w:id="276"/>
    <w:bookmarkStart w:id="277" w:name="ref-Dylan2016"/>
    <w:p>
      <w:pPr>
        <w:pStyle w:val="Bibliography"/>
      </w:pPr>
      <w:r>
        <w:t xml:space="preserve">Dylan, Bob. 2016.</w:t>
      </w:r>
      <w:r>
        <w:t xml:space="preserve"> </w:t>
      </w:r>
      <w:r>
        <w:rPr>
          <w:iCs/>
          <w:i/>
        </w:rPr>
        <w:t xml:space="preserve">The Lyrics: 1961-2012</w:t>
      </w:r>
      <w:r>
        <w:t xml:space="preserve">. New York: Simon &amp; Schuster.</w:t>
      </w:r>
    </w:p>
    <w:bookmarkEnd w:id="277"/>
    <w:bookmarkStart w:id="279" w:name="ref-EatonPickavance2015"/>
    <w:p>
      <w:pPr>
        <w:pStyle w:val="Bibliography"/>
      </w:pPr>
      <w:r>
        <w:t xml:space="preserve">Eaton, Daniel, and Timothy Pickavance. 2015.</w:t>
      </w:r>
      <w:r>
        <w:t xml:space="preserve"> </w:t>
      </w:r>
      <w:r>
        <w:t xml:space="preserve">“Evidence Against Pragmatic Encroachment.”</w:t>
      </w:r>
      <w:r>
        <w:t xml:space="preserve"> </w:t>
      </w:r>
      <w:r>
        <w:rPr>
          <w:iCs/>
          <w:i/>
        </w:rPr>
        <w:t xml:space="preserve">Philosophical Studies</w:t>
      </w:r>
      <w:r>
        <w:t xml:space="preserve"> </w:t>
      </w:r>
      <w:r>
        <w:t xml:space="preserve">172: 3135–43.</w:t>
      </w:r>
      <w:r>
        <w:t xml:space="preserve"> </w:t>
      </w:r>
      <w:hyperlink r:id="rId278">
        <w:r>
          <w:rPr>
            <w:rStyle w:val="Hyperlink"/>
          </w:rPr>
          <w:t xml:space="preserve">https://doi.org/10.1007/s11098-015-0461-x</w:t>
        </w:r>
      </w:hyperlink>
      <w:r>
        <w:t xml:space="preserve">.</w:t>
      </w:r>
    </w:p>
    <w:bookmarkEnd w:id="279"/>
    <w:bookmarkStart w:id="281" w:name="ref-Egan2008"/>
    <w:p>
      <w:pPr>
        <w:pStyle w:val="Bibliography"/>
      </w:pPr>
      <w:r>
        <w:t xml:space="preserve">Egan, Andy. 2008.</w:t>
      </w:r>
      <w:r>
        <w:t xml:space="preserve"> </w:t>
      </w:r>
      <w:r>
        <w:t xml:space="preserve">“</w:t>
      </w:r>
      <w:r>
        <w:t xml:space="preserve">Seeing and Believing: Perception, Belief Formation and the Divided Mind</w:t>
      </w:r>
      <w:r>
        <w:t xml:space="preserve">.”</w:t>
      </w:r>
      <w:r>
        <w:t xml:space="preserve"> </w:t>
      </w:r>
      <w:r>
        <w:rPr>
          <w:iCs/>
          <w:i/>
        </w:rPr>
        <w:t xml:space="preserve">Philosophical Studies</w:t>
      </w:r>
      <w:r>
        <w:t xml:space="preserve"> </w:t>
      </w:r>
      <w:r>
        <w:t xml:space="preserve">140 (1): 47–63.</w:t>
      </w:r>
      <w:r>
        <w:t xml:space="preserve"> </w:t>
      </w:r>
      <w:hyperlink r:id="rId280">
        <w:r>
          <w:rPr>
            <w:rStyle w:val="Hyperlink"/>
          </w:rPr>
          <w:t xml:space="preserve">https://doi.org/10.1007/s11098-008-9225-1</w:t>
        </w:r>
      </w:hyperlink>
      <w:r>
        <w:t xml:space="preserve">.</w:t>
      </w:r>
    </w:p>
    <w:bookmarkEnd w:id="281"/>
    <w:bookmarkStart w:id="282" w:name="ref-Elster1979"/>
    <w:p>
      <w:pPr>
        <w:pStyle w:val="Bibliography"/>
      </w:pPr>
      <w:r>
        <w:t xml:space="preserve">Elster, Jon. 1979.</w:t>
      </w:r>
      <w:r>
        <w:t xml:space="preserve"> </w:t>
      </w:r>
      <w:r>
        <w:rPr>
          <w:iCs/>
          <w:i/>
        </w:rPr>
        <w:t xml:space="preserve">Ulysses and the Sirens: Studies in Rationality and Irrationality</w:t>
      </w:r>
      <w:r>
        <w:t xml:space="preserve">. Cambridge: Cambridge University Press.</w:t>
      </w:r>
    </w:p>
    <w:bookmarkEnd w:id="282"/>
    <w:bookmarkStart w:id="283" w:name="ref-Falbo2021"/>
    <w:p>
      <w:pPr>
        <w:pStyle w:val="Bibliography"/>
      </w:pPr>
      <w:r>
        <w:t xml:space="preserve">Falbo, Arianna. 2021.</w:t>
      </w:r>
      <w:r>
        <w:t xml:space="preserve"> </w:t>
      </w:r>
      <w:r>
        <w:t xml:space="preserve">“Inquiry and Confirmation.”</w:t>
      </w:r>
      <w:r>
        <w:t xml:space="preserve"> </w:t>
      </w:r>
      <w:r>
        <w:rPr>
          <w:iCs/>
          <w:i/>
        </w:rPr>
        <w:t xml:space="preserve">Analysis</w:t>
      </w:r>
      <w:r>
        <w:t xml:space="preserve"> </w:t>
      </w:r>
      <w:r>
        <w:t xml:space="preserve">forthcoming.</w:t>
      </w:r>
    </w:p>
    <w:bookmarkEnd w:id="283"/>
    <w:bookmarkStart w:id="285" w:name="ref-FantlMcGrath2002"/>
    <w:p>
      <w:pPr>
        <w:pStyle w:val="Bibliography"/>
      </w:pPr>
      <w:r>
        <w:t xml:space="preserve">Fantl, Jeremy, and Matthew McGrath. 2002.</w:t>
      </w:r>
      <w:r>
        <w:t xml:space="preserve"> </w:t>
      </w:r>
      <w:r>
        <w:t xml:space="preserve">“Evidence, Pragmatics, and Justification.”</w:t>
      </w:r>
      <w:r>
        <w:t xml:space="preserve"> </w:t>
      </w:r>
      <w:r>
        <w:rPr>
          <w:iCs/>
          <w:i/>
        </w:rPr>
        <w:t xml:space="preserve">Philosophical Review</w:t>
      </w:r>
      <w:r>
        <w:t xml:space="preserve"> </w:t>
      </w:r>
      <w:r>
        <w:t xml:space="preserve">111 (1): 67–94.</w:t>
      </w:r>
      <w:r>
        <w:t xml:space="preserve"> </w:t>
      </w:r>
      <w:hyperlink r:id="rId284">
        <w:r>
          <w:rPr>
            <w:rStyle w:val="Hyperlink"/>
          </w:rPr>
          <w:t xml:space="preserve">https://doi.org/10.2307/3182570</w:t>
        </w:r>
      </w:hyperlink>
      <w:r>
        <w:t xml:space="preserve">.</w:t>
      </w:r>
    </w:p>
    <w:bookmarkEnd w:id="285"/>
    <w:bookmarkStart w:id="286" w:name="ref-FantlMcGrath2009"/>
    <w:p>
      <w:pPr>
        <w:pStyle w:val="Bibliography"/>
      </w:pPr>
      <w:r>
        <w:t xml:space="preserve">———. 2009.</w:t>
      </w:r>
      <w:r>
        <w:t xml:space="preserve"> </w:t>
      </w:r>
      <w:r>
        <w:rPr>
          <w:iCs/>
          <w:i/>
        </w:rPr>
        <w:t xml:space="preserve">Knowledge in an Uncertain World</w:t>
      </w:r>
      <w:r>
        <w:t xml:space="preserve">. Oxford: Oxford University Press.</w:t>
      </w:r>
    </w:p>
    <w:bookmarkEnd w:id="286"/>
    <w:bookmarkStart w:id="287" w:name="ref-Foley1993"/>
    <w:p>
      <w:pPr>
        <w:pStyle w:val="Bibliography"/>
      </w:pPr>
      <w:r>
        <w:t xml:space="preserve">Foley, Richard. 1993.</w:t>
      </w:r>
      <w:r>
        <w:t xml:space="preserve"> </w:t>
      </w:r>
      <w:r>
        <w:rPr>
          <w:iCs/>
          <w:i/>
        </w:rPr>
        <w:t xml:space="preserve">Working Without a Net</w:t>
      </w:r>
      <w:r>
        <w:t xml:space="preserve">. Oxford: Oxford University Press.</w:t>
      </w:r>
    </w:p>
    <w:bookmarkEnd w:id="287"/>
    <w:bookmarkStart w:id="289" w:name="ref-Friedman2017"/>
    <w:p>
      <w:pPr>
        <w:pStyle w:val="Bibliography"/>
      </w:pPr>
      <w:r>
        <w:t xml:space="preserve">Friedman, Jane. 2017.</w:t>
      </w:r>
      <w:r>
        <w:t xml:space="preserve"> </w:t>
      </w:r>
      <w:r>
        <w:t xml:space="preserve">“Why Suspend Judging?”</w:t>
      </w:r>
      <w:r>
        <w:t xml:space="preserve"> </w:t>
      </w:r>
      <w:r>
        <w:rPr>
          <w:iCs/>
          <w:i/>
        </w:rPr>
        <w:t xml:space="preserve">No</w:t>
      </w:r>
      <w:r>
        <w:rPr>
          <w:iCs/>
          <w:i/>
        </w:rPr>
        <w:t xml:space="preserve">û</w:t>
      </w:r>
      <w:r>
        <w:rPr>
          <w:iCs/>
          <w:i/>
        </w:rPr>
        <w:t xml:space="preserve">s</w:t>
      </w:r>
      <w:r>
        <w:t xml:space="preserve"> </w:t>
      </w:r>
      <w:r>
        <w:t xml:space="preserve">51 (2): 302–26.</w:t>
      </w:r>
      <w:r>
        <w:t xml:space="preserve"> </w:t>
      </w:r>
      <w:hyperlink r:id="rId288">
        <w:r>
          <w:rPr>
            <w:rStyle w:val="Hyperlink"/>
          </w:rPr>
          <w:t xml:space="preserve">https://doi.org/10.1111/nous.12137</w:t>
        </w:r>
      </w:hyperlink>
      <w:r>
        <w:t xml:space="preserve">.</w:t>
      </w:r>
    </w:p>
    <w:bookmarkEnd w:id="289"/>
    <w:bookmarkStart w:id="291" w:name="ref-Friedman2019b"/>
    <w:p>
      <w:pPr>
        <w:pStyle w:val="Bibliography"/>
      </w:pPr>
      <w:r>
        <w:t xml:space="preserve">———. 2019a.</w:t>
      </w:r>
      <w:r>
        <w:t xml:space="preserve"> </w:t>
      </w:r>
      <w:r>
        <w:t xml:space="preserve">“Checking Again.”</w:t>
      </w:r>
      <w:r>
        <w:t xml:space="preserve"> </w:t>
      </w:r>
      <w:r>
        <w:rPr>
          <w:iCs/>
          <w:i/>
        </w:rPr>
        <w:t xml:space="preserve">Philosophical Issues</w:t>
      </w:r>
      <w:r>
        <w:t xml:space="preserve"> </w:t>
      </w:r>
      <w:r>
        <w:t xml:space="preserve">29 (1): 84–96.</w:t>
      </w:r>
      <w:r>
        <w:t xml:space="preserve"> </w:t>
      </w:r>
      <w:hyperlink r:id="rId290">
        <w:r>
          <w:rPr>
            <w:rStyle w:val="Hyperlink"/>
          </w:rPr>
          <w:t xml:space="preserve">https://doi.org/10.1111/phis.12141</w:t>
        </w:r>
      </w:hyperlink>
      <w:r>
        <w:t xml:space="preserve">.</w:t>
      </w:r>
    </w:p>
    <w:bookmarkEnd w:id="291"/>
    <w:bookmarkStart w:id="293" w:name="ref-Friedman2019a"/>
    <w:p>
      <w:pPr>
        <w:pStyle w:val="Bibliography"/>
      </w:pPr>
      <w:r>
        <w:t xml:space="preserve">———. 2019b.</w:t>
      </w:r>
      <w:r>
        <w:t xml:space="preserve"> </w:t>
      </w:r>
      <w:r>
        <w:t xml:space="preserve">“Inquiry and Belief.”</w:t>
      </w:r>
      <w:r>
        <w:t xml:space="preserve"> </w:t>
      </w:r>
      <w:r>
        <w:rPr>
          <w:iCs/>
          <w:i/>
        </w:rPr>
        <w:t xml:space="preserve">No</w:t>
      </w:r>
      <w:r>
        <w:rPr>
          <w:iCs/>
          <w:i/>
        </w:rPr>
        <w:t xml:space="preserve">û</w:t>
      </w:r>
      <w:r>
        <w:rPr>
          <w:iCs/>
          <w:i/>
        </w:rPr>
        <w:t xml:space="preserve">s</w:t>
      </w:r>
      <w:r>
        <w:t xml:space="preserve"> </w:t>
      </w:r>
      <w:r>
        <w:t xml:space="preserve">53 (2): 296–315.</w:t>
      </w:r>
      <w:r>
        <w:t xml:space="preserve"> </w:t>
      </w:r>
      <w:hyperlink r:id="rId292">
        <w:r>
          <w:rPr>
            <w:rStyle w:val="Hyperlink"/>
          </w:rPr>
          <w:t xml:space="preserve">https://doi.org/10.1111/nous.12222</w:t>
        </w:r>
      </w:hyperlink>
      <w:r>
        <w:t xml:space="preserve">.</w:t>
      </w:r>
    </w:p>
    <w:bookmarkEnd w:id="293"/>
    <w:bookmarkStart w:id="295" w:name="ref-Friedman2020"/>
    <w:p>
      <w:pPr>
        <w:pStyle w:val="Bibliography"/>
      </w:pPr>
      <w:r>
        <w:t xml:space="preserve">———. 2020.</w:t>
      </w:r>
      <w:r>
        <w:t xml:space="preserve"> </w:t>
      </w:r>
      <w:r>
        <w:t xml:space="preserve">“The Epistemic and the Zetetic.”</w:t>
      </w:r>
      <w:r>
        <w:t xml:space="preserve"> </w:t>
      </w:r>
      <w:r>
        <w:rPr>
          <w:iCs/>
          <w:i/>
        </w:rPr>
        <w:t xml:space="preserve">Philosophical Review</w:t>
      </w:r>
      <w:r>
        <w:t xml:space="preserve"> </w:t>
      </w:r>
      <w:r>
        <w:t xml:space="preserve">129 (4): 501–36.</w:t>
      </w:r>
      <w:r>
        <w:t xml:space="preserve"> </w:t>
      </w:r>
      <w:hyperlink r:id="rId294">
        <w:r>
          <w:rPr>
            <w:rStyle w:val="Hyperlink"/>
          </w:rPr>
          <w:t xml:space="preserve">https://doi.org/10.1215/00318108-8540918</w:t>
        </w:r>
      </w:hyperlink>
      <w:r>
        <w:t xml:space="preserve">.</w:t>
      </w:r>
    </w:p>
    <w:bookmarkEnd w:id="295"/>
    <w:bookmarkStart w:id="297"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296">
        <w:r>
          <w:rPr>
            <w:rStyle w:val="Hyperlink"/>
          </w:rPr>
          <w:t xml:space="preserve">https://doi.org/10.1007/s11098-007-9133-9</w:t>
        </w:r>
      </w:hyperlink>
      <w:r>
        <w:t xml:space="preserve">.</w:t>
      </w:r>
    </w:p>
    <w:bookmarkEnd w:id="297"/>
    <w:bookmarkStart w:id="298" w:name="ref-Ganson2019"/>
    <w:p>
      <w:pPr>
        <w:pStyle w:val="Bibliography"/>
      </w:pPr>
      <w:r>
        <w:t xml:space="preserve">———. 2019.</w:t>
      </w:r>
      <w:r>
        <w:t xml:space="preserve"> </w:t>
      </w:r>
      <w:r>
        <w:t xml:space="preserve">“Great Expectations: Belief and the Case for Pragmatic Encroachment.”</w:t>
      </w:r>
      <w:r>
        <w:t xml:space="preserve"> </w:t>
      </w:r>
      <w:r>
        <w:t xml:space="preserve">In</w:t>
      </w:r>
      <w:r>
        <w:t xml:space="preserve"> </w:t>
      </w:r>
      <w:r>
        <w:rPr>
          <w:iCs/>
          <w:i/>
        </w:rPr>
        <w:t xml:space="preserve">Pragmatic Encroachment in Epistemology</w:t>
      </w:r>
      <w:r>
        <w:t xml:space="preserve">, edited by Brian Kim and Matthew McGrath. New York: Routledge.</w:t>
      </w:r>
    </w:p>
    <w:bookmarkEnd w:id="298"/>
    <w:bookmarkStart w:id="300" w:name="ref-Gao2023"/>
    <w:p>
      <w:pPr>
        <w:pStyle w:val="Bibliography"/>
      </w:pPr>
      <w:r>
        <w:t xml:space="preserve">Gao, Jie. 2023.</w:t>
      </w:r>
      <w:r>
        <w:t xml:space="preserve"> </w:t>
      </w:r>
      <w:r>
        <w:t xml:space="preserve">“Should Credence Be Sensitive to Practical Factors? A Cost-Benefit Analysis.”</w:t>
      </w:r>
      <w:r>
        <w:t xml:space="preserve"> </w:t>
      </w:r>
      <w:r>
        <w:rPr>
          <w:iCs/>
          <w:i/>
        </w:rPr>
        <w:t xml:space="preserve">Mind and Language</w:t>
      </w:r>
      <w:r>
        <w:t xml:space="preserve"> </w:t>
      </w:r>
      <w:r>
        <w:t xml:space="preserve">38 (5): 1238–57.</w:t>
      </w:r>
      <w:r>
        <w:t xml:space="preserve"> </w:t>
      </w:r>
      <w:hyperlink r:id="rId299">
        <w:r>
          <w:rPr>
            <w:rStyle w:val="Hyperlink"/>
          </w:rPr>
          <w:t xml:space="preserve">https://doi.org/10.1111/mila.12451</w:t>
        </w:r>
      </w:hyperlink>
      <w:r>
        <w:t xml:space="preserve">.</w:t>
      </w:r>
    </w:p>
    <w:bookmarkEnd w:id="300"/>
    <w:bookmarkStart w:id="302" w:name="ref-Gendler2005"/>
    <w:p>
      <w:pPr>
        <w:pStyle w:val="Bibliography"/>
      </w:pPr>
      <w:r>
        <w:t xml:space="preserve">Gendler, Tamar Szabó, and John Hawthorne. 2005.</w:t>
      </w:r>
      <w:r>
        <w:t xml:space="preserve"> </w:t>
      </w:r>
      <w:r>
        <w:t xml:space="preserve">“The Real Guide to Fake Barns: A Catalogue of Gifts for Your Epistemic Enemies.”</w:t>
      </w:r>
      <w:r>
        <w:t xml:space="preserve"> </w:t>
      </w:r>
      <w:r>
        <w:rPr>
          <w:iCs/>
          <w:i/>
        </w:rPr>
        <w:t xml:space="preserve">Philosophical Studies</w:t>
      </w:r>
      <w:r>
        <w:t xml:space="preserve"> </w:t>
      </w:r>
      <w:r>
        <w:t xml:space="preserve">124 (3): 331–52.</w:t>
      </w:r>
      <w:r>
        <w:t xml:space="preserve"> </w:t>
      </w:r>
      <w:hyperlink r:id="rId301">
        <w:r>
          <w:rPr>
            <w:rStyle w:val="Hyperlink"/>
          </w:rPr>
          <w:t xml:space="preserve">https://doi.org/10.1007/s11098-005-7779-8</w:t>
        </w:r>
      </w:hyperlink>
      <w:r>
        <w:t xml:space="preserve">.</w:t>
      </w:r>
    </w:p>
    <w:bookmarkEnd w:id="302"/>
    <w:bookmarkStart w:id="304"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303">
        <w:r>
          <w:rPr>
            <w:rStyle w:val="Hyperlink"/>
          </w:rPr>
          <w:t xml:space="preserve">https://doi.org/10.2307/3326922</w:t>
        </w:r>
      </w:hyperlink>
      <w:r>
        <w:t xml:space="preserve">.</w:t>
      </w:r>
    </w:p>
    <w:bookmarkEnd w:id="304"/>
    <w:bookmarkStart w:id="305" w:name="ref-GigerenzerSelton2001"/>
    <w:p>
      <w:pPr>
        <w:pStyle w:val="Bibliography"/>
      </w:pPr>
      <w:r>
        <w:t xml:space="preserve">Gigerenzer, Gerd, and Reinhard Selten. 2001.</w:t>
      </w:r>
      <w:r>
        <w:t xml:space="preserve"> </w:t>
      </w:r>
      <w:r>
        <w:rPr>
          <w:iCs/>
          <w:i/>
        </w:rPr>
        <w:t xml:space="preserve">Bounded Rationality: The Adaptive Toolbox</w:t>
      </w:r>
      <w:r>
        <w:t xml:space="preserve">. Cambridge, MA: MIT Press.</w:t>
      </w:r>
    </w:p>
    <w:bookmarkEnd w:id="305"/>
    <w:bookmarkStart w:id="307" w:name="ref-Gillies2010"/>
    <w:p>
      <w:pPr>
        <w:pStyle w:val="Bibliography"/>
      </w:pPr>
      <w:r>
        <w:t xml:space="preserve">Gillies, Anthony S. 2010.</w:t>
      </w:r>
      <w:r>
        <w:t xml:space="preserve"> </w:t>
      </w:r>
      <w:r>
        <w:t xml:space="preserve">“Iffiness.”</w:t>
      </w:r>
      <w:r>
        <w:t xml:space="preserve"> </w:t>
      </w:r>
      <w:r>
        <w:rPr>
          <w:iCs/>
          <w:i/>
        </w:rPr>
        <w:t xml:space="preserve">Semantics and Pragmatics</w:t>
      </w:r>
      <w:r>
        <w:t xml:space="preserve"> </w:t>
      </w:r>
      <w:r>
        <w:t xml:space="preserve">3 (4): 1–42.</w:t>
      </w:r>
      <w:r>
        <w:t xml:space="preserve"> </w:t>
      </w:r>
      <w:hyperlink r:id="rId306">
        <w:r>
          <w:rPr>
            <w:rStyle w:val="Hyperlink"/>
          </w:rPr>
          <w:t xml:space="preserve">https://doi.org/10.3765/sp.3.4</w:t>
        </w:r>
      </w:hyperlink>
      <w:r>
        <w:t xml:space="preserve">.</w:t>
      </w:r>
    </w:p>
    <w:bookmarkEnd w:id="307"/>
    <w:bookmarkStart w:id="308" w:name="ref-Goldman2009"/>
    <w:p>
      <w:pPr>
        <w:pStyle w:val="Bibliography"/>
      </w:pPr>
      <w:r>
        <w:t xml:space="preserve">Goldman, Alvin. 2009.</w:t>
      </w:r>
      <w:r>
        <w:t xml:space="preserve"> </w:t>
      </w:r>
      <w:r>
        <w:t xml:space="preserve">“Williamson on Knowledge and Evidence.”</w:t>
      </w:r>
      <w:r>
        <w:t xml:space="preserve"> </w:t>
      </w:r>
      <w:r>
        <w:t xml:space="preserve">In</w:t>
      </w:r>
      <w:r>
        <w:t xml:space="preserve"> </w:t>
      </w:r>
      <w:r>
        <w:rPr>
          <w:iCs/>
          <w:i/>
        </w:rPr>
        <w:t xml:space="preserve">Williamson on Knowledge</w:t>
      </w:r>
      <w:r>
        <w:t xml:space="preserve">, 73–91. Oxford.</w:t>
      </w:r>
    </w:p>
    <w:bookmarkEnd w:id="308"/>
    <w:bookmarkStart w:id="309" w:name="ref-Harman1973"/>
    <w:p>
      <w:pPr>
        <w:pStyle w:val="Bibliography"/>
      </w:pPr>
      <w:r>
        <w:t xml:space="preserve">Harman, Gilbert. 1973.</w:t>
      </w:r>
      <w:r>
        <w:t xml:space="preserve"> </w:t>
      </w:r>
      <w:r>
        <w:rPr>
          <w:iCs/>
          <w:i/>
        </w:rPr>
        <w:t xml:space="preserve">Thought</w:t>
      </w:r>
      <w:r>
        <w:t xml:space="preserve">. Princeton: Princeton University Press.</w:t>
      </w:r>
    </w:p>
    <w:bookmarkEnd w:id="309"/>
    <w:bookmarkStart w:id="310" w:name="ref-Harman1986"/>
    <w:p>
      <w:pPr>
        <w:pStyle w:val="Bibliography"/>
      </w:pPr>
      <w:r>
        <w:t xml:space="preserve">———. 1986.</w:t>
      </w:r>
      <w:r>
        <w:t xml:space="preserve"> </w:t>
      </w:r>
      <w:r>
        <w:rPr>
          <w:iCs/>
          <w:i/>
        </w:rPr>
        <w:t xml:space="preserve">Change in View</w:t>
      </w:r>
      <w:r>
        <w:t xml:space="preserve">. Cambridge, MA:</w:t>
      </w:r>
      <w:r>
        <w:t xml:space="preserve"> </w:t>
      </w:r>
      <w:r>
        <w:t xml:space="preserve">MIT</w:t>
      </w:r>
      <w:r>
        <w:t xml:space="preserve"> </w:t>
      </w:r>
      <w:r>
        <w:t xml:space="preserve">Press.</w:t>
      </w:r>
    </w:p>
    <w:bookmarkEnd w:id="310"/>
    <w:bookmarkStart w:id="312"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311">
        <w:r>
          <w:rPr>
            <w:rStyle w:val="Hyperlink"/>
          </w:rPr>
          <w:t xml:space="preserve">https://doi.org/10.1007/BF00183199</w:t>
        </w:r>
      </w:hyperlink>
      <w:r>
        <w:t xml:space="preserve">.</w:t>
      </w:r>
    </w:p>
    <w:bookmarkEnd w:id="312"/>
    <w:bookmarkStart w:id="313" w:name="ref-Hawthorne2004"/>
    <w:p>
      <w:pPr>
        <w:pStyle w:val="Bibliography"/>
      </w:pPr>
      <w:r>
        <w:t xml:space="preserve">Hawthorne, John. 2004.</w:t>
      </w:r>
      <w:r>
        <w:t xml:space="preserve"> </w:t>
      </w:r>
      <w:r>
        <w:rPr>
          <w:iCs/>
          <w:i/>
        </w:rPr>
        <w:t xml:space="preserve">Knowledge and Lotteries</w:t>
      </w:r>
      <w:r>
        <w:t xml:space="preserve">. Oxford: Oxford University Press.</w:t>
      </w:r>
    </w:p>
    <w:bookmarkEnd w:id="313"/>
    <w:bookmarkStart w:id="315" w:name="ref-Hawthorne2005"/>
    <w:p>
      <w:pPr>
        <w:pStyle w:val="Bibliography"/>
      </w:pPr>
      <w:r>
        <w:t xml:space="preserve">———. 2005.</w:t>
      </w:r>
      <w:r>
        <w:t xml:space="preserve"> </w:t>
      </w:r>
      <w:r>
        <w:t xml:space="preserve">“Knowledge and Evidence.”</w:t>
      </w:r>
      <w:r>
        <w:t xml:space="preserve"> </w:t>
      </w:r>
      <w:r>
        <w:rPr>
          <w:iCs/>
          <w:i/>
        </w:rPr>
        <w:t xml:space="preserve">Philosophy and Phenomenological Research</w:t>
      </w:r>
      <w:r>
        <w:t xml:space="preserve"> </w:t>
      </w:r>
      <w:r>
        <w:t xml:space="preserve">70 (2): 452–58.</w:t>
      </w:r>
      <w:r>
        <w:t xml:space="preserve"> </w:t>
      </w:r>
      <w:hyperlink r:id="rId314">
        <w:r>
          <w:rPr>
            <w:rStyle w:val="Hyperlink"/>
          </w:rPr>
          <w:t xml:space="preserve">https://doi.org/10.1111/j.1933-1592.2005.tb00540.x</w:t>
        </w:r>
      </w:hyperlink>
      <w:r>
        <w:t xml:space="preserve">.</w:t>
      </w:r>
    </w:p>
    <w:bookmarkEnd w:id="315"/>
    <w:bookmarkStart w:id="317" w:name="ref-HawthorneEtAl2015"/>
    <w:p>
      <w:pPr>
        <w:pStyle w:val="Bibliography"/>
      </w:pPr>
      <w:r>
        <w:t xml:space="preserve">Hawthorne, John, Daniel Rothschild, and Levi Spectre. 2016.</w:t>
      </w:r>
      <w:r>
        <w:t xml:space="preserve"> </w:t>
      </w:r>
      <w:r>
        <w:t xml:space="preserve">“Belief Is Weak.”</w:t>
      </w:r>
      <w:r>
        <w:t xml:space="preserve"> </w:t>
      </w:r>
      <w:r>
        <w:rPr>
          <w:iCs/>
          <w:i/>
        </w:rPr>
        <w:t xml:space="preserve">Philosophical Studies</w:t>
      </w:r>
      <w:r>
        <w:t xml:space="preserve"> </w:t>
      </w:r>
      <w:r>
        <w:t xml:space="preserve">173: 1393–1404.</w:t>
      </w:r>
      <w:r>
        <w:t xml:space="preserve"> </w:t>
      </w:r>
      <w:hyperlink r:id="rId316">
        <w:r>
          <w:rPr>
            <w:rStyle w:val="Hyperlink"/>
          </w:rPr>
          <w:t xml:space="preserve">https://doi.org/10.1007/s11098-015-0553-7</w:t>
        </w:r>
      </w:hyperlink>
      <w:r>
        <w:t xml:space="preserve">.</w:t>
      </w:r>
    </w:p>
    <w:bookmarkEnd w:id="317"/>
    <w:bookmarkStart w:id="318"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p>
    <w:bookmarkEnd w:id="318"/>
    <w:bookmarkStart w:id="320" w:name="ref-HawthorneStanley2008"/>
    <w:p>
      <w:pPr>
        <w:pStyle w:val="Bibliography"/>
      </w:pPr>
      <w:r>
        <w:t xml:space="preserve">Hawthorne, John, and Jason Stanley. 2008.</w:t>
      </w:r>
      <w:r>
        <w:t xml:space="preserve"> </w:t>
      </w:r>
      <w:r>
        <w:t xml:space="preserve">“</w:t>
      </w:r>
      <w:r>
        <w:t xml:space="preserve">Knowledge and Action</w:t>
      </w:r>
      <w:r>
        <w:t xml:space="preserve">.”</w:t>
      </w:r>
      <w:r>
        <w:t xml:space="preserve"> </w:t>
      </w:r>
      <w:r>
        <w:rPr>
          <w:iCs/>
          <w:i/>
        </w:rPr>
        <w:t xml:space="preserve">Journal of Philosophy</w:t>
      </w:r>
      <w:r>
        <w:t xml:space="preserve"> </w:t>
      </w:r>
      <w:r>
        <w:t xml:space="preserve">105 (10): 571–90.</w:t>
      </w:r>
      <w:r>
        <w:t xml:space="preserve"> </w:t>
      </w:r>
      <w:hyperlink r:id="rId319">
        <w:r>
          <w:rPr>
            <w:rStyle w:val="Hyperlink"/>
          </w:rPr>
          <w:t xml:space="preserve">https://doi.org/10.5840/jphil20081051022</w:t>
        </w:r>
      </w:hyperlink>
      <w:r>
        <w:t xml:space="preserve">.</w:t>
      </w:r>
    </w:p>
    <w:bookmarkEnd w:id="320"/>
    <w:bookmarkStart w:id="322" w:name="ref-Hedden2012"/>
    <w:p>
      <w:pPr>
        <w:pStyle w:val="Bibliography"/>
      </w:pPr>
      <w:r>
        <w:t xml:space="preserve">Hedden, Brian. 2012.</w:t>
      </w:r>
      <w:r>
        <w:t xml:space="preserve"> </w:t>
      </w:r>
      <w:r>
        <w:t xml:space="preserve">“Options and the Subjective Ought.”</w:t>
      </w:r>
      <w:r>
        <w:t xml:space="preserve"> </w:t>
      </w:r>
      <w:r>
        <w:rPr>
          <w:iCs/>
          <w:i/>
        </w:rPr>
        <w:t xml:space="preserve">Philosophical Studies</w:t>
      </w:r>
      <w:r>
        <w:t xml:space="preserve"> </w:t>
      </w:r>
      <w:r>
        <w:t xml:space="preserve">158 (2): 343–60.</w:t>
      </w:r>
      <w:r>
        <w:t xml:space="preserve"> </w:t>
      </w:r>
      <w:hyperlink r:id="rId321">
        <w:r>
          <w:rPr>
            <w:rStyle w:val="Hyperlink"/>
          </w:rPr>
          <w:t xml:space="preserve">https://doi.org/10.1007/s11098-012-9880-0</w:t>
        </w:r>
      </w:hyperlink>
      <w:r>
        <w:t xml:space="preserve">.</w:t>
      </w:r>
    </w:p>
    <w:bookmarkEnd w:id="322"/>
    <w:bookmarkStart w:id="324" w:name="ref-Hieronymi2013"/>
    <w:p>
      <w:pPr>
        <w:pStyle w:val="Bibliography"/>
      </w:pPr>
      <w:r>
        <w:t xml:space="preserve">Hieronymi, Pamela. 2013.</w:t>
      </w:r>
      <w:r>
        <w:t xml:space="preserve"> </w:t>
      </w:r>
      <w:r>
        <w:t xml:space="preserve">“The Use of Reasons in Thought (and the Use of Earmarks in Arguments).”</w:t>
      </w:r>
      <w:r>
        <w:t xml:space="preserve"> </w:t>
      </w:r>
      <w:r>
        <w:rPr>
          <w:iCs/>
          <w:i/>
        </w:rPr>
        <w:t xml:space="preserve">Ethics</w:t>
      </w:r>
      <w:r>
        <w:t xml:space="preserve"> </w:t>
      </w:r>
      <w:r>
        <w:t xml:space="preserve">124 (1): 114–27.</w:t>
      </w:r>
      <w:r>
        <w:t xml:space="preserve"> </w:t>
      </w:r>
      <w:hyperlink r:id="rId323">
        <w:r>
          <w:rPr>
            <w:rStyle w:val="Hyperlink"/>
          </w:rPr>
          <w:t xml:space="preserve">https://doi.org/10.1086/671402</w:t>
        </w:r>
      </w:hyperlink>
      <w:r>
        <w:t xml:space="preserve">.</w:t>
      </w:r>
    </w:p>
    <w:bookmarkEnd w:id="324"/>
    <w:bookmarkStart w:id="326" w:name="ref-Hills2009"/>
    <w:p>
      <w:pPr>
        <w:pStyle w:val="Bibliography"/>
      </w:pPr>
      <w:r>
        <w:t xml:space="preserve">Hills, Alison. 2009.</w:t>
      </w:r>
      <w:r>
        <w:t xml:space="preserve"> </w:t>
      </w:r>
      <w:r>
        <w:t xml:space="preserve">“Moral Testimony and Moral Epistemology.”</w:t>
      </w:r>
      <w:r>
        <w:t xml:space="preserve"> </w:t>
      </w:r>
      <w:r>
        <w:rPr>
          <w:iCs/>
          <w:i/>
        </w:rPr>
        <w:t xml:space="preserve">Ethics</w:t>
      </w:r>
      <w:r>
        <w:t xml:space="preserve"> </w:t>
      </w:r>
      <w:r>
        <w:t xml:space="preserve">120 (1): 94–127.</w:t>
      </w:r>
      <w:r>
        <w:t xml:space="preserve"> </w:t>
      </w:r>
      <w:hyperlink r:id="rId325">
        <w:r>
          <w:rPr>
            <w:rStyle w:val="Hyperlink"/>
          </w:rPr>
          <w:t xml:space="preserve">https://doi.org/10.1086/648610</w:t>
        </w:r>
      </w:hyperlink>
      <w:r>
        <w:t xml:space="preserve">.</w:t>
      </w:r>
    </w:p>
    <w:bookmarkEnd w:id="326"/>
    <w:bookmarkStart w:id="328" w:name="ref-Hotelling1929"/>
    <w:p>
      <w:pPr>
        <w:pStyle w:val="Bibliography"/>
      </w:pPr>
      <w:r>
        <w:t xml:space="preserve">Hotelling, Harold. 1929.</w:t>
      </w:r>
      <w:r>
        <w:t xml:space="preserve"> </w:t>
      </w:r>
      <w:r>
        <w:t xml:space="preserve">“Stability in Competition.”</w:t>
      </w:r>
      <w:r>
        <w:t xml:space="preserve"> </w:t>
      </w:r>
      <w:r>
        <w:rPr>
          <w:iCs/>
          <w:i/>
        </w:rPr>
        <w:t xml:space="preserve">The Economic Journal</w:t>
      </w:r>
      <w:r>
        <w:t xml:space="preserve"> </w:t>
      </w:r>
      <w:r>
        <w:t xml:space="preserve">39 (153): 41–57.</w:t>
      </w:r>
      <w:r>
        <w:t xml:space="preserve"> </w:t>
      </w:r>
      <w:hyperlink r:id="rId327">
        <w:r>
          <w:rPr>
            <w:rStyle w:val="Hyperlink"/>
          </w:rPr>
          <w:t xml:space="preserve">https://doi.org/10.2307/2224214</w:t>
        </w:r>
      </w:hyperlink>
      <w:r>
        <w:t xml:space="preserve">.</w:t>
      </w:r>
    </w:p>
    <w:bookmarkEnd w:id="328"/>
    <w:bookmarkStart w:id="330" w:name="ref-Humberstone1981"/>
    <w:p>
      <w:pPr>
        <w:pStyle w:val="Bibliography"/>
      </w:pPr>
      <w:r>
        <w:t xml:space="preserve">Humberstone, I. L. 1981.</w:t>
      </w:r>
      <w:r>
        <w:t xml:space="preserve"> </w:t>
      </w:r>
      <w:r>
        <w:t xml:space="preserve">“From Worlds to Possibilities.”</w:t>
      </w:r>
      <w:r>
        <w:t xml:space="preserve"> </w:t>
      </w:r>
      <w:r>
        <w:rPr>
          <w:iCs/>
          <w:i/>
        </w:rPr>
        <w:t xml:space="preserve">Journal of Philosophical Logic</w:t>
      </w:r>
      <w:r>
        <w:t xml:space="preserve"> </w:t>
      </w:r>
      <w:r>
        <w:t xml:space="preserve">10 (3): 313–39.</w:t>
      </w:r>
      <w:r>
        <w:t xml:space="preserve"> </w:t>
      </w:r>
      <w:hyperlink r:id="rId329">
        <w:r>
          <w:rPr>
            <w:rStyle w:val="Hyperlink"/>
          </w:rPr>
          <w:t xml:space="preserve">https://doi.org/10.1007/BF00293423</w:t>
        </w:r>
      </w:hyperlink>
      <w:r>
        <w:t xml:space="preserve">.</w:t>
      </w:r>
    </w:p>
    <w:bookmarkEnd w:id="330"/>
    <w:bookmarkStart w:id="332" w:name="ref-Hunter1996"/>
    <w:p>
      <w:pPr>
        <w:pStyle w:val="Bibliography"/>
      </w:pPr>
      <w:r>
        <w:t xml:space="preserve">Hunter, Daniel. 1996.</w:t>
      </w:r>
      <w:r>
        <w:t xml:space="preserve"> </w:t>
      </w:r>
      <w:r>
        <w:t xml:space="preserve">“On the Relation Between Categorical and Probabilistic Belief.”</w:t>
      </w:r>
      <w:r>
        <w:t xml:space="preserve"> </w:t>
      </w:r>
      <w:r>
        <w:rPr>
          <w:iCs/>
          <w:i/>
        </w:rPr>
        <w:t xml:space="preserve">No</w:t>
      </w:r>
      <w:r>
        <w:rPr>
          <w:iCs/>
          <w:i/>
        </w:rPr>
        <w:t xml:space="preserve">û</w:t>
      </w:r>
      <w:r>
        <w:rPr>
          <w:iCs/>
          <w:i/>
        </w:rPr>
        <w:t xml:space="preserve">s</w:t>
      </w:r>
      <w:r>
        <w:t xml:space="preserve"> </w:t>
      </w:r>
      <w:r>
        <w:t xml:space="preserve">30: 75–98.</w:t>
      </w:r>
      <w:r>
        <w:t xml:space="preserve"> </w:t>
      </w:r>
      <w:hyperlink r:id="rId331">
        <w:r>
          <w:rPr>
            <w:rStyle w:val="Hyperlink"/>
          </w:rPr>
          <w:t xml:space="preserve">https://doi.org/10.2307/2216304</w:t>
        </w:r>
      </w:hyperlink>
      <w:r>
        <w:t xml:space="preserve">.</w:t>
      </w:r>
    </w:p>
    <w:bookmarkEnd w:id="332"/>
    <w:bookmarkStart w:id="334" w:name="ref-IyengarEtAl2006"/>
    <w:p>
      <w:pPr>
        <w:pStyle w:val="Bibliography"/>
      </w:pPr>
      <w:r>
        <w:t xml:space="preserve">Iyengar, Sheena S., Rachael E. Wells, and Barry Schwartz. 2006.</w:t>
      </w:r>
      <w:r>
        <w:t xml:space="preserve"> </w:t>
      </w:r>
      <w:r>
        <w:t xml:space="preserve">“Doing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 </w:t>
      </w:r>
      <w:r>
        <w:t xml:space="preserve">17 (2): 143–50.</w:t>
      </w:r>
      <w:r>
        <w:t xml:space="preserve"> </w:t>
      </w:r>
      <w:hyperlink r:id="rId333">
        <w:r>
          <w:rPr>
            <w:rStyle w:val="Hyperlink"/>
          </w:rPr>
          <w:t xml:space="preserve">https://doi.org/10.1111/j.1467-9280.2006.01677.x</w:t>
        </w:r>
      </w:hyperlink>
      <w:r>
        <w:t xml:space="preserve">.</w:t>
      </w:r>
    </w:p>
    <w:bookmarkEnd w:id="334"/>
    <w:bookmarkStart w:id="335" w:name="ref-Jackson1987"/>
    <w:p>
      <w:pPr>
        <w:pStyle w:val="Bibliography"/>
      </w:pPr>
      <w:r>
        <w:t xml:space="preserve">Jackson, Frank. 1987.</w:t>
      </w:r>
      <w:r>
        <w:t xml:space="preserve"> </w:t>
      </w:r>
      <w:r>
        <w:rPr>
          <w:iCs/>
          <w:i/>
        </w:rPr>
        <w:t xml:space="preserve">Conditionals</w:t>
      </w:r>
      <w:r>
        <w:t xml:space="preserve">. Blackwell: Oxford.</w:t>
      </w:r>
    </w:p>
    <w:bookmarkEnd w:id="335"/>
    <w:bookmarkStart w:id="336" w:name="ref-Joyce2018"/>
    <w:p>
      <w:pPr>
        <w:pStyle w:val="Bibliography"/>
      </w:pPr>
      <w:r>
        <w:t xml:space="preserve">Joyce, James. n.d.</w:t>
      </w:r>
      <w:r>
        <w:t xml:space="preserve"> </w:t>
      </w:r>
      <w:r>
        <w:t xml:space="preserve">“Deliberation and Stability in Newcomb Problems and Pseudo-Newcomb Problems.”</w:t>
      </w:r>
      <w:r>
        <w:t xml:space="preserve"> </w:t>
      </w:r>
      <w:r>
        <w:t xml:space="preserve">In, 138–59.</w:t>
      </w:r>
    </w:p>
    <w:bookmarkEnd w:id="336"/>
    <w:bookmarkStart w:id="337" w:name="ref-Joyce1999"/>
    <w:p>
      <w:pPr>
        <w:pStyle w:val="Bibliography"/>
      </w:pPr>
      <w:r>
        <w:t xml:space="preserve">Joyce, James M. 1999.</w:t>
      </w:r>
      <w:r>
        <w:t xml:space="preserve"> </w:t>
      </w:r>
      <w:r>
        <w:rPr>
          <w:iCs/>
          <w:i/>
        </w:rPr>
        <w:t xml:space="preserve">The Foundations of Causal Decision Theory</w:t>
      </w:r>
      <w:r>
        <w:t xml:space="preserve">. Cambridge: Cambridge University Press.</w:t>
      </w:r>
    </w:p>
    <w:bookmarkEnd w:id="337"/>
    <w:bookmarkStart w:id="338" w:name="ref-Kelly2010-KELPDA"/>
    <w:p>
      <w:pPr>
        <w:pStyle w:val="Bibliography"/>
      </w:pPr>
      <w:r>
        <w:t xml:space="preserve">Kelly, Thomas.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p>
    <w:bookmarkEnd w:id="338"/>
    <w:bookmarkStart w:id="340" w:name="ref-Keynes1936Foxwell"/>
    <w:p>
      <w:pPr>
        <w:pStyle w:val="Bibliography"/>
      </w:pPr>
      <w:r>
        <w:t xml:space="preserve">Keynes, John Maynard. 1936.</w:t>
      </w:r>
      <w:r>
        <w:t xml:space="preserve"> </w:t>
      </w:r>
      <w:r>
        <w:t xml:space="preserve">“Herbert Somerton Foxwell.”</w:t>
      </w:r>
      <w:r>
        <w:t xml:space="preserve"> </w:t>
      </w:r>
      <w:r>
        <w:rPr>
          <w:iCs/>
          <w:i/>
        </w:rPr>
        <w:t xml:space="preserve">The Economic Journal</w:t>
      </w:r>
      <w:r>
        <w:t xml:space="preserve"> </w:t>
      </w:r>
      <w:r>
        <w:t xml:space="preserve">46 (184): 589–619.</w:t>
      </w:r>
      <w:r>
        <w:t xml:space="preserve"> </w:t>
      </w:r>
      <w:hyperlink r:id="rId339">
        <w:r>
          <w:rPr>
            <w:rStyle w:val="Hyperlink"/>
          </w:rPr>
          <w:t xml:space="preserve">https://doi.org/10.2307/2224674</w:t>
        </w:r>
      </w:hyperlink>
      <w:r>
        <w:t xml:space="preserve">.</w:t>
      </w:r>
    </w:p>
    <w:bookmarkEnd w:id="340"/>
    <w:bookmarkStart w:id="341" w:name="ref-Keynes1937"/>
    <w:p>
      <w:pPr>
        <w:pStyle w:val="Bibliography"/>
      </w:pPr>
      <w:r>
        <w:t xml:space="preserve">———. 1937.</w:t>
      </w:r>
      <w:r>
        <w:t xml:space="preserve"> </w:t>
      </w:r>
      <w:r>
        <w:t xml:space="preserve">“The General Theory of Employment.”</w:t>
      </w:r>
      <w:r>
        <w:t xml:space="preserve"> </w:t>
      </w:r>
      <w:r>
        <w:rPr>
          <w:iCs/>
          <w:i/>
        </w:rPr>
        <w:t xml:space="preserve">Quarterly Journal of Economics</w:t>
      </w:r>
      <w:r>
        <w:t xml:space="preserve"> </w:t>
      </w:r>
      <w:r>
        <w:t xml:space="preserve">51 (2): 209–23.</w:t>
      </w:r>
    </w:p>
    <w:bookmarkEnd w:id="341"/>
    <w:bookmarkStart w:id="343" w:name="ref-Kim2023"/>
    <w:p>
      <w:pPr>
        <w:pStyle w:val="Bibliography"/>
      </w:pPr>
      <w:r>
        <w:t xml:space="preserve">Kim, Brian. 2023.</w:t>
      </w:r>
      <w:r>
        <w:t xml:space="preserve"> </w:t>
      </w:r>
      <w:r>
        <w:t xml:space="preserve">“Pragmatic Infallibilism.”</w:t>
      </w:r>
      <w:r>
        <w:t xml:space="preserve"> </w:t>
      </w:r>
      <w:r>
        <w:rPr>
          <w:iCs/>
          <w:i/>
        </w:rPr>
        <w:t xml:space="preserve">Asian Journal of Philosophy</w:t>
      </w:r>
      <w:r>
        <w:t xml:space="preserve"> </w:t>
      </w:r>
      <w:r>
        <w:t xml:space="preserve">2 (2): 1–22.</w:t>
      </w:r>
      <w:r>
        <w:t xml:space="preserve"> </w:t>
      </w:r>
      <w:hyperlink r:id="rId342">
        <w:r>
          <w:rPr>
            <w:rStyle w:val="Hyperlink"/>
          </w:rPr>
          <w:t xml:space="preserve">https://doi.org/10.1007/s44204-023-00097-9</w:t>
        </w:r>
      </w:hyperlink>
      <w:r>
        <w:t xml:space="preserve">.</w:t>
      </w:r>
    </w:p>
    <w:bookmarkEnd w:id="343"/>
    <w:bookmarkStart w:id="345" w:name="ref-Kimball2015"/>
    <w:p>
      <w:pPr>
        <w:pStyle w:val="Bibliography"/>
      </w:pPr>
      <w:r>
        <w:t xml:space="preserve">Kimball, Miles. 2015.</w:t>
      </w:r>
      <w:r>
        <w:t xml:space="preserve"> </w:t>
      </w:r>
      <w:r>
        <w:t xml:space="preserve">“Cognitive Economics.”</w:t>
      </w:r>
      <w:r>
        <w:t xml:space="preserve"> </w:t>
      </w:r>
      <w:r>
        <w:rPr>
          <w:iCs/>
          <w:i/>
        </w:rPr>
        <w:t xml:space="preserve">The Japanese Economic Review</w:t>
      </w:r>
      <w:r>
        <w:t xml:space="preserve"> </w:t>
      </w:r>
      <w:r>
        <w:t xml:space="preserve">66 (2): 167–81.</w:t>
      </w:r>
      <w:r>
        <w:t xml:space="preserve"> </w:t>
      </w:r>
      <w:hyperlink r:id="rId344">
        <w:r>
          <w:rPr>
            <w:rStyle w:val="Hyperlink"/>
          </w:rPr>
          <w:t xml:space="preserve">https://doi.org/10.1111/jere.12070</w:t>
        </w:r>
      </w:hyperlink>
      <w:r>
        <w:t xml:space="preserve">.</w:t>
      </w:r>
    </w:p>
    <w:bookmarkEnd w:id="345"/>
    <w:bookmarkStart w:id="346"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346"/>
    <w:bookmarkStart w:id="348" w:name="ref-KohlbergMertens1986"/>
    <w:p>
      <w:pPr>
        <w:pStyle w:val="Bibliography"/>
      </w:pPr>
      <w:r>
        <w:t xml:space="preserve">Kohlberg, Elon, and Jean-Francois Mertens. 1986.</w:t>
      </w:r>
      <w:r>
        <w:t xml:space="preserve"> </w:t>
      </w:r>
      <w:r>
        <w:t xml:space="preserve">“On the Strategic Stability of Equilibria.”</w:t>
      </w:r>
      <w:r>
        <w:t xml:space="preserve"> </w:t>
      </w:r>
      <w:r>
        <w:rPr>
          <w:iCs/>
          <w:i/>
        </w:rPr>
        <w:t xml:space="preserve">Econometrica</w:t>
      </w:r>
      <w:r>
        <w:t xml:space="preserve"> </w:t>
      </w:r>
      <w:r>
        <w:t xml:space="preserve">54 (5): 1003–37.</w:t>
      </w:r>
      <w:r>
        <w:t xml:space="preserve"> </w:t>
      </w:r>
      <w:hyperlink r:id="rId347">
        <w:r>
          <w:rPr>
            <w:rStyle w:val="Hyperlink"/>
          </w:rPr>
          <w:t xml:space="preserve">https://doi.org/10.2307/1912320</w:t>
        </w:r>
      </w:hyperlink>
      <w:r>
        <w:t xml:space="preserve">.</w:t>
      </w:r>
    </w:p>
    <w:bookmarkEnd w:id="348"/>
    <w:bookmarkStart w:id="349" w:name="ref-Kratzer2012"/>
    <w:p>
      <w:pPr>
        <w:pStyle w:val="Bibliography"/>
      </w:pPr>
      <w:r>
        <w:t xml:space="preserve">Kratzer, Angelika. 2012.</w:t>
      </w:r>
      <w:r>
        <w:t xml:space="preserve"> </w:t>
      </w:r>
      <w:r>
        <w:rPr>
          <w:iCs/>
          <w:i/>
        </w:rPr>
        <w:t xml:space="preserve">Modals and Conditionals</w:t>
      </w:r>
      <w:r>
        <w:t xml:space="preserve">. Oxford: Oxford University Press.</w:t>
      </w:r>
    </w:p>
    <w:bookmarkEnd w:id="349"/>
    <w:bookmarkStart w:id="350" w:name="ref-KripkeNozick"/>
    <w:p>
      <w:pPr>
        <w:pStyle w:val="Bibliography"/>
      </w:pPr>
      <w:r>
        <w:t xml:space="preserve">Kripke, Saul. 2011.</w:t>
      </w:r>
      <w:r>
        <w:t xml:space="preserve"> </w:t>
      </w:r>
      <w:r>
        <w:t xml:space="preserve">“Nozick on Knowledge.”</w:t>
      </w:r>
      <w:r>
        <w:t xml:space="preserve"> </w:t>
      </w:r>
      <w:r>
        <w:t xml:space="preserve">In</w:t>
      </w:r>
      <w:r>
        <w:t xml:space="preserve"> </w:t>
      </w:r>
      <w:r>
        <w:rPr>
          <w:iCs/>
          <w:i/>
        </w:rPr>
        <w:t xml:space="preserve">Philosophical Troubles: Collected Papers, Volume 1</w:t>
      </w:r>
      <w:r>
        <w:t xml:space="preserve">, 161–224.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0"/>
    <w:bookmarkStart w:id="352" w:name="ref-Kroedel2012"/>
    <w:p>
      <w:pPr>
        <w:pStyle w:val="Bibliography"/>
      </w:pPr>
      <w:r>
        <w:t xml:space="preserve">Kroedel, Thomas. 2012.</w:t>
      </w:r>
      <w:r>
        <w:t xml:space="preserve"> </w:t>
      </w:r>
      <w:r>
        <w:t xml:space="preserve">“The Lottery Paradox, Epistemic Justification and Permissibility.”</w:t>
      </w:r>
      <w:r>
        <w:t xml:space="preserve"> </w:t>
      </w:r>
      <w:r>
        <w:rPr>
          <w:iCs/>
          <w:i/>
        </w:rPr>
        <w:t xml:space="preserve">Analysis</w:t>
      </w:r>
      <w:r>
        <w:t xml:space="preserve"> </w:t>
      </w:r>
      <w:r>
        <w:t xml:space="preserve">72 (1): 57–60.</w:t>
      </w:r>
      <w:r>
        <w:t xml:space="preserve"> </w:t>
      </w:r>
      <w:hyperlink r:id="rId351">
        <w:r>
          <w:rPr>
            <w:rStyle w:val="Hyperlink"/>
          </w:rPr>
          <w:t xml:space="preserve">https://doi.org/10.1093/analys/anr129</w:t>
        </w:r>
      </w:hyperlink>
      <w:r>
        <w:t xml:space="preserve">.</w:t>
      </w:r>
    </w:p>
    <w:bookmarkEnd w:id="352"/>
    <w:bookmarkStart w:id="354" w:name="ref-Lasonen-Aarnio2010b"/>
    <w:p>
      <w:pPr>
        <w:pStyle w:val="Bibliography"/>
      </w:pPr>
      <w:r>
        <w:t xml:space="preserve">Lasonen-Aarnio, Maria. 2010.</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353">
        <w:r>
          <w:rPr>
            <w:rStyle w:val="Hyperlink"/>
          </w:rPr>
          <w:t xml:space="preserve">https://doi.org/10.1111/j.1520-8583.2010.00183.x</w:t>
        </w:r>
      </w:hyperlink>
      <w:r>
        <w:t xml:space="preserve">.</w:t>
      </w:r>
    </w:p>
    <w:bookmarkEnd w:id="354"/>
    <w:bookmarkStart w:id="356" w:name="ref-Lasonen-Aarnio2014"/>
    <w:p>
      <w:pPr>
        <w:pStyle w:val="Bibliography"/>
      </w:pPr>
      <w:r>
        <w:t xml:space="preserve">———. 2014.</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355">
        <w:r>
          <w:rPr>
            <w:rStyle w:val="Hyperlink"/>
          </w:rPr>
          <w:t xml:space="preserve">https://doi.org/10.1111/phpr.12090</w:t>
        </w:r>
      </w:hyperlink>
      <w:r>
        <w:t xml:space="preserve">.</w:t>
      </w:r>
    </w:p>
    <w:bookmarkEnd w:id="356"/>
    <w:bookmarkStart w:id="358" w:name="ref-Lederman2018"/>
    <w:p>
      <w:pPr>
        <w:pStyle w:val="Bibliography"/>
      </w:pPr>
      <w:r>
        <w:t xml:space="preserve">Lederman, Harvey. 2018.</w:t>
      </w:r>
      <w:r>
        <w:t xml:space="preserve"> </w:t>
      </w:r>
      <w:r>
        <w:t xml:space="preserve">“Two Paradoxes of Common Knowledge: Coordinated Attack and Electronic Mail.”</w:t>
      </w:r>
      <w:r>
        <w:t xml:space="preserve"> </w:t>
      </w:r>
      <w:r>
        <w:rPr>
          <w:iCs/>
          <w:i/>
        </w:rPr>
        <w:t xml:space="preserve">No</w:t>
      </w:r>
      <w:r>
        <w:rPr>
          <w:iCs/>
          <w:i/>
        </w:rPr>
        <w:t xml:space="preserve">û</w:t>
      </w:r>
      <w:r>
        <w:rPr>
          <w:iCs/>
          <w:i/>
        </w:rPr>
        <w:t xml:space="preserve">s</w:t>
      </w:r>
      <w:r>
        <w:t xml:space="preserve"> </w:t>
      </w:r>
      <w:r>
        <w:t xml:space="preserve">52 (4): 921–45.</w:t>
      </w:r>
      <w:r>
        <w:t xml:space="preserve"> </w:t>
      </w:r>
      <w:hyperlink r:id="rId357">
        <w:r>
          <w:rPr>
            <w:rStyle w:val="Hyperlink"/>
          </w:rPr>
          <w:t xml:space="preserve">https://doi.org/10.1111/nous.12186</w:t>
        </w:r>
      </w:hyperlink>
      <w:r>
        <w:t xml:space="preserve">.</w:t>
      </w:r>
    </w:p>
    <w:bookmarkEnd w:id="358"/>
    <w:bookmarkStart w:id="360" w:name="ref-Lee2017b"/>
    <w:p>
      <w:pPr>
        <w:pStyle w:val="Bibliography"/>
      </w:pPr>
      <w:r>
        <w:t xml:space="preserve">Lee, Matthew. 2017.</w:t>
      </w:r>
      <w:r>
        <w:t xml:space="preserve"> </w:t>
      </w:r>
      <w:r>
        <w:t xml:space="preserve">“On the Arbitrariness Objection to the Threshold View.”</w:t>
      </w:r>
      <w:r>
        <w:t xml:space="preserve"> </w:t>
      </w:r>
      <w:r>
        <w:rPr>
          <w:iCs/>
          <w:i/>
        </w:rPr>
        <w:t xml:space="preserve">Dialogue</w:t>
      </w:r>
      <w:r>
        <w:t xml:space="preserve"> </w:t>
      </w:r>
      <w:r>
        <w:t xml:space="preserve">56 (1): 143–58.</w:t>
      </w:r>
      <w:r>
        <w:t xml:space="preserve"> </w:t>
      </w:r>
      <w:hyperlink r:id="rId359">
        <w:r>
          <w:rPr>
            <w:rStyle w:val="Hyperlink"/>
          </w:rPr>
          <w:t xml:space="preserve">https://doi.org/10.1017/S0012217317000154</w:t>
        </w:r>
      </w:hyperlink>
      <w:r>
        <w:t xml:space="preserve">.</w:t>
      </w:r>
    </w:p>
    <w:bookmarkEnd w:id="360"/>
    <w:bookmarkStart w:id="362" w:name="ref-Lee2017a"/>
    <w:p>
      <w:pPr>
        <w:pStyle w:val="Bibliography"/>
      </w:pPr>
      <w:r>
        <w:t xml:space="preserve">Lee, Matthew Brandon. 2017.</w:t>
      </w:r>
      <w:r>
        <w:t xml:space="preserve"> </w:t>
      </w:r>
      <w:r>
        <w:t xml:space="preserve">“Credence and Correctness: In Defense of Credal Reductivism.”</w:t>
      </w:r>
      <w:r>
        <w:t xml:space="preserve"> </w:t>
      </w:r>
      <w:r>
        <w:rPr>
          <w:iCs/>
          <w:i/>
        </w:rPr>
        <w:t xml:space="preserve">Philosophical Papers</w:t>
      </w:r>
      <w:r>
        <w:t xml:space="preserve"> </w:t>
      </w:r>
      <w:r>
        <w:t xml:space="preserve">46 (2): 273–96.</w:t>
      </w:r>
      <w:r>
        <w:t xml:space="preserve"> </w:t>
      </w:r>
      <w:hyperlink r:id="rId361">
        <w:r>
          <w:rPr>
            <w:rStyle w:val="Hyperlink"/>
          </w:rPr>
          <w:t xml:space="preserve">https://doi.org/10.1080/05568641.2017.1364142</w:t>
        </w:r>
      </w:hyperlink>
      <w:r>
        <w:t xml:space="preserve">.</w:t>
      </w:r>
    </w:p>
    <w:bookmarkEnd w:id="362"/>
    <w:bookmarkStart w:id="363"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63"/>
    <w:bookmarkStart w:id="365" w:name="ref-Lewis1976b"/>
    <w:p>
      <w:pPr>
        <w:pStyle w:val="Bibliography"/>
      </w:pPr>
      <w:r>
        <w:t xml:space="preserve">———. 1976.</w:t>
      </w:r>
      <w:r>
        <w:t xml:space="preserve"> </w:t>
      </w:r>
      <w:r>
        <w:t xml:space="preserve">“Probabilities of Conditionals and Conditional Probabilities.”</w:t>
      </w:r>
      <w:r>
        <w:t xml:space="preserve"> </w:t>
      </w:r>
      <w:r>
        <w:rPr>
          <w:iCs/>
          <w:i/>
        </w:rPr>
        <w:t xml:space="preserve">Philosophical Review</w:t>
      </w:r>
      <w:r>
        <w:t xml:space="preserve"> </w:t>
      </w:r>
      <w:r>
        <w:t xml:space="preserve">85 (3): 297–315.</w:t>
      </w:r>
      <w:r>
        <w:t xml:space="preserve"> </w:t>
      </w:r>
      <w:hyperlink r:id="rId364">
        <w:r>
          <w:rPr>
            <w:rStyle w:val="Hyperlink"/>
          </w:rPr>
          <w:t xml:space="preserve">https://doi.org/10.2307/2184045</w:t>
        </w:r>
      </w:hyperlink>
      <w:r>
        <w:t xml:space="preserve">.</w:t>
      </w:r>
    </w:p>
    <w:bookmarkEnd w:id="365"/>
    <w:bookmarkStart w:id="367"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66">
        <w:r>
          <w:rPr>
            <w:rStyle w:val="Hyperlink"/>
          </w:rPr>
          <w:t xml:space="preserve">https://doi.org/10.1017/cbo9780511625237.009</w:t>
        </w:r>
      </w:hyperlink>
      <w:r>
        <w:t xml:space="preserve">.</w:t>
      </w:r>
    </w:p>
    <w:bookmarkEnd w:id="367"/>
    <w:bookmarkStart w:id="369" w:name="ref-Lewis1986h"/>
    <w:p>
      <w:pPr>
        <w:pStyle w:val="Bibliography"/>
      </w:pPr>
      <w:r>
        <w:t xml:space="preserve">———. 1986.</w:t>
      </w:r>
      <w:r>
        <w:t xml:space="preserve"> </w:t>
      </w:r>
      <w:r>
        <w:t xml:space="preserve">“Probabilities of Conditionals and Conditional Probabilities</w:t>
      </w:r>
      <w:r>
        <w:t xml:space="preserve"> </w:t>
      </w:r>
      <w:r>
        <w:t xml:space="preserve">II</w:t>
      </w:r>
      <w:r>
        <w:t xml:space="preserve">.”</w:t>
      </w:r>
      <w:r>
        <w:t xml:space="preserve"> </w:t>
      </w:r>
      <w:r>
        <w:rPr>
          <w:iCs/>
          <w:i/>
        </w:rPr>
        <w:t xml:space="preserve">Philosophical Review</w:t>
      </w:r>
      <w:r>
        <w:t xml:space="preserve"> </w:t>
      </w:r>
      <w:r>
        <w:t xml:space="preserve">95 (4): 581–89.</w:t>
      </w:r>
      <w:r>
        <w:t xml:space="preserve"> </w:t>
      </w:r>
      <w:hyperlink r:id="rId368">
        <w:r>
          <w:rPr>
            <w:rStyle w:val="Hyperlink"/>
          </w:rPr>
          <w:t xml:space="preserve">https://doi.org/10.2307/2185051</w:t>
        </w:r>
      </w:hyperlink>
      <w:r>
        <w:t xml:space="preserve">.</w:t>
      </w:r>
    </w:p>
    <w:bookmarkEnd w:id="369"/>
    <w:bookmarkStart w:id="371"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70">
        <w:r>
          <w:rPr>
            <w:rStyle w:val="Hyperlink"/>
          </w:rPr>
          <w:t xml:space="preserve">https://doi.org/10.1093/mind/xcvii.387.323</w:t>
        </w:r>
      </w:hyperlink>
      <w:r>
        <w:t xml:space="preserve">.</w:t>
      </w:r>
    </w:p>
    <w:bookmarkEnd w:id="371"/>
    <w:bookmarkStart w:id="373"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72">
        <w:r>
          <w:rPr>
            <w:rStyle w:val="Hyperlink"/>
          </w:rPr>
          <w:t xml:space="preserve">https://doi.org/10.1093/mind/105.418.303</w:t>
        </w:r>
      </w:hyperlink>
      <w:r>
        <w:t xml:space="preserve">.</w:t>
      </w:r>
    </w:p>
    <w:bookmarkEnd w:id="373"/>
    <w:bookmarkStart w:id="374" w:name="ref-Lewis2004a"/>
    <w:p>
      <w:pPr>
        <w:pStyle w:val="Bibliography"/>
      </w:pPr>
      <w:r>
        <w:t xml:space="preserve">———. 2004.</w:t>
      </w:r>
      <w:r>
        <w:t xml:space="preserve"> </w:t>
      </w:r>
      <w:r>
        <w:t xml:space="preserve">“Causation as Influence.”</w:t>
      </w:r>
      <w:r>
        <w:t xml:space="preserve"> </w:t>
      </w:r>
      <w:r>
        <w:t xml:space="preserve">In</w:t>
      </w:r>
      <w:r>
        <w:t xml:space="preserve"> </w:t>
      </w:r>
      <w:r>
        <w:rPr>
          <w:iCs/>
          <w:i/>
        </w:rPr>
        <w:t xml:space="preserve">Causation and Counterfactuals</w:t>
      </w:r>
      <w:r>
        <w:t xml:space="preserve">, edited by John Collins, Ned Hall, and L. A. Paul, 75–106. Cambridge:</w:t>
      </w:r>
      <w:r>
        <w:t xml:space="preserve"> </w:t>
      </w:r>
      <w:r>
        <w:t xml:space="preserve">MIT</w:t>
      </w:r>
      <w:r>
        <w:t xml:space="preserve"> </w:t>
      </w:r>
      <w:r>
        <w:t xml:space="preserve">Press.</w:t>
      </w:r>
    </w:p>
    <w:bookmarkEnd w:id="374"/>
    <w:bookmarkStart w:id="376"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75">
        <w:r>
          <w:rPr>
            <w:rStyle w:val="Hyperlink"/>
          </w:rPr>
          <w:t xml:space="preserve">https://doi.org/10.2307/2296233</w:t>
        </w:r>
      </w:hyperlink>
      <w:r>
        <w:t xml:space="preserve">.</w:t>
      </w:r>
    </w:p>
    <w:bookmarkEnd w:id="376"/>
    <w:bookmarkStart w:id="378" w:name="ref-Littlejohn2015"/>
    <w:p>
      <w:pPr>
        <w:pStyle w:val="Bibliography"/>
      </w:pPr>
      <w:r>
        <w:t xml:space="preserve">Littlejohn, Clayton.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377">
        <w:r>
          <w:rPr>
            <w:rStyle w:val="Hyperlink"/>
          </w:rPr>
          <w:t xml:space="preserve">https://doi.org/10.1111/phpr.12271</w:t>
        </w:r>
      </w:hyperlink>
      <w:r>
        <w:t xml:space="preserve">.</w:t>
      </w:r>
    </w:p>
    <w:bookmarkEnd w:id="378"/>
    <w:bookmarkStart w:id="379" w:name="ref-MacFarlane2005-Knowledge"/>
    <w:p>
      <w:pPr>
        <w:pStyle w:val="Bibliography"/>
      </w:pPr>
      <w:r>
        <w:t xml:space="preserve">MacFarlane, John. 2005.</w:t>
      </w:r>
      <w:r>
        <w:t xml:space="preserve"> </w:t>
      </w:r>
      <w:r>
        <w:t xml:space="preserve">“The Assessment Sensitivity of Knowledge Attributions.”</w:t>
      </w:r>
      <w:r>
        <w:t xml:space="preserve"> </w:t>
      </w:r>
      <w:r>
        <w:rPr>
          <w:iCs/>
          <w:i/>
        </w:rPr>
        <w:t xml:space="preserve">Oxford Studies in Epistemology</w:t>
      </w:r>
      <w:r>
        <w:t xml:space="preserve"> </w:t>
      </w:r>
      <w:r>
        <w:t xml:space="preserve">1: 197–233.</w:t>
      </w:r>
    </w:p>
    <w:bookmarkEnd w:id="379"/>
    <w:bookmarkStart w:id="381" w:name="ref-MachamerEtAl2000"/>
    <w:p>
      <w:pPr>
        <w:pStyle w:val="Bibliography"/>
      </w:pPr>
      <w:r>
        <w:t xml:space="preserve">Machamer, Peter, Lindley Darden, and Carl F. Craver. 2000.</w:t>
      </w:r>
      <w:r>
        <w:t xml:space="preserve"> </w:t>
      </w:r>
      <w:r>
        <w:t xml:space="preserve">“Thinking about Mechanisms.”</w:t>
      </w:r>
      <w:r>
        <w:t xml:space="preserve"> </w:t>
      </w:r>
      <w:r>
        <w:rPr>
          <w:iCs/>
          <w:i/>
        </w:rPr>
        <w:t xml:space="preserve">Philosophy of Science</w:t>
      </w:r>
      <w:r>
        <w:t xml:space="preserve"> </w:t>
      </w:r>
      <w:r>
        <w:t xml:space="preserve">67 (1): 1–25.</w:t>
      </w:r>
      <w:r>
        <w:t xml:space="preserve"> </w:t>
      </w:r>
      <w:hyperlink r:id="rId380">
        <w:r>
          <w:rPr>
            <w:rStyle w:val="Hyperlink"/>
          </w:rPr>
          <w:t xml:space="preserve">https://doi.org/10.1086/392759</w:t>
        </w:r>
      </w:hyperlink>
      <w:r>
        <w:t xml:space="preserve">.</w:t>
      </w:r>
    </w:p>
    <w:bookmarkEnd w:id="381"/>
    <w:bookmarkStart w:id="383" w:name="ref-Maher1996"/>
    <w:p>
      <w:pPr>
        <w:pStyle w:val="Bibliography"/>
      </w:pPr>
      <w:r>
        <w:t xml:space="preserve">Maher, Patrick. 1996.</w:t>
      </w:r>
      <w:r>
        <w:t xml:space="preserve"> </w:t>
      </w:r>
      <w:r>
        <w:t xml:space="preserve">“Subjective and Objective Confirmation.”</w:t>
      </w:r>
      <w:r>
        <w:t xml:space="preserve"> </w:t>
      </w:r>
      <w:r>
        <w:rPr>
          <w:iCs/>
          <w:i/>
        </w:rPr>
        <w:t xml:space="preserve">Philosophy of Science</w:t>
      </w:r>
      <w:r>
        <w:t xml:space="preserve"> </w:t>
      </w:r>
      <w:r>
        <w:t xml:space="preserve">63 (2): 149–74.</w:t>
      </w:r>
      <w:r>
        <w:t xml:space="preserve"> </w:t>
      </w:r>
      <w:hyperlink r:id="rId382">
        <w:r>
          <w:rPr>
            <w:rStyle w:val="Hyperlink"/>
          </w:rPr>
          <w:t xml:space="preserve">https://doi.org/10.1086/289906</w:t>
        </w:r>
      </w:hyperlink>
      <w:r>
        <w:t xml:space="preserve">.</w:t>
      </w:r>
    </w:p>
    <w:bookmarkEnd w:id="383"/>
    <w:bookmarkStart w:id="384" w:name="ref-sep-abilities"/>
    <w:p>
      <w:pPr>
        <w:pStyle w:val="Bibliography"/>
      </w:pPr>
      <w:r>
        <w:t xml:space="preserve">Maier, John. 2022.</w:t>
      </w:r>
      <w:r>
        <w:t xml:space="preserve"> </w:t>
      </w:r>
      <w:r>
        <w:t xml:space="preserve">“</w:t>
      </w:r>
      <w:r>
        <w:t xml:space="preserve">Abilities</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 and Uri Nodelman,</w:t>
      </w:r>
      <w:r>
        <w:t xml:space="preserve"> </w:t>
      </w:r>
      <w:r>
        <w:t xml:space="preserve">F</w:t>
      </w:r>
      <w:r>
        <w:t xml:space="preserve">all 2022. Metaphysics Research Lab, Stanford University.</w:t>
      </w:r>
    </w:p>
    <w:bookmarkEnd w:id="384"/>
    <w:bookmarkStart w:id="386" w:name="ref-MaitraWeatherson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385">
        <w:r>
          <w:rPr>
            <w:rStyle w:val="Hyperlink"/>
          </w:rPr>
          <w:t xml:space="preserve">https://doi.org/10.1007/s11098-010-9542-z</w:t>
        </w:r>
      </w:hyperlink>
      <w:r>
        <w:t xml:space="preserve">.</w:t>
      </w:r>
    </w:p>
    <w:bookmarkEnd w:id="386"/>
    <w:bookmarkStart w:id="388" w:name="ref-MandelkernEtAl2017"/>
    <w:p>
      <w:pPr>
        <w:pStyle w:val="Bibliography"/>
      </w:pPr>
      <w:r>
        <w:t xml:space="preserve">Mandelkern, Matthew, Ginger Schultheis, and David Boylan. 2017.</w:t>
      </w:r>
      <w:r>
        <w:t xml:space="preserve"> </w:t>
      </w:r>
      <w:r>
        <w:t xml:space="preserve">“Agentive Modals.”</w:t>
      </w:r>
      <w:r>
        <w:t xml:space="preserve"> </w:t>
      </w:r>
      <w:r>
        <w:rPr>
          <w:iCs/>
          <w:i/>
        </w:rPr>
        <w:t xml:space="preserve">Philosophical Review</w:t>
      </w:r>
      <w:r>
        <w:t xml:space="preserve"> </w:t>
      </w:r>
      <w:r>
        <w:t xml:space="preserve">126 (3): 301–43.</w:t>
      </w:r>
      <w:r>
        <w:t xml:space="preserve"> </w:t>
      </w:r>
      <w:hyperlink r:id="rId387">
        <w:r>
          <w:rPr>
            <w:rStyle w:val="Hyperlink"/>
          </w:rPr>
          <w:t xml:space="preserve">https://doi.org/10.1215/00318108-3878483</w:t>
        </w:r>
      </w:hyperlink>
      <w:r>
        <w:t xml:space="preserve">.</w:t>
      </w:r>
    </w:p>
    <w:bookmarkEnd w:id="388"/>
    <w:bookmarkStart w:id="390" w:name="ref-ManganEtAl2010"/>
    <w:p>
      <w:pPr>
        <w:pStyle w:val="Bibliography"/>
      </w:pPr>
      <w:r>
        <w:t xml:space="preserve">Mangan, Jean, Amanda Hughes, and Kim Slack. 2010.</w:t>
      </w:r>
      <w:r>
        <w:t xml:space="preserve"> </w:t>
      </w:r>
      <w:r>
        <w:t xml:space="preserve">“Student Finance, Information and Decision Making.”</w:t>
      </w:r>
      <w:r>
        <w:t xml:space="preserve"> </w:t>
      </w:r>
      <w:r>
        <w:rPr>
          <w:iCs/>
          <w:i/>
        </w:rPr>
        <w:t xml:space="preserve">Higher Education</w:t>
      </w:r>
      <w:r>
        <w:t xml:space="preserve"> </w:t>
      </w:r>
      <w:r>
        <w:t xml:space="preserve">60 (5): 459–72.</w:t>
      </w:r>
      <w:r>
        <w:t xml:space="preserve"> </w:t>
      </w:r>
      <w:hyperlink r:id="rId389">
        <w:r>
          <w:rPr>
            <w:rStyle w:val="Hyperlink"/>
          </w:rPr>
          <w:t xml:space="preserve">https://doi.org/10.1007/s10734-010-9309-7</w:t>
        </w:r>
      </w:hyperlink>
      <w:r>
        <w:t xml:space="preserve">.</w:t>
      </w:r>
    </w:p>
    <w:bookmarkEnd w:id="390"/>
    <w:bookmarkStart w:id="392" w:name="ref-Manski2017"/>
    <w:p>
      <w:pPr>
        <w:pStyle w:val="Bibliography"/>
      </w:pPr>
      <w:r>
        <w:t xml:space="preserve">Manski, Charles F. 2017.</w:t>
      </w:r>
      <w:r>
        <w:t xml:space="preserve"> </w:t>
      </w:r>
      <w:r>
        <w:t xml:space="preserve">“Optimize, Satisfice, or Choose Without Deliberation? A Simple Minimax-Regret Assessment.”</w:t>
      </w:r>
      <w:r>
        <w:t xml:space="preserve"> </w:t>
      </w:r>
      <w:r>
        <w:rPr>
          <w:iCs/>
          <w:i/>
        </w:rPr>
        <w:t xml:space="preserve">Theory and Decision</w:t>
      </w:r>
      <w:r>
        <w:t xml:space="preserve"> </w:t>
      </w:r>
      <w:r>
        <w:t xml:space="preserve">83 (2): 155–73.</w:t>
      </w:r>
      <w:r>
        <w:t xml:space="preserve"> </w:t>
      </w:r>
      <w:hyperlink r:id="rId391">
        <w:r>
          <w:rPr>
            <w:rStyle w:val="Hyperlink"/>
          </w:rPr>
          <w:t xml:space="preserve">https://doi.org/10.1007/s11238-017-9592-1</w:t>
        </w:r>
      </w:hyperlink>
      <w:r>
        <w:t xml:space="preserve">.</w:t>
      </w:r>
    </w:p>
    <w:bookmarkEnd w:id="392"/>
    <w:bookmarkStart w:id="394" w:name="ref-McGrath2021"/>
    <w:p>
      <w:pPr>
        <w:pStyle w:val="Bibliography"/>
      </w:pPr>
      <w:r>
        <w:t xml:space="preserve">McGrath, Matthew. 2021.</w:t>
      </w:r>
      <w:r>
        <w:t xml:space="preserve"> </w:t>
      </w:r>
      <w:r>
        <w:t xml:space="preserve">“Being Neutral: Agnosticism, Inquiry and the Suspension of Judgment.”</w:t>
      </w:r>
      <w:r>
        <w:t xml:space="preserve"> </w:t>
      </w:r>
      <w:r>
        <w:rPr>
          <w:iCs/>
          <w:i/>
        </w:rPr>
        <w:t xml:space="preserve">No</w:t>
      </w:r>
      <w:r>
        <w:rPr>
          <w:iCs/>
          <w:i/>
        </w:rPr>
        <w:t xml:space="preserve">û</w:t>
      </w:r>
      <w:r>
        <w:rPr>
          <w:iCs/>
          <w:i/>
        </w:rPr>
        <w:t xml:space="preserve">s</w:t>
      </w:r>
      <w:r>
        <w:t xml:space="preserve"> </w:t>
      </w:r>
      <w:r>
        <w:t xml:space="preserve">55 (2): 463–84.</w:t>
      </w:r>
      <w:r>
        <w:t xml:space="preserve"> </w:t>
      </w:r>
      <w:hyperlink r:id="rId393">
        <w:r>
          <w:rPr>
            <w:rStyle w:val="Hyperlink"/>
          </w:rPr>
          <w:t xml:space="preserve">https://doi.org/10.1111/nous.12323</w:t>
        </w:r>
      </w:hyperlink>
      <w:r>
        <w:t xml:space="preserve">.</w:t>
      </w:r>
    </w:p>
    <w:bookmarkEnd w:id="394"/>
    <w:bookmarkStart w:id="395" w:name="ref-McGrathKim2019"/>
    <w:p>
      <w:pPr>
        <w:pStyle w:val="Bibliography"/>
      </w:pPr>
      <w:r>
        <w:t xml:space="preserve">McGrath, Matthew, and Brian Kim. 2019.</w:t>
      </w:r>
      <w:r>
        <w:t xml:space="preserve"> </w:t>
      </w:r>
      <w:r>
        <w:t xml:space="preserve">“Introduction.”</w:t>
      </w:r>
      <w:r>
        <w:t xml:space="preserve"> </w:t>
      </w:r>
      <w:r>
        <w:t xml:space="preserve">In</w:t>
      </w:r>
      <w:r>
        <w:t xml:space="preserve"> </w:t>
      </w:r>
      <w:r>
        <w:rPr>
          <w:iCs/>
          <w:i/>
        </w:rPr>
        <w:t xml:space="preserve">Pragmatic Encroachment in Epistemology</w:t>
      </w:r>
      <w:r>
        <w:t xml:space="preserve">, edited by Brian Kim and Matthew McGrath, 1–9. New York: Routledge.</w:t>
      </w:r>
    </w:p>
    <w:bookmarkEnd w:id="395"/>
    <w:bookmarkStart w:id="396" w:name="ref-McKenna2024"/>
    <w:p>
      <w:pPr>
        <w:pStyle w:val="Bibliography"/>
      </w:pPr>
      <w:r>
        <w:t xml:space="preserve">McKenna, Robin. forthcoming.</w:t>
      </w:r>
      <w:r>
        <w:t xml:space="preserve"> </w:t>
      </w:r>
      <w:r>
        <w:t xml:space="preserve">“Pragmatic Encroachment and Feminist Epistemology.”</w:t>
      </w:r>
      <w:r>
        <w:t xml:space="preserve"> </w:t>
      </w:r>
      <w:r>
        <w:t xml:space="preserve">In</w:t>
      </w:r>
      <w:r>
        <w:t xml:space="preserve"> </w:t>
      </w:r>
      <w:r>
        <w:rPr>
          <w:iCs/>
          <w:i/>
        </w:rPr>
        <w:t xml:space="preserve">Social Epistemology and Epistemic Relativism</w:t>
      </w:r>
      <w:r>
        <w:t xml:space="preserve">, edited by Natalie Alana Ashton, Martin Kusch, Robin McKenna, and Katharina Sodoma. Routledge.</w:t>
      </w:r>
    </w:p>
    <w:bookmarkEnd w:id="396"/>
    <w:bookmarkStart w:id="397" w:name="ref-Melchior2019"/>
    <w:p>
      <w:pPr>
        <w:pStyle w:val="Bibliography"/>
      </w:pPr>
      <w:r>
        <w:t xml:space="preserve">Melchior, Guido. 2019.</w:t>
      </w:r>
      <w:r>
        <w:t xml:space="preserve"> </w:t>
      </w:r>
      <w:r>
        <w:rPr>
          <w:iCs/>
          <w:i/>
        </w:rPr>
        <w:t xml:space="preserve">Knowing and Checking: An Epistemological Investigation</w:t>
      </w:r>
      <w:r>
        <w:t xml:space="preserve">. New York: Routledge.</w:t>
      </w:r>
    </w:p>
    <w:bookmarkEnd w:id="397"/>
    <w:bookmarkStart w:id="398" w:name="ref-Mercier2020"/>
    <w:p>
      <w:pPr>
        <w:pStyle w:val="Bibliography"/>
      </w:pPr>
      <w:r>
        <w:t xml:space="preserve">Mercier, Hugo. 2020.</w:t>
      </w:r>
      <w:r>
        <w:t xml:space="preserve"> </w:t>
      </w:r>
      <w:r>
        <w:rPr>
          <w:iCs/>
          <w:i/>
        </w:rPr>
        <w:t xml:space="preserve">Not Born Yesterday: The Science of Who We Trust and What We Believe</w:t>
      </w:r>
      <w:r>
        <w:t xml:space="preserve">. Princeton: Princeton University Press.</w:t>
      </w:r>
    </w:p>
    <w:bookmarkEnd w:id="398"/>
    <w:bookmarkStart w:id="400" w:name="ref-Nagel2010"/>
    <w:p>
      <w:pPr>
        <w:pStyle w:val="Bibliography"/>
      </w:pPr>
      <w:r>
        <w:t xml:space="preserve">Nagel, Jennifer. 2010.</w:t>
      </w:r>
      <w:r>
        <w:t xml:space="preserve"> </w:t>
      </w:r>
      <w:r>
        <w:t xml:space="preserve">“Epistemic Anxiety and Adaptive Invariantism.”</w:t>
      </w:r>
      <w:r>
        <w:t xml:space="preserve"> </w:t>
      </w:r>
      <w:r>
        <w:rPr>
          <w:iCs/>
          <w:i/>
        </w:rPr>
        <w:t xml:space="preserve">Philosophical Perspectives</w:t>
      </w:r>
      <w:r>
        <w:t xml:space="preserve"> </w:t>
      </w:r>
      <w:r>
        <w:t xml:space="preserve">24 (1): 407–35.</w:t>
      </w:r>
      <w:r>
        <w:t xml:space="preserve"> </w:t>
      </w:r>
      <w:hyperlink r:id="rId399">
        <w:r>
          <w:rPr>
            <w:rStyle w:val="Hyperlink"/>
          </w:rPr>
          <w:t xml:space="preserve">https://doi.org/10.1111/j.1520-8583.2010.00198.x</w:t>
        </w:r>
      </w:hyperlink>
      <w:r>
        <w:t xml:space="preserve">.</w:t>
      </w:r>
    </w:p>
    <w:bookmarkEnd w:id="400"/>
    <w:bookmarkStart w:id="402" w:name="ref-Nagel2013-Williamson"/>
    <w:p>
      <w:pPr>
        <w:pStyle w:val="Bibliography"/>
      </w:pPr>
      <w:r>
        <w:t xml:space="preserve">———. 2013.</w:t>
      </w:r>
      <w:r>
        <w:t xml:space="preserve"> </w:t>
      </w:r>
      <w:r>
        <w:t xml:space="preserve">“Motivating Williamson’s Model Gettier Cases.”</w:t>
      </w:r>
      <w:r>
        <w:t xml:space="preserve"> </w:t>
      </w:r>
      <w:r>
        <w:rPr>
          <w:iCs/>
          <w:i/>
        </w:rPr>
        <w:t xml:space="preserve">Inquiry</w:t>
      </w:r>
      <w:r>
        <w:t xml:space="preserve"> </w:t>
      </w:r>
      <w:r>
        <w:t xml:space="preserve">56 (1): 54–62.</w:t>
      </w:r>
      <w:r>
        <w:t xml:space="preserve"> </w:t>
      </w:r>
      <w:hyperlink r:id="rId401">
        <w:r>
          <w:rPr>
            <w:rStyle w:val="Hyperlink"/>
          </w:rPr>
          <w:t xml:space="preserve">https://doi.org/10.1080/0020174X.2013.775014</w:t>
        </w:r>
      </w:hyperlink>
      <w:r>
        <w:t xml:space="preserve">.</w:t>
      </w:r>
    </w:p>
    <w:bookmarkEnd w:id="402"/>
    <w:bookmarkStart w:id="403" w:name="ref-Nagel2014"/>
    <w:p>
      <w:pPr>
        <w:pStyle w:val="Bibliography"/>
      </w:pPr>
      <w:r>
        <w:t xml:space="preserve">———. 2014.</w:t>
      </w:r>
      <w:r>
        <w:t xml:space="preserve"> </w:t>
      </w:r>
      <w:r>
        <w:rPr>
          <w:iCs/>
          <w:i/>
        </w:rPr>
        <w:t xml:space="preserve">Knowledge: A Very Short Introduction</w:t>
      </w:r>
      <w:r>
        <w:t xml:space="preserve">. Oxford: Oxford University Press.</w:t>
      </w:r>
    </w:p>
    <w:bookmarkEnd w:id="403"/>
    <w:bookmarkStart w:id="405" w:name="ref-Nair2019"/>
    <w:p>
      <w:pPr>
        <w:pStyle w:val="Bibliography"/>
      </w:pPr>
      <w:r>
        <w:t xml:space="preserve">Nair, Shyam. 2019.</w:t>
      </w:r>
      <w:r>
        <w:t xml:space="preserve"> </w:t>
      </w:r>
      <w:r>
        <w:t xml:space="preserve">“Must Good Reasoning Satisfy Cumulative Transitivity?”</w:t>
      </w:r>
      <w:r>
        <w:t xml:space="preserve"> </w:t>
      </w:r>
      <w:r>
        <w:rPr>
          <w:iCs/>
          <w:i/>
        </w:rPr>
        <w:t xml:space="preserve">Philosophy and Phenomenological Research</w:t>
      </w:r>
      <w:r>
        <w:t xml:space="preserve"> </w:t>
      </w:r>
      <w:r>
        <w:t xml:space="preserve">98 (1): 123–46.</w:t>
      </w:r>
      <w:r>
        <w:t xml:space="preserve"> </w:t>
      </w:r>
      <w:hyperlink r:id="rId404">
        <w:r>
          <w:rPr>
            <w:rStyle w:val="Hyperlink"/>
          </w:rPr>
          <w:t xml:space="preserve">https://doi.org/10.1111/phpr.12431</w:t>
        </w:r>
      </w:hyperlink>
      <w:r>
        <w:t xml:space="preserve">.</w:t>
      </w:r>
    </w:p>
    <w:bookmarkEnd w:id="405"/>
    <w:bookmarkStart w:id="407" w:name="ref-Neta2007"/>
    <w:p>
      <w:pPr>
        <w:pStyle w:val="Bibliography"/>
      </w:pPr>
      <w:r>
        <w:t xml:space="preserve">Neta, Ram. 2007.</w:t>
      </w:r>
      <w:r>
        <w:t xml:space="preserve"> </w:t>
      </w:r>
      <w:r>
        <w:t xml:space="preserve">“Anti-Intellectualism and the Knowledge-Action Principle.”</w:t>
      </w:r>
      <w:r>
        <w:t xml:space="preserve"> </w:t>
      </w:r>
      <w:r>
        <w:rPr>
          <w:iCs/>
          <w:i/>
        </w:rPr>
        <w:t xml:space="preserve">Philosophy and Phenomenological Research</w:t>
      </w:r>
      <w:r>
        <w:t xml:space="preserve"> </w:t>
      </w:r>
      <w:r>
        <w:t xml:space="preserve">75 (1): 180–87.</w:t>
      </w:r>
      <w:r>
        <w:t xml:space="preserve"> </w:t>
      </w:r>
      <w:hyperlink r:id="rId406">
        <w:r>
          <w:rPr>
            <w:rStyle w:val="Hyperlink"/>
          </w:rPr>
          <w:t xml:space="preserve">https://doi.org/10.1111/j.1933-1592.2007.00069.x</w:t>
        </w:r>
      </w:hyperlink>
      <w:r>
        <w:t xml:space="preserve">.</w:t>
      </w:r>
    </w:p>
    <w:bookmarkEnd w:id="407"/>
    <w:bookmarkStart w:id="409" w:name="ref-NewmanEtAl2018"/>
    <w:p>
      <w:pPr>
        <w:pStyle w:val="Bibliography"/>
      </w:pPr>
      <w:r>
        <w:t xml:space="preserve">Newman, David B., Joanna Schug, Masaki Yuki, Junko Yamada, and John B. Nezlek. 2018.</w:t>
      </w:r>
      <w:r>
        <w:t xml:space="preserve"> </w:t>
      </w:r>
      <w:r>
        <w:t xml:space="preserve">“The Negative Consequences of Maximizing in Friendship Selection.”</w:t>
      </w:r>
      <w:r>
        <w:t xml:space="preserve"> </w:t>
      </w:r>
      <w:r>
        <w:rPr>
          <w:iCs/>
          <w:i/>
        </w:rPr>
        <w:t xml:space="preserve">Journal of Personality and Social Psychology</w:t>
      </w:r>
      <w:r>
        <w:t xml:space="preserve"> </w:t>
      </w:r>
      <w:r>
        <w:t xml:space="preserve">114 (5): 804–24.</w:t>
      </w:r>
      <w:r>
        <w:t xml:space="preserve"> </w:t>
      </w:r>
      <w:hyperlink r:id="rId408">
        <w:r>
          <w:rPr>
            <w:rStyle w:val="Hyperlink"/>
          </w:rPr>
          <w:t xml:space="preserve">https://doi.org/10.1037/pspp0000141</w:t>
        </w:r>
      </w:hyperlink>
      <w:r>
        <w:t xml:space="preserve">.</w:t>
      </w:r>
    </w:p>
    <w:bookmarkEnd w:id="409"/>
    <w:bookmarkStart w:id="411" w:name="ref-North2010"/>
    <w:p>
      <w:pPr>
        <w:pStyle w:val="Bibliography"/>
      </w:pPr>
      <w:r>
        <w:t xml:space="preserve">North, Jill. 2010.</w:t>
      </w:r>
      <w:r>
        <w:t xml:space="preserve"> </w:t>
      </w:r>
      <w:r>
        <w:t xml:space="preserve">“An Empirical Approach to Symmetry and Probability.”</w:t>
      </w:r>
      <w:r>
        <w:t xml:space="preserve"> </w:t>
      </w:r>
      <w:r>
        <w:rPr>
          <w:iCs/>
          <w:i/>
        </w:rPr>
        <w:t xml:space="preserve">Studies In History and Philosophy of Science Part B: Studies In History and Philosophy of Modern Physics</w:t>
      </w:r>
      <w:r>
        <w:t xml:space="preserve"> </w:t>
      </w:r>
      <w:r>
        <w:t xml:space="preserve">41 (1): 27–40.</w:t>
      </w:r>
      <w:r>
        <w:t xml:space="preserve"> </w:t>
      </w:r>
      <w:hyperlink r:id="rId410">
        <w:r>
          <w:rPr>
            <w:rStyle w:val="Hyperlink"/>
          </w:rPr>
          <w:t xml:space="preserve">https://doi.org/10.1016/j.shpsb.2009.08.008</w:t>
        </w:r>
      </w:hyperlink>
      <w:r>
        <w:t xml:space="preserve">.</w:t>
      </w:r>
    </w:p>
    <w:bookmarkEnd w:id="411"/>
    <w:bookmarkStart w:id="412" w:name="ref-Nozick1981"/>
    <w:p>
      <w:pPr>
        <w:pStyle w:val="Bibliography"/>
      </w:pPr>
      <w:r>
        <w:t xml:space="preserve">Nozick, Robert. 1981.</w:t>
      </w:r>
      <w:r>
        <w:t xml:space="preserve"> </w:t>
      </w:r>
      <w:r>
        <w:rPr>
          <w:iCs/>
          <w:i/>
        </w:rPr>
        <w:t xml:space="preserve">Philosophical Explorations</w:t>
      </w:r>
      <w:r>
        <w:t xml:space="preserve">. Cambridge, MA: Harvard University Press.</w:t>
      </w:r>
    </w:p>
    <w:bookmarkEnd w:id="412"/>
    <w:bookmarkStart w:id="413" w:name="ref-Odell2002"/>
    <w:p>
      <w:pPr>
        <w:pStyle w:val="Bibliography"/>
      </w:pPr>
      <w:r>
        <w:t xml:space="preserve">Odell, John S. 2002.</w:t>
      </w:r>
      <w:r>
        <w:t xml:space="preserve"> </w:t>
      </w:r>
      <w:r>
        <w:t xml:space="preserve">“Bounded Rationality and World Political Economy.”</w:t>
      </w:r>
      <w:r>
        <w:t xml:space="preserve"> </w:t>
      </w:r>
      <w:r>
        <w:t xml:space="preserve">In</w:t>
      </w:r>
      <w:r>
        <w:t xml:space="preserve"> </w:t>
      </w:r>
      <w:r>
        <w:rPr>
          <w:iCs/>
          <w:i/>
        </w:rPr>
        <w:t xml:space="preserve">Governing the World’s Money</w:t>
      </w:r>
      <w:r>
        <w:t xml:space="preserve">, edited by David M. Andrews, C. Randall Henning, and Louis W. Pauly, 168–93. Ithaca: Cornell University Press.</w:t>
      </w:r>
    </w:p>
    <w:bookmarkEnd w:id="413"/>
    <w:bookmarkStart w:id="414"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Singapore: Springer.</w:t>
      </w:r>
    </w:p>
    <w:bookmarkEnd w:id="414"/>
    <w:bookmarkStart w:id="416" w:name="ref-Papi2013"/>
    <w:p>
      <w:pPr>
        <w:pStyle w:val="Bibliography"/>
      </w:pPr>
      <w:r>
        <w:t xml:space="preserve">Papi, Mario. 2013.</w:t>
      </w:r>
      <w:r>
        <w:t xml:space="preserve"> </w:t>
      </w:r>
      <w:r>
        <w:t xml:space="preserve">“Satisficing and Maximizing Consumers in a Monopolistic Screening Model.”</w:t>
      </w:r>
      <w:r>
        <w:t xml:space="preserve"> </w:t>
      </w:r>
      <w:r>
        <w:rPr>
          <w:iCs/>
          <w:i/>
        </w:rPr>
        <w:t xml:space="preserve">Mathematical Social Sciences</w:t>
      </w:r>
      <w:r>
        <w:t xml:space="preserve"> </w:t>
      </w:r>
      <w:r>
        <w:t xml:space="preserve">66 (3): 385–89.</w:t>
      </w:r>
      <w:r>
        <w:t xml:space="preserve"> </w:t>
      </w:r>
      <w:hyperlink r:id="rId415">
        <w:r>
          <w:rPr>
            <w:rStyle w:val="Hyperlink"/>
          </w:rPr>
          <w:t xml:space="preserve">https://doi.org/10.1016/j.mathsocsci.2013.08.005</w:t>
        </w:r>
      </w:hyperlink>
      <w:r>
        <w:t xml:space="preserve">.</w:t>
      </w:r>
    </w:p>
    <w:bookmarkEnd w:id="416"/>
    <w:bookmarkStart w:id="417" w:name="ref-Pasnau2017"/>
    <w:p>
      <w:pPr>
        <w:pStyle w:val="Bibliography"/>
      </w:pPr>
      <w:r>
        <w:t xml:space="preserve">Pasnau, Robert. 2017.</w:t>
      </w:r>
      <w:r>
        <w:t xml:space="preserve"> </w:t>
      </w:r>
      <w:r>
        <w:rPr>
          <w:iCs/>
          <w:i/>
        </w:rPr>
        <w:t xml:space="preserve">After Certainty: A History of Our Epistemic Ideals and Illusions</w:t>
      </w:r>
      <w:r>
        <w:t xml:space="preserve">. Oxford: Oxford University Press.</w:t>
      </w:r>
    </w:p>
    <w:bookmarkEnd w:id="417"/>
    <w:bookmarkStart w:id="419" w:name="ref-Pearce1983"/>
    <w:p>
      <w:pPr>
        <w:pStyle w:val="Bibliography"/>
      </w:pPr>
      <w:r>
        <w:t xml:space="preserve">Pearce, David G. 1983.</w:t>
      </w:r>
      <w:r>
        <w:t xml:space="preserve"> </w:t>
      </w:r>
      <w:r>
        <w:t xml:space="preserve">“A Problem with Single Valued Solution Concepts.”</w:t>
      </w:r>
      <w:r>
        <w:t xml:space="preserve"> </w:t>
      </w:r>
      <w:r>
        <w:t xml:space="preserve">1983.</w:t>
      </w:r>
      <w:r>
        <w:t xml:space="preserve"> </w:t>
      </w:r>
      <w:hyperlink r:id="rId418">
        <w:r>
          <w:rPr>
            <w:rStyle w:val="Hyperlink"/>
          </w:rPr>
          <w:t xml:space="preserve">https://sites.google.com/a/nyu.edu/davidpearce/</w:t>
        </w:r>
      </w:hyperlink>
      <w:r>
        <w:t xml:space="preserve">.</w:t>
      </w:r>
    </w:p>
    <w:bookmarkEnd w:id="419"/>
    <w:bookmarkStart w:id="420" w:name="ref-Pingle2006"/>
    <w:p>
      <w:pPr>
        <w:pStyle w:val="Bibliography"/>
      </w:pPr>
      <w:r>
        <w:t xml:space="preserve">Pingle, Mark. 2006.</w:t>
      </w:r>
      <w:r>
        <w:t xml:space="preserve"> </w:t>
      </w:r>
      <w:r>
        <w:t xml:space="preserve">“Deliberation Cost as a Foundation for Behavioral Economics.”</w:t>
      </w:r>
      <w:r>
        <w:t xml:space="preserve"> </w:t>
      </w:r>
      <w:r>
        <w:t xml:space="preserve">In</w:t>
      </w:r>
      <w:r>
        <w:t xml:space="preserve"> </w:t>
      </w:r>
      <w:r>
        <w:rPr>
          <w:iCs/>
          <w:i/>
        </w:rPr>
        <w:t xml:space="preserve">In Handbook of Contemporary Behavioral Economics: Foundations and Developments</w:t>
      </w:r>
      <w:r>
        <w:t xml:space="preserve">, edited by Morris Altman, 340–55. New York: Routledge.</w:t>
      </w:r>
    </w:p>
    <w:bookmarkEnd w:id="420"/>
    <w:bookmarkStart w:id="422" w:name="ref-Pryor2004"/>
    <w:p>
      <w:pPr>
        <w:pStyle w:val="Bibliography"/>
      </w:pPr>
      <w:r>
        <w:t xml:space="preserve">Pryor, James.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421">
        <w:r>
          <w:rPr>
            <w:rStyle w:val="Hyperlink"/>
          </w:rPr>
          <w:t xml:space="preserve">https://doi.org/10.1111/j.1533-6077.2004.00034.x</w:t>
        </w:r>
      </w:hyperlink>
      <w:r>
        <w:t xml:space="preserve">.</w:t>
      </w:r>
    </w:p>
    <w:bookmarkEnd w:id="422"/>
    <w:bookmarkStart w:id="424"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423">
        <w:r>
          <w:rPr>
            <w:rStyle w:val="Hyperlink"/>
          </w:rPr>
          <w:t xml:space="preserve">https://doi.org/10.1016/0167-2681(82)90008-7</w:t>
        </w:r>
      </w:hyperlink>
      <w:r>
        <w:t xml:space="preserve">.</w:t>
      </w:r>
    </w:p>
    <w:bookmarkEnd w:id="424"/>
    <w:bookmarkStart w:id="426" w:name="ref-Quong2017"/>
    <w:p>
      <w:pPr>
        <w:pStyle w:val="Bibliography"/>
      </w:pPr>
      <w:r>
        <w:t xml:space="preserve">Quong, Jonathan. 2018.</w:t>
      </w:r>
      <w:r>
        <w:t xml:space="preserve"> </w:t>
      </w:r>
      <w:r>
        <w:t xml:space="preserve">“</w:t>
      </w:r>
      <w:r>
        <w:t xml:space="preserve">Public Reason</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pring 2018.</w:t>
      </w:r>
      <w:r>
        <w:t xml:space="preserve"> </w:t>
      </w:r>
      <w:hyperlink r:id="rId425">
        <w:r>
          <w:rPr>
            <w:rStyle w:val="Hyperlink"/>
          </w:rPr>
          <w:t xml:space="preserve">https://plato.stanford.edu/archives/spr2018/entries/public-reason/</w:t>
        </w:r>
      </w:hyperlink>
      <w:r>
        <w:t xml:space="preserve">; Metaphysics Research Lab, Stanford University.</w:t>
      </w:r>
    </w:p>
    <w:bookmarkEnd w:id="426"/>
    <w:bookmarkStart w:id="427" w:name="ref-Railton1984"/>
    <w:p>
      <w:pPr>
        <w:pStyle w:val="Bibliography"/>
      </w:pPr>
      <w:r>
        <w:t xml:space="preserve">Railton, Peter. 1984.</w:t>
      </w:r>
      <w:r>
        <w:t xml:space="preserve"> </w:t>
      </w:r>
      <w:r>
        <w:t xml:space="preserve">“Alienation, Consequentialism and the Demands of Morality.”</w:t>
      </w:r>
      <w:r>
        <w:t xml:space="preserve"> </w:t>
      </w:r>
      <w:r>
        <w:rPr>
          <w:iCs/>
          <w:i/>
        </w:rPr>
        <w:t xml:space="preserve">Philosophy and Public Affairs</w:t>
      </w:r>
      <w:r>
        <w:t xml:space="preserve"> </w:t>
      </w:r>
      <w:r>
        <w:t xml:space="preserve">13 (2): 134–71.</w:t>
      </w:r>
    </w:p>
    <w:bookmarkEnd w:id="427"/>
    <w:bookmarkStart w:id="428"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428"/>
    <w:bookmarkStart w:id="430" w:name="ref-Reutskaja2011"/>
    <w:p>
      <w:pPr>
        <w:pStyle w:val="Bibliography"/>
      </w:pPr>
      <w:r>
        <w:t xml:space="preserve">Reutskaja, Elena, Rosemarie Nagel, Colin F. Camerer, and Antonio Rangel. 2011.</w:t>
      </w:r>
      <w:r>
        <w:t xml:space="preserve"> </w:t>
      </w:r>
      <w:r>
        <w:t xml:space="preserve">“Search Dynamics in Consumer Choice Under Time Pressure: An Eye-Tracking Study.”</w:t>
      </w:r>
      <w:r>
        <w:t xml:space="preserve"> </w:t>
      </w:r>
      <w:r>
        <w:rPr>
          <w:iCs/>
          <w:i/>
        </w:rPr>
        <w:t xml:space="preserve">American Economic Review</w:t>
      </w:r>
      <w:r>
        <w:t xml:space="preserve"> </w:t>
      </w:r>
      <w:r>
        <w:t xml:space="preserve">101 (2): 900–926.</w:t>
      </w:r>
      <w:r>
        <w:t xml:space="preserve"> </w:t>
      </w:r>
      <w:hyperlink r:id="rId429">
        <w:r>
          <w:rPr>
            <w:rStyle w:val="Hyperlink"/>
          </w:rPr>
          <w:t xml:space="preserve">https://doi.org/10.1257/aer.101.2.900</w:t>
        </w:r>
      </w:hyperlink>
      <w:r>
        <w:t xml:space="preserve">.</w:t>
      </w:r>
    </w:p>
    <w:bookmarkEnd w:id="430"/>
    <w:bookmarkStart w:id="432"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431">
        <w:r>
          <w:rPr>
            <w:rStyle w:val="Hyperlink"/>
          </w:rPr>
          <w:t xml:space="preserve">https://doi.org/10.1080/00048408412341601</w:t>
        </w:r>
      </w:hyperlink>
      <w:r>
        <w:t xml:space="preserve">.</w:t>
      </w:r>
    </w:p>
    <w:bookmarkEnd w:id="432"/>
    <w:bookmarkStart w:id="434" w:name="ref-Roberts2012"/>
    <w:p>
      <w:pPr>
        <w:pStyle w:val="Bibliography"/>
      </w:pPr>
      <w:r>
        <w:t xml:space="preserve">Roberts, Craige. 2012.</w:t>
      </w:r>
      <w:r>
        <w:t xml:space="preserve"> </w:t>
      </w:r>
      <w:r>
        <w:t xml:space="preserve">“Information Structure in Discourse: Towards an Integrated Formal Theory of Pragmatics.”</w:t>
      </w:r>
      <w:r>
        <w:t xml:space="preserve"> </w:t>
      </w:r>
      <w:r>
        <w:rPr>
          <w:iCs/>
          <w:i/>
        </w:rPr>
        <w:t xml:space="preserve">Semantics and Pragmatics</w:t>
      </w:r>
      <w:r>
        <w:t xml:space="preserve"> </w:t>
      </w:r>
      <w:r>
        <w:t xml:space="preserve">5 (6): 1–69.</w:t>
      </w:r>
      <w:r>
        <w:t xml:space="preserve"> </w:t>
      </w:r>
      <w:hyperlink r:id="rId433">
        <w:r>
          <w:rPr>
            <w:rStyle w:val="Hyperlink"/>
          </w:rPr>
          <w:t xml:space="preserve">https://doi.org/10.3765/sp.5.6</w:t>
        </w:r>
      </w:hyperlink>
      <w:r>
        <w:t xml:space="preserve">.</w:t>
      </w:r>
    </w:p>
    <w:bookmarkEnd w:id="434"/>
    <w:bookmarkStart w:id="436" w:name="ref-RossSchroeder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435">
        <w:r>
          <w:rPr>
            <w:rStyle w:val="Hyperlink"/>
          </w:rPr>
          <w:t xml:space="preserve">https://doi.org/10.1111/j.1933-1592.2011.00552.x</w:t>
        </w:r>
      </w:hyperlink>
      <w:r>
        <w:t xml:space="preserve">.</w:t>
      </w:r>
    </w:p>
    <w:bookmarkEnd w:id="436"/>
    <w:bookmarkStart w:id="437" w:name="ref-Rousseau1913"/>
    <w:p>
      <w:pPr>
        <w:pStyle w:val="Bibliography"/>
      </w:pPr>
      <w:r>
        <w:t xml:space="preserve">Rousseau, Jean-Jacques. 1913.</w:t>
      </w:r>
      <w:r>
        <w:t xml:space="preserve"> </w:t>
      </w:r>
      <w:r>
        <w:rPr>
          <w:iCs/>
          <w:i/>
        </w:rPr>
        <w:t xml:space="preserve">Social Contract &amp; Discourses</w:t>
      </w:r>
      <w:r>
        <w:t xml:space="preserve">. Translated by G. D. H. Cole. New York: J. M. Dent &amp; Sons.</w:t>
      </w:r>
    </w:p>
    <w:bookmarkEnd w:id="437"/>
    <w:bookmarkStart w:id="439" w:name="ref-RussellDoris2008"/>
    <w:p>
      <w:pPr>
        <w:pStyle w:val="Bibliography"/>
      </w:pPr>
      <w:r>
        <w:t xml:space="preserve">Russell, Gillian, and John M. Doris. 2009.</w:t>
      </w:r>
      <w:r>
        <w:t xml:space="preserve"> </w:t>
      </w:r>
      <w:r>
        <w:t xml:space="preserve">“Knowledge by Indifference.”</w:t>
      </w:r>
      <w:r>
        <w:t xml:space="preserve"> </w:t>
      </w:r>
      <w:r>
        <w:rPr>
          <w:iCs/>
          <w:i/>
        </w:rPr>
        <w:t xml:space="preserve">Australasian Journal of Philosophy</w:t>
      </w:r>
      <w:r>
        <w:t xml:space="preserve"> </w:t>
      </w:r>
      <w:r>
        <w:t xml:space="preserve">86 (3): 429–37.</w:t>
      </w:r>
      <w:r>
        <w:t xml:space="preserve"> </w:t>
      </w:r>
      <w:hyperlink r:id="rId438">
        <w:r>
          <w:rPr>
            <w:rStyle w:val="Hyperlink"/>
          </w:rPr>
          <w:t xml:space="preserve">https://doi.org/10.1080/00048400802001996</w:t>
        </w:r>
      </w:hyperlink>
      <w:r>
        <w:t xml:space="preserve">.</w:t>
      </w:r>
    </w:p>
    <w:bookmarkEnd w:id="439"/>
    <w:bookmarkStart w:id="441" w:name="ref-Russell1997"/>
    <w:p>
      <w:pPr>
        <w:pStyle w:val="Bibliography"/>
      </w:pPr>
      <w:r>
        <w:t xml:space="preserve">Russell, Stuart J. 1997.</w:t>
      </w:r>
      <w:r>
        <w:t xml:space="preserve"> </w:t>
      </w:r>
      <w:r>
        <w:t xml:space="preserve">“Rationality and Intelligence.”</w:t>
      </w:r>
      <w:r>
        <w:t xml:space="preserve"> </w:t>
      </w:r>
      <w:r>
        <w:rPr>
          <w:iCs/>
          <w:i/>
        </w:rPr>
        <w:t xml:space="preserve">Artificial Intelligence</w:t>
      </w:r>
      <w:r>
        <w:t xml:space="preserve"> </w:t>
      </w:r>
      <w:r>
        <w:t xml:space="preserve">94 (1-2): 57–77.</w:t>
      </w:r>
      <w:r>
        <w:t xml:space="preserve"> </w:t>
      </w:r>
      <w:hyperlink r:id="rId440">
        <w:r>
          <w:rPr>
            <w:rStyle w:val="Hyperlink"/>
          </w:rPr>
          <w:t xml:space="preserve">https://doi.org/10.1016/S0004-3702(97)00026-X</w:t>
        </w:r>
      </w:hyperlink>
      <w:r>
        <w:t xml:space="preserve">.</w:t>
      </w:r>
    </w:p>
    <w:bookmarkEnd w:id="441"/>
    <w:bookmarkStart w:id="443" w:name="ref-Savage1967"/>
    <w:p>
      <w:pPr>
        <w:pStyle w:val="Bibliography"/>
      </w:pPr>
      <w:r>
        <w:t xml:space="preserve">Savage, Leonard. 1967.</w:t>
      </w:r>
      <w:r>
        <w:t xml:space="preserve"> </w:t>
      </w:r>
      <w:r>
        <w:t xml:space="preserve">“Difficulties in the Theory of Personal Probability.”</w:t>
      </w:r>
      <w:r>
        <w:t xml:space="preserve"> </w:t>
      </w:r>
      <w:r>
        <w:rPr>
          <w:iCs/>
          <w:i/>
        </w:rPr>
        <w:t xml:space="preserve">Philosophy of Science</w:t>
      </w:r>
      <w:r>
        <w:t xml:space="preserve"> </w:t>
      </w:r>
      <w:r>
        <w:t xml:space="preserve">34 (4): 305–10.</w:t>
      </w:r>
      <w:r>
        <w:t xml:space="preserve"> </w:t>
      </w:r>
      <w:hyperlink r:id="rId442">
        <w:r>
          <w:rPr>
            <w:rStyle w:val="Hyperlink"/>
          </w:rPr>
          <w:t xml:space="preserve">https://doi.org/10.1086/288168</w:t>
        </w:r>
      </w:hyperlink>
      <w:r>
        <w:t xml:space="preserve">.</w:t>
      </w:r>
    </w:p>
    <w:bookmarkEnd w:id="443"/>
    <w:bookmarkStart w:id="445" w:name="ref-ScheibehenneEtAl2010"/>
    <w:p>
      <w:pPr>
        <w:pStyle w:val="Bibliography"/>
      </w:pPr>
      <w:r>
        <w:t xml:space="preserve">Scheibehenne, Benjamin, Rainer Greifeneder, and Peter M. Todd. 2010.</w:t>
      </w:r>
      <w:r>
        <w:t xml:space="preserve"> </w:t>
      </w:r>
      <w:r>
        <w:t xml:space="preserve">“Can There Ever Be Too Many Options? A Meta-Analytic Review of Choice Overload.”</w:t>
      </w:r>
      <w:r>
        <w:t xml:space="preserve"> </w:t>
      </w:r>
      <w:r>
        <w:rPr>
          <w:iCs/>
          <w:i/>
        </w:rPr>
        <w:t xml:space="preserve">Journal of Consumer Research</w:t>
      </w:r>
      <w:r>
        <w:t xml:space="preserve"> </w:t>
      </w:r>
      <w:r>
        <w:t xml:space="preserve">37 (3): 409–25.</w:t>
      </w:r>
      <w:r>
        <w:t xml:space="preserve"> </w:t>
      </w:r>
      <w:hyperlink r:id="rId444">
        <w:r>
          <w:rPr>
            <w:rStyle w:val="Hyperlink"/>
          </w:rPr>
          <w:t xml:space="preserve">https://doi.org/10.1086/651235</w:t>
        </w:r>
      </w:hyperlink>
      <w:r>
        <w:t xml:space="preserve">.</w:t>
      </w:r>
    </w:p>
    <w:bookmarkEnd w:id="445"/>
    <w:bookmarkStart w:id="447" w:name="ref-Schmidt2024"/>
    <w:p>
      <w:pPr>
        <w:pStyle w:val="Bibliography"/>
      </w:pPr>
      <w:r>
        <w:t xml:space="preserve">Schmidt, Eva. forthcoming.</w:t>
      </w:r>
      <w:r>
        <w:t xml:space="preserve"> </w:t>
      </w:r>
      <w:r>
        <w:t xml:space="preserve">“Reasons, Attenuators, and Virtue: A Novel Account of Pragmatic Encroachment.”</w:t>
      </w:r>
      <w:r>
        <w:t xml:space="preserve"> </w:t>
      </w:r>
      <w:r>
        <w:rPr>
          <w:iCs/>
          <w:i/>
        </w:rPr>
        <w:t xml:space="preserve">Analytic Philosophy</w:t>
      </w:r>
      <w:r>
        <w:t xml:space="preserve">, forthcoming, 1–22.</w:t>
      </w:r>
      <w:r>
        <w:t xml:space="preserve"> </w:t>
      </w:r>
      <w:hyperlink r:id="rId446">
        <w:r>
          <w:rPr>
            <w:rStyle w:val="Hyperlink"/>
          </w:rPr>
          <w:t xml:space="preserve">https://doi.org/10.1111/phib.12314</w:t>
        </w:r>
      </w:hyperlink>
      <w:r>
        <w:t xml:space="preserve">.</w:t>
      </w:r>
    </w:p>
    <w:bookmarkEnd w:id="447"/>
    <w:bookmarkStart w:id="449" w:name="ref-Schoenfield2013"/>
    <w:p>
      <w:pPr>
        <w:pStyle w:val="Bibliography"/>
      </w:pPr>
      <w:r>
        <w:t xml:space="preserve">Schoenfield, Miriam. 2013.</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47 (1): 193–218.</w:t>
      </w:r>
      <w:r>
        <w:t xml:space="preserve"> </w:t>
      </w:r>
      <w:hyperlink r:id="rId448">
        <w:r>
          <w:rPr>
            <w:rStyle w:val="Hyperlink"/>
          </w:rPr>
          <w:t xml:space="preserve">https://doi.org/10.1111/nous.12006</w:t>
        </w:r>
      </w:hyperlink>
      <w:r>
        <w:t xml:space="preserve">.</w:t>
      </w:r>
    </w:p>
    <w:bookmarkEnd w:id="449"/>
    <w:bookmarkStart w:id="451" w:name="ref-Schroeder2009"/>
    <w:p>
      <w:pPr>
        <w:pStyle w:val="Bibliography"/>
      </w:pPr>
      <w:r>
        <w:t xml:space="preserve">Schroeder, Mark. 2009.</w:t>
      </w:r>
      <w:r>
        <w:t xml:space="preserve"> </w:t>
      </w:r>
      <w:r>
        <w:t xml:space="preserve">“Means-End Coherence, Stringency, and Subjective Reasons.”</w:t>
      </w:r>
      <w:r>
        <w:t xml:space="preserve"> </w:t>
      </w:r>
      <w:r>
        <w:rPr>
          <w:iCs/>
          <w:i/>
        </w:rPr>
        <w:t xml:space="preserve">Philosophical Studies</w:t>
      </w:r>
      <w:r>
        <w:t xml:space="preserve"> </w:t>
      </w:r>
      <w:r>
        <w:t xml:space="preserve">143 (2): 223–48.</w:t>
      </w:r>
      <w:r>
        <w:t xml:space="preserve"> </w:t>
      </w:r>
      <w:hyperlink r:id="rId450">
        <w:r>
          <w:rPr>
            <w:rStyle w:val="Hyperlink"/>
          </w:rPr>
          <w:t xml:space="preserve">https://doi.org/10.1007/s11098-008-9200-x</w:t>
        </w:r>
      </w:hyperlink>
      <w:r>
        <w:t xml:space="preserve">.</w:t>
      </w:r>
    </w:p>
    <w:bookmarkEnd w:id="451"/>
    <w:bookmarkStart w:id="452" w:name="ref-Schwartz2004"/>
    <w:p>
      <w:pPr>
        <w:pStyle w:val="Bibliography"/>
      </w:pPr>
      <w:r>
        <w:t xml:space="preserve">Schwartz, Barry. 2004.</w:t>
      </w:r>
      <w:r>
        <w:t xml:space="preserve"> </w:t>
      </w:r>
      <w:r>
        <w:rPr>
          <w:iCs/>
          <w:i/>
        </w:rPr>
        <w:t xml:space="preserve">The Paradox of Choice: Why More Is Less</w:t>
      </w:r>
      <w:r>
        <w:t xml:space="preserve">. New York: Harper Collins.</w:t>
      </w:r>
    </w:p>
    <w:bookmarkEnd w:id="452"/>
    <w:bookmarkStart w:id="454" w:name="ref-SchwartzEtAl2002"/>
    <w:p>
      <w:pPr>
        <w:pStyle w:val="Bibliography"/>
      </w:pPr>
      <w:r>
        <w:t xml:space="preserve">Schwartz, Barry, Andrew Ward, John Monterosso, Sonja Lyubomirsky, Katherin White, and Darrin R. Lehman. 2002.</w:t>
      </w:r>
      <w:r>
        <w:t xml:space="preserve"> </w:t>
      </w:r>
      <w:r>
        <w:t xml:space="preserve">“Maximizing Versus Satisficing: Happiness Is a Matter of Choice.”</w:t>
      </w:r>
      <w:r>
        <w:t xml:space="preserve"> </w:t>
      </w:r>
      <w:r>
        <w:rPr>
          <w:iCs/>
          <w:i/>
        </w:rPr>
        <w:t xml:space="preserve">Journal of Personality and Social Psychology</w:t>
      </w:r>
      <w:r>
        <w:t xml:space="preserve"> </w:t>
      </w:r>
      <w:r>
        <w:t xml:space="preserve">83 (5): 1178–97.</w:t>
      </w:r>
      <w:r>
        <w:t xml:space="preserve"> </w:t>
      </w:r>
      <w:hyperlink r:id="rId453">
        <w:r>
          <w:rPr>
            <w:rStyle w:val="Hyperlink"/>
          </w:rPr>
          <w:t xml:space="preserve">https://doi.org/10.1037/0022-3514.83.5.1178</w:t>
        </w:r>
      </w:hyperlink>
      <w:r>
        <w:t xml:space="preserve">.</w:t>
      </w:r>
    </w:p>
    <w:bookmarkEnd w:id="454"/>
    <w:bookmarkStart w:id="456"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455">
        <w:r>
          <w:rPr>
            <w:rStyle w:val="Hyperlink"/>
          </w:rPr>
          <w:t xml:space="preserve">https://doi.org/10.1215/00318108-2007-037</w:t>
        </w:r>
      </w:hyperlink>
      <w:r>
        <w:t xml:space="preserve">.</w:t>
      </w:r>
    </w:p>
    <w:bookmarkEnd w:id="456"/>
    <w:bookmarkStart w:id="458" w:name="ref-Skyrms2001"/>
    <w:p>
      <w:pPr>
        <w:pStyle w:val="Bibliography"/>
      </w:pPr>
      <w:r>
        <w:t xml:space="preserve">Skyrms, Brian. 2001.</w:t>
      </w:r>
      <w:r>
        <w:t xml:space="preserve"> </w:t>
      </w:r>
      <w:r>
        <w:t xml:space="preserve">“The Stag Hunt.”</w:t>
      </w:r>
      <w:r>
        <w:t xml:space="preserve"> </w:t>
      </w:r>
      <w:r>
        <w:rPr>
          <w:iCs/>
          <w:i/>
        </w:rPr>
        <w:t xml:space="preserve">Proceedings and Addresses of the American Philosophical Association</w:t>
      </w:r>
      <w:r>
        <w:t xml:space="preserve"> </w:t>
      </w:r>
      <w:r>
        <w:t xml:space="preserve">75 (2): 31–41.</w:t>
      </w:r>
      <w:r>
        <w:t xml:space="preserve"> </w:t>
      </w:r>
      <w:hyperlink r:id="rId457">
        <w:r>
          <w:rPr>
            <w:rStyle w:val="Hyperlink"/>
          </w:rPr>
          <w:t xml:space="preserve">https://doi.org/10.2307/3218711</w:t>
        </w:r>
      </w:hyperlink>
      <w:r>
        <w:t xml:space="preserve">.</w:t>
      </w:r>
    </w:p>
    <w:bookmarkEnd w:id="458"/>
    <w:bookmarkStart w:id="460" w:name="ref-Sosa1999"/>
    <w:p>
      <w:pPr>
        <w:pStyle w:val="Bibliography"/>
      </w:pPr>
      <w:r>
        <w:t xml:space="preserve">Sosa, Ernest. 1999.</w:t>
      </w:r>
      <w:r>
        <w:t xml:space="preserve"> </w:t>
      </w:r>
      <w:r>
        <w:t xml:space="preserve">“How to Defeat Opposition to Moore.”</w:t>
      </w:r>
      <w:r>
        <w:t xml:space="preserve"> </w:t>
      </w:r>
      <w:r>
        <w:rPr>
          <w:iCs/>
          <w:i/>
        </w:rPr>
        <w:t xml:space="preserve">Philosophical Perspectives</w:t>
      </w:r>
      <w:r>
        <w:t xml:space="preserve"> </w:t>
      </w:r>
      <w:r>
        <w:t xml:space="preserve">13: 141–53.</w:t>
      </w:r>
      <w:r>
        <w:t xml:space="preserve"> </w:t>
      </w:r>
      <w:hyperlink r:id="rId459">
        <w:r>
          <w:rPr>
            <w:rStyle w:val="Hyperlink"/>
          </w:rPr>
          <w:t xml:space="preserve">https://doi.org/10.1111/0029-4624.33.s13.7</w:t>
        </w:r>
      </w:hyperlink>
      <w:r>
        <w:t xml:space="preserve">.</w:t>
      </w:r>
    </w:p>
    <w:bookmarkEnd w:id="460"/>
    <w:bookmarkStart w:id="462" w:name="ref-SperberEtAl2010"/>
    <w:p>
      <w:pPr>
        <w:pStyle w:val="Bibliography"/>
      </w:pPr>
      <w:r>
        <w:t xml:space="preserve">Sperber, Dan, Fabrice Clément, Christophe Heintz, Olivier Mascaro, Hugo Mercier, Gloria Origgi, and Deirdre Wilson. 2010.</w:t>
      </w:r>
      <w:r>
        <w:t xml:space="preserve"> </w:t>
      </w:r>
      <w:r>
        <w:t xml:space="preserve">“Epistemic Vigilance.”</w:t>
      </w:r>
      <w:r>
        <w:t xml:space="preserve"> </w:t>
      </w:r>
      <w:r>
        <w:rPr>
          <w:iCs/>
          <w:i/>
        </w:rPr>
        <w:t xml:space="preserve">Mind and Language</w:t>
      </w:r>
      <w:r>
        <w:t xml:space="preserve"> </w:t>
      </w:r>
      <w:r>
        <w:t xml:space="preserve">25 (4): 359–93.</w:t>
      </w:r>
      <w:r>
        <w:t xml:space="preserve"> </w:t>
      </w:r>
      <w:hyperlink r:id="rId461">
        <w:r>
          <w:rPr>
            <w:rStyle w:val="Hyperlink"/>
          </w:rPr>
          <w:t xml:space="preserve">https://doi.org/10.1111/j.1468-0017.2010.01394.x</w:t>
        </w:r>
      </w:hyperlink>
      <w:r>
        <w:t xml:space="preserve">.</w:t>
      </w:r>
    </w:p>
    <w:bookmarkEnd w:id="462"/>
    <w:bookmarkStart w:id="464" w:name="ref-Staffel2019"/>
    <w:p>
      <w:pPr>
        <w:pStyle w:val="Bibliography"/>
      </w:pPr>
      <w:r>
        <w:t xml:space="preserve">Staffel, Julia. 2019.</w:t>
      </w:r>
      <w:r>
        <w:t xml:space="preserve"> </w:t>
      </w:r>
      <w:r>
        <w:t xml:space="preserve">“How Do Beliefs Simplify Reasoning?”</w:t>
      </w:r>
      <w:r>
        <w:t xml:space="preserve"> </w:t>
      </w:r>
      <w:r>
        <w:rPr>
          <w:iCs/>
          <w:i/>
        </w:rPr>
        <w:t xml:space="preserve">No</w:t>
      </w:r>
      <w:r>
        <w:rPr>
          <w:iCs/>
          <w:i/>
        </w:rPr>
        <w:t xml:space="preserve">û</w:t>
      </w:r>
      <w:r>
        <w:rPr>
          <w:iCs/>
          <w:i/>
        </w:rPr>
        <w:t xml:space="preserve">s</w:t>
      </w:r>
      <w:r>
        <w:t xml:space="preserve"> </w:t>
      </w:r>
      <w:r>
        <w:t xml:space="preserve">53 (4): 937–62.</w:t>
      </w:r>
      <w:r>
        <w:t xml:space="preserve"> </w:t>
      </w:r>
      <w:hyperlink r:id="rId463">
        <w:r>
          <w:rPr>
            <w:rStyle w:val="Hyperlink"/>
          </w:rPr>
          <w:t xml:space="preserve">https://doi.org/10.1111/nous.12254</w:t>
        </w:r>
      </w:hyperlink>
      <w:r>
        <w:t xml:space="preserve">.</w:t>
      </w:r>
    </w:p>
    <w:bookmarkEnd w:id="464"/>
    <w:bookmarkStart w:id="466" w:name="ref-Stalnaker1975"/>
    <w:p>
      <w:pPr>
        <w:pStyle w:val="Bibliography"/>
      </w:pPr>
      <w:r>
        <w:t xml:space="preserve">Stalnaker, Robert. 1975.</w:t>
      </w:r>
      <w:r>
        <w:t xml:space="preserve"> </w:t>
      </w:r>
      <w:r>
        <w:t xml:space="preserve">“Indicative Conditionals.”</w:t>
      </w:r>
      <w:r>
        <w:t xml:space="preserve"> </w:t>
      </w:r>
      <w:r>
        <w:rPr>
          <w:iCs/>
          <w:i/>
        </w:rPr>
        <w:t xml:space="preserve">Philosophica</w:t>
      </w:r>
      <w:r>
        <w:t xml:space="preserve"> </w:t>
      </w:r>
      <w:r>
        <w:t xml:space="preserve">5 (3): 269–89.</w:t>
      </w:r>
      <w:r>
        <w:t xml:space="preserve"> </w:t>
      </w:r>
      <w:hyperlink r:id="rId465">
        <w:r>
          <w:rPr>
            <w:rStyle w:val="Hyperlink"/>
          </w:rPr>
          <w:t xml:space="preserve">https://doi.org/10.1007/bf02379021</w:t>
        </w:r>
      </w:hyperlink>
      <w:r>
        <w:t xml:space="preserve">.</w:t>
      </w:r>
    </w:p>
    <w:bookmarkEnd w:id="466"/>
    <w:bookmarkStart w:id="467" w:name="ref-Stalnaker1984"/>
    <w:p>
      <w:pPr>
        <w:pStyle w:val="Bibliography"/>
      </w:pPr>
      <w:r>
        <w:t xml:space="preserve">———. 1984.</w:t>
      </w:r>
      <w:r>
        <w:t xml:space="preserve"> </w:t>
      </w:r>
      <w:r>
        <w:rPr>
          <w:iCs/>
          <w:i/>
        </w:rPr>
        <w:t xml:space="preserve">Inquiry</w:t>
      </w:r>
      <w:r>
        <w:t xml:space="preserve">. Cambridge, MA: MIT Press.</w:t>
      </w:r>
    </w:p>
    <w:bookmarkEnd w:id="467"/>
    <w:bookmarkStart w:id="469" w:name="ref-Stalnaker1994"/>
    <w:p>
      <w:pPr>
        <w:pStyle w:val="Bibliography"/>
      </w:pPr>
      <w:r>
        <w:t xml:space="preserve">———. 1994.</w:t>
      </w:r>
      <w:r>
        <w:t xml:space="preserve"> </w:t>
      </w:r>
      <w:r>
        <w:t xml:space="preserve">“On the Evaluation of Solution Concepts.”</w:t>
      </w:r>
      <w:r>
        <w:t xml:space="preserve"> </w:t>
      </w:r>
      <w:r>
        <w:rPr>
          <w:iCs/>
          <w:i/>
        </w:rPr>
        <w:t xml:space="preserve">Theory and Decision</w:t>
      </w:r>
      <w:r>
        <w:t xml:space="preserve"> </w:t>
      </w:r>
      <w:r>
        <w:t xml:space="preserve">37 (1): 49–73.</w:t>
      </w:r>
      <w:r>
        <w:t xml:space="preserve"> </w:t>
      </w:r>
      <w:hyperlink r:id="rId468">
        <w:r>
          <w:rPr>
            <w:rStyle w:val="Hyperlink"/>
          </w:rPr>
          <w:t xml:space="preserve">https://doi.org/10.1007/BF01079205</w:t>
        </w:r>
      </w:hyperlink>
      <w:r>
        <w:t xml:space="preserve">.</w:t>
      </w:r>
    </w:p>
    <w:bookmarkEnd w:id="469"/>
    <w:bookmarkStart w:id="471" w:name="ref-Stalnaker1996"/>
    <w:p>
      <w:pPr>
        <w:pStyle w:val="Bibliography"/>
      </w:pPr>
      <w:r>
        <w:t xml:space="preserve">———. 1996.</w:t>
      </w:r>
      <w:r>
        <w:t xml:space="preserve"> </w:t>
      </w:r>
      <w:r>
        <w:t xml:space="preserve">“Knowledge, Belief and Counterfactual Reasoning in Games.”</w:t>
      </w:r>
      <w:r>
        <w:t xml:space="preserve"> </w:t>
      </w:r>
      <w:r>
        <w:rPr>
          <w:iCs/>
          <w:i/>
        </w:rPr>
        <w:t xml:space="preserve">Economics and Philosophy</w:t>
      </w:r>
      <w:r>
        <w:t xml:space="preserve"> </w:t>
      </w:r>
      <w:r>
        <w:t xml:space="preserve">12: 133–63.</w:t>
      </w:r>
      <w:r>
        <w:t xml:space="preserve"> </w:t>
      </w:r>
      <w:hyperlink r:id="rId470">
        <w:r>
          <w:rPr>
            <w:rStyle w:val="Hyperlink"/>
          </w:rPr>
          <w:t xml:space="preserve">https://doi.org/10.1017/S0266267100004132</w:t>
        </w:r>
      </w:hyperlink>
      <w:r>
        <w:t xml:space="preserve">.</w:t>
      </w:r>
    </w:p>
    <w:bookmarkEnd w:id="471"/>
    <w:bookmarkStart w:id="473" w:name="ref-Stalnaker1998"/>
    <w:p>
      <w:pPr>
        <w:pStyle w:val="Bibliography"/>
      </w:pPr>
      <w:r>
        <w:t xml:space="preserve">———.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472">
        <w:r>
          <w:rPr>
            <w:rStyle w:val="Hyperlink"/>
          </w:rPr>
          <w:t xml:space="preserve">https://doi.org/10.1016/S0165-4896(98)00007-9</w:t>
        </w:r>
      </w:hyperlink>
      <w:r>
        <w:t xml:space="preserve">.</w:t>
      </w:r>
    </w:p>
    <w:bookmarkEnd w:id="473"/>
    <w:bookmarkStart w:id="475"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474">
        <w:r>
          <w:rPr>
            <w:rStyle w:val="Hyperlink"/>
          </w:rPr>
          <w:t xml:space="preserve">https://doi.org/10.1006/reec.1999.0200</w:t>
        </w:r>
      </w:hyperlink>
      <w:r>
        <w:t xml:space="preserve">.</w:t>
      </w:r>
    </w:p>
    <w:bookmarkEnd w:id="475"/>
    <w:bookmarkStart w:id="476"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6"/>
    <w:bookmarkStart w:id="477" w:name="ref-Stanley2011"/>
    <w:p>
      <w:pPr>
        <w:pStyle w:val="Bibliography"/>
      </w:pPr>
      <w:r>
        <w:t xml:space="preserve">———. 2011.</w:t>
      </w:r>
      <w:r>
        <w:t xml:space="preserve"> </w:t>
      </w:r>
      <w:r>
        <w:rPr>
          <w:iCs/>
          <w:i/>
        </w:rPr>
        <w:t xml:space="preserve">Know How</w:t>
      </w:r>
      <w:r>
        <w:t xml:space="preserve">. Oxford: Oxford University Press.</w:t>
      </w:r>
    </w:p>
    <w:bookmarkEnd w:id="477"/>
    <w:bookmarkStart w:id="479" w:name="ref-Steglich-Petersen2024"/>
    <w:p>
      <w:pPr>
        <w:pStyle w:val="Bibliography"/>
      </w:pPr>
      <w:r>
        <w:t xml:space="preserve">Steglich-Petersen, Asbjørn. forthcoming.</w:t>
      </w:r>
      <w:r>
        <w:t xml:space="preserve"> </w:t>
      </w:r>
      <w:r>
        <w:t xml:space="preserve">“An Instrumentalist Explanation of Pragmatic Encroachment.”</w:t>
      </w:r>
      <w:r>
        <w:t xml:space="preserve"> </w:t>
      </w:r>
      <w:r>
        <w:rPr>
          <w:iCs/>
          <w:i/>
        </w:rPr>
        <w:t xml:space="preserve">Analytic Philosophy</w:t>
      </w:r>
      <w:r>
        <w:t xml:space="preserve">, forthcoming.</w:t>
      </w:r>
      <w:r>
        <w:t xml:space="preserve"> </w:t>
      </w:r>
      <w:hyperlink r:id="rId478">
        <w:r>
          <w:rPr>
            <w:rStyle w:val="Hyperlink"/>
          </w:rPr>
          <w:t xml:space="preserve">https://doi.org/10.1111/phib.12283</w:t>
        </w:r>
      </w:hyperlink>
      <w:r>
        <w:t xml:space="preserve">.</w:t>
      </w:r>
    </w:p>
    <w:bookmarkEnd w:id="479"/>
    <w:bookmarkStart w:id="480" w:name="ref-Strevens2020"/>
    <w:p>
      <w:pPr>
        <w:pStyle w:val="Bibliography"/>
      </w:pPr>
      <w:r>
        <w:t xml:space="preserve">Strevens, Michael. 2020.</w:t>
      </w:r>
      <w:r>
        <w:t xml:space="preserve"> </w:t>
      </w:r>
      <w:r>
        <w:rPr>
          <w:iCs/>
          <w:i/>
        </w:rPr>
        <w:t xml:space="preserve">The Knowledge Machine: How Irrationality Created Modern Science</w:t>
      </w:r>
      <w:r>
        <w:t xml:space="preserve">. New York: Liveright.</w:t>
      </w:r>
    </w:p>
    <w:bookmarkEnd w:id="480"/>
    <w:bookmarkStart w:id="482" w:name="ref-Tucker2016"/>
    <w:p>
      <w:pPr>
        <w:pStyle w:val="Bibliography"/>
      </w:pPr>
      <w:r>
        <w:t xml:space="preserve">Tucker, Chris. 2016.</w:t>
      </w:r>
      <w:r>
        <w:t xml:space="preserve"> </w:t>
      </w:r>
      <w:r>
        <w:t xml:space="preserve">“Satisficing and Motivated Submaximization (in the Philosophy of Religion).”</w:t>
      </w:r>
      <w:r>
        <w:t xml:space="preserve"> </w:t>
      </w:r>
      <w:r>
        <w:rPr>
          <w:iCs/>
          <w:i/>
        </w:rPr>
        <w:t xml:space="preserve">Philosophy and Phenomenological Research</w:t>
      </w:r>
      <w:r>
        <w:t xml:space="preserve"> </w:t>
      </w:r>
      <w:r>
        <w:t xml:space="preserve">93 (1): 127–43.</w:t>
      </w:r>
      <w:r>
        <w:t xml:space="preserve"> </w:t>
      </w:r>
      <w:hyperlink r:id="rId481">
        <w:r>
          <w:rPr>
            <w:rStyle w:val="Hyperlink"/>
          </w:rPr>
          <w:t xml:space="preserve">https://doi.org/10.1111/phpr.12191</w:t>
        </w:r>
      </w:hyperlink>
      <w:r>
        <w:t xml:space="preserve">.</w:t>
      </w:r>
    </w:p>
    <w:bookmarkEnd w:id="482"/>
    <w:bookmarkStart w:id="483" w:name="ref-Unger1975"/>
    <w:p>
      <w:pPr>
        <w:pStyle w:val="Bibliography"/>
      </w:pPr>
      <w:r>
        <w:t xml:space="preserve">Unger, Peter. 1975.</w:t>
      </w:r>
      <w:r>
        <w:t xml:space="preserve"> </w:t>
      </w:r>
      <w:r>
        <w:rPr>
          <w:iCs/>
          <w:i/>
        </w:rPr>
        <w:t xml:space="preserve">Ignorance: A Case for Scepticism</w:t>
      </w:r>
      <w:r>
        <w:t xml:space="preserve">. Oxford: Oxford University Press.</w:t>
      </w:r>
    </w:p>
    <w:bookmarkEnd w:id="483"/>
    <w:bookmarkStart w:id="485" w:name="ref-Weatherson2005-WEACWD"/>
    <w:p>
      <w:pPr>
        <w:pStyle w:val="Bibliography"/>
      </w:pPr>
      <w:r>
        <w:t xml:space="preserve">Weatherson, Brian. 2005a.</w:t>
      </w:r>
      <w:r>
        <w:t xml:space="preserve"> </w:t>
      </w: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(1): 417–43.</w:t>
      </w:r>
      <w:r>
        <w:t xml:space="preserve"> </w:t>
      </w:r>
      <w:hyperlink r:id="rId484">
        <w:r>
          <w:rPr>
            <w:rStyle w:val="Hyperlink"/>
          </w:rPr>
          <w:t xml:space="preserve">https://doi.org/10.1111/j.1520-8583.2005.00068.x</w:t>
        </w:r>
      </w:hyperlink>
      <w:r>
        <w:t xml:space="preserve">.</w:t>
      </w:r>
    </w:p>
    <w:bookmarkEnd w:id="485"/>
    <w:bookmarkStart w:id="487" w:name="ref-Weatherson2005b"/>
    <w:p>
      <w:pPr>
        <w:pStyle w:val="Bibliography"/>
      </w:pPr>
      <w:r>
        <w:t xml:space="preserve">———. 2005b.</w:t>
      </w:r>
      <w:r>
        <w:t xml:space="preserve"> </w:t>
      </w:r>
      <w:r>
        <w:t xml:space="preserve">“True, Truer, Truest.”</w:t>
      </w:r>
      <w:r>
        <w:t xml:space="preserve"> </w:t>
      </w:r>
      <w:r>
        <w:rPr>
          <w:iCs/>
          <w:i/>
        </w:rPr>
        <w:t xml:space="preserve">Philosophical Studies</w:t>
      </w:r>
      <w:r>
        <w:t xml:space="preserve"> </w:t>
      </w:r>
      <w:r>
        <w:t xml:space="preserve">123 (1-2): 47–70.</w:t>
      </w:r>
      <w:r>
        <w:t xml:space="preserve"> </w:t>
      </w:r>
      <w:hyperlink r:id="rId486">
        <w:r>
          <w:rPr>
            <w:rStyle w:val="Hyperlink"/>
          </w:rPr>
          <w:t xml:space="preserve">https://doi.org/10.1007/s11098-004-5218-x</w:t>
        </w:r>
      </w:hyperlink>
      <w:r>
        <w:t xml:space="preserve">.</w:t>
      </w:r>
    </w:p>
    <w:bookmarkEnd w:id="487"/>
    <w:bookmarkStart w:id="489" w:name="ref-Weatherson2011-WEADIR"/>
    <w:p>
      <w:pPr>
        <w:pStyle w:val="Bibliography"/>
      </w:pPr>
      <w:r>
        <w:t xml:space="preserve">———. 2011.</w:t>
      </w:r>
      <w:r>
        <w:t xml:space="preserve"> </w:t>
      </w:r>
      <w:r>
        <w:t xml:space="preserve">“Defending Interest-Relative Invariantism.”</w:t>
      </w:r>
      <w:r>
        <w:t xml:space="preserve"> </w:t>
      </w:r>
      <w:r>
        <w:rPr>
          <w:iCs/>
          <w:i/>
        </w:rPr>
        <w:t xml:space="preserve">Logos &amp; Episteme</w:t>
      </w:r>
      <w:r>
        <w:t xml:space="preserve"> </w:t>
      </w:r>
      <w:r>
        <w:t xml:space="preserve">2 (4): 591–609.</w:t>
      </w:r>
      <w:r>
        <w:t xml:space="preserve"> </w:t>
      </w:r>
      <w:hyperlink r:id="rId488">
        <w:r>
          <w:rPr>
            <w:rStyle w:val="Hyperlink"/>
          </w:rPr>
          <w:t xml:space="preserve">https://doi.org/10.5840/logos-episteme2011248</w:t>
        </w:r>
      </w:hyperlink>
      <w:r>
        <w:t xml:space="preserve">.</w:t>
      </w:r>
    </w:p>
    <w:bookmarkEnd w:id="489"/>
    <w:bookmarkStart w:id="490"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490"/>
    <w:bookmarkStart w:id="492" w:name="ref-Weatherson2015"/>
    <w:p>
      <w:pPr>
        <w:pStyle w:val="Bibliography"/>
      </w:pPr>
      <w:r>
        <w:t xml:space="preserve">———. 2015.</w:t>
      </w:r>
      <w:r>
        <w:t xml:space="preserve"> </w:t>
      </w:r>
      <w:r>
        <w:t xml:space="preserve">“Memory, Belief and Time.”</w:t>
      </w:r>
      <w:r>
        <w:t xml:space="preserve"> </w:t>
      </w:r>
      <w:r>
        <w:rPr>
          <w:iCs/>
          <w:i/>
        </w:rPr>
        <w:t xml:space="preserve">Canadian Journal of Philosophy</w:t>
      </w:r>
      <w:r>
        <w:t xml:space="preserve"> </w:t>
      </w:r>
      <w:r>
        <w:t xml:space="preserve">45 (5-6): 692–715.</w:t>
      </w:r>
      <w:r>
        <w:t xml:space="preserve"> </w:t>
      </w:r>
      <w:hyperlink r:id="rId491">
        <w:r>
          <w:rPr>
            <w:rStyle w:val="Hyperlink"/>
          </w:rPr>
          <w:t xml:space="preserve">https://doi.org/10.1080/00455091.2015.1125250</w:t>
        </w:r>
      </w:hyperlink>
      <w:r>
        <w:t xml:space="preserve">.</w:t>
      </w:r>
    </w:p>
    <w:bookmarkEnd w:id="492"/>
    <w:bookmarkStart w:id="494" w:name="ref-Weatherson2016"/>
    <w:p>
      <w:pPr>
        <w:pStyle w:val="Bibliography"/>
      </w:pPr>
      <w:r>
        <w:t xml:space="preserve">———. 2016a.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493">
        <w:r>
          <w:rPr>
            <w:rStyle w:val="Hyperlink"/>
          </w:rPr>
          <w:t xml:space="preserve">https://doi.org/10.1111/phpr.12088</w:t>
        </w:r>
      </w:hyperlink>
      <w:r>
        <w:t xml:space="preserve">.</w:t>
      </w:r>
    </w:p>
    <w:bookmarkEnd w:id="494"/>
    <w:bookmarkStart w:id="495" w:name="ref-Weatherson2016-WEARTE"/>
    <w:p>
      <w:pPr>
        <w:pStyle w:val="Bibliography"/>
      </w:pPr>
      <w:r>
        <w:t xml:space="preserve">———. 2016b.</w:t>
      </w:r>
      <w:r>
        <w:t xml:space="preserve"> </w:t>
      </w:r>
      <w:r>
        <w:t xml:space="preserve">“Reply to Eaton and Pickavance.”</w:t>
      </w:r>
      <w:r>
        <w:t xml:space="preserve"> </w:t>
      </w:r>
      <w:r>
        <w:rPr>
          <w:iCs/>
          <w:i/>
        </w:rPr>
        <w:t xml:space="preserve">Philosophical Studies</w:t>
      </w:r>
      <w:r>
        <w:t xml:space="preserve"> </w:t>
      </w:r>
      <w:r>
        <w:t xml:space="preserve">173 (12): 3231–33.</w:t>
      </w:r>
    </w:p>
    <w:bookmarkEnd w:id="495"/>
    <w:bookmarkStart w:id="496" w:name="ref-Weatherson2017-WEAII"/>
    <w:p>
      <w:pPr>
        <w:pStyle w:val="Bibliography"/>
      </w:pPr>
      <w:r>
        <w:t xml:space="preserve">———. 2017.</w:t>
      </w:r>
      <w:r>
        <w:t xml:space="preserve"> </w:t>
      </w:r>
      <w:r>
        <w:t xml:space="preserve">“Interest-Relative Invariantism.”</w:t>
      </w:r>
      <w:r>
        <w:t xml:space="preserve"> </w:t>
      </w:r>
      <w:r>
        <w:t xml:space="preserve">In</w:t>
      </w:r>
      <w:r>
        <w:t xml:space="preserve"> </w:t>
      </w:r>
      <w:r>
        <w:rPr>
          <w:iCs/>
          <w:i/>
        </w:rPr>
        <w:t xml:space="preserve">The Routledge Handbook of Epistemic Contextualism</w:t>
      </w:r>
      <w:r>
        <w:t xml:space="preserve">, edited by Jonathan Ichikawa, 240–53. Routledge.</w:t>
      </w:r>
    </w:p>
    <w:bookmarkEnd w:id="496"/>
    <w:bookmarkStart w:id="497" w:name="ref-Weatherson2018-WEAIEA-2"/>
    <w:p>
      <w:pPr>
        <w:pStyle w:val="Bibliography"/>
      </w:pPr>
      <w:r>
        <w:t xml:space="preserve">———. 2018.</w:t>
      </w:r>
      <w:r>
        <w:t xml:space="preserve"> </w:t>
      </w:r>
      <w:r>
        <w:t xml:space="preserve">“Interests, Evidence and Games.”</w:t>
      </w:r>
      <w:r>
        <w:t xml:space="preserve"> </w:t>
      </w:r>
      <w:r>
        <w:rPr>
          <w:iCs/>
          <w:i/>
        </w:rPr>
        <w:t xml:space="preserve">Episteme</w:t>
      </w:r>
      <w:r>
        <w:t xml:space="preserve"> </w:t>
      </w:r>
      <w:r>
        <w:t xml:space="preserve">15 (3): 329–44.</w:t>
      </w:r>
    </w:p>
    <w:bookmarkEnd w:id="497"/>
    <w:bookmarkStart w:id="498" w:name="ref-Weatherson2019"/>
    <w:p>
      <w:pPr>
        <w:pStyle w:val="Bibliography"/>
      </w:pPr>
      <w:r>
        <w:t xml:space="preserve">———. 2019.</w:t>
      </w:r>
      <w:r>
        <w:t xml:space="preserve"> </w:t>
      </w:r>
      <w:r>
        <w:rPr>
          <w:iCs/>
          <w:i/>
        </w:rPr>
        <w:t xml:space="preserve">Normative Externalism</w:t>
      </w:r>
      <w:r>
        <w:t xml:space="preserve">. Oxford: Oxford University Press.</w:t>
      </w:r>
    </w:p>
    <w:bookmarkEnd w:id="498"/>
    <w:bookmarkStart w:id="500"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499">
        <w:r>
          <w:rPr>
            <w:rStyle w:val="Hyperlink"/>
          </w:rPr>
          <w:t xml:space="preserve">https://doi.org/10.1111/j.1933-1592.2010.00448.x</w:t>
        </w:r>
      </w:hyperlink>
      <w:r>
        <w:t xml:space="preserve">.</w:t>
      </w:r>
    </w:p>
    <w:bookmarkEnd w:id="500"/>
    <w:bookmarkStart w:id="502" w:name="ref-Weisberg2013"/>
    <w:p>
      <w:pPr>
        <w:pStyle w:val="Bibliography"/>
      </w:pPr>
      <w:r>
        <w:t xml:space="preserve">———. 2013.</w:t>
      </w:r>
      <w:r>
        <w:t xml:space="preserve"> </w:t>
      </w:r>
      <w:r>
        <w:t xml:space="preserve">“Knowledge in Action.”</w:t>
      </w:r>
      <w:r>
        <w:t xml:space="preserve"> </w:t>
      </w:r>
      <w:r>
        <w:rPr>
          <w:iCs/>
          <w:i/>
        </w:rPr>
        <w:t xml:space="preserve">Philosophers’ Imprint</w:t>
      </w:r>
      <w:r>
        <w:t xml:space="preserve"> </w:t>
      </w:r>
      <w:r>
        <w:t xml:space="preserve">13 (22): 1–23.</w:t>
      </w:r>
      <w:r>
        <w:t xml:space="preserve"> </w:t>
      </w:r>
      <w:hyperlink r:id="rId501">
        <w:r>
          <w:rPr>
            <w:rStyle w:val="Hyperlink"/>
          </w:rPr>
          <w:t xml:space="preserve">https://doi.org/2027/spo.3521354.0013.022</w:t>
        </w:r>
      </w:hyperlink>
      <w:r>
        <w:t xml:space="preserve">.</w:t>
      </w:r>
    </w:p>
    <w:bookmarkEnd w:id="502"/>
    <w:bookmarkStart w:id="503" w:name="ref-Weisberg2020"/>
    <w:p>
      <w:pPr>
        <w:pStyle w:val="Bibliography"/>
      </w:pPr>
      <w:r>
        <w:t xml:space="preserve">———. 2020.</w:t>
      </w:r>
      <w:r>
        <w:t xml:space="preserve"> </w:t>
      </w:r>
      <w:r>
        <w:t xml:space="preserve">“Belief in Psyontology.”</w:t>
      </w:r>
      <w:r>
        <w:t xml:space="preserve"> </w:t>
      </w:r>
      <w:r>
        <w:rPr>
          <w:iCs/>
          <w:i/>
        </w:rPr>
        <w:t xml:space="preserve">Philosophers’ Imprint</w:t>
      </w:r>
      <w:r>
        <w:t xml:space="preserve">, xx–.</w:t>
      </w:r>
    </w:p>
    <w:bookmarkEnd w:id="503"/>
    <w:bookmarkStart w:id="505" w:name="ref-White2005-WHIEP"/>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445–59.</w:t>
      </w:r>
      <w:r>
        <w:t xml:space="preserve"> </w:t>
      </w:r>
      <w:hyperlink r:id="rId504">
        <w:r>
          <w:rPr>
            <w:rStyle w:val="Hyperlink"/>
          </w:rPr>
          <w:t xml:space="preserve">https://doi.org/10.1111/j.1520-8583.2005.00069.x</w:t>
        </w:r>
      </w:hyperlink>
      <w:r>
        <w:t xml:space="preserve">.</w:t>
      </w:r>
    </w:p>
    <w:bookmarkEnd w:id="505"/>
    <w:bookmarkStart w:id="506" w:name="ref-Williams1976"/>
    <w:p>
      <w:pPr>
        <w:pStyle w:val="Bibliography"/>
      </w:pPr>
      <w:r>
        <w:t xml:space="preserve">Williams, Peter. 1976.</w:t>
      </w:r>
      <w:r>
        <w:t xml:space="preserve"> </w:t>
      </w:r>
      <w:r>
        <w:t xml:space="preserve">“Indeterminate Probabilities.”</w:t>
      </w:r>
      <w:r>
        <w:t xml:space="preserve"> </w:t>
      </w:r>
      <w:r>
        <w:t xml:space="preserve">In</w:t>
      </w:r>
      <w:r>
        <w:t xml:space="preserve"> </w:t>
      </w:r>
      <w:r>
        <w:rPr>
          <w:iCs/>
          <w:i/>
        </w:rPr>
        <w:t xml:space="preserve">Formal Methods in the Methodology of the Empriccal Sciences</w:t>
      </w:r>
      <w:r>
        <w:t xml:space="preserve">, edited by M. Przelecki, K. Szaniawski, and R. Wojcicki, 229–46. Dordrecht: Reidel.</w:t>
      </w:r>
    </w:p>
    <w:bookmarkEnd w:id="506"/>
    <w:bookmarkStart w:id="507" w:name="ref-Williamson1994"/>
    <w:p>
      <w:pPr>
        <w:pStyle w:val="Bibliography"/>
      </w:pPr>
      <w:r>
        <w:t xml:space="preserve">Williamson, Timothy. 1994.</w:t>
      </w:r>
      <w:r>
        <w:t xml:space="preserve"> </w:t>
      </w:r>
      <w:r>
        <w:rPr>
          <w:iCs/>
          <w:i/>
        </w:rPr>
        <w:t xml:space="preserve">Vagueness</w:t>
      </w:r>
      <w:r>
        <w:t xml:space="preserve">. New York: Routledge.</w:t>
      </w:r>
    </w:p>
    <w:bookmarkEnd w:id="507"/>
    <w:bookmarkStart w:id="508" w:name="ref-Williamson2000"/>
    <w:p>
      <w:pPr>
        <w:pStyle w:val="Bibliography"/>
      </w:pPr>
      <w:r>
        <w:t xml:space="preserve">———. 2000.</w:t>
      </w:r>
      <w:r>
        <w:t xml:space="preserve"> </w:t>
      </w:r>
      <w:r>
        <w:rPr>
          <w:iCs/>
          <w:i/>
        </w:rPr>
        <w:t xml:space="preserve">Knowledge and its Limits</w:t>
      </w:r>
      <w:r>
        <w:t xml:space="preserve">. Oxford University Press.</w:t>
      </w:r>
    </w:p>
    <w:bookmarkEnd w:id="508"/>
    <w:bookmarkStart w:id="510" w:name="ref-Williamson2005"/>
    <w:p>
      <w:pPr>
        <w:pStyle w:val="Bibliography"/>
      </w:pPr>
      <w:r>
        <w:t xml:space="preserve">———. 2005.</w:t>
      </w:r>
      <w:r>
        <w:t xml:space="preserve"> </w:t>
      </w:r>
      <w:r>
        <w:t xml:space="preserve">“</w:t>
      </w:r>
      <w:r>
        <w:t xml:space="preserve">Contextualism, Subject-Sensitive Invariantism and Knowledge of Knowledge</w:t>
      </w:r>
      <w:r>
        <w:t xml:space="preserve">.”</w:t>
      </w:r>
      <w:r>
        <w:t xml:space="preserve"> </w:t>
      </w:r>
      <w:r>
        <w:rPr>
          <w:iCs/>
          <w:i/>
        </w:rPr>
        <w:t xml:space="preserve">The Philosophical Quarterly</w:t>
      </w:r>
      <w:r>
        <w:t xml:space="preserve"> </w:t>
      </w:r>
      <w:r>
        <w:t xml:space="preserve">55 (219): 213–35.</w:t>
      </w:r>
      <w:r>
        <w:t xml:space="preserve"> </w:t>
      </w:r>
      <w:hyperlink r:id="rId509">
        <w:r>
          <w:rPr>
            <w:rStyle w:val="Hyperlink"/>
          </w:rPr>
          <w:t xml:space="preserve">https://doi.org/10.1111/j.0031-8094.2005.00396.x</w:t>
        </w:r>
      </w:hyperlink>
      <w:r>
        <w:t xml:space="preserve">.</w:t>
      </w:r>
    </w:p>
    <w:bookmarkEnd w:id="510"/>
    <w:bookmarkStart w:id="512" w:name="ref-Williamson2007"/>
    <w:p>
      <w:pPr>
        <w:pStyle w:val="Bibliography"/>
      </w:pPr>
      <w:r>
        <w:t xml:space="preserve">———. 2007.</w:t>
      </w:r>
      <w:r>
        <w:t xml:space="preserve"> </w:t>
      </w:r>
      <w:r>
        <w:t xml:space="preserve">“How Probable Is an Infinite Sequence of Heads?”</w:t>
      </w:r>
      <w:r>
        <w:t xml:space="preserve"> </w:t>
      </w:r>
      <w:r>
        <w:rPr>
          <w:iCs/>
          <w:i/>
        </w:rPr>
        <w:t xml:space="preserve">Analysis</w:t>
      </w:r>
      <w:r>
        <w:t xml:space="preserve"> </w:t>
      </w:r>
      <w:r>
        <w:t xml:space="preserve">67 (295): 173–80.</w:t>
      </w:r>
      <w:r>
        <w:t xml:space="preserve"> </w:t>
      </w:r>
      <w:hyperlink r:id="rId511">
        <w:r>
          <w:rPr>
            <w:rStyle w:val="Hyperlink"/>
          </w:rPr>
          <w:t xml:space="preserve">https://doi.org/10.1111/j.1467-8284.2007.00671.x</w:t>
        </w:r>
      </w:hyperlink>
      <w:r>
        <w:t xml:space="preserve">.</w:t>
      </w:r>
    </w:p>
    <w:bookmarkEnd w:id="512"/>
    <w:bookmarkStart w:id="514" w:name="ref-WilliamsonLofoten"/>
    <w:p>
      <w:pPr>
        <w:pStyle w:val="Bibliography"/>
      </w:pPr>
      <w:r>
        <w:t xml:space="preserve">———. 2013.</w:t>
      </w:r>
      <w:r>
        <w:t xml:space="preserve"> </w:t>
      </w:r>
      <w:r>
        <w:t xml:space="preserve">“Gettier Cases in Epistemic Logic.”</w:t>
      </w:r>
      <w:r>
        <w:t xml:space="preserve"> </w:t>
      </w:r>
      <w:r>
        <w:rPr>
          <w:iCs/>
          <w:i/>
        </w:rPr>
        <w:t xml:space="preserve">Inquiry</w:t>
      </w:r>
      <w:r>
        <w:t xml:space="preserve"> </w:t>
      </w:r>
      <w:r>
        <w:t xml:space="preserve">56 (1): 1–14.</w:t>
      </w:r>
      <w:r>
        <w:t xml:space="preserve"> </w:t>
      </w:r>
      <w:hyperlink r:id="rId513">
        <w:r>
          <w:rPr>
            <w:rStyle w:val="Hyperlink"/>
          </w:rPr>
          <w:t xml:space="preserve">https://doi.org/10.1080/0020174X.2013.775010</w:t>
        </w:r>
      </w:hyperlink>
      <w:r>
        <w:t xml:space="preserve">.</w:t>
      </w:r>
    </w:p>
    <w:bookmarkEnd w:id="514"/>
    <w:bookmarkStart w:id="515" w:name="ref-Williamson2022"/>
    <w:p>
      <w:pPr>
        <w:pStyle w:val="Bibliography"/>
      </w:pPr>
      <w:r>
        <w:t xml:space="preserve">———. 2022.</w:t>
      </w:r>
      <w:r>
        <w:t xml:space="preserve"> </w:t>
      </w:r>
      <w:r>
        <w:t xml:space="preserve">“Knowledge, Credence, and the Strength of Belief.”</w:t>
      </w:r>
      <w:r>
        <w:t xml:space="preserve"> </w:t>
      </w:r>
      <w:r>
        <w:t xml:space="preserve">In</w:t>
      </w:r>
      <w:r>
        <w:t xml:space="preserve"> </w:t>
      </w:r>
      <w:r>
        <w:rPr>
          <w:iCs/>
          <w:i/>
        </w:rPr>
        <w:t xml:space="preserve">Expansive Epistemology: Norms, Action, and the Social World</w:t>
      </w:r>
      <w:r>
        <w:t xml:space="preserve">, edited by Amy Flowerree and Baron Reed, xx–. London: Routledge.</w:t>
      </w:r>
    </w:p>
    <w:bookmarkEnd w:id="515"/>
    <w:bookmarkStart w:id="516"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516"/>
    <w:bookmarkStart w:id="517" w:name="ref-Woodard2021"/>
    <w:p>
      <w:pPr>
        <w:pStyle w:val="Bibliography"/>
      </w:pPr>
      <w:r>
        <w:t xml:space="preserve">Woodard, Elise. 2020.</w:t>
      </w:r>
      <w:r>
        <w:t xml:space="preserve"> </w:t>
      </w:r>
      <w:r>
        <w:t xml:space="preserve">“Why Double-Check.”</w:t>
      </w:r>
    </w:p>
    <w:bookmarkEnd w:id="517"/>
    <w:bookmarkStart w:id="519" w:name="ref-Wright2002"/>
    <w:p>
      <w:pPr>
        <w:pStyle w:val="Bibliography"/>
      </w:pPr>
      <w:r>
        <w:t xml:space="preserve">Wright, Crispin.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518">
        <w:r>
          <w:rPr>
            <w:rStyle w:val="Hyperlink"/>
          </w:rPr>
          <w:t xml:space="preserve">https://doi.org/10.1111/j.1933-1592.2002.tb00205.x</w:t>
        </w:r>
      </w:hyperlink>
      <w:r>
        <w:t xml:space="preserve">.</w:t>
      </w:r>
    </w:p>
    <w:bookmarkEnd w:id="519"/>
    <w:bookmarkStart w:id="520" w:name="ref-Wright2018"/>
    <w:p>
      <w:pPr>
        <w:pStyle w:val="Bibliography"/>
      </w:pPr>
      <w:r>
        <w:t xml:space="preserve">———. 2018.</w:t>
      </w:r>
      <w:r>
        <w:t xml:space="preserve"> </w:t>
      </w:r>
      <w:r>
        <w:t xml:space="preserve">“A Plague on All Your Houses: Some Reflections on the Variable Behaviour of "Knows".”</w:t>
      </w:r>
      <w:r>
        <w:t xml:space="preserve"> </w:t>
      </w:r>
      <w:r>
        <w:t xml:space="preserve">In, edited by Annalisa Coliva, Paolo Leonardi, and Sebastiano Moruzzi, 357–83. London: Palgrave Macmillan.</w:t>
      </w:r>
    </w:p>
    <w:bookmarkEnd w:id="520"/>
    <w:bookmarkStart w:id="522" w:name="ref-Wu2024"/>
    <w:p>
      <w:pPr>
        <w:pStyle w:val="Bibliography"/>
      </w:pPr>
      <w:r>
        <w:t xml:space="preserve">Wu, Jenny Yi-Chen. forthcoming.</w:t>
      </w:r>
      <w:r>
        <w:t xml:space="preserve"> </w:t>
      </w:r>
      <w:r>
        <w:t xml:space="preserve">“A Defense of Impurist Permissivism (1st Edition).”</w:t>
      </w:r>
      <w:r>
        <w:t xml:space="preserve"> </w:t>
      </w:r>
      <w:r>
        <w:rPr>
          <w:iCs/>
          <w:i/>
        </w:rPr>
        <w:t xml:space="preserve">Episteme</w:t>
      </w:r>
      <w:r>
        <w:t xml:space="preserve">, no. N/A (forthcoming): 1–21.</w:t>
      </w:r>
      <w:r>
        <w:t xml:space="preserve"> </w:t>
      </w:r>
      <w:hyperlink r:id="rId521">
        <w:r>
          <w:rPr>
            <w:rStyle w:val="Hyperlink"/>
          </w:rPr>
          <w:t xml:space="preserve">https://doi.org/10.1017/epi.2023.22</w:t>
        </w:r>
      </w:hyperlink>
      <w:r>
        <w:t xml:space="preserve">.</w:t>
      </w:r>
    </w:p>
    <w:bookmarkEnd w:id="522"/>
    <w:bookmarkStart w:id="524" w:name="ref-Yalcin2018"/>
    <w:p>
      <w:pPr>
        <w:pStyle w:val="Bibliography"/>
      </w:pPr>
      <w:r>
        <w:t xml:space="preserve">Yalcin, Seth. 2018.</w:t>
      </w:r>
      <w:r>
        <w:t xml:space="preserve"> </w:t>
      </w:r>
      <w:r>
        <w:t xml:space="preserve">“Belief as Question-Sensitive.”</w:t>
      </w:r>
      <w:r>
        <w:t xml:space="preserve"> </w:t>
      </w:r>
      <w:r>
        <w:rPr>
          <w:iCs/>
          <w:i/>
        </w:rPr>
        <w:t xml:space="preserve">Philosophy and Phenomenological Research</w:t>
      </w:r>
      <w:r>
        <w:t xml:space="preserve"> </w:t>
      </w:r>
      <w:r>
        <w:t xml:space="preserve">97 (1): 23–47.</w:t>
      </w:r>
      <w:r>
        <w:t xml:space="preserve"> </w:t>
      </w:r>
      <w:hyperlink r:id="rId523">
        <w:r>
          <w:rPr>
            <w:rStyle w:val="Hyperlink"/>
          </w:rPr>
          <w:t xml:space="preserve">https://doi.org/10.1111/phpr.12330</w:t>
        </w:r>
      </w:hyperlink>
      <w:r>
        <w:t xml:space="preserve">.</w:t>
      </w:r>
    </w:p>
    <w:bookmarkEnd w:id="524"/>
    <w:bookmarkStart w:id="525" w:name="ref-Yalcin2021"/>
    <w:p>
      <w:pPr>
        <w:pStyle w:val="Bibliography"/>
      </w:pPr>
      <w:r>
        <w:t xml:space="preserve">———. 2021.</w:t>
      </w:r>
      <w:r>
        <w:t xml:space="preserve"> </w:t>
      </w:r>
      <w:r>
        <w:t xml:space="preserve">“Fragmented but Rational.”</w:t>
      </w:r>
      <w:r>
        <w:t xml:space="preserve"> </w:t>
      </w:r>
      <w:r>
        <w:t xml:space="preserve">In</w:t>
      </w:r>
      <w:r>
        <w:t xml:space="preserve"> </w:t>
      </w:r>
      <w:r>
        <w:rPr>
          <w:iCs/>
          <w:i/>
        </w:rPr>
        <w:t xml:space="preserve">The Fragmented Mind</w:t>
      </w:r>
      <w:r>
        <w:t xml:space="preserve">, edited by Christina Borgoni, Dirk Kindermann, and Andrea Onofori, 156–79. Oxford: Oxford University Press.</w:t>
      </w:r>
    </w:p>
    <w:bookmarkEnd w:id="525"/>
    <w:bookmarkStart w:id="527" w:name="ref-Ye2024"/>
    <w:p>
      <w:pPr>
        <w:pStyle w:val="Bibliography"/>
      </w:pPr>
      <w:r>
        <w:t xml:space="preserve">Ye, Ru. forthcoming.</w:t>
      </w:r>
      <w:r>
        <w:t xml:space="preserve"> </w:t>
      </w:r>
      <w:r>
        <w:t xml:space="preserve">“Knowledge-Action Principles and Threshold-Impurism.”</w:t>
      </w:r>
      <w:r>
        <w:t xml:space="preserve"> </w:t>
      </w:r>
      <w:r>
        <w:rPr>
          <w:iCs/>
          <w:i/>
        </w:rPr>
        <w:t xml:space="preserve">Erkenntnis</w:t>
      </w:r>
      <w:r>
        <w:t xml:space="preserve">, forthcoming, 1–18.</w:t>
      </w:r>
      <w:r>
        <w:t xml:space="preserve"> </w:t>
      </w:r>
      <w:hyperlink r:id="rId526">
        <w:r>
          <w:rPr>
            <w:rStyle w:val="Hyperlink"/>
          </w:rPr>
          <w:t xml:space="preserve">https://doi.org/10.1007/s10670-022-00626-7</w:t>
        </w:r>
      </w:hyperlink>
      <w:r>
        <w:t xml:space="preserve">.</w:t>
      </w:r>
    </w:p>
    <w:bookmarkEnd w:id="527"/>
    <w:bookmarkStart w:id="529" w:name="ref-Zweber2016"/>
    <w:p>
      <w:pPr>
        <w:pStyle w:val="Bibliography"/>
      </w:pPr>
      <w:r>
        <w:t xml:space="preserve">Zweber, Adam. 2016.</w:t>
      </w:r>
      <w:r>
        <w:t xml:space="preserve"> </w:t>
      </w:r>
      <w:r>
        <w:t xml:space="preserve">“Fallibilism, Closure, and Pragmatic Encroachment.”</w:t>
      </w:r>
      <w:r>
        <w:t xml:space="preserve"> </w:t>
      </w:r>
      <w:r>
        <w:rPr>
          <w:iCs/>
          <w:i/>
        </w:rPr>
        <w:t xml:space="preserve">Philosophical Studies</w:t>
      </w:r>
      <w:r>
        <w:t xml:space="preserve"> </w:t>
      </w:r>
      <w:r>
        <w:t xml:space="preserve">173 (10): 2745–57.</w:t>
      </w:r>
      <w:r>
        <w:t xml:space="preserve"> </w:t>
      </w:r>
      <w:hyperlink r:id="rId528">
        <w:r>
          <w:rPr>
            <w:rStyle w:val="Hyperlink"/>
          </w:rPr>
          <w:t xml:space="preserve">https://doi.org/10.1007/s11098-016-0631-5</w:t>
        </w:r>
      </w:hyperlink>
      <w:r>
        <w:t xml:space="preserve">.</w:t>
      </w:r>
    </w:p>
    <w:bookmarkEnd w:id="529"/>
    <w:bookmarkEnd w:id="530"/>
    <w:bookmarkEnd w:id="5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McKenna (forthcoming)</w:t>
      </w:r>
      <w:r>
        <w:t xml:space="preserve">,</w:t>
      </w:r>
      <w:r>
        <w:t xml:space="preserve"> </w:t>
      </w:r>
      <w:r>
        <w:t xml:space="preserve">Schmidt (forthcoming)</w:t>
      </w:r>
      <w:r>
        <w:t xml:space="preserve">,</w:t>
      </w:r>
      <w:r>
        <w:t xml:space="preserve"> </w:t>
      </w:r>
      <w:r>
        <w:t xml:space="preserve">Steglich-Petersen (forthcoming)</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and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and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and Ganeri 2020)</w:t>
      </w:r>
      <w:r>
        <w:t xml:space="preserve">.</w:t>
      </w:r>
    </w:p>
  </w:footnote>
  <w:footnote w:id="26">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7">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8">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idiosyncrasies that reflect changes of mind in response to convincing objections to my previous views.</w:t>
      </w:r>
    </w:p>
  </w:footnote>
  <w:footnote w:id="29">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30">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2">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4">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124–25)</w:t>
      </w:r>
      <w:r>
        <w:t xml:space="preserve">. The best form of epistemicism, I’m suggesting, says that Anisa and Blaise are rational but unwise. This isn’t Lasonen-Aarnio’s terminology, but otherwise I’m just coopting her ideas.</w:t>
      </w:r>
    </w:p>
  </w:footnote>
  <w:footnote w:id="35">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9">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1">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4">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5">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8">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50">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2">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3">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8">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60">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61">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63">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6">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8">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9">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71">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and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72">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3">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4">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5">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7">
    <w:p>
      <w:pPr>
        <w:pStyle w:val="FootnoteText"/>
      </w:pPr>
      <w:r>
        <w:rPr>
          <w:rStyle w:val="FootnoteReference"/>
        </w:rPr>
        <w:footnoteRef/>
      </w:r>
      <w:r>
        <w:t xml:space="preserve"> </w:t>
      </w:r>
      <w:r>
        <w:t xml:space="preserve">Fantl and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82">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5">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8">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90">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91">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2">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93">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5">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8">
    <w:p>
      <w:pPr>
        <w:pStyle w:val="FootnoteText"/>
      </w:pPr>
      <w:r>
        <w:rPr>
          <w:rStyle w:val="FootnoteReference"/>
        </w:rPr>
        <w:footnoteRef/>
      </w:r>
      <w:r>
        <w:t xml:space="preserve"> </w:t>
      </w:r>
      <w:r>
        <w:t xml:space="preserve">I’m indebted here to conversations with Eric Swanson.</w:t>
      </w:r>
    </w:p>
  </w:footnote>
  <w:footnote w:id="100">
    <w:p>
      <w:pPr>
        <w:pStyle w:val="FootnoteText"/>
      </w:pPr>
      <w:r>
        <w:rPr>
          <w:rStyle w:val="FootnoteReference"/>
        </w:rPr>
        <w:footnoteRef/>
      </w:r>
      <w:r>
        <w:t xml:space="preserve"> </w:t>
      </w:r>
      <w:r>
        <w:t xml:space="preserve">This section draws heavily on §1.1 of</w:t>
      </w:r>
      <w:r>
        <w:t xml:space="preserve"> </w:t>
      </w:r>
      <w:r>
        <w:t xml:space="preserve">Weatherson (2012)</w:t>
      </w:r>
      <w:r>
        <w:t xml:space="preserve">.</w:t>
      </w:r>
    </w:p>
  </w:footnote>
  <w:footnote w:id="108">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10">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2">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13">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8">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9">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20">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4">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31">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3">
    <w:p>
      <w:pPr>
        <w:pStyle w:val="FootnoteText"/>
      </w:pPr>
      <w:r>
        <w:rPr>
          <w:rStyle w:val="FootnoteReference"/>
        </w:rPr>
        <w:footnoteRef/>
      </w:r>
      <w:r>
        <w:t xml:space="preserve"> </w:t>
      </w:r>
      <w:r>
        <w:t xml:space="preserve">In</w:t>
      </w:r>
      <w:r>
        <w:t xml:space="preserve"> </w:t>
      </w:r>
      <w:r>
        <w:t xml:space="preserve">Weatherson (2015)</w:t>
      </w:r>
      <w:r>
        <w:t xml:space="preserve"> </w:t>
      </w:r>
      <w:r>
        <w:t xml:space="preserve">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134">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6">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4.5</w:t>
        </w:r>
      </w:hyperlink>
      <w:r>
        <w:t xml:space="preserve">.</w:t>
      </w:r>
    </w:p>
  </w:footnote>
  <w:footnote w:id="138">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a mistake because</w:t>
      </w:r>
      <w:r>
        <w:t xml:space="preserve"> </w:t>
      </w:r>
      <w:r>
        <w:rPr>
          <w:iCs/>
          <w:i/>
        </w:rPr>
        <w:t xml:space="preserve">p</w:t>
      </w:r>
      <w:r>
        <w:t xml:space="preserve"> </w:t>
      </w:r>
      <w:r>
        <w:t xml:space="preserve">might be false. I’ll use the more informal version in the text in what follows to increase readability.</w:t>
      </w:r>
    </w:p>
  </w:footnote>
  <w:footnote w:id="139">
    <w:p>
      <w:pPr>
        <w:pStyle w:val="FootnoteText"/>
      </w:pPr>
      <w:r>
        <w:rPr>
          <w:rStyle w:val="FootnoteReference"/>
        </w:rPr>
        <w:footnoteRef/>
      </w:r>
      <w:r>
        <w:t xml:space="preserve"> </w:t>
      </w:r>
      <w:r>
        <w:t xml:space="preserve">I’ll have much more to say about the notion of</w:t>
      </w:r>
      <w:r>
        <w:t xml:space="preserve"> </w:t>
      </w:r>
      <w:r>
        <w:t xml:space="preserve">‘</w:t>
      </w:r>
      <w:r>
        <w:t xml:space="preserve">traditional</w:t>
      </w:r>
      <w:r>
        <w:t xml:space="preserve">’</w:t>
      </w:r>
      <w:r>
        <w:t xml:space="preserve"> </w:t>
      </w:r>
      <w:r>
        <w:t xml:space="preserve">factors in</w:t>
      </w:r>
      <w:r>
        <w:t xml:space="preserve"> </w:t>
      </w:r>
      <w:hyperlink w:anchor="sec-gettier">
        <w:r>
          <w:rPr>
            <w:rStyle w:val="Hyperlink"/>
          </w:rPr>
          <w:t xml:space="preserve">Section 7.2</w:t>
        </w:r>
      </w:hyperlink>
      <w:r>
        <w:t xml:space="preserve">.</w:t>
      </w:r>
    </w:p>
  </w:footnote>
  <w:footnote w:id="144">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145">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7">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50">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51">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3">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6">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8">
    <w:p>
      <w:pPr>
        <w:pStyle w:val="FootnoteText"/>
      </w:pPr>
      <w:r>
        <w:rPr>
          <w:rStyle w:val="FootnoteReference"/>
        </w:rPr>
        <w:footnoteRef/>
      </w:r>
      <w:r>
        <w:t xml:space="preserve"> </w:t>
      </w:r>
      <w:r>
        <w:t xml:space="preserve">I discussed issues about belief more back in</w:t>
      </w:r>
      <w:r>
        <w:t xml:space="preserve"> </w:t>
      </w:r>
      <w:hyperlink w:anchor="sec-belief">
        <w:r>
          <w:rPr>
            <w:rStyle w:val="Hyperlink"/>
          </w:rPr>
          <w:t xml:space="preserve">Chapter 3</w:t>
        </w:r>
      </w:hyperlink>
      <w:r>
        <w:t xml:space="preserve">.</w:t>
      </w:r>
    </w:p>
  </w:footnote>
  <w:footnote w:id="160">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61">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3">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6">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67">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70">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71">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72">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5">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77">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78">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84">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3">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96">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203">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4">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212">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16">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and Boylan 2017)</w:t>
      </w:r>
      <w:r>
        <w:t xml:space="preserve">. To say Lupin can unlock the phone is not to say he might unlock the phone - anyone might unlock it hitting random numbers - it’s to say he has a method that would unlock the phone if deployed.</w:t>
      </w:r>
    </w:p>
  </w:footnote>
  <w:footnote w:id="217">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8">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2023-12-11T03:00:04Z</dcterms:created>
  <dcterms:modified xsi:type="dcterms:W3CDTF">2023-12-11T03:00:04Z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2023-12-10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Human Interest Story</vt:lpwstr>
  </property>
  <property fmtid="{D5CDD505-2E9C-101B-9397-08002B2CF9AE}" pid="15" name="toc-title">
    <vt:lpwstr>Table of contents</vt:lpwstr>
  </property>
</Properties>
</file>