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2023-12-18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1"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held a place last occupied by concrete modal realism. Rarely does a theory give rise to a literature with so many opponents and so few proponents.</w:t>
      </w:r>
    </w:p>
    <w:p>
      <w:pPr>
        <w:pStyle w:val="BodyText"/>
      </w:pPr>
      <w:r>
        <w:t xml:space="preserve">The terminology that is used to describe the debate about interest-relativity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6"/>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7"/>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8"/>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9"/>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30"/>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1"/>
    <w:bookmarkStart w:id="57" w:name="sec-interests"/>
    <w:p>
      <w:pPr>
        <w:pStyle w:val="Heading1"/>
      </w:pPr>
      <w:r>
        <w:t xml:space="preserve">2. Interests</w:t>
      </w:r>
    </w:p>
    <w:bookmarkStart w:id="33"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2"/>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3"/>
    <w:bookmarkStart w:id="36"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4"/>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5"/>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6"/>
    <w:bookmarkStart w:id="43"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7"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7"/>
    <w:bookmarkStart w:id="38"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8"/>
    <w:bookmarkStart w:id="40"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9"/>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40"/>
    <w:bookmarkStart w:id="42"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1"/>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2"/>
    <w:bookmarkEnd w:id="43"/>
    <w:bookmarkStart w:id="47"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4"/>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5"/>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6"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6"/>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7"/>
    <w:bookmarkStart w:id="49"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8"/>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9"/>
    <w:bookmarkStart w:id="51"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50"/>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1"/>
    <w:bookmarkStart w:id="56"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bookmarkStart w:id="54"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4"/>
    <w:bookmarkStart w:id="55"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5"/>
    <w:bookmarkEnd w:id="56"/>
    <w:bookmarkEnd w:id="57"/>
    <w:bookmarkStart w:id="87" w:name="sec-belief"/>
    <w:p>
      <w:pPr>
        <w:pStyle w:val="Heading1"/>
      </w:pPr>
      <w:r>
        <w:t xml:space="preserve">3. Belief</w:t>
      </w:r>
    </w:p>
    <w:bookmarkStart w:id="59"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8"/>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9"/>
    <w:bookmarkStart w:id="62"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60"/>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61"/>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2"/>
    <w:bookmarkStart w:id="64"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3"/>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4"/>
    <w:bookmarkStart w:id="67"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5"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5"/>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6"/>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7"/>
    <w:bookmarkStart w:id="70"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8"/>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9"/>
      </w:r>
      <w:r>
        <w:t xml:space="preserve"> </w:t>
      </w:r>
      <w:r>
        <w:t xml:space="preserve">But they could be part of a theory of belief, and the theory they are part of is helpful for seeing how beliefs and interests fit together.</w:t>
      </w:r>
    </w:p>
    <w:bookmarkEnd w:id="70"/>
    <w:bookmarkStart w:id="76"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71"/>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2"/>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3"/>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4"/>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5"/>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6"/>
    <w:bookmarkStart w:id="84"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8"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7"/>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8"/>
    <w:bookmarkStart w:id="79"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9"/>
    <w:bookmarkStart w:id="80"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80"/>
    <w:bookmarkStart w:id="81"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81"/>
    <w:bookmarkStart w:id="83"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2"/>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3"/>
    <w:bookmarkEnd w:id="84"/>
    <w:bookmarkStart w:id="86"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5"/>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6"/>
    <w:bookmarkEnd w:id="87"/>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4"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8"/>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9"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9"/>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90"/>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91"/>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2"/>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3"/>
      </w:r>
      <w:r>
        <w:t xml:space="preserve"> </w:t>
      </w:r>
      <w:r>
        <w:t xml:space="preserve">In any case, the conditional will be enough.</w:t>
      </w:r>
    </w:p>
    <w:bookmarkEnd w:id="94"/>
    <w:bookmarkStart w:id="99"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5"/>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6"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6"/>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7"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7"/>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8"/>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9"/>
    <w:bookmarkStart w:id="105" w:name="sec-other-answers"/>
    <w:p>
      <w:pPr>
        <w:pStyle w:val="Heading2"/>
      </w:pPr>
      <w:r>
        <w:t xml:space="preserve">4.3 Other Answers</w:t>
      </w:r>
    </w:p>
    <w:p>
      <w:pPr>
        <w:pStyle w:val="FirstParagraph"/>
      </w:pPr>
      <w:r>
        <w:t xml:space="preserve">If KAE is false, what should go in its place? What could be the state which does allow exclusion?</w:t>
      </w:r>
      <w:r>
        <w:rPr>
          <w:rStyle w:val="FootnoteReference"/>
        </w:rPr>
        <w:footnoteReference w:id="100"/>
      </w:r>
    </w:p>
    <w:bookmarkStart w:id="101"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bookmarkEnd w:id="101"/>
    <w:bookmarkStart w:id="102"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But since I’m going to argue in</w:t>
      </w:r>
      <w:r>
        <w:t xml:space="preserve"> </w:t>
      </w:r>
      <w:hyperlink w:anchor="sec-evidence">
        <w:r>
          <w:rPr>
            <w:rStyle w:val="Hyperlink"/>
          </w:rPr>
          <w:t xml:space="preserve">Chapter 9</w:t>
        </w:r>
      </w:hyperlink>
      <w:r>
        <w:t xml:space="preserve"> </w:t>
      </w:r>
      <w:r>
        <w:t xml:space="preserve">against this claim of Williamson’s, I can’t rely on that.</w:t>
      </w:r>
    </w:p>
    <w:p>
      <w:pPr>
        <w:pStyle w:val="BodyText"/>
      </w:pPr>
      <w:r>
        <w:t xml:space="preserve">Instead I’ll offer a two-part response.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But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102"/>
    <w:bookmarkStart w:id="103"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10000 chance. But it’s absurd to ignore one in 10,000 chances when deciding what insurance to buy. Fewer than one home in 10,000 burns down in any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Some of those objections will come up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But I’ll end this survey with a different puzzle case.</w:t>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Cs/>
          <w:i/>
        </w:rPr>
        <w:t xml:space="preserve">x</w:t>
      </w:r>
      <w:r>
        <w:t xml:space="preserve">, Luc gets utility</w:t>
      </w:r>
      <w:r>
        <w:t xml:space="preserve"> </w:t>
      </w:r>
      <w:r>
        <w:rPr>
          <w:iCs/>
          <w:i/>
        </w:rPr>
        <w:t xml:space="preserve">x</w:t>
      </w:r>
      <w:r>
        <w:rPr>
          <w:vertAlign w:val="subscript"/>
        </w:rPr>
        <w:t xml:space="preserve">0.5</w:t>
      </w:r>
      <w:r>
        <w:t xml:space="preserve"> </w:t>
      </w:r>
      <w:r>
        <w:t xml:space="preserve">out of having $</w:t>
      </w:r>
      <w:r>
        <w:rPr>
          <w:iCs/>
          <w:i/>
        </w:rPr>
        <w:t xml:space="preserve">x</w:t>
      </w:r>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b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bookmarkEnd w:id="103"/>
    <w:bookmarkStart w:id="104"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4"/>
    <w:bookmarkEnd w:id="105"/>
    <w:bookmarkStart w:id="107" w:name="sec-from-kae-to-irt"/>
    <w:p>
      <w:pPr>
        <w:pStyle w:val="Heading2"/>
      </w:pPr>
      <w:r>
        <w:t xml:space="preserve">4.4 From KAE to Interest-Relativity</w:t>
      </w:r>
    </w:p>
    <w:p>
      <w:pPr>
        <w:pStyle w:val="FirstParagraph"/>
      </w:pPr>
      <w:r>
        <w:t xml:space="preserve">If Knowledge Allows Exclusion,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6"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6"/>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7"/>
    <w:bookmarkStart w:id="109" w:name="sec-theoreticalknowledge"/>
    <w:p>
      <w:pPr>
        <w:pStyle w:val="Heading2"/>
      </w:pPr>
      <w:r>
        <w:t xml:space="preserve">4.5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8"/>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1"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9"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8"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8"/>
    <w:bookmarkEnd w:id="129"/>
    <w:bookmarkStart w:id="130"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0"/>
    <w:bookmarkStart w:id="132"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1"/>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32"/>
    <w:bookmarkStart w:id="135"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33"/>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4"/>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5"/>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w:t>
      </w:r>
      <w:r>
        <w:rPr>
          <w:rStyle w:val="FootnoteReference"/>
        </w:rPr>
        <w:footnoteReference w:id="136"/>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40"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9"/>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40"/>
    <w:bookmarkEnd w:id="141"/>
    <w:bookmarkStart w:id="155"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2"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42"/>
    <w:bookmarkStart w:id="143"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3"/>
    <w:bookmarkStart w:id="146"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4"/>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5"/>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6"/>
    <w:bookmarkStart w:id="148"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7"/>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8"/>
    <w:bookmarkStart w:id="149"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9"/>
    <w:bookmarkStart w:id="152"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50"/>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1"/>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2"/>
    <w:bookmarkStart w:id="154"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3"/>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4"/>
    <w:bookmarkEnd w:id="155"/>
    <w:bookmarkStart w:id="165"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6"/>
      </w:r>
    </w:p>
    <w:bookmarkStart w:id="157"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7"/>
    <w:bookmarkStart w:id="159"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8"/>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9"/>
    <w:bookmarkStart w:id="162"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60"/>
      </w:r>
      <w:r>
        <w:t xml:space="preserve"> </w:t>
      </w:r>
      <w:r>
        <w:t xml:space="preserve">It isn’t extensional adequacy; Dharmottara refuted that 1300 years ago. But it can be expressed using the modern</w:t>
      </w:r>
      <w:r>
        <w:rPr>
          <w:rStyle w:val="FootnoteReference"/>
        </w:rPr>
        <w:footnoteReference w:id="16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2"/>
    <w:bookmarkStart w:id="164"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4"/>
    <w:bookmarkEnd w:id="165"/>
    <w:bookmarkStart w:id="192"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8"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6"/>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7"/>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8"/>
    <w:bookmarkStart w:id="169"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9"/>
    <w:bookmarkStart w:id="180"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7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71"/>
      </w:r>
      <w:r>
        <w:t xml:space="preserve"> </w:t>
      </w:r>
      <w:r>
        <w:t xml:space="preserve">So I’ll set the basic points slowly, and then circle back to the puzzle for the Lockeans.</w:t>
      </w:r>
      <w:r>
        <w:rPr>
          <w:rStyle w:val="FootnoteReference"/>
        </w:rPr>
        <w:footnoteReference w:id="172"/>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73"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3"/>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4"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4"/>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5"/>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6"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6"/>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&amp;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7"/>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8"/>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9"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9"/>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80"/>
    <w:bookmarkStart w:id="186"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81"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81"/>
    <w:bookmarkStart w:id="182"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2"/>
    <w:bookmarkStart w:id="183"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3"/>
    <w:bookmarkStart w:id="185"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4"/>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5"/>
    <w:bookmarkEnd w:id="186"/>
    <w:bookmarkStart w:id="191"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7"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7"/>
    <w:bookmarkStart w:id="188"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8"/>
    <w:bookmarkStart w:id="189"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9"/>
    <w:bookmarkStart w:id="190"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90"/>
    <w:bookmarkEnd w:id="191"/>
    <w:bookmarkEnd w:id="192"/>
    <w:bookmarkStart w:id="215" w:name="sec-evidence"/>
    <w:p>
      <w:pPr>
        <w:pStyle w:val="Heading1"/>
      </w:pPr>
      <w:r>
        <w:t xml:space="preserve">9. Evidence</w:t>
      </w:r>
    </w:p>
    <w:bookmarkStart w:id="194"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93"/>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that, in normal circumstances, would be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4"/>
    <w:bookmarkStart w:id="195"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5"/>
    <w:bookmarkStart w:id="199"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6"/>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7"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7"/>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that Human is rational.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w:t>
      </w:r>
      <w:r>
        <w:t xml:space="preserve"> </w:t>
      </w:r>
      <w:r>
        <w:rPr>
          <w:iCs/>
          <w:i/>
        </w:rPr>
        <w:t xml:space="preserve">p</w:t>
      </w:r>
      <w:r>
        <w:t xml:space="preserve"> </w:t>
      </w:r>
      <w:r>
        <w:t xml:space="preserve">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the payouts for the game are those in</w:t>
      </w:r>
      <w:r>
        <w:t xml:space="preserve"> </w:t>
      </w:r>
      <w:hyperlink w:anchor="tbl-radical-interpreter">
        <w:r>
          <w:rPr>
            <w:rStyle w:val="Hyperlink"/>
          </w:rPr>
          <w:t xml:space="preserve">Table 9.2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8"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8"/>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9"/>
    <w:bookmarkStart w:id="208" w:name="sec-globalgame"/>
    <w:p>
      <w:pPr>
        <w:pStyle w:val="Heading2"/>
      </w:pPr>
      <w:r>
        <w:t xml:space="preserve">9.4 Risk-Dominant Equilibria</w:t>
      </w:r>
    </w:p>
    <w:p>
      <w:pPr>
        <w:pStyle w:val="FirstParagraph"/>
      </w:pPr>
      <w:r>
        <w:t xml:space="preserve">At an almost maximal level of abstraction, a two player, two option each game looks like</w:t>
      </w:r>
      <w:r>
        <w:t xml:space="preserve"> </w:t>
      </w:r>
      <w:hyperlink w:anchor="tbl-generic-game">
        <w:r>
          <w:rPr>
            <w:rStyle w:val="Hyperlink"/>
          </w:rPr>
          <w:t xml:space="preserve">Table 9.3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0"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200"/>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in</w:t>
      </w:r>
      <w:r>
        <w:t xml:space="preserve"> </w:t>
      </w:r>
      <w:hyperlink w:anchor="tbl-stag-hunt">
        <w:r>
          <w:rPr>
            <w:rStyle w:val="Hyperlink"/>
          </w:rPr>
          <w:t xml:space="preserve">Table 9.4</w:t>
        </w:r>
      </w:hyperlink>
      <w:r>
        <w:t xml:space="preserv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201"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201"/>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w:t>
      </w:r>
      <w:r>
        <w:t xml:space="preserve"> </w:t>
      </w:r>
      <w:hyperlink w:anchor="tbl-global-game">
        <w:r>
          <w:rPr>
            <w:rStyle w:val="Hyperlink"/>
          </w:rPr>
          <w:t xml:space="preserve">Table 9.5</w:t>
        </w:r>
      </w:hyperlink>
      <w:r>
        <w:t xml:space="preserv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202"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202"/>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203"/>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4"/>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6"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Cs/>
          <w:i/>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5"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5"/>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3.875,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3.599,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6"/>
    <w:bookmarkStart w:id="207"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7"/>
    <w:bookmarkEnd w:id="208"/>
    <w:bookmarkStart w:id="209"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9"/>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the actions which knowing that</w:t>
      </w:r>
      <w:r>
        <w:t xml:space="preserve"> </w:t>
      </w:r>
      <w:r>
        <w:rPr>
          <w:iCs/>
          <w:i/>
        </w:rPr>
        <w:t xml:space="preserve">p</w:t>
      </w:r>
      <w:r>
        <w:t xml:space="preserve"> </w:t>
      </w:r>
      <w:r>
        <w:t xml:space="preserve">makes rational include all the actions whatsoever that make sense if</w:t>
      </w:r>
      <w:r>
        <w:t xml:space="preserve"> </w:t>
      </w:r>
      <w:r>
        <w:rPr>
          <w:iCs/>
          <w:i/>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that</w:t>
      </w:r>
      <w:r>
        <w:t xml:space="preserve"> </w:t>
      </w:r>
      <w:r>
        <w:rPr>
          <w:iCs/>
          <w:i/>
        </w:rPr>
        <w:t xml:space="preserve">X</w:t>
      </w:r>
      <w:r>
        <w:t xml:space="preserve">’s actions make no difference to which member 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might also be probable enough that</w:t>
      </w:r>
      <w:r>
        <w:t xml:space="preserve"> </w:t>
      </w:r>
      <w:r>
        <w:rPr>
          <w:iCs/>
          <w:i/>
        </w:rPr>
        <w:t xml:space="preserve">A</w:t>
      </w:r>
      <w:r>
        <w:t xml:space="preserve"> </w:t>
      </w:r>
      <w:r>
        <w:t xml:space="preserve">will lead to a disastrous outcome for it to be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31"/>
    <w:bookmarkStart w:id="232" w:name="ref-Binmore2007"/>
    <w:p>
      <w:pPr>
        <w:pStyle w:val="Bibliography"/>
      </w:pPr>
      <w:r>
        <w:t xml:space="preserve">Binmore, Ken. (2007).</w:t>
      </w:r>
      <w:r>
        <w:t xml:space="preserve"> </w:t>
      </w:r>
      <w:r>
        <w:rPr>
          <w:iCs/>
          <w:i/>
        </w:rPr>
        <w:t xml:space="preserve">Playing for real: A text on game theory</w:t>
      </w:r>
      <w:r>
        <w:t xml:space="preserve">. Oxford University Press.</w:t>
      </w:r>
    </w:p>
    <w:bookmarkEnd w:id="232"/>
    <w:bookmarkStart w:id="234"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3">
        <w:r>
          <w:rPr>
            <w:rStyle w:val="Hyperlink"/>
          </w:rPr>
          <w:t xml:space="preserve">10.1111/j.0031-8094.2004.00350.x</w:t>
        </w:r>
      </w:hyperlink>
    </w:p>
    <w:bookmarkEnd w:id="234"/>
    <w:bookmarkStart w:id="236"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5">
        <w:r>
          <w:rPr>
            <w:rStyle w:val="Hyperlink"/>
          </w:rPr>
          <w:t xml:space="preserve">10.1111/j.1933-1592.2009.00280.x</w:t>
        </w:r>
      </w:hyperlink>
    </w:p>
    <w:bookmarkEnd w:id="236"/>
    <w:bookmarkStart w:id="238"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7">
        <w:r>
          <w:rPr>
            <w:rStyle w:val="Hyperlink"/>
          </w:rPr>
          <w:t xml:space="preserve">10.1007/s11229-015-0878-y</w:t>
        </w:r>
      </w:hyperlink>
    </w:p>
    <w:bookmarkEnd w:id="238"/>
    <w:bookmarkStart w:id="240" w:name="ref-Brandenburger2008"/>
    <w:p>
      <w:pPr>
        <w:pStyle w:val="Bibliography"/>
      </w:pPr>
      <w:r>
        <w:t xml:space="preserve">Brandenburger, Adam, Amanda Friedenberg, and H. Jerome Keisler. (2008). Admissibility in games.</w:t>
      </w:r>
      <w:r>
        <w:t xml:space="preserve"> </w:t>
      </w:r>
      <w:r>
        <w:rPr>
          <w:iCs/>
          <w:i/>
        </w:rPr>
        <w:t xml:space="preserve">Econometrica</w:t>
      </w:r>
      <w:r>
        <w:t xml:space="preserve">,</w:t>
      </w:r>
      <w:r>
        <w:t xml:space="preserve"> </w:t>
      </w:r>
      <w:r>
        <w:rPr>
          <w:iCs/>
          <w:i/>
        </w:rPr>
        <w:t xml:space="preserve">76</w:t>
      </w:r>
      <w:r>
        <w:t xml:space="preserve">(2), 307–352. doi:</w:t>
      </w:r>
      <w:hyperlink r:id="rId239">
        <w:r>
          <w:rPr>
            <w:rStyle w:val="Hyperlink"/>
          </w:rPr>
          <w:t xml:space="preserve">10.1111/j.1468-0262.2008.00835.x</w:t>
        </w:r>
      </w:hyperlink>
    </w:p>
    <w:bookmarkEnd w:id="240"/>
    <w:bookmarkStart w:id="242"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41">
        <w:r>
          <w:rPr>
            <w:rStyle w:val="Hyperlink"/>
          </w:rPr>
          <w:t xml:space="preserve">https://plato.stanford.edu/archives/sum2021/entries/philo-larissa/</w:t>
        </w:r>
      </w:hyperlink>
      <w:r>
        <w:t xml:space="preserve">; Metaphysics Research Lab, Stanford University.</w:t>
      </w:r>
    </w:p>
    <w:bookmarkEnd w:id="242"/>
    <w:bookmarkStart w:id="244"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3">
        <w:r>
          <w:rPr>
            <w:rStyle w:val="Hyperlink"/>
          </w:rPr>
          <w:t xml:space="preserve">10.1111/j.1468-0068.2008.00677.x</w:t>
        </w:r>
      </w:hyperlink>
    </w:p>
    <w:bookmarkEnd w:id="244"/>
    <w:bookmarkStart w:id="245" w:name="ref-BuchakRisk"/>
    <w:p>
      <w:pPr>
        <w:pStyle w:val="Bibliography"/>
      </w:pPr>
      <w:r>
        <w:t xml:space="preserve">Buchak, Lara. (2013).</w:t>
      </w:r>
      <w:r>
        <w:t xml:space="preserve"> </w:t>
      </w:r>
      <w:r>
        <w:rPr>
          <w:iCs/>
          <w:i/>
        </w:rPr>
        <w:t xml:space="preserve">Risk and rationality</w:t>
      </w:r>
      <w:r>
        <w:t xml:space="preserve">. Oxford University Press.</w:t>
      </w:r>
    </w:p>
    <w:bookmarkEnd w:id="245"/>
    <w:bookmarkStart w:id="247"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6">
        <w:r>
          <w:rPr>
            <w:rStyle w:val="Hyperlink"/>
          </w:rPr>
          <w:t xml:space="preserve">10.1257/aer.101.7.2899</w:t>
        </w:r>
      </w:hyperlink>
    </w:p>
    <w:bookmarkEnd w:id="247"/>
    <w:bookmarkStart w:id="249"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8">
        <w:r>
          <w:rPr>
            <w:rStyle w:val="Hyperlink"/>
          </w:rPr>
          <w:t xml:space="preserve">10.2307/2951491</w:t>
        </w:r>
      </w:hyperlink>
    </w:p>
    <w:bookmarkEnd w:id="249"/>
    <w:bookmarkStart w:id="251"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50">
        <w:r>
          <w:rPr>
            <w:rStyle w:val="Hyperlink"/>
          </w:rPr>
          <w:t xml:space="preserve">10.1080/00213624.2017.1391594</w:t>
        </w:r>
      </w:hyperlink>
    </w:p>
    <w:bookmarkEnd w:id="251"/>
    <w:bookmarkStart w:id="253"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52">
        <w:r>
          <w:rPr>
            <w:rStyle w:val="Hyperlink"/>
          </w:rPr>
          <w:t xml:space="preserve">10.1016/j.jcps.2014.08.002</w:t>
        </w:r>
      </w:hyperlink>
    </w:p>
    <w:bookmarkEnd w:id="253"/>
    <w:bookmarkStart w:id="254" w:name="ref-Cherniak1986"/>
    <w:p>
      <w:pPr>
        <w:pStyle w:val="Bibliography"/>
      </w:pPr>
      <w:r>
        <w:t xml:space="preserve">Cherniak, Christopher. (1986).</w:t>
      </w:r>
      <w:r>
        <w:t xml:space="preserve"> </w:t>
      </w:r>
      <w:r>
        <w:rPr>
          <w:iCs/>
          <w:i/>
        </w:rPr>
        <w:t xml:space="preserve">Minimal rationality</w:t>
      </w:r>
      <w:r>
        <w:t xml:space="preserve">. MIT Press.</w:t>
      </w:r>
    </w:p>
    <w:bookmarkEnd w:id="254"/>
    <w:bookmarkStart w:id="255"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5"/>
    <w:bookmarkStart w:id="256"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6"/>
    <w:bookmarkStart w:id="258"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7">
        <w:r>
          <w:rPr>
            <w:rStyle w:val="Hyperlink"/>
          </w:rPr>
          <w:t xml:space="preserve">http://hdl.handle.net/2027/spo.3521354.0011.006</w:t>
        </w:r>
      </w:hyperlink>
    </w:p>
    <w:bookmarkEnd w:id="258"/>
    <w:bookmarkStart w:id="259"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9"/>
    <w:bookmarkStart w:id="260"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60"/>
    <w:bookmarkStart w:id="262"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61">
        <w:r>
          <w:rPr>
            <w:rStyle w:val="Hyperlink"/>
          </w:rPr>
          <w:t xml:space="preserve">10.1111/j.1933-1592.2002.tb00204.x</w:t>
        </w:r>
      </w:hyperlink>
    </w:p>
    <w:bookmarkEnd w:id="262"/>
    <w:bookmarkStart w:id="264"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3">
        <w:r>
          <w:rPr>
            <w:rStyle w:val="Hyperlink"/>
          </w:rPr>
          <w:t xml:space="preserve">10.1111/j.1533-6077.2004.00040.x</w:t>
        </w:r>
      </w:hyperlink>
    </w:p>
    <w:bookmarkEnd w:id="264"/>
    <w:bookmarkStart w:id="265"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5"/>
    <w:bookmarkStart w:id="266"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6"/>
    <w:bookmarkStart w:id="268"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7">
        <w:r>
          <w:rPr>
            <w:rStyle w:val="Hyperlink"/>
          </w:rPr>
          <w:t xml:space="preserve">https://plato.stanford.edu/archives/spr2018/entries/questions/</w:t>
        </w:r>
      </w:hyperlink>
      <w:r>
        <w:t xml:space="preserve">; Metaphysics Research Lab, Stanford University.</w:t>
      </w:r>
    </w:p>
    <w:bookmarkEnd w:id="268"/>
    <w:bookmarkStart w:id="269"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9"/>
    <w:bookmarkStart w:id="271"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70">
        <w:r>
          <w:rPr>
            <w:rStyle w:val="Hyperlink"/>
          </w:rPr>
          <w:t xml:space="preserve">10.2307/3182618</w:t>
        </w:r>
      </w:hyperlink>
    </w:p>
    <w:bookmarkEnd w:id="271"/>
    <w:bookmarkStart w:id="273"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72">
        <w:r>
          <w:rPr>
            <w:rStyle w:val="Hyperlink"/>
          </w:rPr>
          <w:t xml:space="preserve">http://journal.sjdm.org/8320/jdm8320.pdf</w:t>
        </w:r>
      </w:hyperlink>
    </w:p>
    <w:bookmarkEnd w:id="273"/>
    <w:bookmarkStart w:id="274" w:name="ref-DixitSkeath2004"/>
    <w:p>
      <w:pPr>
        <w:pStyle w:val="Bibliography"/>
      </w:pPr>
      <w:r>
        <w:t xml:space="preserve">Dixit, Avinash K., and Susan Skeath. (2004).</w:t>
      </w:r>
      <w:r>
        <w:t xml:space="preserve"> </w:t>
      </w:r>
      <w:r>
        <w:rPr>
          <w:iCs/>
          <w:i/>
        </w:rPr>
        <w:t xml:space="preserve">Games of strategy</w:t>
      </w:r>
      <w:r>
        <w:t xml:space="preserve"> </w:t>
      </w:r>
      <w:r>
        <w:t xml:space="preserve">(Second). W. W. Norton &amp; Company.</w:t>
      </w:r>
    </w:p>
    <w:bookmarkEnd w:id="274"/>
    <w:bookmarkStart w:id="276"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5">
        <w:r>
          <w:rPr>
            <w:rStyle w:val="Hyperlink"/>
          </w:rPr>
          <w:t xml:space="preserve">10.3998/ergo.12405314.0002.026</w:t>
        </w:r>
      </w:hyperlink>
    </w:p>
    <w:bookmarkEnd w:id="276"/>
    <w:bookmarkStart w:id="277" w:name="ref-Dylan2016"/>
    <w:p>
      <w:pPr>
        <w:pStyle w:val="Bibliography"/>
      </w:pPr>
      <w:r>
        <w:t xml:space="preserve">Dylan, Bob. (2016).</w:t>
      </w:r>
      <w:r>
        <w:t xml:space="preserve"> </w:t>
      </w:r>
      <w:r>
        <w:rPr>
          <w:iCs/>
          <w:i/>
        </w:rPr>
        <w:t xml:space="preserve">The lyrics: 1961-2012</w:t>
      </w:r>
      <w:r>
        <w:t xml:space="preserve">. Simon &amp; Schuster.</w:t>
      </w:r>
    </w:p>
    <w:bookmarkEnd w:id="277"/>
    <w:bookmarkStart w:id="279"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8">
        <w:r>
          <w:rPr>
            <w:rStyle w:val="Hyperlink"/>
          </w:rPr>
          <w:t xml:space="preserve">10.1007/s11098-015-0461-x</w:t>
        </w:r>
      </w:hyperlink>
    </w:p>
    <w:bookmarkEnd w:id="279"/>
    <w:bookmarkStart w:id="281"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80">
        <w:r>
          <w:rPr>
            <w:rStyle w:val="Hyperlink"/>
          </w:rPr>
          <w:t xml:space="preserve">10.1007/s11098-008-9225-1</w:t>
        </w:r>
      </w:hyperlink>
    </w:p>
    <w:bookmarkEnd w:id="281"/>
    <w:bookmarkStart w:id="282"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82"/>
    <w:bookmarkStart w:id="283"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forthcoming</w:t>
      </w:r>
      <w:r>
        <w:t xml:space="preserve">.</w:t>
      </w:r>
    </w:p>
    <w:bookmarkEnd w:id="283"/>
    <w:bookmarkStart w:id="285"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4">
        <w:r>
          <w:rPr>
            <w:rStyle w:val="Hyperlink"/>
          </w:rPr>
          <w:t xml:space="preserve">10.2307/3182570</w:t>
        </w:r>
      </w:hyperlink>
    </w:p>
    <w:bookmarkEnd w:id="285"/>
    <w:bookmarkStart w:id="286"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6"/>
    <w:bookmarkStart w:id="287" w:name="ref-Foley1993"/>
    <w:p>
      <w:pPr>
        <w:pStyle w:val="Bibliography"/>
      </w:pPr>
      <w:r>
        <w:t xml:space="preserve">Foley, Richard. (1993).</w:t>
      </w:r>
      <w:r>
        <w:t xml:space="preserve"> </w:t>
      </w:r>
      <w:r>
        <w:rPr>
          <w:iCs/>
          <w:i/>
        </w:rPr>
        <w:t xml:space="preserve">Working without a net</w:t>
      </w:r>
      <w:r>
        <w:t xml:space="preserve">. Oxford University Press.</w:t>
      </w:r>
    </w:p>
    <w:bookmarkEnd w:id="287"/>
    <w:bookmarkStart w:id="289"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8">
        <w:r>
          <w:rPr>
            <w:rStyle w:val="Hyperlink"/>
          </w:rPr>
          <w:t xml:space="preserve">10.1111/nous.12137</w:t>
        </w:r>
      </w:hyperlink>
    </w:p>
    <w:bookmarkEnd w:id="289"/>
    <w:bookmarkStart w:id="291"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90">
        <w:r>
          <w:rPr>
            <w:rStyle w:val="Hyperlink"/>
          </w:rPr>
          <w:t xml:space="preserve">10.1111/phis.12141</w:t>
        </w:r>
      </w:hyperlink>
    </w:p>
    <w:bookmarkEnd w:id="291"/>
    <w:bookmarkStart w:id="293"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2">
        <w:r>
          <w:rPr>
            <w:rStyle w:val="Hyperlink"/>
          </w:rPr>
          <w:t xml:space="preserve">10.1111/nous.12222</w:t>
        </w:r>
      </w:hyperlink>
    </w:p>
    <w:bookmarkEnd w:id="293"/>
    <w:bookmarkStart w:id="295"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4">
        <w:r>
          <w:rPr>
            <w:rStyle w:val="Hyperlink"/>
          </w:rPr>
          <w:t xml:space="preserve">10.1215/00318108-8540918</w:t>
        </w:r>
      </w:hyperlink>
    </w:p>
    <w:bookmarkEnd w:id="295"/>
    <w:bookmarkStart w:id="297"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6">
        <w:r>
          <w:rPr>
            <w:rStyle w:val="Hyperlink"/>
          </w:rPr>
          <w:t xml:space="preserve">10.1007/s11098-007-9133-9</w:t>
        </w:r>
      </w:hyperlink>
    </w:p>
    <w:bookmarkEnd w:id="297"/>
    <w:bookmarkStart w:id="298"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298"/>
    <w:bookmarkStart w:id="300"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299">
        <w:r>
          <w:rPr>
            <w:rStyle w:val="Hyperlink"/>
          </w:rPr>
          <w:t xml:space="preserve">10.1111/mila.12451</w:t>
        </w:r>
      </w:hyperlink>
    </w:p>
    <w:bookmarkEnd w:id="300"/>
    <w:bookmarkStart w:id="302"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1">
        <w:r>
          <w:rPr>
            <w:rStyle w:val="Hyperlink"/>
          </w:rPr>
          <w:t xml:space="preserve">10.1007/s11098-005-7779-8</w:t>
        </w:r>
      </w:hyperlink>
    </w:p>
    <w:bookmarkEnd w:id="302"/>
    <w:bookmarkStart w:id="304"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3">
        <w:r>
          <w:rPr>
            <w:rStyle w:val="Hyperlink"/>
          </w:rPr>
          <w:t xml:space="preserve">10.2307/3326922</w:t>
        </w:r>
      </w:hyperlink>
    </w:p>
    <w:bookmarkEnd w:id="304"/>
    <w:bookmarkStart w:id="305"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5"/>
    <w:bookmarkStart w:id="307"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6">
        <w:r>
          <w:rPr>
            <w:rStyle w:val="Hyperlink"/>
          </w:rPr>
          <w:t xml:space="preserve">10.3765/sp.3.4</w:t>
        </w:r>
      </w:hyperlink>
    </w:p>
    <w:bookmarkEnd w:id="307"/>
    <w:bookmarkStart w:id="308"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08"/>
    <w:bookmarkStart w:id="309" w:name="ref-Harman1973"/>
    <w:p>
      <w:pPr>
        <w:pStyle w:val="Bibliography"/>
      </w:pPr>
      <w:r>
        <w:t xml:space="preserve">Harman, Gilbert. (1973).</w:t>
      </w:r>
      <w:r>
        <w:t xml:space="preserve"> </w:t>
      </w:r>
      <w:r>
        <w:rPr>
          <w:iCs/>
          <w:i/>
        </w:rPr>
        <w:t xml:space="preserve">Thought</w:t>
      </w:r>
      <w:r>
        <w:t xml:space="preserve">. Princeton University Press.</w:t>
      </w:r>
    </w:p>
    <w:bookmarkEnd w:id="309"/>
    <w:bookmarkStart w:id="310"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0"/>
    <w:bookmarkStart w:id="312"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1">
        <w:r>
          <w:rPr>
            <w:rStyle w:val="Hyperlink"/>
          </w:rPr>
          <w:t xml:space="preserve">10.1007/BF00183199</w:t>
        </w:r>
      </w:hyperlink>
    </w:p>
    <w:bookmarkEnd w:id="312"/>
    <w:bookmarkStart w:id="313" w:name="ref-Hawthorne2004"/>
    <w:p>
      <w:pPr>
        <w:pStyle w:val="Bibliography"/>
      </w:pPr>
      <w:r>
        <w:t xml:space="preserve">Hawthorne, John. (2004).</w:t>
      </w:r>
      <w:r>
        <w:t xml:space="preserve"> </w:t>
      </w:r>
      <w:r>
        <w:rPr>
          <w:iCs/>
          <w:i/>
        </w:rPr>
        <w:t xml:space="preserve">Knowledge and lotteries</w:t>
      </w:r>
      <w:r>
        <w:t xml:space="preserve">. Oxford University Press.</w:t>
      </w:r>
    </w:p>
    <w:bookmarkEnd w:id="313"/>
    <w:bookmarkStart w:id="315"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4">
        <w:r>
          <w:rPr>
            <w:rStyle w:val="Hyperlink"/>
          </w:rPr>
          <w:t xml:space="preserve">10.1111/j.1933-1592.2005.tb00540.x</w:t>
        </w:r>
      </w:hyperlink>
    </w:p>
    <w:bookmarkEnd w:id="315"/>
    <w:bookmarkStart w:id="317"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6">
        <w:r>
          <w:rPr>
            <w:rStyle w:val="Hyperlink"/>
          </w:rPr>
          <w:t xml:space="preserve">10.1007/s11098-015-0553-7</w:t>
        </w:r>
      </w:hyperlink>
    </w:p>
    <w:bookmarkEnd w:id="317"/>
    <w:bookmarkStart w:id="318"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18"/>
    <w:bookmarkStart w:id="320"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19">
        <w:r>
          <w:rPr>
            <w:rStyle w:val="Hyperlink"/>
          </w:rPr>
          <w:t xml:space="preserve">10.5840/jphil20081051022</w:t>
        </w:r>
      </w:hyperlink>
    </w:p>
    <w:bookmarkEnd w:id="320"/>
    <w:bookmarkStart w:id="322"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1">
        <w:r>
          <w:rPr>
            <w:rStyle w:val="Hyperlink"/>
          </w:rPr>
          <w:t xml:space="preserve">10.1007/s11098-012-9880-0</w:t>
        </w:r>
      </w:hyperlink>
    </w:p>
    <w:bookmarkEnd w:id="322"/>
    <w:bookmarkStart w:id="324"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3">
        <w:r>
          <w:rPr>
            <w:rStyle w:val="Hyperlink"/>
          </w:rPr>
          <w:t xml:space="preserve">10.1086/671402</w:t>
        </w:r>
      </w:hyperlink>
    </w:p>
    <w:bookmarkEnd w:id="324"/>
    <w:bookmarkStart w:id="326"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5">
        <w:r>
          <w:rPr>
            <w:rStyle w:val="Hyperlink"/>
          </w:rPr>
          <w:t xml:space="preserve">10.1086/648610</w:t>
        </w:r>
      </w:hyperlink>
    </w:p>
    <w:bookmarkEnd w:id="326"/>
    <w:bookmarkStart w:id="328"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27">
        <w:r>
          <w:rPr>
            <w:rStyle w:val="Hyperlink"/>
          </w:rPr>
          <w:t xml:space="preserve">10.2307/2224214</w:t>
        </w:r>
      </w:hyperlink>
    </w:p>
    <w:bookmarkEnd w:id="328"/>
    <w:bookmarkStart w:id="330"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29">
        <w:r>
          <w:rPr>
            <w:rStyle w:val="Hyperlink"/>
          </w:rPr>
          <w:t xml:space="preserve">10.1007/BF00293423</w:t>
        </w:r>
      </w:hyperlink>
    </w:p>
    <w:bookmarkEnd w:id="330"/>
    <w:bookmarkStart w:id="332"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1">
        <w:r>
          <w:rPr>
            <w:rStyle w:val="Hyperlink"/>
          </w:rPr>
          <w:t xml:space="preserve">10.2307/2216304</w:t>
        </w:r>
      </w:hyperlink>
    </w:p>
    <w:bookmarkEnd w:id="332"/>
    <w:bookmarkStart w:id="334"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33">
        <w:r>
          <w:rPr>
            <w:rStyle w:val="Hyperlink"/>
          </w:rPr>
          <w:t xml:space="preserve">10.1111/j.1467-9280.2006.01677.x</w:t>
        </w:r>
      </w:hyperlink>
    </w:p>
    <w:bookmarkEnd w:id="334"/>
    <w:bookmarkStart w:id="335" w:name="ref-Jackson1987"/>
    <w:p>
      <w:pPr>
        <w:pStyle w:val="Bibliography"/>
      </w:pPr>
      <w:r>
        <w:t xml:space="preserve">Jackson, Frank. (1987).</w:t>
      </w:r>
      <w:r>
        <w:t xml:space="preserve"> </w:t>
      </w:r>
      <w:r>
        <w:rPr>
          <w:iCs/>
          <w:i/>
        </w:rPr>
        <w:t xml:space="preserve">Conditionals</w:t>
      </w:r>
      <w:r>
        <w:t xml:space="preserve">. Oxford.</w:t>
      </w:r>
    </w:p>
    <w:bookmarkEnd w:id="335"/>
    <w:bookmarkStart w:id="336"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36"/>
    <w:bookmarkStart w:id="337"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37"/>
    <w:bookmarkStart w:id="338" w:name="ref-Kelly2010-KELPDA"/>
    <w:p>
      <w:pPr>
        <w:pStyle w:val="Bibliography"/>
      </w:pPr>
      <w:r>
        <w:t xml:space="preserve">Kelly, Thomas. (2010). Peer disagreement and higher order evidence. In Ted Warfield &amp; Richard Feldman (Eds.),</w:t>
      </w:r>
      <w:r>
        <w:t xml:space="preserve"> </w:t>
      </w:r>
      <w:r>
        <w:rPr>
          <w:iCs/>
          <w:i/>
        </w:rPr>
        <w:t xml:space="preserve">Disagreement</w:t>
      </w:r>
      <w:r>
        <w:t xml:space="preserve"> </w:t>
      </w:r>
      <w:r>
        <w:t xml:space="preserve">(111–174). Oxford University Press.</w:t>
      </w:r>
    </w:p>
    <w:bookmarkEnd w:id="338"/>
    <w:bookmarkStart w:id="340"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39">
        <w:r>
          <w:rPr>
            <w:rStyle w:val="Hyperlink"/>
          </w:rPr>
          <w:t xml:space="preserve">10.2307/2224674</w:t>
        </w:r>
      </w:hyperlink>
    </w:p>
    <w:bookmarkEnd w:id="340"/>
    <w:bookmarkStart w:id="341"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1"/>
    <w:bookmarkStart w:id="343"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2">
        <w:r>
          <w:rPr>
            <w:rStyle w:val="Hyperlink"/>
          </w:rPr>
          <w:t xml:space="preserve">10.1007/s44204-023-00097-9</w:t>
        </w:r>
      </w:hyperlink>
    </w:p>
    <w:bookmarkEnd w:id="343"/>
    <w:bookmarkStart w:id="345"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44">
        <w:r>
          <w:rPr>
            <w:rStyle w:val="Hyperlink"/>
          </w:rPr>
          <w:t xml:space="preserve">10.1111/jere.12070</w:t>
        </w:r>
      </w:hyperlink>
    </w:p>
    <w:bookmarkEnd w:id="345"/>
    <w:bookmarkStart w:id="346"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46"/>
    <w:bookmarkStart w:id="348"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47">
        <w:r>
          <w:rPr>
            <w:rStyle w:val="Hyperlink"/>
          </w:rPr>
          <w:t xml:space="preserve">10.2307/1912320</w:t>
        </w:r>
      </w:hyperlink>
    </w:p>
    <w:bookmarkEnd w:id="348"/>
    <w:bookmarkStart w:id="349" w:name="ref-Kratzer2012"/>
    <w:p>
      <w:pPr>
        <w:pStyle w:val="Bibliography"/>
      </w:pPr>
      <w:r>
        <w:t xml:space="preserve">Kratzer, Angelika. (2012).</w:t>
      </w:r>
      <w:r>
        <w:t xml:space="preserve"> </w:t>
      </w:r>
      <w:r>
        <w:rPr>
          <w:iCs/>
          <w:i/>
        </w:rPr>
        <w:t xml:space="preserve">Modals and conditionals</w:t>
      </w:r>
      <w:r>
        <w:t xml:space="preserve">. Oxford University Press.</w:t>
      </w:r>
    </w:p>
    <w:bookmarkEnd w:id="349"/>
    <w:bookmarkStart w:id="350"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0"/>
    <w:bookmarkStart w:id="352"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1">
        <w:r>
          <w:rPr>
            <w:rStyle w:val="Hyperlink"/>
          </w:rPr>
          <w:t xml:space="preserve">10.1093/analys/anr129</w:t>
        </w:r>
      </w:hyperlink>
    </w:p>
    <w:bookmarkEnd w:id="352"/>
    <w:bookmarkStart w:id="354"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53">
        <w:r>
          <w:rPr>
            <w:rStyle w:val="Hyperlink"/>
          </w:rPr>
          <w:t xml:space="preserve">10.1111/j.1520-8583.2010.00183.x</w:t>
        </w:r>
      </w:hyperlink>
    </w:p>
    <w:bookmarkEnd w:id="354"/>
    <w:bookmarkStart w:id="356"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55">
        <w:r>
          <w:rPr>
            <w:rStyle w:val="Hyperlink"/>
          </w:rPr>
          <w:t xml:space="preserve">10.1111/phpr.12090</w:t>
        </w:r>
      </w:hyperlink>
    </w:p>
    <w:bookmarkEnd w:id="356"/>
    <w:bookmarkStart w:id="358"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57">
        <w:r>
          <w:rPr>
            <w:rStyle w:val="Hyperlink"/>
          </w:rPr>
          <w:t xml:space="preserve">10.1111/nous.12186</w:t>
        </w:r>
      </w:hyperlink>
    </w:p>
    <w:bookmarkEnd w:id="358"/>
    <w:bookmarkStart w:id="360" w:name="ref-Lee2017b"/>
    <w:p>
      <w:pPr>
        <w:pStyle w:val="Bibliography"/>
      </w:pPr>
      <w:r>
        <w:t xml:space="preserve">Lee, Matthew. (2017).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59">
        <w:r>
          <w:rPr>
            <w:rStyle w:val="Hyperlink"/>
          </w:rPr>
          <w:t xml:space="preserve">10.1017/S0012217317000154</w:t>
        </w:r>
      </w:hyperlink>
    </w:p>
    <w:bookmarkEnd w:id="360"/>
    <w:bookmarkStart w:id="362" w:name="ref-Lee2017a"/>
    <w:p>
      <w:pPr>
        <w:pStyle w:val="Bibliography"/>
      </w:pPr>
      <w:r>
        <w:t xml:space="preserve">Lee, Matthew Brandon. (2017).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1">
        <w:r>
          <w:rPr>
            <w:rStyle w:val="Hyperlink"/>
          </w:rPr>
          <w:t xml:space="preserve">10.1080/05568641.2017.1364142</w:t>
        </w:r>
      </w:hyperlink>
    </w:p>
    <w:bookmarkEnd w:id="362"/>
    <w:bookmarkStart w:id="363"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63"/>
    <w:bookmarkStart w:id="365"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64">
        <w:r>
          <w:rPr>
            <w:rStyle w:val="Hyperlink"/>
          </w:rPr>
          <w:t xml:space="preserve">10.2307/2184045</w:t>
        </w:r>
      </w:hyperlink>
    </w:p>
    <w:bookmarkEnd w:id="365"/>
    <w:bookmarkStart w:id="367"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66">
        <w:r>
          <w:rPr>
            <w:rStyle w:val="Hyperlink"/>
          </w:rPr>
          <w:t xml:space="preserve">10.1017/cbo9780511625237.009</w:t>
        </w:r>
      </w:hyperlink>
    </w:p>
    <w:bookmarkEnd w:id="367"/>
    <w:bookmarkStart w:id="369"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68">
        <w:r>
          <w:rPr>
            <w:rStyle w:val="Hyperlink"/>
          </w:rPr>
          <w:t xml:space="preserve">10.2307/2185051</w:t>
        </w:r>
      </w:hyperlink>
    </w:p>
    <w:bookmarkEnd w:id="369"/>
    <w:bookmarkStart w:id="371"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0">
        <w:r>
          <w:rPr>
            <w:rStyle w:val="Hyperlink"/>
          </w:rPr>
          <w:t xml:space="preserve">10.1093/mind/xcvii.387.323</w:t>
        </w:r>
      </w:hyperlink>
    </w:p>
    <w:bookmarkEnd w:id="371"/>
    <w:bookmarkStart w:id="373"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2">
        <w:r>
          <w:rPr>
            <w:rStyle w:val="Hyperlink"/>
          </w:rPr>
          <w:t xml:space="preserve">10.1093/mind/105.418.303</w:t>
        </w:r>
      </w:hyperlink>
    </w:p>
    <w:bookmarkEnd w:id="373"/>
    <w:bookmarkStart w:id="374"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74"/>
    <w:bookmarkStart w:id="376"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75">
        <w:r>
          <w:rPr>
            <w:rStyle w:val="Hyperlink"/>
          </w:rPr>
          <w:t xml:space="preserve">10.2307/2296233</w:t>
        </w:r>
      </w:hyperlink>
    </w:p>
    <w:bookmarkEnd w:id="376"/>
    <w:bookmarkStart w:id="378"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77">
        <w:r>
          <w:rPr>
            <w:rStyle w:val="Hyperlink"/>
          </w:rPr>
          <w:t xml:space="preserve">10.1111/phpr.12271</w:t>
        </w:r>
      </w:hyperlink>
    </w:p>
    <w:bookmarkEnd w:id="378"/>
    <w:bookmarkStart w:id="379"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79"/>
    <w:bookmarkStart w:id="381"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0">
        <w:r>
          <w:rPr>
            <w:rStyle w:val="Hyperlink"/>
          </w:rPr>
          <w:t xml:space="preserve">10.1086/392759</w:t>
        </w:r>
      </w:hyperlink>
    </w:p>
    <w:bookmarkEnd w:id="381"/>
    <w:bookmarkStart w:id="383"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2">
        <w:r>
          <w:rPr>
            <w:rStyle w:val="Hyperlink"/>
          </w:rPr>
          <w:t xml:space="preserve">10.1086/289906</w:t>
        </w:r>
      </w:hyperlink>
    </w:p>
    <w:bookmarkEnd w:id="383"/>
    <w:bookmarkStart w:id="384"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84"/>
    <w:bookmarkStart w:id="386"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85">
        <w:r>
          <w:rPr>
            <w:rStyle w:val="Hyperlink"/>
          </w:rPr>
          <w:t xml:space="preserve">10.1007/s11098-010-9542-z</w:t>
        </w:r>
      </w:hyperlink>
    </w:p>
    <w:bookmarkEnd w:id="386"/>
    <w:bookmarkStart w:id="388"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87">
        <w:r>
          <w:rPr>
            <w:rStyle w:val="Hyperlink"/>
          </w:rPr>
          <w:t xml:space="preserve">10.1215/00318108-3878483</w:t>
        </w:r>
      </w:hyperlink>
    </w:p>
    <w:bookmarkEnd w:id="388"/>
    <w:bookmarkStart w:id="390"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89">
        <w:r>
          <w:rPr>
            <w:rStyle w:val="Hyperlink"/>
          </w:rPr>
          <w:t xml:space="preserve">10.1007/s10734-010-9309-7</w:t>
        </w:r>
      </w:hyperlink>
    </w:p>
    <w:bookmarkEnd w:id="390"/>
    <w:bookmarkStart w:id="392"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1">
        <w:r>
          <w:rPr>
            <w:rStyle w:val="Hyperlink"/>
          </w:rPr>
          <w:t xml:space="preserve">10.1007/s11238-017-9592-1</w:t>
        </w:r>
      </w:hyperlink>
    </w:p>
    <w:bookmarkEnd w:id="392"/>
    <w:bookmarkStart w:id="394"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393">
        <w:r>
          <w:rPr>
            <w:rStyle w:val="Hyperlink"/>
          </w:rPr>
          <w:t xml:space="preserve">10.1111/nous.12323</w:t>
        </w:r>
      </w:hyperlink>
    </w:p>
    <w:bookmarkEnd w:id="394"/>
    <w:bookmarkStart w:id="395"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395"/>
    <w:bookmarkStart w:id="396" w:name="ref-McKenna2024"/>
    <w:p>
      <w:pPr>
        <w:pStyle w:val="Bibliography"/>
      </w:pPr>
      <w:r>
        <w:t xml:space="preserve">McKenna, Robin. (forthcoming). Pragmatic encroachment and feminist epistemology. In Natalie Alana Ashton, Martin Kusch, Robin McKenna, &amp; Katharina Sodoma (Eds.),</w:t>
      </w:r>
      <w:r>
        <w:t xml:space="preserve"> </w:t>
      </w:r>
      <w:r>
        <w:rPr>
          <w:iCs/>
          <w:i/>
        </w:rPr>
        <w:t xml:space="preserve">Social epistemology and epistemic relativism</w:t>
      </w:r>
      <w:r>
        <w:t xml:space="preserve">. Routledge.</w:t>
      </w:r>
    </w:p>
    <w:bookmarkEnd w:id="396"/>
    <w:bookmarkStart w:id="397"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397"/>
    <w:bookmarkStart w:id="398"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398"/>
    <w:bookmarkStart w:id="400"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399">
        <w:r>
          <w:rPr>
            <w:rStyle w:val="Hyperlink"/>
          </w:rPr>
          <w:t xml:space="preserve">10.1111/j.1520-8583.2010.00198.x</w:t>
        </w:r>
      </w:hyperlink>
    </w:p>
    <w:bookmarkEnd w:id="400"/>
    <w:bookmarkStart w:id="402"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1">
        <w:r>
          <w:rPr>
            <w:rStyle w:val="Hyperlink"/>
          </w:rPr>
          <w:t xml:space="preserve">10.1080/0020174X.2013.775014</w:t>
        </w:r>
      </w:hyperlink>
    </w:p>
    <w:bookmarkEnd w:id="402"/>
    <w:bookmarkStart w:id="403"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3"/>
    <w:bookmarkStart w:id="405"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04">
        <w:r>
          <w:rPr>
            <w:rStyle w:val="Hyperlink"/>
          </w:rPr>
          <w:t xml:space="preserve">10.1111/phpr.12431</w:t>
        </w:r>
      </w:hyperlink>
    </w:p>
    <w:bookmarkEnd w:id="405"/>
    <w:bookmarkStart w:id="407"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06">
        <w:r>
          <w:rPr>
            <w:rStyle w:val="Hyperlink"/>
          </w:rPr>
          <w:t xml:space="preserve">10.1111/j.1933-1592.2007.00069.x</w:t>
        </w:r>
      </w:hyperlink>
    </w:p>
    <w:bookmarkEnd w:id="407"/>
    <w:bookmarkStart w:id="409"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08">
        <w:r>
          <w:rPr>
            <w:rStyle w:val="Hyperlink"/>
          </w:rPr>
          <w:t xml:space="preserve">10.1037/pspp0000141</w:t>
        </w:r>
      </w:hyperlink>
    </w:p>
    <w:bookmarkEnd w:id="409"/>
    <w:bookmarkStart w:id="411"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0">
        <w:r>
          <w:rPr>
            <w:rStyle w:val="Hyperlink"/>
          </w:rPr>
          <w:t xml:space="preserve">10.1016/j.shpsb.2009.08.008</w:t>
        </w:r>
      </w:hyperlink>
    </w:p>
    <w:bookmarkEnd w:id="411"/>
    <w:bookmarkStart w:id="412" w:name="ref-Nozick1981"/>
    <w:p>
      <w:pPr>
        <w:pStyle w:val="Bibliography"/>
      </w:pPr>
      <w:r>
        <w:t xml:space="preserve">Nozick, Robert. (1981).</w:t>
      </w:r>
      <w:r>
        <w:t xml:space="preserve"> </w:t>
      </w:r>
      <w:r>
        <w:rPr>
          <w:iCs/>
          <w:i/>
        </w:rPr>
        <w:t xml:space="preserve">Philosophical explorations</w:t>
      </w:r>
      <w:r>
        <w:t xml:space="preserve">. Harvard University Press.</w:t>
      </w:r>
    </w:p>
    <w:bookmarkEnd w:id="412"/>
    <w:bookmarkStart w:id="413"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3"/>
    <w:bookmarkStart w:id="41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14"/>
    <w:bookmarkStart w:id="416"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15">
        <w:r>
          <w:rPr>
            <w:rStyle w:val="Hyperlink"/>
          </w:rPr>
          <w:t xml:space="preserve">10.1016/j.mathsocsci.2013.08.005</w:t>
        </w:r>
      </w:hyperlink>
    </w:p>
    <w:bookmarkEnd w:id="416"/>
    <w:bookmarkStart w:id="417"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17"/>
    <w:bookmarkStart w:id="419" w:name="ref-Pearce1983"/>
    <w:p>
      <w:pPr>
        <w:pStyle w:val="Bibliography"/>
      </w:pPr>
      <w:r>
        <w:t xml:space="preserve">Pearce, David G. (1983). A problem with single valued solution concepts. Retrieved from</w:t>
      </w:r>
      <w:r>
        <w:t xml:space="preserve"> </w:t>
      </w:r>
      <w:hyperlink r:id="rId418">
        <w:r>
          <w:rPr>
            <w:rStyle w:val="Hyperlink"/>
          </w:rPr>
          <w:t xml:space="preserve">https://sites.google.com/a/nyu.edu/davidpearce/</w:t>
        </w:r>
      </w:hyperlink>
    </w:p>
    <w:bookmarkEnd w:id="419"/>
    <w:bookmarkStart w:id="420"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0"/>
    <w:bookmarkStart w:id="422"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1">
        <w:r>
          <w:rPr>
            <w:rStyle w:val="Hyperlink"/>
          </w:rPr>
          <w:t xml:space="preserve">10.1111/j.1533-6077.2004.00034.x</w:t>
        </w:r>
      </w:hyperlink>
    </w:p>
    <w:bookmarkEnd w:id="422"/>
    <w:bookmarkStart w:id="424"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3">
        <w:r>
          <w:rPr>
            <w:rStyle w:val="Hyperlink"/>
          </w:rPr>
          <w:t xml:space="preserve">10.1016/0167-2681(82)90008-7</w:t>
        </w:r>
      </w:hyperlink>
    </w:p>
    <w:bookmarkEnd w:id="424"/>
    <w:bookmarkStart w:id="426"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5">
        <w:r>
          <w:rPr>
            <w:rStyle w:val="Hyperlink"/>
          </w:rPr>
          <w:t xml:space="preserve">https://plato.stanford.edu/archives/spr2018/entries/public-reason/</w:t>
        </w:r>
      </w:hyperlink>
      <w:r>
        <w:t xml:space="preserve">; Metaphysics Research Lab, Stanford University.</w:t>
      </w:r>
    </w:p>
    <w:bookmarkEnd w:id="426"/>
    <w:bookmarkStart w:id="427"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27"/>
    <w:bookmarkStart w:id="428"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28"/>
    <w:bookmarkStart w:id="430"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29">
        <w:r>
          <w:rPr>
            <w:rStyle w:val="Hyperlink"/>
          </w:rPr>
          <w:t xml:space="preserve">10.1257/aer.101.2.900</w:t>
        </w:r>
      </w:hyperlink>
    </w:p>
    <w:bookmarkEnd w:id="430"/>
    <w:bookmarkStart w:id="432" w:name="ref-Richter1984"/>
    <w:p>
      <w:pPr>
        <w:pStyle w:val="Bibliography"/>
      </w:pPr>
      <w:r>
        <w:t xml:space="preserve">Richter, Reed. (1984). Rationality revisited.</w:t>
      </w:r>
      <w:r>
        <w:t xml:space="preserve"> </w:t>
      </w:r>
      <w:r>
        <w:rPr>
          <w:iCs/>
          <w:i/>
        </w:rPr>
        <w:t xml:space="preserve">Australasian Journal of Philosophy</w:t>
      </w:r>
      <w:r>
        <w:t xml:space="preserve">,</w:t>
      </w:r>
      <w:r>
        <w:t xml:space="preserve"> </w:t>
      </w:r>
      <w:r>
        <w:rPr>
          <w:iCs/>
          <w:i/>
        </w:rPr>
        <w:t xml:space="preserve">62</w:t>
      </w:r>
      <w:r>
        <w:t xml:space="preserve">(4), 393–404. doi:</w:t>
      </w:r>
      <w:hyperlink r:id="rId431">
        <w:r>
          <w:rPr>
            <w:rStyle w:val="Hyperlink"/>
          </w:rPr>
          <w:t xml:space="preserve">10.1080/00048408412341601</w:t>
        </w:r>
      </w:hyperlink>
    </w:p>
    <w:bookmarkEnd w:id="432"/>
    <w:bookmarkStart w:id="434"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3">
        <w:r>
          <w:rPr>
            <w:rStyle w:val="Hyperlink"/>
          </w:rPr>
          <w:t xml:space="preserve">10.3765/sp.5.6</w:t>
        </w:r>
      </w:hyperlink>
    </w:p>
    <w:bookmarkEnd w:id="434"/>
    <w:bookmarkStart w:id="436"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5">
        <w:r>
          <w:rPr>
            <w:rStyle w:val="Hyperlink"/>
          </w:rPr>
          <w:t xml:space="preserve">10.1111/j.1933-1592.2011.00552.x</w:t>
        </w:r>
      </w:hyperlink>
    </w:p>
    <w:bookmarkEnd w:id="436"/>
    <w:bookmarkStart w:id="437"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7"/>
    <w:bookmarkStart w:id="439"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38">
        <w:r>
          <w:rPr>
            <w:rStyle w:val="Hyperlink"/>
          </w:rPr>
          <w:t xml:space="preserve">10.1080/00048400802001996</w:t>
        </w:r>
      </w:hyperlink>
    </w:p>
    <w:bookmarkEnd w:id="439"/>
    <w:bookmarkStart w:id="441"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40">
        <w:r>
          <w:rPr>
            <w:rStyle w:val="Hyperlink"/>
          </w:rPr>
          <w:t xml:space="preserve">10.1016/S0004-3702(97)00026-X</w:t>
        </w:r>
      </w:hyperlink>
    </w:p>
    <w:bookmarkEnd w:id="441"/>
    <w:bookmarkStart w:id="443"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2">
        <w:r>
          <w:rPr>
            <w:rStyle w:val="Hyperlink"/>
          </w:rPr>
          <w:t xml:space="preserve">10.1086/288168</w:t>
        </w:r>
      </w:hyperlink>
    </w:p>
    <w:bookmarkEnd w:id="443"/>
    <w:bookmarkStart w:id="445"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4">
        <w:r>
          <w:rPr>
            <w:rStyle w:val="Hyperlink"/>
          </w:rPr>
          <w:t xml:space="preserve">10.1086/651235</w:t>
        </w:r>
      </w:hyperlink>
    </w:p>
    <w:bookmarkEnd w:id="445"/>
    <w:bookmarkStart w:id="447"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6">
        <w:r>
          <w:rPr>
            <w:rStyle w:val="Hyperlink"/>
          </w:rPr>
          <w:t xml:space="preserve">10.1111/phib.12314</w:t>
        </w:r>
      </w:hyperlink>
    </w:p>
    <w:bookmarkEnd w:id="447"/>
    <w:bookmarkStart w:id="449"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48">
        <w:r>
          <w:rPr>
            <w:rStyle w:val="Hyperlink"/>
          </w:rPr>
          <w:t xml:space="preserve">10.1111/nous.12006</w:t>
        </w:r>
      </w:hyperlink>
    </w:p>
    <w:bookmarkEnd w:id="449"/>
    <w:bookmarkStart w:id="451"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50">
        <w:r>
          <w:rPr>
            <w:rStyle w:val="Hyperlink"/>
          </w:rPr>
          <w:t xml:space="preserve">10.1007/s11098-008-9200-x</w:t>
        </w:r>
      </w:hyperlink>
    </w:p>
    <w:bookmarkEnd w:id="451"/>
    <w:bookmarkStart w:id="452"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2"/>
    <w:bookmarkStart w:id="454"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3">
        <w:r>
          <w:rPr>
            <w:rStyle w:val="Hyperlink"/>
          </w:rPr>
          <w:t xml:space="preserve">10.1037/0022-3514.83.5.1178</w:t>
        </w:r>
      </w:hyperlink>
    </w:p>
    <w:bookmarkEnd w:id="454"/>
    <w:bookmarkStart w:id="456" w:name="ref-Schwitzgebel2008"/>
    <w:p>
      <w:pPr>
        <w:pStyle w:val="Bibliography"/>
      </w:pPr>
      <w:r>
        <w:t xml:space="preserve">Schwitzgebel, Eric. (2008). The unreliability of naive introspection.</w:t>
      </w:r>
      <w:r>
        <w:t xml:space="preserve"> </w:t>
      </w:r>
      <w:r>
        <w:rPr>
          <w:iCs/>
          <w:i/>
        </w:rPr>
        <w:t xml:space="preserve">Philosophical Review</w:t>
      </w:r>
      <w:r>
        <w:t xml:space="preserve">,</w:t>
      </w:r>
      <w:r>
        <w:t xml:space="preserve"> </w:t>
      </w:r>
      <w:r>
        <w:rPr>
          <w:iCs/>
          <w:i/>
        </w:rPr>
        <w:t xml:space="preserve">117</w:t>
      </w:r>
      <w:r>
        <w:t xml:space="preserve">(2), 245–273. doi:</w:t>
      </w:r>
      <w:hyperlink r:id="rId455">
        <w:r>
          <w:rPr>
            <w:rStyle w:val="Hyperlink"/>
          </w:rPr>
          <w:t xml:space="preserve">10.1215/00318108-2007-037</w:t>
        </w:r>
      </w:hyperlink>
    </w:p>
    <w:bookmarkEnd w:id="456"/>
    <w:bookmarkStart w:id="458"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7">
        <w:r>
          <w:rPr>
            <w:rStyle w:val="Hyperlink"/>
          </w:rPr>
          <w:t xml:space="preserve">10.2307/3218711</w:t>
        </w:r>
      </w:hyperlink>
    </w:p>
    <w:bookmarkEnd w:id="458"/>
    <w:bookmarkStart w:id="460"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59">
        <w:r>
          <w:rPr>
            <w:rStyle w:val="Hyperlink"/>
          </w:rPr>
          <w:t xml:space="preserve">10.1111/0029-4624.33.s13.7</w:t>
        </w:r>
      </w:hyperlink>
    </w:p>
    <w:bookmarkEnd w:id="460"/>
    <w:bookmarkStart w:id="462"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1">
        <w:r>
          <w:rPr>
            <w:rStyle w:val="Hyperlink"/>
          </w:rPr>
          <w:t xml:space="preserve">10.1111/j.1468-0017.2010.01394.x</w:t>
        </w:r>
      </w:hyperlink>
    </w:p>
    <w:bookmarkEnd w:id="462"/>
    <w:bookmarkStart w:id="464"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3">
        <w:r>
          <w:rPr>
            <w:rStyle w:val="Hyperlink"/>
          </w:rPr>
          <w:t xml:space="preserve">10.1111/nous.12254</w:t>
        </w:r>
      </w:hyperlink>
    </w:p>
    <w:bookmarkEnd w:id="464"/>
    <w:bookmarkStart w:id="466"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5">
        <w:r>
          <w:rPr>
            <w:rStyle w:val="Hyperlink"/>
          </w:rPr>
          <w:t xml:space="preserve">10.1007/bf02379021</w:t>
        </w:r>
      </w:hyperlink>
    </w:p>
    <w:bookmarkEnd w:id="466"/>
    <w:bookmarkStart w:id="467" w:name="ref-Stalnaker1984"/>
    <w:p>
      <w:pPr>
        <w:pStyle w:val="Bibliography"/>
      </w:pPr>
      <w:r>
        <w:t xml:space="preserve">Stalnaker, Robert. (1984).</w:t>
      </w:r>
      <w:r>
        <w:t xml:space="preserve"> </w:t>
      </w:r>
      <w:r>
        <w:rPr>
          <w:iCs/>
          <w:i/>
        </w:rPr>
        <w:t xml:space="preserve">Inquiry</w:t>
      </w:r>
      <w:r>
        <w:t xml:space="preserve">. MIT Press.</w:t>
      </w:r>
    </w:p>
    <w:bookmarkEnd w:id="467"/>
    <w:bookmarkStart w:id="469"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68">
        <w:r>
          <w:rPr>
            <w:rStyle w:val="Hyperlink"/>
          </w:rPr>
          <w:t xml:space="preserve">10.1007/BF01079205</w:t>
        </w:r>
      </w:hyperlink>
    </w:p>
    <w:bookmarkEnd w:id="469"/>
    <w:bookmarkStart w:id="471"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0">
        <w:r>
          <w:rPr>
            <w:rStyle w:val="Hyperlink"/>
          </w:rPr>
          <w:t xml:space="preserve">10.1017/S0266267100004132</w:t>
        </w:r>
      </w:hyperlink>
    </w:p>
    <w:bookmarkEnd w:id="471"/>
    <w:bookmarkStart w:id="473"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2">
        <w:r>
          <w:rPr>
            <w:rStyle w:val="Hyperlink"/>
          </w:rPr>
          <w:t xml:space="preserve">10.1016/S0165-4896(98)00007-9</w:t>
        </w:r>
      </w:hyperlink>
    </w:p>
    <w:bookmarkEnd w:id="473"/>
    <w:bookmarkStart w:id="475"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4">
        <w:r>
          <w:rPr>
            <w:rStyle w:val="Hyperlink"/>
          </w:rPr>
          <w:t xml:space="preserve">10.1006/reec.1999.0200</w:t>
        </w:r>
      </w:hyperlink>
    </w:p>
    <w:bookmarkEnd w:id="475"/>
    <w:bookmarkStart w:id="476"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6"/>
    <w:bookmarkStart w:id="477" w:name="ref-Stanley2011"/>
    <w:p>
      <w:pPr>
        <w:pStyle w:val="Bibliography"/>
      </w:pPr>
      <w:r>
        <w:t xml:space="preserve">Stanley, Jason. (2011).</w:t>
      </w:r>
      <w:r>
        <w:t xml:space="preserve"> </w:t>
      </w:r>
      <w:r>
        <w:rPr>
          <w:iCs/>
          <w:i/>
        </w:rPr>
        <w:t xml:space="preserve">Know how</w:t>
      </w:r>
      <w:r>
        <w:t xml:space="preserve">. Oxford University Press.</w:t>
      </w:r>
    </w:p>
    <w:bookmarkEnd w:id="477"/>
    <w:bookmarkStart w:id="479" w:name="ref-Steglich-Petersen2024"/>
    <w:p>
      <w:pPr>
        <w:pStyle w:val="Bibliography"/>
      </w:pPr>
      <w:r>
        <w:t xml:space="preserve">Steglich-Petersen, Asbjørn. (forthcoming). An instrumentalist explanation of pragmatic encroachment.</w:t>
      </w:r>
      <w:r>
        <w:t xml:space="preserve"> </w:t>
      </w:r>
      <w:r>
        <w:rPr>
          <w:iCs/>
          <w:i/>
        </w:rPr>
        <w:t xml:space="preserve">Analytic Philosophy</w:t>
      </w:r>
      <w:r>
        <w:t xml:space="preserve">. Forthcoming. doi:</w:t>
      </w:r>
      <w:hyperlink r:id="rId478">
        <w:r>
          <w:rPr>
            <w:rStyle w:val="Hyperlink"/>
          </w:rPr>
          <w:t xml:space="preserve">10.1111/phib.12283</w:t>
        </w:r>
      </w:hyperlink>
    </w:p>
    <w:bookmarkEnd w:id="479"/>
    <w:bookmarkStart w:id="480"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0"/>
    <w:bookmarkStart w:id="482"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1">
        <w:r>
          <w:rPr>
            <w:rStyle w:val="Hyperlink"/>
          </w:rPr>
          <w:t xml:space="preserve">10.1111/phpr.12191</w:t>
        </w:r>
      </w:hyperlink>
    </w:p>
    <w:bookmarkEnd w:id="482"/>
    <w:bookmarkStart w:id="483"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3"/>
    <w:bookmarkStart w:id="485"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4">
        <w:r>
          <w:rPr>
            <w:rStyle w:val="Hyperlink"/>
          </w:rPr>
          <w:t xml:space="preserve">10.1111/j.1520-8583.2005.00068.x</w:t>
        </w:r>
      </w:hyperlink>
    </w:p>
    <w:bookmarkEnd w:id="485"/>
    <w:bookmarkStart w:id="487"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6">
        <w:r>
          <w:rPr>
            <w:rStyle w:val="Hyperlink"/>
          </w:rPr>
          <w:t xml:space="preserve">10.1007/s11098-004-5218-x</w:t>
        </w:r>
      </w:hyperlink>
    </w:p>
    <w:bookmarkEnd w:id="487"/>
    <w:bookmarkStart w:id="489"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88">
        <w:r>
          <w:rPr>
            <w:rStyle w:val="Hyperlink"/>
          </w:rPr>
          <w:t xml:space="preserve">10.5840/logos-episteme2011248</w:t>
        </w:r>
      </w:hyperlink>
    </w:p>
    <w:bookmarkEnd w:id="489"/>
    <w:bookmarkStart w:id="490"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0"/>
    <w:bookmarkStart w:id="492" w:name="ref-Weatherson2015"/>
    <w:p>
      <w:pPr>
        <w:pStyle w:val="Bibliography"/>
      </w:pPr>
      <w:r>
        <w:t xml:space="preserve">Weatherson, Brian. (2015). Memory, belief and time.</w:t>
      </w:r>
      <w:r>
        <w:t xml:space="preserve"> </w:t>
      </w:r>
      <w:r>
        <w:rPr>
          <w:iCs/>
          <w:i/>
        </w:rPr>
        <w:t xml:space="preserve">Canadian Journal of Philosophy</w:t>
      </w:r>
      <w:r>
        <w:t xml:space="preserve">,</w:t>
      </w:r>
      <w:r>
        <w:t xml:space="preserve"> </w:t>
      </w:r>
      <w:r>
        <w:rPr>
          <w:iCs/>
          <w:i/>
        </w:rPr>
        <w:t xml:space="preserve">45</w:t>
      </w:r>
      <w:r>
        <w:t xml:space="preserve">(5-6), 692–715. doi:</w:t>
      </w:r>
      <w:hyperlink r:id="rId491">
        <w:r>
          <w:rPr>
            <w:rStyle w:val="Hyperlink"/>
          </w:rPr>
          <w:t xml:space="preserve">10.1080/00455091.2015.1125250</w:t>
        </w:r>
      </w:hyperlink>
    </w:p>
    <w:bookmarkEnd w:id="492"/>
    <w:bookmarkStart w:id="494"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7"/>
    <w:bookmarkStart w:id="498"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Cs/>
          <w:i/>
        </w:rPr>
        <w:t xml:space="preserve">Vagueness</w:t>
      </w:r>
      <w:r>
        <w:t xml:space="preserve">. Routledge.</w:t>
      </w:r>
    </w:p>
    <w:bookmarkEnd w:id="507"/>
    <w:bookmarkStart w:id="508"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Macmillan.</w:t>
      </w:r>
    </w:p>
    <w:bookmarkEnd w:id="516"/>
    <w:bookmarkStart w:id="517" w:name="ref-Woodard2021"/>
    <w:p>
      <w:pPr>
        <w:pStyle w:val="Bibliography"/>
      </w:pPr>
      <w:r>
        <w:t xml:space="preserve">Woodard, Elise. (2020).</w:t>
      </w:r>
      <w:r>
        <w:t xml:space="preserve"> </w:t>
      </w:r>
      <w:r>
        <w:rPr>
          <w:iCs/>
          <w:i/>
        </w:rPr>
        <w:t xml:space="preserve">Why double-check</w:t>
      </w:r>
      <w:r>
        <w:t xml:space="preserve">.</w:t>
      </w:r>
    </w:p>
    <w:bookmarkEnd w:id="517"/>
    <w:bookmarkStart w:id="519"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8">
        <w:r>
          <w:rPr>
            <w:rStyle w:val="Hyperlink"/>
          </w:rPr>
          <w:t xml:space="preserve">10.1111/j.1933-1592.2002.tb00205.x</w:t>
        </w:r>
      </w:hyperlink>
    </w:p>
    <w:bookmarkEnd w:id="519"/>
    <w:bookmarkStart w:id="520"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0"/>
    <w:bookmarkStart w:id="522" w:name="ref-Wu2024"/>
    <w:p>
      <w:pPr>
        <w:pStyle w:val="Bibliography"/>
      </w:pPr>
      <w:r>
        <w:t xml:space="preserve">Wu, Jenny Yi-Chen. (forthcoming). A defense of impurist permissivism (1st edition).</w:t>
      </w:r>
      <w:r>
        <w:t xml:space="preserve"> </w:t>
      </w:r>
      <w:r>
        <w:rPr>
          <w:iCs/>
          <w:i/>
        </w:rPr>
        <w:t xml:space="preserve">Episteme</w:t>
      </w:r>
      <w:r>
        <w:t xml:space="preserve">, (N/A), 1–21. doi:</w:t>
      </w:r>
      <w:hyperlink r:id="rId521">
        <w:r>
          <w:rPr>
            <w:rStyle w:val="Hyperlink"/>
          </w:rPr>
          <w:t xml:space="preserve">10.1017/epi.2023.22</w:t>
        </w:r>
      </w:hyperlink>
    </w:p>
    <w:bookmarkEnd w:id="522"/>
    <w:bookmarkStart w:id="524"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3">
        <w:r>
          <w:rPr>
            <w:rStyle w:val="Hyperlink"/>
          </w:rPr>
          <w:t xml:space="preserve">10.1111/phpr.12330</w:t>
        </w:r>
      </w:hyperlink>
    </w:p>
    <w:bookmarkEnd w:id="524"/>
    <w:bookmarkStart w:id="525"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5"/>
    <w:bookmarkStart w:id="527"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6">
        <w:r>
          <w:rPr>
            <w:rStyle w:val="Hyperlink"/>
          </w:rPr>
          <w:t xml:space="preserve">10.1007/s10670-022-00626-7</w:t>
        </w:r>
      </w:hyperlink>
    </w:p>
    <w:bookmarkEnd w:id="527"/>
    <w:bookmarkStart w:id="529"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8">
        <w:r>
          <w:rPr>
            <w:rStyle w:val="Hyperlink"/>
          </w:rPr>
          <w:t xml:space="preserve">10.1007/s11098-016-0631-5</w:t>
        </w:r>
      </w:hyperlink>
    </w:p>
    <w:bookmarkEnd w:id="529"/>
    <w:bookmarkEnd w:id="530"/>
    <w:bookmarkEnd w:id="5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McKenna (forthcoming)</w:t>
      </w:r>
      <w:r>
        <w:t xml:space="preserve">,</w:t>
      </w:r>
      <w:r>
        <w:t xml:space="preserve"> </w:t>
      </w:r>
      <w:r>
        <w:t xml:space="preserve">Schmidt (forthcoming)</w:t>
      </w:r>
      <w:r>
        <w:t xml:space="preserve">,</w:t>
      </w:r>
      <w:r>
        <w:t xml:space="preserve"> </w:t>
      </w:r>
      <w:r>
        <w:t xml:space="preserve">Steglich-Petersen (forthcoming)</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7">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8">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29">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30">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4">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5">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9">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1">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4">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5">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8">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50">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8">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60">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61">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3">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6">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8">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9">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71">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2">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3">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4">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5">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7">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82">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8">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90">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91">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2">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3">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5">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8">
    <w:p>
      <w:pPr>
        <w:pStyle w:val="FootnoteText"/>
      </w:pPr>
      <w:r>
        <w:rPr>
          <w:rStyle w:val="FootnoteReference"/>
        </w:rPr>
        <w:footnoteRef/>
      </w:r>
      <w:r>
        <w:t xml:space="preserve"> </w:t>
      </w:r>
      <w:r>
        <w:t xml:space="preserve">I’m indebted here to conversations with Eric Swanson.</w:t>
      </w:r>
    </w:p>
  </w:footnote>
  <w:footnote w:id="100">
    <w:p>
      <w:pPr>
        <w:pStyle w:val="FootnoteText"/>
      </w:pPr>
      <w:r>
        <w:rPr>
          <w:rStyle w:val="FootnoteReference"/>
        </w:rPr>
        <w:footnoteRef/>
      </w:r>
      <w:r>
        <w:t xml:space="preserve"> </w:t>
      </w:r>
      <w:r>
        <w:t xml:space="preserve">This section draws heavily on §1.1 of</w:t>
      </w:r>
      <w:r>
        <w:t xml:space="preserve"> </w:t>
      </w:r>
      <w:r>
        <w:t xml:space="preserve">Weatherson (2012)</w:t>
      </w:r>
      <w:r>
        <w:t xml:space="preserve">.</w:t>
      </w:r>
    </w:p>
  </w:footnote>
  <w:footnote w:id="108">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31">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3">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34">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6">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4.5</w:t>
        </w:r>
      </w:hyperlink>
      <w:r>
        <w:t xml:space="preserve">.</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9">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44">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5">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7">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50">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51">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3">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6">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6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6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6">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7">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70">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71">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2">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5">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7">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8">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4">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3">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6">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203">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4">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12">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2023-12-18T14:30:57Z</dcterms:created>
  <dcterms:modified xsi:type="dcterms:W3CDTF">2023-12-18T14:30:57Z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2023-12-18</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