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2024-08-28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(2024b)</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3"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3"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3"/>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4"/>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4"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3"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3"/>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4"/>
    <w:bookmarkStart w:id="46"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5"/>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6"/>
    <w:bookmarkStart w:id="48"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7"/>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8"/>
    <w:bookmarkStart w:id="52"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0"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0"/>
    <w:bookmarkStart w:id="51"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1"/>
    <w:bookmarkEnd w:id="52"/>
    <w:bookmarkEnd w:id="53"/>
    <w:bookmarkStart w:id="83" w:name="sec-belief"/>
    <w:p>
      <w:pPr>
        <w:pStyle w:val="Heading1"/>
      </w:pPr>
      <w:r>
        <w:t xml:space="preserve">3. Belief</w:t>
      </w:r>
    </w:p>
    <w:bookmarkStart w:id="55"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4"/>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5"/>
    <w:bookmarkStart w:id="58"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6"/>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7"/>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8"/>
    <w:bookmarkStart w:id="60"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9"/>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0"/>
    <w:bookmarkStart w:id="63"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1"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1"/>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2"/>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3"/>
    <w:bookmarkStart w:id="66"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5"/>
      </w:r>
      <w:r>
        <w:t xml:space="preserve"> </w:t>
      </w:r>
      <w:r>
        <w:t xml:space="preserve">But they could be part of a theory of belief, and the theory they are part of is helpful for seeing how beliefs and interests fit together.</w:t>
      </w:r>
    </w:p>
    <w:bookmarkEnd w:id="66"/>
    <w:bookmarkStart w:id="72"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8"/>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9"/>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2"/>
    <w:bookmarkStart w:id="80"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4"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4"/>
    <w:bookmarkStart w:id="75"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5"/>
    <w:bookmarkStart w:id="76"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6"/>
    <w:bookmarkStart w:id="77"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7"/>
    <w:bookmarkStart w:id="79"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8"/>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9"/>
    <w:bookmarkEnd w:id="80"/>
    <w:bookmarkStart w:id="82"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1"/>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2"/>
    <w:bookmarkEnd w:id="83"/>
    <w:bookmarkStart w:id="115"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0"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4"/>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5"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5"/>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6"/>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7"/>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8"/>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89"/>
      </w:r>
      <w:r>
        <w:t xml:space="preserve"> </w:t>
      </w:r>
      <w:r>
        <w:t xml:space="preserve">In any case, the conditional will be enough.</w:t>
      </w:r>
    </w:p>
    <w:bookmarkEnd w:id="90"/>
    <w:bookmarkStart w:id="95"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1"/>
      </w:r>
      <w:r>
        <w:t xml:space="preserve"> </w:t>
      </w:r>
      <w:r>
        <w:t xml:space="preserve">Imagine that two ice cream trucks have to choose (simultaneously) where they will be located on a beach. The beach has seven locations, numbered 1 to 5.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2"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2"/>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3"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3"/>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4"/>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5"/>
    <w:bookmarkStart w:id="100"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6"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6"/>
    <w:bookmarkStart w:id="97"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7"/>
    <w:bookmarkStart w:id="98"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98"/>
    <w:bookmarkStart w:id="99"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99"/>
    <w:bookmarkEnd w:id="100"/>
    <w:bookmarkStart w:id="102"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1"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1"/>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2"/>
    <w:bookmarkStart w:id="107"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3"/>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4"/>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5"/>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Cs/>
          <w:i/>
        </w:rPr>
        <w:t xml:space="preserve">It might be that not-p</w:t>
      </w:r>
      <w:r>
        <w:t xml:space="preserve">, and</w:t>
      </w:r>
      <w:r>
        <w:t xml:space="preserve"> </w:t>
      </w:r>
      <w:r>
        <w:rPr>
          <w:iCs/>
          <w:i/>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6"/>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7"/>
    <w:bookmarkStart w:id="113"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9"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8"/>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9"/>
    <w:bookmarkStart w:id="112"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This time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0"/>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1"/>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Player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2"/>
    <w:bookmarkEnd w:id="113"/>
    <w:bookmarkStart w:id="114"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4"/>
    <w:bookmarkEnd w:id="115"/>
    <w:bookmarkStart w:id="138"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8"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6"/>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7"/>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9"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8"/>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19"/>
    <w:bookmarkStart w:id="120"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0"/>
    <w:bookmarkStart w:id="121"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1"/>
    <w:bookmarkStart w:id="123"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2"/>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3"/>
    <w:bookmarkStart w:id="124"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4"/>
    <w:bookmarkStart w:id="125"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5"/>
    <w:bookmarkStart w:id="127"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6"/>
      </w:r>
      <w:r>
        <w:t xml:space="preserve"> </w:t>
      </w:r>
      <w:r>
        <w:t xml:space="preserve">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7"/>
    <w:bookmarkEnd w:id="128"/>
    <w:bookmarkStart w:id="129"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9"/>
    <w:bookmarkStart w:id="131"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Cs/>
          <w:i/>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0"/>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1"/>
    <w:bookmarkStart w:id="134"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2"/>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3"/>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4"/>
    <w:bookmarkStart w:id="135"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5"/>
    <w:bookmarkStart w:id="137"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6"/>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Further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7"/>
    <w:bookmarkEnd w:id="138"/>
    <w:bookmarkStart w:id="152"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39"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39"/>
    <w:bookmarkStart w:id="140"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0"/>
    <w:bookmarkStart w:id="143"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1"/>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2"/>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3"/>
    <w:bookmarkStart w:id="145"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5"/>
    <w:bookmarkStart w:id="146"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6"/>
    <w:bookmarkStart w:id="149"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7"/>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48"/>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49"/>
    <w:bookmarkStart w:id="151"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1"/>
    <w:bookmarkEnd w:id="152"/>
    <w:bookmarkStart w:id="162"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3"/>
      </w:r>
    </w:p>
    <w:bookmarkStart w:id="154"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4"/>
    <w:bookmarkStart w:id="156"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5"/>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6"/>
    <w:bookmarkStart w:id="15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7"/>
      </w:r>
      <w:r>
        <w:t xml:space="preserve"> </w:t>
      </w:r>
      <w:r>
        <w:t xml:space="preserve">It isn’t extensional adequacy; Dharmottara refuted that 1300 years ago. But it can be expressed using the modern</w:t>
      </w:r>
      <w:r>
        <w:rPr>
          <w:rStyle w:val="FootnoteReference"/>
        </w:rPr>
        <w:footnoteReference w:id="15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59"/>
    <w:bookmarkStart w:id="16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1"/>
    <w:bookmarkEnd w:id="162"/>
    <w:bookmarkStart w:id="189"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3"/>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4"/>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5"/>
    <w:bookmarkStart w:id="16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6"/>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8"/>
      </w:r>
      <w:r>
        <w:t xml:space="preserve"> </w:t>
      </w:r>
      <w:r>
        <w:t xml:space="preserve">So I’ll set the basic points slowly, and then circle back to the puzzle for the Lockeans.</w:t>
      </w:r>
      <w:r>
        <w:rPr>
          <w:rStyle w:val="FootnoteReference"/>
        </w:rPr>
        <w:footnoteReference w:id="169"/>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0"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0"/>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1"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1"/>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2"/>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3"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3"/>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4"/>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5"/>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77"/>
    <w:bookmarkStart w:id="183"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8"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8"/>
    <w:bookmarkStart w:id="179"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79"/>
    <w:bookmarkStart w:id="180"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0"/>
    <w:bookmarkStart w:id="182"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1"/>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2"/>
    <w:bookmarkEnd w:id="183"/>
    <w:bookmarkStart w:id="188"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4"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4"/>
    <w:bookmarkStart w:id="185"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5"/>
    <w:bookmarkStart w:id="186"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6"/>
    <w:bookmarkStart w:id="187"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7"/>
    <w:bookmarkEnd w:id="188"/>
    <w:bookmarkEnd w:id="189"/>
    <w:bookmarkStart w:id="212"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0"/>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1"/>
    <w:bookmarkStart w:id="192"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2"/>
    <w:bookmarkStart w:id="196"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3"/>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4"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4"/>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5"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5"/>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6"/>
    <w:bookmarkStart w:id="205"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7"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7"/>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198"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8"/>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9"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9"/>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0"/>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1"/>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2"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2"/>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3"/>
    <w:bookmarkStart w:id="204"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4"/>
    <w:bookmarkEnd w:id="205"/>
    <w:bookmarkStart w:id="206"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6"/>
    <w:bookmarkStart w:id="207"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07"/>
    <w:bookmarkStart w:id="208"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08"/>
    <w:bookmarkStart w:id="210"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09"/>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0"/>
    <w:bookmarkStart w:id="211"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1"/>
    <w:bookmarkEnd w:id="212"/>
    <w:bookmarkStart w:id="216"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3"/>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4"/>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5"/>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6"/>
    <w:bookmarkStart w:id="534" w:name="references"/>
    <w:p>
      <w:pPr>
        <w:pStyle w:val="Heading1"/>
      </w:pPr>
      <w:r>
        <w:t xml:space="preserve">References</w:t>
      </w:r>
    </w:p>
    <w:bookmarkStart w:id="533" w:name="refs"/>
    <w:bookmarkStart w:id="217"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17"/>
    <w:bookmarkStart w:id="218"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8"/>
    <w:bookmarkStart w:id="219"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19"/>
    <w:bookmarkStart w:id="220"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0"/>
    <w:bookmarkStart w:id="221"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1"/>
    <w:bookmarkStart w:id="223"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2">
        <w:r>
          <w:rPr>
            <w:rStyle w:val="Hyperlink"/>
          </w:rPr>
          <w:t xml:space="preserve">10.1093/analys/anr083</w:t>
        </w:r>
      </w:hyperlink>
    </w:p>
    <w:bookmarkEnd w:id="223"/>
    <w:bookmarkStart w:id="225"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4">
        <w:r>
          <w:rPr>
            <w:rStyle w:val="Hyperlink"/>
          </w:rPr>
          <w:t xml:space="preserve">10.1007/s001820050111</w:t>
        </w:r>
      </w:hyperlink>
    </w:p>
    <w:bookmarkEnd w:id="225"/>
    <w:bookmarkStart w:id="226"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6"/>
    <w:bookmarkStart w:id="227" w:name="ref-Bennett2017"/>
    <w:p>
      <w:pPr>
        <w:pStyle w:val="Bibliography"/>
      </w:pPr>
      <w:r>
        <w:t xml:space="preserve">Bennett, Karen. (2017).</w:t>
      </w:r>
      <w:r>
        <w:t xml:space="preserve"> </w:t>
      </w:r>
      <w:r>
        <w:rPr>
          <w:iCs/>
          <w:i/>
        </w:rPr>
        <w:t xml:space="preserve">Making things up</w:t>
      </w:r>
      <w:r>
        <w:t xml:space="preserve">. Oxford University Press.</w:t>
      </w:r>
    </w:p>
    <w:bookmarkEnd w:id="227"/>
    <w:bookmarkStart w:id="228"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28"/>
    <w:bookmarkStart w:id="229"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29"/>
    <w:bookmarkStart w:id="231"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0">
        <w:r>
          <w:rPr>
            <w:rStyle w:val="Hyperlink"/>
          </w:rPr>
          <w:t xml:space="preserve">10.1111/j.0031-8094.2004.00350.x</w:t>
        </w:r>
      </w:hyperlink>
    </w:p>
    <w:bookmarkEnd w:id="231"/>
    <w:bookmarkStart w:id="233"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2">
        <w:r>
          <w:rPr>
            <w:rStyle w:val="Hyperlink"/>
          </w:rPr>
          <w:t xml:space="preserve">10.1111/j.1933-1592.2009.00280.x</w:t>
        </w:r>
      </w:hyperlink>
    </w:p>
    <w:bookmarkEnd w:id="233"/>
    <w:bookmarkStart w:id="235"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4">
        <w:r>
          <w:rPr>
            <w:rStyle w:val="Hyperlink"/>
          </w:rPr>
          <w:t xml:space="preserve">10.1007/s11229-015-0878-y</w:t>
        </w:r>
      </w:hyperlink>
    </w:p>
    <w:bookmarkEnd w:id="235"/>
    <w:bookmarkStart w:id="237"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6">
        <w:r>
          <w:rPr>
            <w:rStyle w:val="Hyperlink"/>
          </w:rPr>
          <w:t xml:space="preserve">10.1111/j.1468-0262.2008.00835.x</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Cs/>
          <w:i/>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Cs/>
          <w:i/>
        </w:rPr>
        <w:t xml:space="preserve">Minimal rationality</w:t>
      </w:r>
      <w:r>
        <w:t xml:space="preserve">. MIT Press.</w:t>
      </w:r>
    </w:p>
    <w:bookmarkEnd w:id="251"/>
    <w:bookmarkStart w:id="252"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2"/>
    <w:bookmarkStart w:id="253"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3"/>
    <w:bookmarkStart w:id="255"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4">
        <w:r>
          <w:rPr>
            <w:rStyle w:val="Hyperlink"/>
          </w:rPr>
          <w:t xml:space="preserve">http://hdl.handle.net/2027/spo.3521354.0011.006</w:t>
        </w:r>
      </w:hyperlink>
    </w:p>
    <w:bookmarkEnd w:id="255"/>
    <w:bookmarkStart w:id="256"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6"/>
    <w:bookmarkStart w:id="257"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7"/>
    <w:bookmarkStart w:id="259"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58">
        <w:r>
          <w:rPr>
            <w:rStyle w:val="Hyperlink"/>
          </w:rPr>
          <w:t xml:space="preserve">10.1111/j.1933-1592.2002.tb00204.x</w:t>
        </w:r>
      </w:hyperlink>
    </w:p>
    <w:bookmarkEnd w:id="259"/>
    <w:bookmarkStart w:id="261"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0">
        <w:r>
          <w:rPr>
            <w:rStyle w:val="Hyperlink"/>
          </w:rPr>
          <w:t xml:space="preserve">10.1111/j.1533-6077.2004.00040.x</w:t>
        </w:r>
      </w:hyperlink>
    </w:p>
    <w:bookmarkEnd w:id="261"/>
    <w:bookmarkStart w:id="262"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2"/>
    <w:bookmarkStart w:id="263"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3"/>
    <w:bookmarkStart w:id="265"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4">
        <w:r>
          <w:rPr>
            <w:rStyle w:val="Hyperlink"/>
          </w:rPr>
          <w:t xml:space="preserve">https://plato.stanford.edu/archives/spr2018/entries/questions/</w:t>
        </w:r>
      </w:hyperlink>
      <w:r>
        <w:t xml:space="preserve">; Metaphysics Research Lab, Stanford University.</w:t>
      </w:r>
    </w:p>
    <w:bookmarkEnd w:id="265"/>
    <w:bookmarkStart w:id="266"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6"/>
    <w:bookmarkStart w:id="268"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7">
        <w:r>
          <w:rPr>
            <w:rStyle w:val="Hyperlink"/>
          </w:rPr>
          <w:t xml:space="preserve">10.2307/3182618</w:t>
        </w:r>
      </w:hyperlink>
    </w:p>
    <w:bookmarkEnd w:id="268"/>
    <w:bookmarkStart w:id="270"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69">
        <w:r>
          <w:rPr>
            <w:rStyle w:val="Hyperlink"/>
          </w:rPr>
          <w:t xml:space="preserve">http://journal.sjdm.org/8320/jdm8320.pdf</w:t>
        </w:r>
      </w:hyperlink>
    </w:p>
    <w:bookmarkEnd w:id="270"/>
    <w:bookmarkStart w:id="271"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1"/>
    <w:bookmarkStart w:id="273"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2">
        <w:r>
          <w:rPr>
            <w:rStyle w:val="Hyperlink"/>
          </w:rPr>
          <w:t xml:space="preserve">10.3998/ergo.12405314.0002.026</w:t>
        </w:r>
      </w:hyperlink>
    </w:p>
    <w:bookmarkEnd w:id="273"/>
    <w:bookmarkStart w:id="274" w:name="ref-Dylan2016"/>
    <w:p>
      <w:pPr>
        <w:pStyle w:val="Bibliography"/>
      </w:pPr>
      <w:r>
        <w:t xml:space="preserve">Dylan, Bob. (2016).</w:t>
      </w:r>
      <w:r>
        <w:t xml:space="preserve"> </w:t>
      </w:r>
      <w:r>
        <w:rPr>
          <w:iCs/>
          <w:i/>
        </w:rPr>
        <w:t xml:space="preserve">The lyrics: 1961-2012</w:t>
      </w:r>
      <w:r>
        <w:t xml:space="preserve">. Simon &amp; Schuster.</w:t>
      </w:r>
    </w:p>
    <w:bookmarkEnd w:id="274"/>
    <w:bookmarkStart w:id="276"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5">
        <w:r>
          <w:rPr>
            <w:rStyle w:val="Hyperlink"/>
          </w:rPr>
          <w:t xml:space="preserve">10.1007/s11098-015-0461-x</w:t>
        </w:r>
      </w:hyperlink>
    </w:p>
    <w:bookmarkEnd w:id="276"/>
    <w:bookmarkStart w:id="278"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7">
        <w:r>
          <w:rPr>
            <w:rStyle w:val="Hyperlink"/>
          </w:rPr>
          <w:t xml:space="preserve">10.1007/s11098-008-9225-1</w:t>
        </w:r>
      </w:hyperlink>
    </w:p>
    <w:bookmarkEnd w:id="278"/>
    <w:bookmarkStart w:id="279"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79"/>
    <w:bookmarkStart w:id="281"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80">
        <w:r>
          <w:rPr>
            <w:rStyle w:val="Hyperlink"/>
          </w:rPr>
          <w:t xml:space="preserve">10.1093/analys/anab037</w:t>
        </w:r>
      </w:hyperlink>
    </w:p>
    <w:bookmarkEnd w:id="281"/>
    <w:bookmarkStart w:id="283"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2">
        <w:r>
          <w:rPr>
            <w:rStyle w:val="Hyperlink"/>
          </w:rPr>
          <w:t xml:space="preserve">10.2307/3182570</w:t>
        </w:r>
      </w:hyperlink>
    </w:p>
    <w:bookmarkEnd w:id="283"/>
    <w:bookmarkStart w:id="284"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4"/>
    <w:bookmarkStart w:id="285" w:name="ref-Foley1993"/>
    <w:p>
      <w:pPr>
        <w:pStyle w:val="Bibliography"/>
      </w:pPr>
      <w:r>
        <w:t xml:space="preserve">Foley, Richard. (1993).</w:t>
      </w:r>
      <w:r>
        <w:t xml:space="preserve"> </w:t>
      </w:r>
      <w:r>
        <w:rPr>
          <w:iCs/>
          <w:i/>
        </w:rPr>
        <w:t xml:space="preserve">Working without a net</w:t>
      </w:r>
      <w:r>
        <w:t xml:space="preserve">. Oxford University Press.</w:t>
      </w:r>
    </w:p>
    <w:bookmarkEnd w:id="285"/>
    <w:bookmarkStart w:id="287"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6">
        <w:r>
          <w:rPr>
            <w:rStyle w:val="Hyperlink"/>
          </w:rPr>
          <w:t xml:space="preserve">10.1111/nous.12137</w:t>
        </w:r>
      </w:hyperlink>
    </w:p>
    <w:bookmarkEnd w:id="287"/>
    <w:bookmarkStart w:id="289"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8">
        <w:r>
          <w:rPr>
            <w:rStyle w:val="Hyperlink"/>
          </w:rPr>
          <w:t xml:space="preserve">10.1111/phis.12141</w:t>
        </w:r>
      </w:hyperlink>
    </w:p>
    <w:bookmarkEnd w:id="289"/>
    <w:bookmarkStart w:id="291"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0">
        <w:r>
          <w:rPr>
            <w:rStyle w:val="Hyperlink"/>
          </w:rPr>
          <w:t xml:space="preserve">10.1111/nous.12222</w:t>
        </w:r>
      </w:hyperlink>
    </w:p>
    <w:bookmarkEnd w:id="291"/>
    <w:bookmarkStart w:id="293"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2">
        <w:r>
          <w:rPr>
            <w:rStyle w:val="Hyperlink"/>
          </w:rPr>
          <w:t xml:space="preserve">10.1215/00318108-8540918</w:t>
        </w:r>
      </w:hyperlink>
    </w:p>
    <w:bookmarkEnd w:id="293"/>
    <w:bookmarkStart w:id="294" w:name="ref-Friedman2024debate"/>
    <w:p>
      <w:pPr>
        <w:pStyle w:val="Bibliography"/>
      </w:pPr>
      <w:r>
        <w:t xml:space="preserve">Friedman, Jane. (2024a). Suspension of judgment is a question-directed attitude. In Blake Roeber, Ernest Sosa, Matthias Steup, &amp; John Turri (Eds.),</w:t>
      </w:r>
      <w:r>
        <w:t xml:space="preserve"> </w:t>
      </w:r>
      <w:r>
        <w:rPr>
          <w:iCs/>
          <w:i/>
        </w:rPr>
        <w:t xml:space="preserve">Contemporary debates in epistemology</w:t>
      </w:r>
      <w:r>
        <w:t xml:space="preserve"> </w:t>
      </w:r>
      <w:r>
        <w:t xml:space="preserve">(3rd ed., 66–78). Wiley Blackwell.</w:t>
      </w:r>
    </w:p>
    <w:bookmarkEnd w:id="294"/>
    <w:bookmarkStart w:id="296" w:name="ref-Friedman2024"/>
    <w:p>
      <w:pPr>
        <w:pStyle w:val="Bibliography"/>
      </w:pPr>
      <w:r>
        <w:t xml:space="preserve">Friedman, Jane. (2024b).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5">
        <w:r>
          <w:rPr>
            <w:rStyle w:val="Hyperlink"/>
          </w:rPr>
          <w:t xml:space="preserve">10.1111/phpr.12982</w:t>
        </w:r>
      </w:hyperlink>
    </w:p>
    <w:bookmarkEnd w:id="296"/>
    <w:bookmarkStart w:id="298"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7">
        <w:r>
          <w:rPr>
            <w:rStyle w:val="Hyperlink"/>
          </w:rPr>
          <w:t xml:space="preserve">10.1007/s11098-007-9133-9</w:t>
        </w:r>
      </w:hyperlink>
    </w:p>
    <w:bookmarkEnd w:id="298"/>
    <w:bookmarkStart w:id="299"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9"/>
    <w:bookmarkStart w:id="301"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300">
        <w:r>
          <w:rPr>
            <w:rStyle w:val="Hyperlink"/>
          </w:rPr>
          <w:t xml:space="preserve">10.1111/mila.12451</w:t>
        </w:r>
      </w:hyperlink>
    </w:p>
    <w:bookmarkEnd w:id="301"/>
    <w:bookmarkStart w:id="303"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2">
        <w:r>
          <w:rPr>
            <w:rStyle w:val="Hyperlink"/>
          </w:rPr>
          <w:t xml:space="preserve">10.1007/s11098-005-7779-8</w:t>
        </w:r>
      </w:hyperlink>
    </w:p>
    <w:bookmarkEnd w:id="303"/>
    <w:bookmarkStart w:id="305"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4">
        <w:r>
          <w:rPr>
            <w:rStyle w:val="Hyperlink"/>
          </w:rPr>
          <w:t xml:space="preserve">10.2307/3326922</w:t>
        </w:r>
      </w:hyperlink>
    </w:p>
    <w:bookmarkEnd w:id="305"/>
    <w:bookmarkStart w:id="306"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6"/>
    <w:bookmarkStart w:id="308"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7">
        <w:r>
          <w:rPr>
            <w:rStyle w:val="Hyperlink"/>
          </w:rPr>
          <w:t xml:space="preserve">10.3765/sp.3.4</w:t>
        </w:r>
      </w:hyperlink>
    </w:p>
    <w:bookmarkEnd w:id="308"/>
    <w:bookmarkStart w:id="309"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9"/>
    <w:bookmarkStart w:id="310" w:name="ref-Harman1973"/>
    <w:p>
      <w:pPr>
        <w:pStyle w:val="Bibliography"/>
      </w:pPr>
      <w:r>
        <w:t xml:space="preserve">Harman, Gilbert. (1973).</w:t>
      </w:r>
      <w:r>
        <w:t xml:space="preserve"> </w:t>
      </w:r>
      <w:r>
        <w:rPr>
          <w:iCs/>
          <w:i/>
        </w:rPr>
        <w:t xml:space="preserve">Thought</w:t>
      </w:r>
      <w:r>
        <w:t xml:space="preserve">. Princeton University Press.</w:t>
      </w:r>
    </w:p>
    <w:bookmarkEnd w:id="310"/>
    <w:bookmarkStart w:id="311"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1"/>
    <w:bookmarkStart w:id="313"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2">
        <w:r>
          <w:rPr>
            <w:rStyle w:val="Hyperlink"/>
          </w:rPr>
          <w:t xml:space="preserve">10.1007/BF00183199</w:t>
        </w:r>
      </w:hyperlink>
    </w:p>
    <w:bookmarkEnd w:id="313"/>
    <w:bookmarkStart w:id="314" w:name="ref-Hawthorne2004"/>
    <w:p>
      <w:pPr>
        <w:pStyle w:val="Bibliography"/>
      </w:pPr>
      <w:r>
        <w:t xml:space="preserve">Hawthorne, John. (2004).</w:t>
      </w:r>
      <w:r>
        <w:t xml:space="preserve"> </w:t>
      </w:r>
      <w:r>
        <w:rPr>
          <w:iCs/>
          <w:i/>
        </w:rPr>
        <w:t xml:space="preserve">Knowledge and lotteries</w:t>
      </w:r>
      <w:r>
        <w:t xml:space="preserve">. Oxford University Press.</w:t>
      </w:r>
    </w:p>
    <w:bookmarkEnd w:id="314"/>
    <w:bookmarkStart w:id="316"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5">
        <w:r>
          <w:rPr>
            <w:rStyle w:val="Hyperlink"/>
          </w:rPr>
          <w:t xml:space="preserve">10.1111/j.1933-1592.2005.tb00540.x</w:t>
        </w:r>
      </w:hyperlink>
    </w:p>
    <w:bookmarkEnd w:id="316"/>
    <w:bookmarkStart w:id="318"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7">
        <w:r>
          <w:rPr>
            <w:rStyle w:val="Hyperlink"/>
          </w:rPr>
          <w:t xml:space="preserve">10.1007/s11098-015-0553-7</w:t>
        </w:r>
      </w:hyperlink>
    </w:p>
    <w:bookmarkEnd w:id="318"/>
    <w:bookmarkStart w:id="319"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9"/>
    <w:bookmarkStart w:id="321"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20">
        <w:r>
          <w:rPr>
            <w:rStyle w:val="Hyperlink"/>
          </w:rPr>
          <w:t xml:space="preserve">10.5840/jphil20081051022</w:t>
        </w:r>
      </w:hyperlink>
    </w:p>
    <w:bookmarkEnd w:id="321"/>
    <w:bookmarkStart w:id="323"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2">
        <w:r>
          <w:rPr>
            <w:rStyle w:val="Hyperlink"/>
          </w:rPr>
          <w:t xml:space="preserve">10.1007/s11098-012-9880-0</w:t>
        </w:r>
      </w:hyperlink>
    </w:p>
    <w:bookmarkEnd w:id="323"/>
    <w:bookmarkStart w:id="325"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4">
        <w:r>
          <w:rPr>
            <w:rStyle w:val="Hyperlink"/>
          </w:rPr>
          <w:t xml:space="preserve">10.1086/671402</w:t>
        </w:r>
      </w:hyperlink>
    </w:p>
    <w:bookmarkEnd w:id="325"/>
    <w:bookmarkStart w:id="327"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6">
        <w:r>
          <w:rPr>
            <w:rStyle w:val="Hyperlink"/>
          </w:rPr>
          <w:t xml:space="preserve">10.1086/648610</w:t>
        </w:r>
      </w:hyperlink>
    </w:p>
    <w:bookmarkEnd w:id="327"/>
    <w:bookmarkStart w:id="329" w:name="ref-HollidayMandelkern2024"/>
    <w:p>
      <w:pPr>
        <w:pStyle w:val="Bibliography"/>
      </w:pPr>
      <w:r>
        <w:t xml:space="preserve">Holliday, Wesley H., and Matthew Mandelkern. (2024). The orthologic of epistemic modals.</w:t>
      </w:r>
      <w:r>
        <w:t xml:space="preserve"> </w:t>
      </w:r>
      <w:r>
        <w:rPr>
          <w:iCs/>
          <w:i/>
        </w:rPr>
        <w:t xml:space="preserve">Journal of Philosophical Logic</w:t>
      </w:r>
      <w:r>
        <w:t xml:space="preserve">,</w:t>
      </w:r>
      <w:r>
        <w:t xml:space="preserve"> </w:t>
      </w:r>
      <w:r>
        <w:rPr>
          <w:iCs/>
          <w:i/>
        </w:rPr>
        <w:t xml:space="preserve">53</w:t>
      </w:r>
      <w:r>
        <w:t xml:space="preserve">(831-907). doi:</w:t>
      </w:r>
      <w:hyperlink r:id="rId328">
        <w:r>
          <w:rPr>
            <w:rStyle w:val="Hyperlink"/>
          </w:rPr>
          <w:t xml:space="preserve">s10992-024-09746-7</w:t>
        </w:r>
      </w:hyperlink>
    </w:p>
    <w:bookmarkEnd w:id="329"/>
    <w:bookmarkStart w:id="331"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30">
        <w:r>
          <w:rPr>
            <w:rStyle w:val="Hyperlink"/>
          </w:rPr>
          <w:t xml:space="preserve">10.2307/2224214</w:t>
        </w:r>
      </w:hyperlink>
    </w:p>
    <w:bookmarkEnd w:id="331"/>
    <w:bookmarkStart w:id="333"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32">
        <w:r>
          <w:rPr>
            <w:rStyle w:val="Hyperlink"/>
          </w:rPr>
          <w:t xml:space="preserve">10.1007/BF00293423</w:t>
        </w:r>
      </w:hyperlink>
    </w:p>
    <w:bookmarkEnd w:id="333"/>
    <w:bookmarkStart w:id="335"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4">
        <w:r>
          <w:rPr>
            <w:rStyle w:val="Hyperlink"/>
          </w:rPr>
          <w:t xml:space="preserve">10.2307/2216304</w:t>
        </w:r>
      </w:hyperlink>
    </w:p>
    <w:bookmarkEnd w:id="335"/>
    <w:bookmarkStart w:id="336" w:name="ref-Ichikawa2017"/>
    <w:p>
      <w:pPr>
        <w:pStyle w:val="Bibliography"/>
      </w:pPr>
      <w:r>
        <w:t xml:space="preserve">Ichikawa, Jonathan. (2017).</w:t>
      </w:r>
      <w:r>
        <w:t xml:space="preserve"> </w:t>
      </w:r>
      <w:r>
        <w:rPr>
          <w:iCs/>
          <w:i/>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6"/>
    <w:bookmarkStart w:id="338"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7">
        <w:r>
          <w:rPr>
            <w:rStyle w:val="Hyperlink"/>
          </w:rPr>
          <w:t xml:space="preserve">10.1111/j.1467-9280.2006.01677.x</w:t>
        </w:r>
      </w:hyperlink>
    </w:p>
    <w:bookmarkEnd w:id="338"/>
    <w:bookmarkStart w:id="339" w:name="ref-Jackson1987"/>
    <w:p>
      <w:pPr>
        <w:pStyle w:val="Bibliography"/>
      </w:pPr>
      <w:r>
        <w:t xml:space="preserve">Jackson, Frank. (1987).</w:t>
      </w:r>
      <w:r>
        <w:t xml:space="preserve"> </w:t>
      </w:r>
      <w:r>
        <w:rPr>
          <w:iCs/>
          <w:i/>
        </w:rPr>
        <w:t xml:space="preserve">Conditionals</w:t>
      </w:r>
      <w:r>
        <w:t xml:space="preserve">. Oxford.</w:t>
      </w:r>
    </w:p>
    <w:bookmarkEnd w:id="339"/>
    <w:bookmarkStart w:id="340"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40"/>
    <w:bookmarkStart w:id="341"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41"/>
    <w:bookmarkStart w:id="342"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42"/>
    <w:bookmarkStart w:id="344"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43">
        <w:r>
          <w:rPr>
            <w:rStyle w:val="Hyperlink"/>
          </w:rPr>
          <w:t xml:space="preserve">10.2307/2224674</w:t>
        </w:r>
      </w:hyperlink>
    </w:p>
    <w:bookmarkEnd w:id="344"/>
    <w:bookmarkStart w:id="345"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5"/>
    <w:bookmarkStart w:id="347"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6">
        <w:r>
          <w:rPr>
            <w:rStyle w:val="Hyperlink"/>
          </w:rPr>
          <w:t xml:space="preserve">10.1007/s44204-023-00097-9</w:t>
        </w:r>
      </w:hyperlink>
    </w:p>
    <w:bookmarkEnd w:id="347"/>
    <w:bookmarkStart w:id="349"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8">
        <w:r>
          <w:rPr>
            <w:rStyle w:val="Hyperlink"/>
          </w:rPr>
          <w:t xml:space="preserve">10.1111/jere.12070</w:t>
        </w:r>
      </w:hyperlink>
    </w:p>
    <w:bookmarkEnd w:id="349"/>
    <w:bookmarkStart w:id="350"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50"/>
    <w:bookmarkStart w:id="352"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51">
        <w:r>
          <w:rPr>
            <w:rStyle w:val="Hyperlink"/>
          </w:rPr>
          <w:t xml:space="preserve">10.2307/1912320</w:t>
        </w:r>
      </w:hyperlink>
    </w:p>
    <w:bookmarkEnd w:id="352"/>
    <w:bookmarkStart w:id="353" w:name="ref-Kratzer2012"/>
    <w:p>
      <w:pPr>
        <w:pStyle w:val="Bibliography"/>
      </w:pPr>
      <w:r>
        <w:t xml:space="preserve">Kratzer, Angelika. (2012).</w:t>
      </w:r>
      <w:r>
        <w:t xml:space="preserve"> </w:t>
      </w:r>
      <w:r>
        <w:rPr>
          <w:iCs/>
          <w:i/>
        </w:rPr>
        <w:t xml:space="preserve">Modals and conditionals</w:t>
      </w:r>
      <w:r>
        <w:t xml:space="preserve">. Oxford University Press.</w:t>
      </w:r>
    </w:p>
    <w:bookmarkEnd w:id="353"/>
    <w:bookmarkStart w:id="354"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4"/>
    <w:bookmarkStart w:id="356"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5">
        <w:r>
          <w:rPr>
            <w:rStyle w:val="Hyperlink"/>
          </w:rPr>
          <w:t xml:space="preserve">10.1093/analys/anr129</w:t>
        </w:r>
      </w:hyperlink>
    </w:p>
    <w:bookmarkEnd w:id="356"/>
    <w:bookmarkStart w:id="358"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7">
        <w:r>
          <w:rPr>
            <w:rStyle w:val="Hyperlink"/>
          </w:rPr>
          <w:t xml:space="preserve">10.1111/j.1520-8583.2010.00183.x</w:t>
        </w:r>
      </w:hyperlink>
    </w:p>
    <w:bookmarkEnd w:id="358"/>
    <w:bookmarkStart w:id="360"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9">
        <w:r>
          <w:rPr>
            <w:rStyle w:val="Hyperlink"/>
          </w:rPr>
          <w:t xml:space="preserve">10.1111/phpr.12090</w:t>
        </w:r>
      </w:hyperlink>
    </w:p>
    <w:bookmarkEnd w:id="360"/>
    <w:bookmarkStart w:id="362"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61">
        <w:r>
          <w:rPr>
            <w:rStyle w:val="Hyperlink"/>
          </w:rPr>
          <w:t xml:space="preserve">10.1111/nous.12186</w:t>
        </w:r>
      </w:hyperlink>
    </w:p>
    <w:bookmarkEnd w:id="362"/>
    <w:bookmarkStart w:id="364"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63">
        <w:r>
          <w:rPr>
            <w:rStyle w:val="Hyperlink"/>
          </w:rPr>
          <w:t xml:space="preserve">10.1017/S0012217317000154</w:t>
        </w:r>
      </w:hyperlink>
    </w:p>
    <w:bookmarkEnd w:id="364"/>
    <w:bookmarkStart w:id="366"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5">
        <w:r>
          <w:rPr>
            <w:rStyle w:val="Hyperlink"/>
          </w:rPr>
          <w:t xml:space="preserve">10.1080/05568641.2017.1364142</w:t>
        </w:r>
      </w:hyperlink>
    </w:p>
    <w:bookmarkEnd w:id="366"/>
    <w:bookmarkStart w:id="367"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7"/>
    <w:bookmarkStart w:id="369"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8">
        <w:r>
          <w:rPr>
            <w:rStyle w:val="Hyperlink"/>
          </w:rPr>
          <w:t xml:space="preserve">10.2307/2184045</w:t>
        </w:r>
      </w:hyperlink>
    </w:p>
    <w:bookmarkEnd w:id="369"/>
    <w:bookmarkStart w:id="371"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70">
        <w:r>
          <w:rPr>
            <w:rStyle w:val="Hyperlink"/>
          </w:rPr>
          <w:t xml:space="preserve">10.1017/cbo9780511625237.009</w:t>
        </w:r>
      </w:hyperlink>
    </w:p>
    <w:bookmarkEnd w:id="371"/>
    <w:bookmarkStart w:id="373"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72">
        <w:r>
          <w:rPr>
            <w:rStyle w:val="Hyperlink"/>
          </w:rPr>
          <w:t xml:space="preserve">10.2307/2185051</w:t>
        </w:r>
      </w:hyperlink>
    </w:p>
    <w:bookmarkEnd w:id="373"/>
    <w:bookmarkStart w:id="375"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4">
        <w:r>
          <w:rPr>
            <w:rStyle w:val="Hyperlink"/>
          </w:rPr>
          <w:t xml:space="preserve">10.1093/mind/xcvii.387.323</w:t>
        </w:r>
      </w:hyperlink>
    </w:p>
    <w:bookmarkEnd w:id="375"/>
    <w:bookmarkStart w:id="377"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6">
        <w:r>
          <w:rPr>
            <w:rStyle w:val="Hyperlink"/>
          </w:rPr>
          <w:t xml:space="preserve">10.1093/mind/105.418.303</w:t>
        </w:r>
      </w:hyperlink>
    </w:p>
    <w:bookmarkEnd w:id="377"/>
    <w:bookmarkStart w:id="378"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8"/>
    <w:bookmarkStart w:id="380"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9">
        <w:r>
          <w:rPr>
            <w:rStyle w:val="Hyperlink"/>
          </w:rPr>
          <w:t xml:space="preserve">10.2307/2296233</w:t>
        </w:r>
      </w:hyperlink>
    </w:p>
    <w:bookmarkEnd w:id="380"/>
    <w:bookmarkStart w:id="382"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81">
        <w:r>
          <w:rPr>
            <w:rStyle w:val="Hyperlink"/>
          </w:rPr>
          <w:t xml:space="preserve">10.1111/phpr.12271</w:t>
        </w:r>
      </w:hyperlink>
    </w:p>
    <w:bookmarkEnd w:id="382"/>
    <w:bookmarkStart w:id="383"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83"/>
    <w:bookmarkStart w:id="385"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4">
        <w:r>
          <w:rPr>
            <w:rStyle w:val="Hyperlink"/>
          </w:rPr>
          <w:t xml:space="preserve">10.1086/392759</w:t>
        </w:r>
      </w:hyperlink>
    </w:p>
    <w:bookmarkEnd w:id="385"/>
    <w:bookmarkStart w:id="387"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6">
        <w:r>
          <w:rPr>
            <w:rStyle w:val="Hyperlink"/>
          </w:rPr>
          <w:t xml:space="preserve">10.1086/289906</w:t>
        </w:r>
      </w:hyperlink>
    </w:p>
    <w:bookmarkEnd w:id="387"/>
    <w:bookmarkStart w:id="388"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8"/>
    <w:bookmarkStart w:id="390"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9">
        <w:r>
          <w:rPr>
            <w:rStyle w:val="Hyperlink"/>
          </w:rPr>
          <w:t xml:space="preserve">10.1007/s11098-010-9542-z</w:t>
        </w:r>
      </w:hyperlink>
    </w:p>
    <w:bookmarkEnd w:id="390"/>
    <w:bookmarkStart w:id="392"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91">
        <w:r>
          <w:rPr>
            <w:rStyle w:val="Hyperlink"/>
          </w:rPr>
          <w:t xml:space="preserve">10.1215/00318108-3878483</w:t>
        </w:r>
      </w:hyperlink>
    </w:p>
    <w:bookmarkEnd w:id="392"/>
    <w:bookmarkStart w:id="394"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93">
        <w:r>
          <w:rPr>
            <w:rStyle w:val="Hyperlink"/>
          </w:rPr>
          <w:t xml:space="preserve">10.1007/s10734-010-9309-7</w:t>
        </w:r>
      </w:hyperlink>
    </w:p>
    <w:bookmarkEnd w:id="394"/>
    <w:bookmarkStart w:id="396"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5">
        <w:r>
          <w:rPr>
            <w:rStyle w:val="Hyperlink"/>
          </w:rPr>
          <w:t xml:space="preserve">10.1007/s11238-017-9592-1</w:t>
        </w:r>
      </w:hyperlink>
    </w:p>
    <w:bookmarkEnd w:id="396"/>
    <w:bookmarkStart w:id="398"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7">
        <w:r>
          <w:rPr>
            <w:rStyle w:val="Hyperlink"/>
          </w:rPr>
          <w:t xml:space="preserve">10.1111/nous.12323</w:t>
        </w:r>
      </w:hyperlink>
    </w:p>
    <w:bookmarkEnd w:id="398"/>
    <w:bookmarkStart w:id="399"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9"/>
    <w:bookmarkStart w:id="400"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400"/>
    <w:bookmarkStart w:id="401"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401"/>
    <w:bookmarkStart w:id="403"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402">
        <w:r>
          <w:rPr>
            <w:rStyle w:val="Hyperlink"/>
          </w:rPr>
          <w:t xml:space="preserve">10.1111/j.1520-8583.2010.00198.x</w:t>
        </w:r>
      </w:hyperlink>
    </w:p>
    <w:bookmarkEnd w:id="403"/>
    <w:bookmarkStart w:id="405"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4">
        <w:r>
          <w:rPr>
            <w:rStyle w:val="Hyperlink"/>
          </w:rPr>
          <w:t xml:space="preserve">10.1080/0020174X.2013.775014</w:t>
        </w:r>
      </w:hyperlink>
    </w:p>
    <w:bookmarkEnd w:id="405"/>
    <w:bookmarkStart w:id="406"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6"/>
    <w:bookmarkStart w:id="408"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7">
        <w:r>
          <w:rPr>
            <w:rStyle w:val="Hyperlink"/>
          </w:rPr>
          <w:t xml:space="preserve">10.1111/phpr.12431</w:t>
        </w:r>
      </w:hyperlink>
    </w:p>
    <w:bookmarkEnd w:id="408"/>
    <w:bookmarkStart w:id="410"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9">
        <w:r>
          <w:rPr>
            <w:rStyle w:val="Hyperlink"/>
          </w:rPr>
          <w:t xml:space="preserve">10.1111/j.1933-1592.2007.00069.x</w:t>
        </w:r>
      </w:hyperlink>
    </w:p>
    <w:bookmarkEnd w:id="410"/>
    <w:bookmarkStart w:id="412"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11">
        <w:r>
          <w:rPr>
            <w:rStyle w:val="Hyperlink"/>
          </w:rPr>
          <w:t xml:space="preserve">10.1037/pspp0000141</w:t>
        </w:r>
      </w:hyperlink>
    </w:p>
    <w:bookmarkEnd w:id="412"/>
    <w:bookmarkStart w:id="414"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3">
        <w:r>
          <w:rPr>
            <w:rStyle w:val="Hyperlink"/>
          </w:rPr>
          <w:t xml:space="preserve">10.1016/j.shpsb.2009.08.008</w:t>
        </w:r>
      </w:hyperlink>
    </w:p>
    <w:bookmarkEnd w:id="414"/>
    <w:bookmarkStart w:id="415" w:name="ref-Nozick1981"/>
    <w:p>
      <w:pPr>
        <w:pStyle w:val="Bibliography"/>
      </w:pPr>
      <w:r>
        <w:t xml:space="preserve">Nozick, Robert. (1981).</w:t>
      </w:r>
      <w:r>
        <w:t xml:space="preserve"> </w:t>
      </w:r>
      <w:r>
        <w:rPr>
          <w:iCs/>
          <w:i/>
        </w:rPr>
        <w:t xml:space="preserve">Philosophical explorations</w:t>
      </w:r>
      <w:r>
        <w:t xml:space="preserve">. Harvard University Press.</w:t>
      </w:r>
    </w:p>
    <w:bookmarkEnd w:id="415"/>
    <w:bookmarkStart w:id="416"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6"/>
    <w:bookmarkStart w:id="417"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7"/>
    <w:bookmarkStart w:id="419"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8">
        <w:r>
          <w:rPr>
            <w:rStyle w:val="Hyperlink"/>
          </w:rPr>
          <w:t xml:space="preserve">10.1016/j.mathsocsci.2013.08.005</w:t>
        </w:r>
      </w:hyperlink>
    </w:p>
    <w:bookmarkEnd w:id="419"/>
    <w:bookmarkStart w:id="420"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20"/>
    <w:bookmarkStart w:id="422" w:name="ref-Pearce1983"/>
    <w:p>
      <w:pPr>
        <w:pStyle w:val="Bibliography"/>
      </w:pPr>
      <w:r>
        <w:t xml:space="preserve">Pearce, David G. (1983). A problem with single valued solution concepts. Retrieved from</w:t>
      </w:r>
      <w:r>
        <w:t xml:space="preserve"> </w:t>
      </w:r>
      <w:hyperlink r:id="rId421">
        <w:r>
          <w:rPr>
            <w:rStyle w:val="Hyperlink"/>
          </w:rPr>
          <w:t xml:space="preserve">https://sites.google.com/a/nyu.edu/davidpearce/</w:t>
        </w:r>
      </w:hyperlink>
    </w:p>
    <w:bookmarkEnd w:id="422"/>
    <w:bookmarkStart w:id="423"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3"/>
    <w:bookmarkStart w:id="425"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4">
        <w:r>
          <w:rPr>
            <w:rStyle w:val="Hyperlink"/>
          </w:rPr>
          <w:t xml:space="preserve">10.1111/j.1533-6077.2004.00034.x</w:t>
        </w:r>
      </w:hyperlink>
    </w:p>
    <w:bookmarkEnd w:id="425"/>
    <w:bookmarkStart w:id="427"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6">
        <w:r>
          <w:rPr>
            <w:rStyle w:val="Hyperlink"/>
          </w:rPr>
          <w:t xml:space="preserve">10.1016/0167-2681(82)90008-7</w:t>
        </w:r>
      </w:hyperlink>
    </w:p>
    <w:bookmarkEnd w:id="427"/>
    <w:bookmarkStart w:id="429"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8">
        <w:r>
          <w:rPr>
            <w:rStyle w:val="Hyperlink"/>
          </w:rPr>
          <w:t xml:space="preserve">https://plato.stanford.edu/archives/spr2018/entries/public-reason/</w:t>
        </w:r>
      </w:hyperlink>
      <w:r>
        <w:t xml:space="preserve">; Metaphysics Research Lab, Stanford University.</w:t>
      </w:r>
    </w:p>
    <w:bookmarkEnd w:id="429"/>
    <w:bookmarkStart w:id="430"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30"/>
    <w:bookmarkStart w:id="431"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31"/>
    <w:bookmarkStart w:id="433"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32">
        <w:r>
          <w:rPr>
            <w:rStyle w:val="Hyperlink"/>
          </w:rPr>
          <w:t xml:space="preserve">10.1257/aer.101.2.900</w:t>
        </w:r>
      </w:hyperlink>
    </w:p>
    <w:bookmarkEnd w:id="433"/>
    <w:bookmarkStart w:id="435"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4">
        <w:r>
          <w:rPr>
            <w:rStyle w:val="Hyperlink"/>
          </w:rPr>
          <w:t xml:space="preserve">10.1080/00048408412341601</w:t>
        </w:r>
      </w:hyperlink>
    </w:p>
    <w:bookmarkEnd w:id="435"/>
    <w:bookmarkStart w:id="437"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6">
        <w:r>
          <w:rPr>
            <w:rStyle w:val="Hyperlink"/>
          </w:rPr>
          <w:t xml:space="preserve">10.3765/sp.5.6</w:t>
        </w:r>
      </w:hyperlink>
    </w:p>
    <w:bookmarkEnd w:id="437"/>
    <w:bookmarkStart w:id="439"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8">
        <w:r>
          <w:rPr>
            <w:rStyle w:val="Hyperlink"/>
          </w:rPr>
          <w:t xml:space="preserve">10.1111/j.1933-1592.2011.00552.x</w:t>
        </w:r>
      </w:hyperlink>
    </w:p>
    <w:bookmarkEnd w:id="439"/>
    <w:bookmarkStart w:id="440"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40"/>
    <w:bookmarkStart w:id="442"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41">
        <w:r>
          <w:rPr>
            <w:rStyle w:val="Hyperlink"/>
          </w:rPr>
          <w:t xml:space="preserve">10.1080/00048400802001996</w:t>
        </w:r>
      </w:hyperlink>
    </w:p>
    <w:bookmarkEnd w:id="442"/>
    <w:bookmarkStart w:id="444"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3">
        <w:r>
          <w:rPr>
            <w:rStyle w:val="Hyperlink"/>
          </w:rPr>
          <w:t xml:space="preserve">10.1016/S0004-3702(97)00026-X</w:t>
        </w:r>
      </w:hyperlink>
    </w:p>
    <w:bookmarkEnd w:id="444"/>
    <w:bookmarkStart w:id="446"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5">
        <w:r>
          <w:rPr>
            <w:rStyle w:val="Hyperlink"/>
          </w:rPr>
          <w:t xml:space="preserve">10.1086/288168</w:t>
        </w:r>
      </w:hyperlink>
    </w:p>
    <w:bookmarkEnd w:id="446"/>
    <w:bookmarkStart w:id="448"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7">
        <w:r>
          <w:rPr>
            <w:rStyle w:val="Hyperlink"/>
          </w:rPr>
          <w:t xml:space="preserve">10.1086/651235</w:t>
        </w:r>
      </w:hyperlink>
    </w:p>
    <w:bookmarkEnd w:id="448"/>
    <w:bookmarkStart w:id="450"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9">
        <w:r>
          <w:rPr>
            <w:rStyle w:val="Hyperlink"/>
          </w:rPr>
          <w:t xml:space="preserve">10.1111/phib.12314</w:t>
        </w:r>
      </w:hyperlink>
    </w:p>
    <w:bookmarkEnd w:id="450"/>
    <w:bookmarkStart w:id="452"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51">
        <w:r>
          <w:rPr>
            <w:rStyle w:val="Hyperlink"/>
          </w:rPr>
          <w:t xml:space="preserve">10.1111/nous.12006</w:t>
        </w:r>
      </w:hyperlink>
    </w:p>
    <w:bookmarkEnd w:id="452"/>
    <w:bookmarkStart w:id="454"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3">
        <w:r>
          <w:rPr>
            <w:rStyle w:val="Hyperlink"/>
          </w:rPr>
          <w:t xml:space="preserve">10.1007/s11098-008-9200-x</w:t>
        </w:r>
      </w:hyperlink>
    </w:p>
    <w:bookmarkEnd w:id="454"/>
    <w:bookmarkStart w:id="456"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5">
        <w:r>
          <w:rPr>
            <w:rStyle w:val="Hyperlink"/>
          </w:rPr>
          <w:t xml:space="preserve">10.1007/s11098-011-9718-1</w:t>
        </w:r>
      </w:hyperlink>
    </w:p>
    <w:bookmarkEnd w:id="456"/>
    <w:bookmarkStart w:id="457"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7"/>
    <w:bookmarkStart w:id="459"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8">
        <w:r>
          <w:rPr>
            <w:rStyle w:val="Hyperlink"/>
          </w:rPr>
          <w:t xml:space="preserve">10.1037/0022-3514.83.5.1178</w:t>
        </w:r>
      </w:hyperlink>
    </w:p>
    <w:bookmarkEnd w:id="459"/>
    <w:bookmarkStart w:id="461"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60">
        <w:r>
          <w:rPr>
            <w:rStyle w:val="Hyperlink"/>
          </w:rPr>
          <w:t xml:space="preserve">10.1215/00318108-2007-037</w:t>
        </w:r>
      </w:hyperlink>
    </w:p>
    <w:bookmarkEnd w:id="461"/>
    <w:bookmarkStart w:id="463"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62">
        <w:r>
          <w:rPr>
            <w:rStyle w:val="Hyperlink"/>
          </w:rPr>
          <w:t xml:space="preserve">10.2307/3218711</w:t>
        </w:r>
      </w:hyperlink>
    </w:p>
    <w:bookmarkEnd w:id="463"/>
    <w:bookmarkStart w:id="465"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64">
        <w:r>
          <w:rPr>
            <w:rStyle w:val="Hyperlink"/>
          </w:rPr>
          <w:t xml:space="preserve">10.1111/0029-4624.33.s13.7</w:t>
        </w:r>
      </w:hyperlink>
    </w:p>
    <w:bookmarkEnd w:id="465"/>
    <w:bookmarkStart w:id="467"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6">
        <w:r>
          <w:rPr>
            <w:rStyle w:val="Hyperlink"/>
          </w:rPr>
          <w:t xml:space="preserve">10.1111/j.1468-0017.2010.01394.x</w:t>
        </w:r>
      </w:hyperlink>
    </w:p>
    <w:bookmarkEnd w:id="467"/>
    <w:bookmarkStart w:id="469"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8">
        <w:r>
          <w:rPr>
            <w:rStyle w:val="Hyperlink"/>
          </w:rPr>
          <w:t xml:space="preserve">10.1111/nous.12254</w:t>
        </w:r>
      </w:hyperlink>
    </w:p>
    <w:bookmarkEnd w:id="469"/>
    <w:bookmarkStart w:id="471"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70">
        <w:r>
          <w:rPr>
            <w:rStyle w:val="Hyperlink"/>
          </w:rPr>
          <w:t xml:space="preserve">10.1007/bf02379021</w:t>
        </w:r>
      </w:hyperlink>
    </w:p>
    <w:bookmarkEnd w:id="471"/>
    <w:bookmarkStart w:id="472" w:name="ref-Stalnaker1984"/>
    <w:p>
      <w:pPr>
        <w:pStyle w:val="Bibliography"/>
      </w:pPr>
      <w:r>
        <w:t xml:space="preserve">Stalnaker, Robert. (1984).</w:t>
      </w:r>
      <w:r>
        <w:t xml:space="preserve"> </w:t>
      </w:r>
      <w:r>
        <w:rPr>
          <w:iCs/>
          <w:i/>
        </w:rPr>
        <w:t xml:space="preserve">Inquiry</w:t>
      </w:r>
      <w:r>
        <w:t xml:space="preserve">. MIT Press.</w:t>
      </w:r>
    </w:p>
    <w:bookmarkEnd w:id="472"/>
    <w:bookmarkStart w:id="474"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73">
        <w:r>
          <w:rPr>
            <w:rStyle w:val="Hyperlink"/>
          </w:rPr>
          <w:t xml:space="preserve">10.1007/BF01079205</w:t>
        </w:r>
      </w:hyperlink>
    </w:p>
    <w:bookmarkEnd w:id="474"/>
    <w:bookmarkStart w:id="476"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5">
        <w:r>
          <w:rPr>
            <w:rStyle w:val="Hyperlink"/>
          </w:rPr>
          <w:t xml:space="preserve">10.1017/S0266267100004132</w:t>
        </w:r>
      </w:hyperlink>
    </w:p>
    <w:bookmarkEnd w:id="476"/>
    <w:bookmarkStart w:id="478"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7">
        <w:r>
          <w:rPr>
            <w:rStyle w:val="Hyperlink"/>
          </w:rPr>
          <w:t xml:space="preserve">10.1016/S0165-4896(98)00007-9</w:t>
        </w:r>
      </w:hyperlink>
    </w:p>
    <w:bookmarkEnd w:id="478"/>
    <w:bookmarkStart w:id="480"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9">
        <w:r>
          <w:rPr>
            <w:rStyle w:val="Hyperlink"/>
          </w:rPr>
          <w:t xml:space="preserve">10.1006/reec.1999.0200</w:t>
        </w:r>
      </w:hyperlink>
    </w:p>
    <w:bookmarkEnd w:id="480"/>
    <w:bookmarkStart w:id="481"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81"/>
    <w:bookmarkStart w:id="482" w:name="ref-Stanley2011"/>
    <w:p>
      <w:pPr>
        <w:pStyle w:val="Bibliography"/>
      </w:pPr>
      <w:r>
        <w:t xml:space="preserve">Stanley, Jason. (2011).</w:t>
      </w:r>
      <w:r>
        <w:t xml:space="preserve"> </w:t>
      </w:r>
      <w:r>
        <w:rPr>
          <w:iCs/>
          <w:i/>
        </w:rPr>
        <w:t xml:space="preserve">Know how</w:t>
      </w:r>
      <w:r>
        <w:t xml:space="preserve">. Oxford University Press.</w:t>
      </w:r>
    </w:p>
    <w:bookmarkEnd w:id="482"/>
    <w:bookmarkStart w:id="484"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83">
        <w:r>
          <w:rPr>
            <w:rStyle w:val="Hyperlink"/>
          </w:rPr>
          <w:t xml:space="preserve">10.1111/phib.12283</w:t>
        </w:r>
      </w:hyperlink>
    </w:p>
    <w:bookmarkEnd w:id="484"/>
    <w:bookmarkStart w:id="485"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5"/>
    <w:bookmarkStart w:id="487"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6">
        <w:r>
          <w:rPr>
            <w:rStyle w:val="Hyperlink"/>
          </w:rPr>
          <w:t xml:space="preserve">10.1111/phpr.12191</w:t>
        </w:r>
      </w:hyperlink>
    </w:p>
    <w:bookmarkEnd w:id="487"/>
    <w:bookmarkStart w:id="488"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8"/>
    <w:bookmarkStart w:id="490"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9">
        <w:r>
          <w:rPr>
            <w:rStyle w:val="Hyperlink"/>
          </w:rPr>
          <w:t xml:space="preserve">10.1111/j.1520-8583.2005.00068.x</w:t>
        </w:r>
      </w:hyperlink>
    </w:p>
    <w:bookmarkEnd w:id="490"/>
    <w:bookmarkStart w:id="492"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91">
        <w:r>
          <w:rPr>
            <w:rStyle w:val="Hyperlink"/>
          </w:rPr>
          <w:t xml:space="preserve">10.1007/s11098-004-5218-x</w:t>
        </w:r>
      </w:hyperlink>
    </w:p>
    <w:bookmarkEnd w:id="492"/>
    <w:bookmarkStart w:id="494"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93">
        <w:r>
          <w:rPr>
            <w:rStyle w:val="Hyperlink"/>
          </w:rPr>
          <w:t xml:space="preserve">10.5840/logos-episteme2011248</w:t>
        </w:r>
      </w:hyperlink>
    </w:p>
    <w:bookmarkEnd w:id="494"/>
    <w:bookmarkStart w:id="495"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5"/>
    <w:bookmarkStart w:id="497"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6">
        <w:r>
          <w:rPr>
            <w:rStyle w:val="Hyperlink"/>
          </w:rPr>
          <w:t xml:space="preserve">10.1111/phpr.12088</w:t>
        </w:r>
      </w:hyperlink>
    </w:p>
    <w:bookmarkEnd w:id="497"/>
    <w:bookmarkStart w:id="498"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8"/>
    <w:bookmarkStart w:id="499"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9"/>
    <w:bookmarkStart w:id="500"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500"/>
    <w:bookmarkStart w:id="501" w:name="ref-Weatherson2019"/>
    <w:p>
      <w:pPr>
        <w:pStyle w:val="Bibliography"/>
      </w:pPr>
      <w:r>
        <w:t xml:space="preserve">Weatherson, Brian. (2019).</w:t>
      </w:r>
      <w:r>
        <w:t xml:space="preserve"> </w:t>
      </w:r>
      <w:r>
        <w:rPr>
          <w:iCs/>
          <w:i/>
        </w:rPr>
        <w:t xml:space="preserve">Normative externalism</w:t>
      </w:r>
      <w:r>
        <w:t xml:space="preserve">. Oxford University Press.</w:t>
      </w:r>
    </w:p>
    <w:bookmarkEnd w:id="501"/>
    <w:bookmarkStart w:id="503"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502">
        <w:r>
          <w:rPr>
            <w:rStyle w:val="Hyperlink"/>
          </w:rPr>
          <w:t xml:space="preserve">10.1111/j.1933-1592.2010.00448.x</w:t>
        </w:r>
      </w:hyperlink>
    </w:p>
    <w:bookmarkEnd w:id="503"/>
    <w:bookmarkStart w:id="505"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4">
        <w:r>
          <w:rPr>
            <w:rStyle w:val="Hyperlink"/>
          </w:rPr>
          <w:t xml:space="preserve">2027/spo.3521354.0013.022</w:t>
        </w:r>
      </w:hyperlink>
    </w:p>
    <w:bookmarkEnd w:id="505"/>
    <w:bookmarkStart w:id="506"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6"/>
    <w:bookmarkStart w:id="508"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7">
        <w:r>
          <w:rPr>
            <w:rStyle w:val="Hyperlink"/>
          </w:rPr>
          <w:t xml:space="preserve">10.1111/j.1520-8583.2005.00069.x</w:t>
        </w:r>
      </w:hyperlink>
    </w:p>
    <w:bookmarkEnd w:id="508"/>
    <w:bookmarkStart w:id="509"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9"/>
    <w:bookmarkStart w:id="510" w:name="ref-Williamson1994"/>
    <w:p>
      <w:pPr>
        <w:pStyle w:val="Bibliography"/>
      </w:pPr>
      <w:r>
        <w:t xml:space="preserve">Williamson, Timothy. (1994).</w:t>
      </w:r>
      <w:r>
        <w:t xml:space="preserve"> </w:t>
      </w:r>
      <w:r>
        <w:rPr>
          <w:iCs/>
          <w:i/>
        </w:rPr>
        <w:t xml:space="preserve">Vagueness</w:t>
      </w:r>
      <w:r>
        <w:t xml:space="preserve">. Routledge.</w:t>
      </w:r>
    </w:p>
    <w:bookmarkEnd w:id="510"/>
    <w:bookmarkStart w:id="511"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11"/>
    <w:bookmarkStart w:id="513"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12">
        <w:r>
          <w:rPr>
            <w:rStyle w:val="Hyperlink"/>
          </w:rPr>
          <w:t xml:space="preserve">10.1111/j.0031-8094.2005.00396.x</w:t>
        </w:r>
      </w:hyperlink>
    </w:p>
    <w:bookmarkEnd w:id="513"/>
    <w:bookmarkStart w:id="515"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4">
        <w:r>
          <w:rPr>
            <w:rStyle w:val="Hyperlink"/>
          </w:rPr>
          <w:t xml:space="preserve">10.1111/j.1467-8284.2007.00671.x</w:t>
        </w:r>
      </w:hyperlink>
    </w:p>
    <w:bookmarkEnd w:id="515"/>
    <w:bookmarkStart w:id="517"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6">
        <w:r>
          <w:rPr>
            <w:rStyle w:val="Hyperlink"/>
          </w:rPr>
          <w:t xml:space="preserve">10.1080/0020174X.2013.775010</w:t>
        </w:r>
      </w:hyperlink>
    </w:p>
    <w:bookmarkEnd w:id="517"/>
    <w:bookmarkStart w:id="518"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8"/>
    <w:bookmarkStart w:id="519" w:name="ref-Wittgenstein1953"/>
    <w:p>
      <w:pPr>
        <w:pStyle w:val="Bibliography"/>
      </w:pPr>
      <w:r>
        <w:t xml:space="preserve">Wittgenstein, Ludwig. (1953).</w:t>
      </w:r>
      <w:r>
        <w:t xml:space="preserve"> </w:t>
      </w:r>
      <w:r>
        <w:rPr>
          <w:iCs/>
          <w:i/>
        </w:rPr>
        <w:t xml:space="preserve">Philosophical investigations</w:t>
      </w:r>
      <w:r>
        <w:t xml:space="preserve">. Macmillan.</w:t>
      </w:r>
    </w:p>
    <w:bookmarkEnd w:id="519"/>
    <w:bookmarkStart w:id="520" w:name="ref-Woodard2021"/>
    <w:p>
      <w:pPr>
        <w:pStyle w:val="Bibliography"/>
      </w:pPr>
      <w:r>
        <w:t xml:space="preserve">Woodard, Elise. (2020).</w:t>
      </w:r>
      <w:r>
        <w:t xml:space="preserve"> </w:t>
      </w:r>
      <w:r>
        <w:rPr>
          <w:iCs/>
          <w:i/>
        </w:rPr>
        <w:t xml:space="preserve">Why double-check</w:t>
      </w:r>
      <w:r>
        <w:t xml:space="preserve">.</w:t>
      </w:r>
    </w:p>
    <w:bookmarkEnd w:id="520"/>
    <w:bookmarkStart w:id="522"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21">
        <w:r>
          <w:rPr>
            <w:rStyle w:val="Hyperlink"/>
          </w:rPr>
          <w:t xml:space="preserve">10.1111/j.1933-1592.2002.tb00205.x</w:t>
        </w:r>
      </w:hyperlink>
    </w:p>
    <w:bookmarkEnd w:id="522"/>
    <w:bookmarkStart w:id="523"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3"/>
    <w:bookmarkStart w:id="525"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4">
        <w:r>
          <w:rPr>
            <w:rStyle w:val="Hyperlink"/>
          </w:rPr>
          <w:t xml:space="preserve">10.1017/epi.2023.22</w:t>
        </w:r>
      </w:hyperlink>
    </w:p>
    <w:bookmarkEnd w:id="525"/>
    <w:bookmarkStart w:id="527"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6">
        <w:r>
          <w:rPr>
            <w:rStyle w:val="Hyperlink"/>
          </w:rPr>
          <w:t xml:space="preserve">10.1111/phpr.12330</w:t>
        </w:r>
      </w:hyperlink>
    </w:p>
    <w:bookmarkEnd w:id="527"/>
    <w:bookmarkStart w:id="528"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8"/>
    <w:bookmarkStart w:id="530"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9">
        <w:r>
          <w:rPr>
            <w:rStyle w:val="Hyperlink"/>
          </w:rPr>
          <w:t xml:space="preserve">10.1007/s10670-022-00626-7</w:t>
        </w:r>
      </w:hyperlink>
    </w:p>
    <w:bookmarkEnd w:id="530"/>
    <w:bookmarkStart w:id="532"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31">
        <w:r>
          <w:rPr>
            <w:rStyle w:val="Hyperlink"/>
          </w:rPr>
          <w:t xml:space="preserve">10.1007/s11098-016-0631-5</w:t>
        </w:r>
      </w:hyperlink>
    </w:p>
    <w:bookmarkEnd w:id="532"/>
    <w:bookmarkEnd w:id="533"/>
    <w:bookmarkEnd w:id="534"/>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8">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5">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7">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4">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6">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7">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59">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4">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7">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1">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3">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8">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4">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6">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7">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8">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89">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1">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4">
    <w:p>
      <w:pPr>
        <w:pStyle w:val="FootnoteText"/>
      </w:pPr>
      <w:r>
        <w:rPr>
          <w:rStyle w:val="FootnoteReference"/>
        </w:rPr>
        <w:footnoteRef/>
      </w:r>
      <w:r>
        <w:t xml:space="preserve"> </w:t>
      </w:r>
      <w:r>
        <w:t xml:space="preserve">I’m indebted here to conversations with Eric Swanson.</w:t>
      </w:r>
    </w:p>
  </w:footnote>
  <w:footnote w:id="103">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4">
    <w:p>
      <w:pPr>
        <w:pStyle w:val="FootnoteText"/>
      </w:pPr>
      <w:r>
        <w:rPr>
          <w:rStyle w:val="FootnoteReference"/>
        </w:rPr>
        <w:footnoteRef/>
      </w:r>
      <w:r>
        <w:t xml:space="preserve"> </w:t>
      </w:r>
      <w:r>
        <w:t xml:space="preserve">As it turns out, that’s 1,000,003.</w:t>
      </w:r>
    </w:p>
  </w:footnote>
  <w:footnote w:id="105">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6">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08">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0">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1">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6">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7">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8">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2">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6">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0">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2">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3">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subject to criticism on the grounds that</w:t>
      </w:r>
      <w:r>
        <w:t xml:space="preserve"> </w:t>
      </w:r>
      <w:r>
        <w:rPr>
          <w:iCs/>
          <w:i/>
        </w:rPr>
        <w:t xml:space="preserve">p</w:t>
      </w:r>
      <w:r>
        <w:t xml:space="preserve"> </w:t>
      </w:r>
      <w:r>
        <w:t xml:space="preserve">might be false. I’ll use the more informal version in the text in what follows to increase readability.</w:t>
      </w:r>
    </w:p>
  </w:footnote>
  <w:footnote w:id="141">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2">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4">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7">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48">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0">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3">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5">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5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68">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69">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2">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4">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1">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0">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3">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0">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1">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09">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3">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4">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5">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9" Target="https://doi.org/10.1006/reec.1999.0200" TargetMode="External" /><Relationship Type="http://schemas.openxmlformats.org/officeDocument/2006/relationships/hyperlink" Id="rId312" Target="https://doi.org/10.1007/BF00183199" TargetMode="External" /><Relationship Type="http://schemas.openxmlformats.org/officeDocument/2006/relationships/hyperlink" Id="rId332" Target="https://doi.org/10.1007/BF00293423" TargetMode="External" /><Relationship Type="http://schemas.openxmlformats.org/officeDocument/2006/relationships/hyperlink" Id="rId473" Target="https://doi.org/10.1007/BF01079205" TargetMode="External" /><Relationship Type="http://schemas.openxmlformats.org/officeDocument/2006/relationships/hyperlink" Id="rId470" Target="https://doi.org/10.1007/bf02379021" TargetMode="External" /><Relationship Type="http://schemas.openxmlformats.org/officeDocument/2006/relationships/hyperlink" Id="rId224" Target="https://doi.org/10.1007/s001820050111" TargetMode="External" /><Relationship Type="http://schemas.openxmlformats.org/officeDocument/2006/relationships/hyperlink" Id="rId529" Target="https://doi.org/10.1007/s10670-022-00626-7" TargetMode="External" /><Relationship Type="http://schemas.openxmlformats.org/officeDocument/2006/relationships/hyperlink" Id="rId393" Target="https://doi.org/10.1007/s10734-010-9309-7" TargetMode="External" /><Relationship Type="http://schemas.openxmlformats.org/officeDocument/2006/relationships/hyperlink" Id="rId491" Target="https://doi.org/10.1007/s11098-004-5218-x" TargetMode="External" /><Relationship Type="http://schemas.openxmlformats.org/officeDocument/2006/relationships/hyperlink" Id="rId302" Target="https://doi.org/10.1007/s11098-005-7779-8" TargetMode="External" /><Relationship Type="http://schemas.openxmlformats.org/officeDocument/2006/relationships/hyperlink" Id="rId297" Target="https://doi.org/10.1007/s11098-007-9133-9" TargetMode="External" /><Relationship Type="http://schemas.openxmlformats.org/officeDocument/2006/relationships/hyperlink" Id="rId453" Target="https://doi.org/10.1007/s11098-008-9200-x" TargetMode="External" /><Relationship Type="http://schemas.openxmlformats.org/officeDocument/2006/relationships/hyperlink" Id="rId277" Target="https://doi.org/10.1007/s11098-008-9225-1" TargetMode="External" /><Relationship Type="http://schemas.openxmlformats.org/officeDocument/2006/relationships/hyperlink" Id="rId389" Target="https://doi.org/10.1007/s11098-010-9542-z" TargetMode="External" /><Relationship Type="http://schemas.openxmlformats.org/officeDocument/2006/relationships/hyperlink" Id="rId455" Target="https://doi.org/10.1007/s11098-011-9718-1" TargetMode="External" /><Relationship Type="http://schemas.openxmlformats.org/officeDocument/2006/relationships/hyperlink" Id="rId322" Target="https://doi.org/10.1007/s11098-012-9880-0" TargetMode="External" /><Relationship Type="http://schemas.openxmlformats.org/officeDocument/2006/relationships/hyperlink" Id="rId275" Target="https://doi.org/10.1007/s11098-015-0461-x" TargetMode="External" /><Relationship Type="http://schemas.openxmlformats.org/officeDocument/2006/relationships/hyperlink" Id="rId317" Target="https://doi.org/10.1007/s11098-015-0553-7" TargetMode="External" /><Relationship Type="http://schemas.openxmlformats.org/officeDocument/2006/relationships/hyperlink" Id="rId531"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5" Target="https://doi.org/10.1007/s11238-017-9592-1" TargetMode="External" /><Relationship Type="http://schemas.openxmlformats.org/officeDocument/2006/relationships/hyperlink" Id="rId346" Target="https://doi.org/10.1007/s44204-023-00097-9" TargetMode="External" /><Relationship Type="http://schemas.openxmlformats.org/officeDocument/2006/relationships/hyperlink" Id="rId426" Target="https://doi.org/10.1016/0167-2681(82)90008-7" TargetMode="External" /><Relationship Type="http://schemas.openxmlformats.org/officeDocument/2006/relationships/hyperlink" Id="rId443" Target="https://doi.org/10.1016/S0004-3702(97)00026-X" TargetMode="External" /><Relationship Type="http://schemas.openxmlformats.org/officeDocument/2006/relationships/hyperlink" Id="rId477"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18" Target="https://doi.org/10.1016/j.mathsocsci.2013.08.005" TargetMode="External" /><Relationship Type="http://schemas.openxmlformats.org/officeDocument/2006/relationships/hyperlink" Id="rId413" Target="https://doi.org/10.1016/j.shpsb.2009.08.008" TargetMode="External" /><Relationship Type="http://schemas.openxmlformats.org/officeDocument/2006/relationships/hyperlink" Id="rId363" Target="https://doi.org/10.1017/S0012217317000154" TargetMode="External" /><Relationship Type="http://schemas.openxmlformats.org/officeDocument/2006/relationships/hyperlink" Id="rId475" Target="https://doi.org/10.1017/S0266267100004132" TargetMode="External" /><Relationship Type="http://schemas.openxmlformats.org/officeDocument/2006/relationships/hyperlink" Id="rId370" Target="https://doi.org/10.1017/cbo9780511625237.009" TargetMode="External" /><Relationship Type="http://schemas.openxmlformats.org/officeDocument/2006/relationships/hyperlink" Id="rId524" Target="https://doi.org/10.1017/epi.2023.22" TargetMode="External" /><Relationship Type="http://schemas.openxmlformats.org/officeDocument/2006/relationships/hyperlink" Id="rId458" Target="https://doi.org/10.1037/0022-3514.83.5.1178" TargetMode="External" /><Relationship Type="http://schemas.openxmlformats.org/officeDocument/2006/relationships/hyperlink" Id="rId411" Target="https://doi.org/10.1037/pspp0000141" TargetMode="External" /><Relationship Type="http://schemas.openxmlformats.org/officeDocument/2006/relationships/hyperlink" Id="rId441" Target="https://doi.org/10.1080/00048400802001996" TargetMode="External" /><Relationship Type="http://schemas.openxmlformats.org/officeDocument/2006/relationships/hyperlink" Id="rId434" Target="https://doi.org/10.1080/00048408412341601" TargetMode="External" /><Relationship Type="http://schemas.openxmlformats.org/officeDocument/2006/relationships/hyperlink" Id="rId516" Target="https://doi.org/10.1080/0020174X.2013.775010" TargetMode="External" /><Relationship Type="http://schemas.openxmlformats.org/officeDocument/2006/relationships/hyperlink" Id="rId404"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5" Target="https://doi.org/10.1080/05568641.2017.1364142" TargetMode="External" /><Relationship Type="http://schemas.openxmlformats.org/officeDocument/2006/relationships/hyperlink" Id="rId445" Target="https://doi.org/10.1086/288168" TargetMode="External" /><Relationship Type="http://schemas.openxmlformats.org/officeDocument/2006/relationships/hyperlink" Id="rId386" Target="https://doi.org/10.1086/289906" TargetMode="External" /><Relationship Type="http://schemas.openxmlformats.org/officeDocument/2006/relationships/hyperlink" Id="rId384" Target="https://doi.org/10.1086/392759" TargetMode="External" /><Relationship Type="http://schemas.openxmlformats.org/officeDocument/2006/relationships/hyperlink" Id="rId326" Target="https://doi.org/10.1086/648610" TargetMode="External" /><Relationship Type="http://schemas.openxmlformats.org/officeDocument/2006/relationships/hyperlink" Id="rId447" Target="https://doi.org/10.1086/651235" TargetMode="External" /><Relationship Type="http://schemas.openxmlformats.org/officeDocument/2006/relationships/hyperlink" Id="rId324" Target="https://doi.org/10.1086/671402" TargetMode="External" /><Relationship Type="http://schemas.openxmlformats.org/officeDocument/2006/relationships/hyperlink" Id="rId280" Target="https://doi.org/10.1093/analys/anab037" TargetMode="External" /><Relationship Type="http://schemas.openxmlformats.org/officeDocument/2006/relationships/hyperlink" Id="rId222" Target="https://doi.org/10.1093/analys/anr083" TargetMode="External" /><Relationship Type="http://schemas.openxmlformats.org/officeDocument/2006/relationships/hyperlink" Id="rId355" Target="https://doi.org/10.1093/analys/anr129" TargetMode="External" /><Relationship Type="http://schemas.openxmlformats.org/officeDocument/2006/relationships/hyperlink" Id="rId376" Target="https://doi.org/10.1093/mind/105.418.303" TargetMode="External" /><Relationship Type="http://schemas.openxmlformats.org/officeDocument/2006/relationships/hyperlink" Id="rId374" Target="https://doi.org/10.1093/mind/xcvii.387.323" TargetMode="External" /><Relationship Type="http://schemas.openxmlformats.org/officeDocument/2006/relationships/hyperlink" Id="rId464"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12" Target="https://doi.org/10.1111/j.0031-8094.2005.00396.x" TargetMode="External" /><Relationship Type="http://schemas.openxmlformats.org/officeDocument/2006/relationships/hyperlink" Id="rId514" Target="https://doi.org/10.1111/j.1467-8284.2007.00671.x" TargetMode="External" /><Relationship Type="http://schemas.openxmlformats.org/officeDocument/2006/relationships/hyperlink" Id="rId337" Target="https://doi.org/10.1111/j.1467-9280.2006.01677.x" TargetMode="External" /><Relationship Type="http://schemas.openxmlformats.org/officeDocument/2006/relationships/hyperlink" Id="rId466"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236" Target="https://doi.org/10.1111/j.1468-0262.2008.00835.x" TargetMode="External" /><Relationship Type="http://schemas.openxmlformats.org/officeDocument/2006/relationships/hyperlink" Id="rId489" Target="https://doi.org/10.1111/j.1520-8583.2005.00068.x" TargetMode="External" /><Relationship Type="http://schemas.openxmlformats.org/officeDocument/2006/relationships/hyperlink" Id="rId507" Target="https://doi.org/10.1111/j.1520-8583.2005.00069.x" TargetMode="External" /><Relationship Type="http://schemas.openxmlformats.org/officeDocument/2006/relationships/hyperlink" Id="rId357" Target="https://doi.org/10.1111/j.1520-8583.2010.00183.x" TargetMode="External" /><Relationship Type="http://schemas.openxmlformats.org/officeDocument/2006/relationships/hyperlink" Id="rId402" Target="https://doi.org/10.1111/j.1520-8583.2010.00198.x" TargetMode="External" /><Relationship Type="http://schemas.openxmlformats.org/officeDocument/2006/relationships/hyperlink" Id="rId424"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21" Target="https://doi.org/10.1111/j.1933-1592.2002.tb00205.x" TargetMode="External" /><Relationship Type="http://schemas.openxmlformats.org/officeDocument/2006/relationships/hyperlink" Id="rId315" Target="https://doi.org/10.1111/j.1933-1592.2005.tb00540.x" TargetMode="External" /><Relationship Type="http://schemas.openxmlformats.org/officeDocument/2006/relationships/hyperlink" Id="rId409"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502" Target="https://doi.org/10.1111/j.1933-1592.2010.00448.x" TargetMode="External" /><Relationship Type="http://schemas.openxmlformats.org/officeDocument/2006/relationships/hyperlink" Id="rId438" Target="https://doi.org/10.1111/j.1933-1592.2011.00552.x" TargetMode="External" /><Relationship Type="http://schemas.openxmlformats.org/officeDocument/2006/relationships/hyperlink" Id="rId348" Target="https://doi.org/10.1111/jere.12070" TargetMode="External" /><Relationship Type="http://schemas.openxmlformats.org/officeDocument/2006/relationships/hyperlink" Id="rId300" Target="https://doi.org/10.1111/mila.12451" TargetMode="External" /><Relationship Type="http://schemas.openxmlformats.org/officeDocument/2006/relationships/hyperlink" Id="rId451" Target="https://doi.org/10.1111/nous.12006" TargetMode="External" /><Relationship Type="http://schemas.openxmlformats.org/officeDocument/2006/relationships/hyperlink" Id="rId286" Target="https://doi.org/10.1111/nous.12137" TargetMode="External" /><Relationship Type="http://schemas.openxmlformats.org/officeDocument/2006/relationships/hyperlink" Id="rId361" Target="https://doi.org/10.1111/nous.12186" TargetMode="External" /><Relationship Type="http://schemas.openxmlformats.org/officeDocument/2006/relationships/hyperlink" Id="rId290" Target="https://doi.org/10.1111/nous.12222" TargetMode="External" /><Relationship Type="http://schemas.openxmlformats.org/officeDocument/2006/relationships/hyperlink" Id="rId468" Target="https://doi.org/10.1111/nous.12254" TargetMode="External" /><Relationship Type="http://schemas.openxmlformats.org/officeDocument/2006/relationships/hyperlink" Id="rId397" Target="https://doi.org/10.1111/nous.12323" TargetMode="External" /><Relationship Type="http://schemas.openxmlformats.org/officeDocument/2006/relationships/hyperlink" Id="rId483" Target="https://doi.org/10.1111/phib.12283" TargetMode="External" /><Relationship Type="http://schemas.openxmlformats.org/officeDocument/2006/relationships/hyperlink" Id="rId449" Target="https://doi.org/10.1111/phib.12314" TargetMode="External" /><Relationship Type="http://schemas.openxmlformats.org/officeDocument/2006/relationships/hyperlink" Id="rId288" Target="https://doi.org/10.1111/phis.12141" TargetMode="External" /><Relationship Type="http://schemas.openxmlformats.org/officeDocument/2006/relationships/hyperlink" Id="rId496" Target="https://doi.org/10.1111/phpr.12088" TargetMode="External" /><Relationship Type="http://schemas.openxmlformats.org/officeDocument/2006/relationships/hyperlink" Id="rId359" Target="https://doi.org/10.1111/phpr.12090" TargetMode="External" /><Relationship Type="http://schemas.openxmlformats.org/officeDocument/2006/relationships/hyperlink" Id="rId486" Target="https://doi.org/10.1111/phpr.12191" TargetMode="External" /><Relationship Type="http://schemas.openxmlformats.org/officeDocument/2006/relationships/hyperlink" Id="rId381" Target="https://doi.org/10.1111/phpr.12271" TargetMode="External" /><Relationship Type="http://schemas.openxmlformats.org/officeDocument/2006/relationships/hyperlink" Id="rId526" Target="https://doi.org/10.1111/phpr.12330" TargetMode="External" /><Relationship Type="http://schemas.openxmlformats.org/officeDocument/2006/relationships/hyperlink" Id="rId407" Target="https://doi.org/10.1111/phpr.12431" TargetMode="External" /><Relationship Type="http://schemas.openxmlformats.org/officeDocument/2006/relationships/hyperlink" Id="rId295" Target="https://doi.org/10.1111/phpr.12982" TargetMode="External" /><Relationship Type="http://schemas.openxmlformats.org/officeDocument/2006/relationships/hyperlink" Id="rId460" Target="https://doi.org/10.1215/00318108-2007-037" TargetMode="External" /><Relationship Type="http://schemas.openxmlformats.org/officeDocument/2006/relationships/hyperlink" Id="rId391" Target="https://doi.org/10.1215/00318108-3878483" TargetMode="External" /><Relationship Type="http://schemas.openxmlformats.org/officeDocument/2006/relationships/hyperlink" Id="rId292" Target="https://doi.org/10.1215/00318108-8540918" TargetMode="External" /><Relationship Type="http://schemas.openxmlformats.org/officeDocument/2006/relationships/hyperlink" Id="rId432"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351" Target="https://doi.org/10.2307/1912320" TargetMode="External" /><Relationship Type="http://schemas.openxmlformats.org/officeDocument/2006/relationships/hyperlink" Id="rId368" Target="https://doi.org/10.2307/2184045" TargetMode="External" /><Relationship Type="http://schemas.openxmlformats.org/officeDocument/2006/relationships/hyperlink" Id="rId372" Target="https://doi.org/10.2307/2185051" TargetMode="External" /><Relationship Type="http://schemas.openxmlformats.org/officeDocument/2006/relationships/hyperlink" Id="rId334" Target="https://doi.org/10.2307/2216304" TargetMode="External" /><Relationship Type="http://schemas.openxmlformats.org/officeDocument/2006/relationships/hyperlink" Id="rId330" Target="https://doi.org/10.2307/2224214" TargetMode="External" /><Relationship Type="http://schemas.openxmlformats.org/officeDocument/2006/relationships/hyperlink" Id="rId343" Target="https://doi.org/10.2307/2224674" TargetMode="External" /><Relationship Type="http://schemas.openxmlformats.org/officeDocument/2006/relationships/hyperlink" Id="rId379"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2"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62" Target="https://doi.org/10.2307/3218711" TargetMode="External" /><Relationship Type="http://schemas.openxmlformats.org/officeDocument/2006/relationships/hyperlink" Id="rId304" Target="https://doi.org/10.2307/3326922" TargetMode="External" /><Relationship Type="http://schemas.openxmlformats.org/officeDocument/2006/relationships/hyperlink" Id="rId307" Target="https://doi.org/10.3765/sp.3.4" TargetMode="External" /><Relationship Type="http://schemas.openxmlformats.org/officeDocument/2006/relationships/hyperlink" Id="rId436" Target="https://doi.org/10.3765/sp.5.6" TargetMode="External" /><Relationship Type="http://schemas.openxmlformats.org/officeDocument/2006/relationships/hyperlink" Id="rId272" Target="https://doi.org/10.3998/ergo.12405314.0002.026" TargetMode="External" /><Relationship Type="http://schemas.openxmlformats.org/officeDocument/2006/relationships/hyperlink" Id="rId320" Target="https://doi.org/10.5840/jphil20081051022" TargetMode="External" /><Relationship Type="http://schemas.openxmlformats.org/officeDocument/2006/relationships/hyperlink" Id="rId493" Target="https://doi.org/10.5840/logos-episteme2011248" TargetMode="External" /><Relationship Type="http://schemas.openxmlformats.org/officeDocument/2006/relationships/hyperlink" Id="rId504" Target="https://doi.org/2027/spo.3521354.0013.022" TargetMode="External" /><Relationship Type="http://schemas.openxmlformats.org/officeDocument/2006/relationships/hyperlink" Id="rId328" Target="https://doi.org/s10992-024-09746-7" TargetMode="External" /><Relationship Type="http://schemas.openxmlformats.org/officeDocument/2006/relationships/hyperlink" Id="rId428"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8" Target="https://plato.stanford.edu/archives/sum2021/entries/philo-larissa/" TargetMode="External" /><Relationship Type="http://schemas.openxmlformats.org/officeDocument/2006/relationships/hyperlink" Id="rId421"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9" Target="https://doi.org/10.1006/reec.1999.0200" TargetMode="External" /><Relationship Type="http://schemas.openxmlformats.org/officeDocument/2006/relationships/hyperlink" Id="rId312" Target="https://doi.org/10.1007/BF00183199" TargetMode="External" /><Relationship Type="http://schemas.openxmlformats.org/officeDocument/2006/relationships/hyperlink" Id="rId332" Target="https://doi.org/10.1007/BF00293423" TargetMode="External" /><Relationship Type="http://schemas.openxmlformats.org/officeDocument/2006/relationships/hyperlink" Id="rId473" Target="https://doi.org/10.1007/BF01079205" TargetMode="External" /><Relationship Type="http://schemas.openxmlformats.org/officeDocument/2006/relationships/hyperlink" Id="rId470" Target="https://doi.org/10.1007/bf02379021" TargetMode="External" /><Relationship Type="http://schemas.openxmlformats.org/officeDocument/2006/relationships/hyperlink" Id="rId224" Target="https://doi.org/10.1007/s001820050111" TargetMode="External" /><Relationship Type="http://schemas.openxmlformats.org/officeDocument/2006/relationships/hyperlink" Id="rId529" Target="https://doi.org/10.1007/s10670-022-00626-7" TargetMode="External" /><Relationship Type="http://schemas.openxmlformats.org/officeDocument/2006/relationships/hyperlink" Id="rId393" Target="https://doi.org/10.1007/s10734-010-9309-7" TargetMode="External" /><Relationship Type="http://schemas.openxmlformats.org/officeDocument/2006/relationships/hyperlink" Id="rId491" Target="https://doi.org/10.1007/s11098-004-5218-x" TargetMode="External" /><Relationship Type="http://schemas.openxmlformats.org/officeDocument/2006/relationships/hyperlink" Id="rId302" Target="https://doi.org/10.1007/s11098-005-7779-8" TargetMode="External" /><Relationship Type="http://schemas.openxmlformats.org/officeDocument/2006/relationships/hyperlink" Id="rId297" Target="https://doi.org/10.1007/s11098-007-9133-9" TargetMode="External" /><Relationship Type="http://schemas.openxmlformats.org/officeDocument/2006/relationships/hyperlink" Id="rId453" Target="https://doi.org/10.1007/s11098-008-9200-x" TargetMode="External" /><Relationship Type="http://schemas.openxmlformats.org/officeDocument/2006/relationships/hyperlink" Id="rId277" Target="https://doi.org/10.1007/s11098-008-9225-1" TargetMode="External" /><Relationship Type="http://schemas.openxmlformats.org/officeDocument/2006/relationships/hyperlink" Id="rId389" Target="https://doi.org/10.1007/s11098-010-9542-z" TargetMode="External" /><Relationship Type="http://schemas.openxmlformats.org/officeDocument/2006/relationships/hyperlink" Id="rId455" Target="https://doi.org/10.1007/s11098-011-9718-1" TargetMode="External" /><Relationship Type="http://schemas.openxmlformats.org/officeDocument/2006/relationships/hyperlink" Id="rId322" Target="https://doi.org/10.1007/s11098-012-9880-0" TargetMode="External" /><Relationship Type="http://schemas.openxmlformats.org/officeDocument/2006/relationships/hyperlink" Id="rId275" Target="https://doi.org/10.1007/s11098-015-0461-x" TargetMode="External" /><Relationship Type="http://schemas.openxmlformats.org/officeDocument/2006/relationships/hyperlink" Id="rId317" Target="https://doi.org/10.1007/s11098-015-0553-7" TargetMode="External" /><Relationship Type="http://schemas.openxmlformats.org/officeDocument/2006/relationships/hyperlink" Id="rId531"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5" Target="https://doi.org/10.1007/s11238-017-9592-1" TargetMode="External" /><Relationship Type="http://schemas.openxmlformats.org/officeDocument/2006/relationships/hyperlink" Id="rId346" Target="https://doi.org/10.1007/s44204-023-00097-9" TargetMode="External" /><Relationship Type="http://schemas.openxmlformats.org/officeDocument/2006/relationships/hyperlink" Id="rId426" Target="https://doi.org/10.1016/0167-2681(82)90008-7" TargetMode="External" /><Relationship Type="http://schemas.openxmlformats.org/officeDocument/2006/relationships/hyperlink" Id="rId443" Target="https://doi.org/10.1016/S0004-3702(97)00026-X" TargetMode="External" /><Relationship Type="http://schemas.openxmlformats.org/officeDocument/2006/relationships/hyperlink" Id="rId477"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18" Target="https://doi.org/10.1016/j.mathsocsci.2013.08.005" TargetMode="External" /><Relationship Type="http://schemas.openxmlformats.org/officeDocument/2006/relationships/hyperlink" Id="rId413" Target="https://doi.org/10.1016/j.shpsb.2009.08.008" TargetMode="External" /><Relationship Type="http://schemas.openxmlformats.org/officeDocument/2006/relationships/hyperlink" Id="rId363" Target="https://doi.org/10.1017/S0012217317000154" TargetMode="External" /><Relationship Type="http://schemas.openxmlformats.org/officeDocument/2006/relationships/hyperlink" Id="rId475" Target="https://doi.org/10.1017/S0266267100004132" TargetMode="External" /><Relationship Type="http://schemas.openxmlformats.org/officeDocument/2006/relationships/hyperlink" Id="rId370" Target="https://doi.org/10.1017/cbo9780511625237.009" TargetMode="External" /><Relationship Type="http://schemas.openxmlformats.org/officeDocument/2006/relationships/hyperlink" Id="rId524" Target="https://doi.org/10.1017/epi.2023.22" TargetMode="External" /><Relationship Type="http://schemas.openxmlformats.org/officeDocument/2006/relationships/hyperlink" Id="rId458" Target="https://doi.org/10.1037/0022-3514.83.5.1178" TargetMode="External" /><Relationship Type="http://schemas.openxmlformats.org/officeDocument/2006/relationships/hyperlink" Id="rId411" Target="https://doi.org/10.1037/pspp0000141" TargetMode="External" /><Relationship Type="http://schemas.openxmlformats.org/officeDocument/2006/relationships/hyperlink" Id="rId441" Target="https://doi.org/10.1080/00048400802001996" TargetMode="External" /><Relationship Type="http://schemas.openxmlformats.org/officeDocument/2006/relationships/hyperlink" Id="rId434" Target="https://doi.org/10.1080/00048408412341601" TargetMode="External" /><Relationship Type="http://schemas.openxmlformats.org/officeDocument/2006/relationships/hyperlink" Id="rId516" Target="https://doi.org/10.1080/0020174X.2013.775010" TargetMode="External" /><Relationship Type="http://schemas.openxmlformats.org/officeDocument/2006/relationships/hyperlink" Id="rId404"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5" Target="https://doi.org/10.1080/05568641.2017.1364142" TargetMode="External" /><Relationship Type="http://schemas.openxmlformats.org/officeDocument/2006/relationships/hyperlink" Id="rId445" Target="https://doi.org/10.1086/288168" TargetMode="External" /><Relationship Type="http://schemas.openxmlformats.org/officeDocument/2006/relationships/hyperlink" Id="rId386" Target="https://doi.org/10.1086/289906" TargetMode="External" /><Relationship Type="http://schemas.openxmlformats.org/officeDocument/2006/relationships/hyperlink" Id="rId384" Target="https://doi.org/10.1086/392759" TargetMode="External" /><Relationship Type="http://schemas.openxmlformats.org/officeDocument/2006/relationships/hyperlink" Id="rId326" Target="https://doi.org/10.1086/648610" TargetMode="External" /><Relationship Type="http://schemas.openxmlformats.org/officeDocument/2006/relationships/hyperlink" Id="rId447" Target="https://doi.org/10.1086/651235" TargetMode="External" /><Relationship Type="http://schemas.openxmlformats.org/officeDocument/2006/relationships/hyperlink" Id="rId324" Target="https://doi.org/10.1086/671402" TargetMode="External" /><Relationship Type="http://schemas.openxmlformats.org/officeDocument/2006/relationships/hyperlink" Id="rId280" Target="https://doi.org/10.1093/analys/anab037" TargetMode="External" /><Relationship Type="http://schemas.openxmlformats.org/officeDocument/2006/relationships/hyperlink" Id="rId222" Target="https://doi.org/10.1093/analys/anr083" TargetMode="External" /><Relationship Type="http://schemas.openxmlformats.org/officeDocument/2006/relationships/hyperlink" Id="rId355" Target="https://doi.org/10.1093/analys/anr129" TargetMode="External" /><Relationship Type="http://schemas.openxmlformats.org/officeDocument/2006/relationships/hyperlink" Id="rId376" Target="https://doi.org/10.1093/mind/105.418.303" TargetMode="External" /><Relationship Type="http://schemas.openxmlformats.org/officeDocument/2006/relationships/hyperlink" Id="rId374" Target="https://doi.org/10.1093/mind/xcvii.387.323" TargetMode="External" /><Relationship Type="http://schemas.openxmlformats.org/officeDocument/2006/relationships/hyperlink" Id="rId464"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12" Target="https://doi.org/10.1111/j.0031-8094.2005.00396.x" TargetMode="External" /><Relationship Type="http://schemas.openxmlformats.org/officeDocument/2006/relationships/hyperlink" Id="rId514" Target="https://doi.org/10.1111/j.1467-8284.2007.00671.x" TargetMode="External" /><Relationship Type="http://schemas.openxmlformats.org/officeDocument/2006/relationships/hyperlink" Id="rId337" Target="https://doi.org/10.1111/j.1467-9280.2006.01677.x" TargetMode="External" /><Relationship Type="http://schemas.openxmlformats.org/officeDocument/2006/relationships/hyperlink" Id="rId466"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236" Target="https://doi.org/10.1111/j.1468-0262.2008.00835.x" TargetMode="External" /><Relationship Type="http://schemas.openxmlformats.org/officeDocument/2006/relationships/hyperlink" Id="rId489" Target="https://doi.org/10.1111/j.1520-8583.2005.00068.x" TargetMode="External" /><Relationship Type="http://schemas.openxmlformats.org/officeDocument/2006/relationships/hyperlink" Id="rId507" Target="https://doi.org/10.1111/j.1520-8583.2005.00069.x" TargetMode="External" /><Relationship Type="http://schemas.openxmlformats.org/officeDocument/2006/relationships/hyperlink" Id="rId357" Target="https://doi.org/10.1111/j.1520-8583.2010.00183.x" TargetMode="External" /><Relationship Type="http://schemas.openxmlformats.org/officeDocument/2006/relationships/hyperlink" Id="rId402" Target="https://doi.org/10.1111/j.1520-8583.2010.00198.x" TargetMode="External" /><Relationship Type="http://schemas.openxmlformats.org/officeDocument/2006/relationships/hyperlink" Id="rId424"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21" Target="https://doi.org/10.1111/j.1933-1592.2002.tb00205.x" TargetMode="External" /><Relationship Type="http://schemas.openxmlformats.org/officeDocument/2006/relationships/hyperlink" Id="rId315" Target="https://doi.org/10.1111/j.1933-1592.2005.tb00540.x" TargetMode="External" /><Relationship Type="http://schemas.openxmlformats.org/officeDocument/2006/relationships/hyperlink" Id="rId409"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502" Target="https://doi.org/10.1111/j.1933-1592.2010.00448.x" TargetMode="External" /><Relationship Type="http://schemas.openxmlformats.org/officeDocument/2006/relationships/hyperlink" Id="rId438" Target="https://doi.org/10.1111/j.1933-1592.2011.00552.x" TargetMode="External" /><Relationship Type="http://schemas.openxmlformats.org/officeDocument/2006/relationships/hyperlink" Id="rId348" Target="https://doi.org/10.1111/jere.12070" TargetMode="External" /><Relationship Type="http://schemas.openxmlformats.org/officeDocument/2006/relationships/hyperlink" Id="rId300" Target="https://doi.org/10.1111/mila.12451" TargetMode="External" /><Relationship Type="http://schemas.openxmlformats.org/officeDocument/2006/relationships/hyperlink" Id="rId451" Target="https://doi.org/10.1111/nous.12006" TargetMode="External" /><Relationship Type="http://schemas.openxmlformats.org/officeDocument/2006/relationships/hyperlink" Id="rId286" Target="https://doi.org/10.1111/nous.12137" TargetMode="External" /><Relationship Type="http://schemas.openxmlformats.org/officeDocument/2006/relationships/hyperlink" Id="rId361" Target="https://doi.org/10.1111/nous.12186" TargetMode="External" /><Relationship Type="http://schemas.openxmlformats.org/officeDocument/2006/relationships/hyperlink" Id="rId290" Target="https://doi.org/10.1111/nous.12222" TargetMode="External" /><Relationship Type="http://schemas.openxmlformats.org/officeDocument/2006/relationships/hyperlink" Id="rId468" Target="https://doi.org/10.1111/nous.12254" TargetMode="External" /><Relationship Type="http://schemas.openxmlformats.org/officeDocument/2006/relationships/hyperlink" Id="rId397" Target="https://doi.org/10.1111/nous.12323" TargetMode="External" /><Relationship Type="http://schemas.openxmlformats.org/officeDocument/2006/relationships/hyperlink" Id="rId483" Target="https://doi.org/10.1111/phib.12283" TargetMode="External" /><Relationship Type="http://schemas.openxmlformats.org/officeDocument/2006/relationships/hyperlink" Id="rId449" Target="https://doi.org/10.1111/phib.12314" TargetMode="External" /><Relationship Type="http://schemas.openxmlformats.org/officeDocument/2006/relationships/hyperlink" Id="rId288" Target="https://doi.org/10.1111/phis.12141" TargetMode="External" /><Relationship Type="http://schemas.openxmlformats.org/officeDocument/2006/relationships/hyperlink" Id="rId496" Target="https://doi.org/10.1111/phpr.12088" TargetMode="External" /><Relationship Type="http://schemas.openxmlformats.org/officeDocument/2006/relationships/hyperlink" Id="rId359" Target="https://doi.org/10.1111/phpr.12090" TargetMode="External" /><Relationship Type="http://schemas.openxmlformats.org/officeDocument/2006/relationships/hyperlink" Id="rId486" Target="https://doi.org/10.1111/phpr.12191" TargetMode="External" /><Relationship Type="http://schemas.openxmlformats.org/officeDocument/2006/relationships/hyperlink" Id="rId381" Target="https://doi.org/10.1111/phpr.12271" TargetMode="External" /><Relationship Type="http://schemas.openxmlformats.org/officeDocument/2006/relationships/hyperlink" Id="rId526" Target="https://doi.org/10.1111/phpr.12330" TargetMode="External" /><Relationship Type="http://schemas.openxmlformats.org/officeDocument/2006/relationships/hyperlink" Id="rId407" Target="https://doi.org/10.1111/phpr.12431" TargetMode="External" /><Relationship Type="http://schemas.openxmlformats.org/officeDocument/2006/relationships/hyperlink" Id="rId295" Target="https://doi.org/10.1111/phpr.12982" TargetMode="External" /><Relationship Type="http://schemas.openxmlformats.org/officeDocument/2006/relationships/hyperlink" Id="rId460" Target="https://doi.org/10.1215/00318108-2007-037" TargetMode="External" /><Relationship Type="http://schemas.openxmlformats.org/officeDocument/2006/relationships/hyperlink" Id="rId391" Target="https://doi.org/10.1215/00318108-3878483" TargetMode="External" /><Relationship Type="http://schemas.openxmlformats.org/officeDocument/2006/relationships/hyperlink" Id="rId292" Target="https://doi.org/10.1215/00318108-8540918" TargetMode="External" /><Relationship Type="http://schemas.openxmlformats.org/officeDocument/2006/relationships/hyperlink" Id="rId432"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351" Target="https://doi.org/10.2307/1912320" TargetMode="External" /><Relationship Type="http://schemas.openxmlformats.org/officeDocument/2006/relationships/hyperlink" Id="rId368" Target="https://doi.org/10.2307/2184045" TargetMode="External" /><Relationship Type="http://schemas.openxmlformats.org/officeDocument/2006/relationships/hyperlink" Id="rId372" Target="https://doi.org/10.2307/2185051" TargetMode="External" /><Relationship Type="http://schemas.openxmlformats.org/officeDocument/2006/relationships/hyperlink" Id="rId334" Target="https://doi.org/10.2307/2216304" TargetMode="External" /><Relationship Type="http://schemas.openxmlformats.org/officeDocument/2006/relationships/hyperlink" Id="rId330" Target="https://doi.org/10.2307/2224214" TargetMode="External" /><Relationship Type="http://schemas.openxmlformats.org/officeDocument/2006/relationships/hyperlink" Id="rId343" Target="https://doi.org/10.2307/2224674" TargetMode="External" /><Relationship Type="http://schemas.openxmlformats.org/officeDocument/2006/relationships/hyperlink" Id="rId379"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2"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62" Target="https://doi.org/10.2307/3218711" TargetMode="External" /><Relationship Type="http://schemas.openxmlformats.org/officeDocument/2006/relationships/hyperlink" Id="rId304" Target="https://doi.org/10.2307/3326922" TargetMode="External" /><Relationship Type="http://schemas.openxmlformats.org/officeDocument/2006/relationships/hyperlink" Id="rId307" Target="https://doi.org/10.3765/sp.3.4" TargetMode="External" /><Relationship Type="http://schemas.openxmlformats.org/officeDocument/2006/relationships/hyperlink" Id="rId436" Target="https://doi.org/10.3765/sp.5.6" TargetMode="External" /><Relationship Type="http://schemas.openxmlformats.org/officeDocument/2006/relationships/hyperlink" Id="rId272" Target="https://doi.org/10.3998/ergo.12405314.0002.026" TargetMode="External" /><Relationship Type="http://schemas.openxmlformats.org/officeDocument/2006/relationships/hyperlink" Id="rId320" Target="https://doi.org/10.5840/jphil20081051022" TargetMode="External" /><Relationship Type="http://schemas.openxmlformats.org/officeDocument/2006/relationships/hyperlink" Id="rId493" Target="https://doi.org/10.5840/logos-episteme2011248" TargetMode="External" /><Relationship Type="http://schemas.openxmlformats.org/officeDocument/2006/relationships/hyperlink" Id="rId504" Target="https://doi.org/2027/spo.3521354.0013.022" TargetMode="External" /><Relationship Type="http://schemas.openxmlformats.org/officeDocument/2006/relationships/hyperlink" Id="rId328" Target="https://doi.org/s10992-024-09746-7" TargetMode="External" /><Relationship Type="http://schemas.openxmlformats.org/officeDocument/2006/relationships/hyperlink" Id="rId428"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8" Target="https://plato.stanford.edu/archives/sum2021/entries/philo-larissa/" TargetMode="External" /><Relationship Type="http://schemas.openxmlformats.org/officeDocument/2006/relationships/hyperlink" Id="rId421"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2024-08-28T17:39:26Z</dcterms:created>
  <dcterms:modified xsi:type="dcterms:W3CDTF">2024-08-28T17:39:26Z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2024-08-28</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