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this is not something that should be taken as a starting point in inquiry, because it isn’t certain enough to act on, given the risk of killing the friend if one is wrong.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and</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There are two differences between interest-relativity and safety-relativity that seen to have been important in how they were received. Or, perhaps better, there are two ways of looking at one key difference between them. First, safety was the same kind of consideration as previous epistemologists had considered. It looks a lot like the sensitity condition that Robert Nozick</w:t>
      </w:r>
      <w:r>
        <w:t xml:space="preserve"> </w:t>
      </w:r>
      <w:r>
        <w:t xml:space="preserve">(1981)</w:t>
      </w:r>
      <w:r>
        <w:t xml:space="preserve"> </w:t>
      </w:r>
      <w:r>
        <w:t xml:space="preserve">had argued plays a central role in the theory of knowledge. It looks like a kind of reliability condition, so it is continuous with twentieth century work on reliabilism. So this leads to the second point.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predecessors are there. Indeed, they are there at some of the earliest sightings of what we might, in current terminology, call fallible epistemologies. If anything, I suspect the idea that an epistemology can be fallibilist and interest-invariant is the more modern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a shift in purchasing pattern.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 [section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barest form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terests">
        <w:r>
          <w:rPr>
            <w:rStyle w:val="Hyperlink"/>
          </w:rPr>
          <w:t xml:space="preserve">chapter 2</w:t>
        </w:r>
      </w:hyperlink>
      <w:r>
        <w:t xml:space="preserve"> </w:t>
      </w:r>
      <w:r>
        <w:t xml:space="preserve">I discuss the role that the concept of inquiry plays in my theory. On my theory, if something is known, it is available to use as a starting point in inquiry. I used to think this meant I was committed to Jane Friedman’s thesis that it is incoherent to inquire into something one knows</w:t>
      </w:r>
      <w:r>
        <w:t xml:space="preserve"> </w:t>
      </w:r>
      <w:r>
        <w:t xml:space="preserve">Friedman (2019b)</w:t>
      </w:r>
      <w:r>
        <w:t xml:space="preserve">.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proof works because the theory from that paper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can’t be right in these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pick arbitrarily unless it is clear that one of the choices is defective. And given this theory of rational choice, my preferred epistemological theory is neither absurdly sceptical, nor committed to closure failures.</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1" w:name="sec-interests"/>
    <w:p>
      <w:pPr>
        <w:pStyle w:val="Heading1"/>
      </w:pPr>
      <w:r>
        <w:t xml:space="preserve">2. Interests</w:t>
      </w:r>
    </w:p>
    <w:bookmarkStart w:id="31"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a new reform proposal. It is set out, and defended, in works by Jeremy Fantl and Matthew McGrath</w:t>
      </w:r>
      <w:r>
        <w:t xml:space="preserve"> </w:t>
      </w:r>
      <w:r>
        <w:t xml:space="preserve">(2002, 2009)</w:t>
      </w:r>
      <w:r>
        <w:t xml:space="preserve">, John Hawthorne</w:t>
      </w:r>
      <w:r>
        <w:t xml:space="preserve"> </w:t>
      </w:r>
      <w:r>
        <w:t xml:space="preserve">(2004)</w:t>
      </w:r>
      <w:r>
        <w:t xml:space="preserve">, and Jason Stanley</w:t>
      </w:r>
      <w:r>
        <w:t xml:space="preserve"> </w:t>
      </w:r>
      <w:r>
        <w:t xml:space="preserve">(2005)</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But mostly people have focussed on cases like the following one.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probably best explained by letting knowledge be interest-relative. But the argument that the interest-relativity of knowledge is the very best explanation of what’s going on is, in my view, somewhat weaker in Blaise’s case than in Anisa’s. It’s not that I don’t accept the interest-relative explanation of the case; I do accept it.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And probably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it’s just the interest-relative theory, or IRT.</w:t>
      </w:r>
    </w:p>
    <w:bookmarkEnd w:id="31"/>
    <w:bookmarkStart w:id="33"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2"/>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And it says she knows it today, since changing practical scenarios or interests like this doesn’t affect knowledge. But it also says that the actions that Anisa and Blaise take are wrong; they are both irrational, and Blaise’s is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The last claim, that every view has counterintuitive consequences, deserves some defence. I’ll say much more about the challenges orthodoxy faces in</w:t>
      </w:r>
      <w:r>
        <w:t xml:space="preserve"> </w:t>
      </w:r>
      <w:hyperlink w:anchor="sec-orthodox">
        <w:r>
          <w:rPr>
            <w:rStyle w:val="Hyperlink"/>
          </w:rPr>
          <w:t xml:space="preserve">section 2.3</w:t>
        </w:r>
      </w:hyperlink>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33"/>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based on an argument against contextualism that John MacFarlane</w:t>
      </w:r>
      <w:r>
        <w:t xml:space="preserve"> </w:t>
      </w:r>
      <w:r>
        <w:t xml:space="preserve">(2005)</w:t>
      </w:r>
      <w:r>
        <w:t xml:space="preserve"> </w:t>
      </w:r>
      <w:r>
        <w:t xml:space="preserve">gives, noting that contextualists have a particular problem with retraction. And Chamari’s position does sound very bad here. But I don’t want to lean too much weight on how she sounds. Every position in this area ends up saying some strange things. The very idea that the epistemic standard for assertion could be meta-linguistic is even more implausible than the idea that we should end up where Chamari does.</w:t>
      </w:r>
    </w:p>
    <w:bookmarkEnd w:id="34"/>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of the game, I stipulated that she didn’t know anything relevant about the game set up other than what I said there. So she isn’t absolutely certain of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task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3"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version of IRT defended in this book. Instead, the version of IRT defended here says that</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Anisa’s case even clearer, consider Darja’s case.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But I don’t think that because I have any kind of intuition that this is the correct thing to say about her. I don’t have any clear intuition about this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3"/>
    <w:bookmarkStart w:id="45"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4"/>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But one is facing a theoretical question, the other a practical question. So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(Perhaps because she is reading this book.)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w:t>
      </w:r>
      <w:r>
        <w:t xml:space="preserve"> </w:t>
      </w:r>
      <w:r>
        <w:t xml:space="preserve">is precisely</w:t>
      </w:r>
      <w:r>
        <w:t xml:space="preserve"> </w:t>
      </w:r>
      <w:r>
        <w:rPr>
          <w:iCs/>
          <w:i/>
        </w:rPr>
        <w:t xml:space="preserve">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5"/>
    <w:bookmarkStart w:id="47"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the version of IRT I defend implies that evidence is a subset of knowledge.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6"/>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But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one might hope to tell, or indeed that I tried to tell in earlier work.</w:t>
      </w:r>
    </w:p>
    <w:bookmarkEnd w:id="47"/>
    <w:bookmarkStart w:id="50"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8"/>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0"/>
    <w:bookmarkEnd w:id="51"/>
    <w:bookmarkStart w:id="80" w:name="sec-belief"/>
    <w:p>
      <w:pPr>
        <w:pStyle w:val="Heading1"/>
      </w:pPr>
      <w:r>
        <w:t xml:space="preserve">3. Belief</w:t>
      </w:r>
    </w:p>
    <w:bookmarkStart w:id="53"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2"/>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3"/>
    <w:bookmarkStart w:id="56"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4"/>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5"/>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6"/>
    <w:bookmarkStart w:id="58"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7"/>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8"/>
    <w:bookmarkStart w:id="60"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9"/>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0"/>
    <w:bookmarkStart w:id="63"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1"/>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2"/>
      </w:r>
      <w:r>
        <w:t xml:space="preserve"> </w:t>
      </w:r>
      <w:r>
        <w:t xml:space="preserve">But they could be part of a theory of belief, and the theory they are part of is helpful for seeing how beliefs and interests fit together.</w:t>
      </w:r>
    </w:p>
    <w:bookmarkEnd w:id="63"/>
    <w:bookmarkStart w:id="69"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4"/>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5"/>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6"/>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7"/>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8"/>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9"/>
    <w:bookmarkStart w:id="77"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1"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0"/>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1"/>
    <w:bookmarkStart w:id="72"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2"/>
    <w:bookmarkStart w:id="73"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3"/>
    <w:bookmarkStart w:id="74"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4.3.1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4"/>
    <w:bookmarkStart w:id="76"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5"/>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6"/>
    <w:bookmarkEnd w:id="77"/>
    <w:bookmarkStart w:id="79" w:name="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78"/>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9"/>
    <w:bookmarkEnd w:id="80"/>
    <w:bookmarkStart w:id="93"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83" w:name="sec-structure"/>
    <w:p>
      <w:pPr>
        <w:pStyle w:val="Heading2"/>
      </w:pPr>
      <w:r>
        <w:t xml:space="preserve">4.1 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81"/>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two choices,</w:t>
      </w:r>
      <w:r>
        <w:t xml:space="preserve"> </w:t>
      </w:r>
      <w:r>
        <w:rPr>
          <w:iCs/>
          <w:i/>
        </w:rPr>
        <w:t xml:space="preserve">C</w:t>
      </w:r>
      <w:r>
        <w:t xml:space="preserve">1 and</w:t>
      </w:r>
      <w:r>
        <w:t xml:space="preserve"> </w:t>
      </w:r>
      <w:r>
        <w:rPr>
          <w:iCs/>
          <w:i/>
        </w:rPr>
        <w:t xml:space="preserve">C</w:t>
      </w:r>
      <w:r>
        <w:rPr>
          <w:vertAlign w:val="subscript"/>
        </w:rPr>
        <w:t xml:space="preserve">2</w:t>
      </w:r>
      <w:r>
        <w:t xml:space="preserve">, as is normal for introductory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iCs/>
                <w:i/>
              </w:rPr>
              <w:t xml:space="preserve">2</w:t>
            </w:r>
          </w:p>
        </w:tc>
      </w:tr>
      <w:tr>
        <w:tc>
          <w:tcPr/>
          <w:p>
            <w:pPr>
              <w:pStyle w:val="Compact"/>
              <w:jc w:val="right"/>
            </w:pPr>
            <w:r>
              <w:rPr>
                <w:iCs/>
                <w:i/>
              </w:rPr>
              <w:t xml:space="preserve">C</w:t>
            </w:r>
            <w:r>
              <w:rPr>
                <w:vertAlign w:val="subscript"/>
              </w:rPr>
              <w:t xml:space="preserve">1</w:t>
            </w:r>
          </w:p>
        </w:tc>
        <w:tc>
          <w:tcPr/>
          <w:p>
            <w:pPr>
              <w:pStyle w:val="Compact"/>
              <w:jc w:val="center"/>
            </w:pPr>
            <w:r>
              <w:t xml:space="preserve">-$200</w:t>
            </w:r>
          </w:p>
        </w:tc>
        <w:tc>
          <w:tcPr/>
          <w:p>
            <w:pPr>
              <w:pStyle w:val="Compact"/>
              <w:jc w:val="center"/>
            </w:pPr>
            <w:r>
              <w:t xml:space="preserve">$1000</w:t>
            </w:r>
          </w:p>
        </w:tc>
      </w:tr>
      <w:tr>
        <w:tc>
          <w:tcPr/>
          <w:p>
            <w:pPr>
              <w:pStyle w:val="Compact"/>
              <w:jc w:val="right"/>
            </w:pPr>
            <w:r>
              <w:rPr>
                <w:iCs/>
                <w:i/>
              </w:rPr>
              <w:t xml:space="preserve">C</w:t>
            </w:r>
            <w:r>
              <w:rPr>
                <w:vertAlign w:val="subscript"/>
              </w:rPr>
              <w:t xml:space="preserve">2</w:t>
            </w:r>
          </w:p>
        </w:tc>
        <w:tc>
          <w:tcPr/>
          <w:p>
            <w:pPr>
              <w:pStyle w:val="Compact"/>
              <w:jc w:val="center"/>
            </w:pPr>
            <w:r>
              <w:t xml:space="preserve">-$100</w:t>
            </w:r>
          </w:p>
        </w:tc>
        <w:tc>
          <w:tcPr/>
          <w:p>
            <w:pPr>
              <w:pStyle w:val="Compact"/>
              <w:jc w:val="center"/>
            </w:pPr>
            <w:r>
              <w:t xml:space="preserve">$1500</w:t>
            </w:r>
          </w:p>
        </w:tc>
      </w:tr>
    </w:tbl>
    <w:p>
      <w:pPr>
        <w:pStyle w:val="BodyText"/>
      </w:pPr>
      <w:r>
        <w:t xml:space="preserve">She’s hoping that the students will see that</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are bets, but</w:t>
      </w:r>
      <w:r>
        <w:t xml:space="preserve"> </w:t>
      </w:r>
      <w:r>
        <w:rPr>
          <w:iCs/>
          <w:i/>
        </w:rPr>
        <w:t xml:space="preserve">C</w:t>
      </w:r>
      <w:r>
        <w:rPr>
          <w:vertAlign w:val="subscript"/>
        </w:rPr>
        <w:t xml:space="preserve">2</w:t>
      </w:r>
      <w:r>
        <w:t xml:space="preserve"> </w:t>
      </w:r>
      <w:r>
        <w:t xml:space="preserve">is clearly the better bet. If</w:t>
      </w:r>
      <w:r>
        <w:t xml:space="preserve"> </w:t>
      </w:r>
      <w:r>
        <w:rPr>
          <w:iCs/>
          <w:i/>
        </w:rPr>
        <w:t xml:space="preserve">S</w:t>
      </w:r>
      <w:r>
        <w:rPr>
          <w:vertAlign w:val="subscript"/>
        </w:rPr>
        <w:t xml:space="preserve">1</w:t>
      </w:r>
      <w:r>
        <w:t xml:space="preserve"> </w:t>
      </w:r>
      <w:r>
        <w:t xml:space="preserve">is actual, then both bets lose, but</w:t>
      </w:r>
      <w:r>
        <w:t xml:space="preserve"> </w:t>
      </w:r>
      <w:r>
        <w:rPr>
          <w:iCs/>
          <w:i/>
        </w:rPr>
        <w:t xml:space="preserve">C</w:t>
      </w:r>
      <w:r>
        <w:rPr>
          <w:vertAlign w:val="subscript"/>
        </w:rPr>
        <w:t xml:space="preserve">2</w:t>
      </w:r>
      <w:r>
        <w:t xml:space="preserve"> </w:t>
      </w:r>
      <w:r>
        <w:t xml:space="preserve">loses less money. If</w:t>
      </w:r>
      <w:r>
        <w:t xml:space="preserve"> </w:t>
      </w:r>
      <w:r>
        <w:rPr>
          <w:iCs/>
          <w:i/>
        </w:rPr>
        <w:t xml:space="preserve">S</w:t>
      </w:r>
      <w:r>
        <w:rPr>
          <w:vertAlign w:val="subscript"/>
        </w:rPr>
        <w:t xml:space="preserve">2</w:t>
      </w:r>
      <w:r>
        <w:t xml:space="preserve"> </w:t>
      </w:r>
      <w:r>
        <w:t xml:space="preserve">is actual, then both bets win, but</w:t>
      </w:r>
      <w:r>
        <w:t xml:space="preserve"> </w:t>
      </w:r>
      <w:r>
        <w:rPr>
          <w:iCs/>
          <w:i/>
        </w:rPr>
        <w:t xml:space="preserve">C</w:t>
      </w:r>
      <w:r>
        <w:rPr>
          <w:vertAlign w:val="subscript"/>
        </w:rPr>
        <w:t xml:space="preserve">2</w:t>
      </w:r>
      <w:r>
        <w:t xml:space="preserve"> </w:t>
      </w:r>
      <w:r>
        <w:t xml:space="preserve">wins more. So</w:t>
      </w:r>
      <w:r>
        <w:t xml:space="preserve"> </w:t>
      </w:r>
      <w:r>
        <w:rPr>
          <w:iCs/>
          <w:i/>
        </w:rPr>
        <w:t xml:space="preserve">C</w:t>
      </w:r>
      <w:r>
        <w:rPr>
          <w:vertAlign w:val="subscript"/>
        </w:rPr>
        <w:t xml:space="preserve">2</w:t>
      </w:r>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rPr>
          <w:vertAlign w:val="subscript"/>
        </w:rPr>
        <w:t xml:space="preserve">2</w:t>
      </w:r>
      <w:r>
        <w:t xml:space="preserve"> </w:t>
      </w:r>
      <w:r>
        <w:t xml:space="preserve">is better than</w:t>
      </w:r>
      <w:r>
        <w:t xml:space="preserve"> </w:t>
      </w:r>
      <w:r>
        <w:rPr>
          <w:iCs/>
          <w:i/>
        </w:rPr>
        <w:t xml:space="preserve">C</w:t>
      </w:r>
      <w:r>
        <w:rPr>
          <w:vertAlign w:val="subscript"/>
        </w:rPr>
        <w:t xml:space="preserve">1</w:t>
      </w:r>
      <w:r>
        <w:t xml:space="preserve">. He thinks, on the basis of his experience, that when more than $1000 is on the line, people aren’t as reliable about paying out on bets. So while</w:t>
      </w:r>
      <w:r>
        <w:t xml:space="preserve"> </w:t>
      </w:r>
      <w:r>
        <w:rPr>
          <w:iCs/>
          <w:i/>
        </w:rPr>
        <w:t xml:space="preserve">C</w:t>
      </w:r>
      <w:r>
        <w:rPr>
          <w:vertAlign w:val="subscript"/>
        </w:rPr>
        <w:t xml:space="preserve">1</w:t>
      </w:r>
      <w:r>
        <w:t xml:space="preserve">is guaranteed to deliver $1000 if</w:t>
      </w:r>
      <w:r>
        <w:t xml:space="preserve"> </w:t>
      </w:r>
      <w:r>
        <w:rPr>
          <w:iCs/>
          <w:i/>
        </w:rPr>
        <w:t xml:space="preserve">S</w:t>
      </w:r>
      <w:r>
        <w:rPr>
          <w:vertAlign w:val="subscript"/>
        </w:rPr>
        <w:t xml:space="preserve">2</w:t>
      </w:r>
      <w:r>
        <w:t xml:space="preserve">, if the agent bets on</w:t>
      </w:r>
      <w:r>
        <w:t xml:space="preserve"> </w:t>
      </w:r>
      <w:r>
        <w:rPr>
          <w:iCs/>
          <w:i/>
        </w:rPr>
        <w:t xml:space="preserve">C</w:t>
      </w:r>
      <w:r>
        <w:rPr>
          <w:vertAlign w:val="subscript"/>
        </w:rPr>
        <w:t xml:space="preserve">2</w:t>
      </w:r>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rPr>
          <w:vertAlign w:val="subscript"/>
        </w:rPr>
        <w:t xml:space="preserve">2</w:t>
      </w:r>
      <w:r>
        <w:t xml:space="preserve"> </w:t>
      </w:r>
      <w:r>
        <w:t xml:space="preserve">and is in</w:t>
      </w:r>
      <w:r>
        <w:t xml:space="preserve"> </w:t>
      </w:r>
      <w:r>
        <w:rPr>
          <w:iCs/>
          <w:i/>
        </w:rPr>
        <w:t xml:space="preserve">S</w:t>
      </w:r>
      <w:r>
        <w:rPr>
          <w:vertAlign w:val="subscript"/>
        </w:rPr>
        <w:t xml:space="preserve">2</w:t>
      </w:r>
      <w:r>
        <w:t xml:space="preserve">.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rPr>
          <w:vertAlign w:val="subscript"/>
        </w:rPr>
        <w:t xml:space="preserve">2</w:t>
      </w:r>
      <w:r>
        <w:t xml:space="preserve"> </w:t>
      </w:r>
      <w:r>
        <w:t xml:space="preserve">to hell. Since heaven is better than hell,</w:t>
      </w:r>
      <w:r>
        <w:t xml:space="preserve"> </w:t>
      </w:r>
      <w:r>
        <w:rPr>
          <w:iCs/>
          <w:i/>
        </w:rPr>
        <w:t xml:space="preserve">C</w:t>
      </w:r>
      <w:r>
        <w:rPr>
          <w:vertAlign w:val="subscript"/>
        </w:rPr>
        <w:t xml:space="preserve">2</w:t>
      </w:r>
      <w:r>
        <w:t xml:space="preserve"> </w:t>
      </w:r>
      <w:r>
        <w:t xml:space="preserve">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9"/>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9"/>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rPr>
          <w:vertAlign w:val="subscript"/>
        </w:rPr>
        <w:t xml:space="preserve">2</w:t>
      </w:r>
      <w:r>
        <w:t xml:space="preserve"> </w:t>
      </w:r>
      <w:r>
        <w:t xml:space="preserve">and is in state</w:t>
      </w:r>
      <w:r>
        <w:t xml:space="preserve"> </w:t>
      </w:r>
      <w:r>
        <w:rPr>
          <w:iCs/>
          <w:i/>
        </w:rPr>
        <w:t xml:space="preserve">S</w:t>
      </w:r>
      <w:r>
        <w:rPr>
          <w:vertAlign w:val="subscript"/>
        </w:rPr>
        <w:t xml:space="preserve">2</w:t>
      </w:r>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rPr>
          <w:vertAlign w:val="subscript"/>
        </w:rPr>
        <w:t xml:space="preserve">1</w:t>
      </w:r>
      <w:r>
        <w:t xml:space="preserve"> </w:t>
      </w:r>
      <w:r>
        <w:t xml:space="preserve">or</w:t>
      </w:r>
      <w:r>
        <w:t xml:space="preserve"> </w:t>
      </w:r>
      <w:r>
        <w:rPr>
          <w:iCs/>
          <w:i/>
        </w:rPr>
        <w:t xml:space="preserve">S</w:t>
      </w:r>
      <w:r>
        <w:rPr>
          <w:vertAlign w:val="subscript"/>
        </w:rPr>
        <w:t xml:space="preserve">2</w:t>
      </w:r>
      <w:r>
        <w:t xml:space="preserve"> </w:t>
      </w:r>
      <w:r>
        <w:t xml:space="preserve">obtained. And when she says it is best to take dominating options, she means that it is best to take options that one knows to have better outcomes. So here are the answers to Stu and Dom’s challenges.</w:t>
      </w:r>
    </w:p>
    <w:p>
      <w:pPr>
        <w:numPr>
          <w:ilvl w:val="0"/>
          <w:numId w:val="1030"/>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30"/>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82"/>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83"/>
    <w:bookmarkStart w:id="85" w:name="sec-theoreticalknowledge"/>
    <w:p>
      <w:pPr>
        <w:pStyle w:val="Heading2"/>
      </w:pPr>
      <w:r>
        <w:t xml:space="preserve">4.2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1"/>
        </w:numPr>
        <w:pStyle w:val="Compact"/>
      </w:pPr>
      <w:r>
        <w:t xml:space="preserve">It is worthwhile to conduct the inquiry.</w:t>
      </w:r>
    </w:p>
    <w:p>
      <w:pPr>
        <w:numPr>
          <w:ilvl w:val="0"/>
          <w:numId w:val="1031"/>
        </w:numPr>
        <w:pStyle w:val="Compact"/>
      </w:pPr>
      <w:r>
        <w:t xml:space="preserve">It is sensible, and efficient enough, to choose these particular starting points.</w:t>
      </w:r>
    </w:p>
    <w:p>
      <w:pPr>
        <w:numPr>
          <w:ilvl w:val="0"/>
          <w:numId w:val="1031"/>
        </w:numPr>
        <w:pStyle w:val="Compact"/>
      </w:pPr>
      <w:r>
        <w:t xml:space="preserve">The starting points are all things that are known to be true.</w:t>
      </w:r>
    </w:p>
    <w:p>
      <w:pPr>
        <w:numPr>
          <w:ilvl w:val="0"/>
          <w:numId w:val="1031"/>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2"/>
        </w:numPr>
        <w:pStyle w:val="Compact"/>
      </w:pPr>
      <w:r>
        <w:t xml:space="preserve">Almost all the black people here are on the wait staff.</w:t>
      </w:r>
    </w:p>
    <w:p>
      <w:pPr>
        <w:numPr>
          <w:ilvl w:val="0"/>
          <w:numId w:val="1032"/>
        </w:numPr>
        <w:pStyle w:val="Compact"/>
      </w:pPr>
      <w:r>
        <w:t xml:space="preserve">The person next to me is black.</w:t>
      </w:r>
    </w:p>
    <w:p>
      <w:pPr>
        <w:numPr>
          <w:ilvl w:val="0"/>
          <w:numId w:val="1032"/>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3"/>
        </w:numPr>
        <w:pStyle w:val="Compact"/>
      </w:pPr>
      <w:r>
        <w:t xml:space="preserve">The ball was kicked into the net, and no foul or violation was called.</w:t>
      </w:r>
    </w:p>
    <w:p>
      <w:pPr>
        <w:numPr>
          <w:ilvl w:val="0"/>
          <w:numId w:val="1033"/>
        </w:numPr>
        <w:pStyle w:val="Compact"/>
      </w:pPr>
      <w:r>
        <w:t xml:space="preserve">So, a goal was scored.</w:t>
      </w:r>
    </w:p>
    <w:p>
      <w:pPr>
        <w:numPr>
          <w:ilvl w:val="0"/>
          <w:numId w:val="1033"/>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84"/>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4.3.2</w:t>
        </w:r>
      </w:hyperlink>
      <w:r>
        <w:t xml:space="preserve">. Until then I’ll be talking about single pieces of knowledge at a time.</w:t>
      </w:r>
    </w:p>
    <w:bookmarkEnd w:id="85"/>
    <w:bookmarkStart w:id="91" w:name="knowledge-and-closure"/>
    <w:p>
      <w:pPr>
        <w:pStyle w:val="Heading2"/>
      </w:pPr>
      <w:r>
        <w:t xml:space="preserve">4.3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4.3.2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7" w:name="sec-andelim"/>
    <w:p>
      <w:pPr>
        <w:pStyle w:val="Heading3"/>
      </w:pPr>
      <w:r>
        <w:t xml:space="preserve">4.3.1 Single Premise Closure</w:t>
      </w:r>
    </w:p>
    <w:p>
      <w:pPr>
        <w:pStyle w:val="FirstParagraph"/>
      </w:pPr>
      <w:r>
        <w:t xml:space="preserve">But it turns out that even showing this is not completely trivial. Imagine yet another version of the red-blue game.</w:t>
      </w:r>
      <w:r>
        <w:rPr>
          <w:rStyle w:val="FootnoteReference"/>
        </w:rPr>
        <w:footnoteReference w:id="86"/>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4"/>
        </w:numPr>
        <w:pStyle w:val="Compact"/>
      </w:pPr>
      <w:r>
        <w:t xml:space="preserve">Unconditionally, the player is indifferent between playing red-true and playing blue-true.</w:t>
      </w:r>
    </w:p>
    <w:p>
      <w:pPr>
        <w:numPr>
          <w:ilvl w:val="0"/>
          <w:numId w:val="1034"/>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4"/>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4"/>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5"/>
        </w:numPr>
        <w:pStyle w:val="Compact"/>
      </w:pPr>
      <w:r>
        <w:t xml:space="preserve">Which option maximises expected returns?</w:t>
      </w:r>
    </w:p>
    <w:p>
      <w:pPr>
        <w:numPr>
          <w:ilvl w:val="0"/>
          <w:numId w:val="1035"/>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7"/>
    <w:bookmarkStart w:id="90" w:name="sec-andintro"/>
    <w:p>
      <w:pPr>
        <w:pStyle w:val="Heading3"/>
      </w:pPr>
      <w:r>
        <w:t xml:space="preserve">4.3.2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6"/>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6"/>
        </w:numPr>
        <w:pStyle w:val="Compact"/>
      </w:pPr>
      <w:r>
        <w:t xml:space="preserve">If, in the course of an inquiry, one knows some premises, then one can take them for granted in that inquiry.</w:t>
      </w:r>
    </w:p>
    <w:p>
      <w:pPr>
        <w:numPr>
          <w:ilvl w:val="0"/>
          <w:numId w:val="1036"/>
        </w:numPr>
        <w:pStyle w:val="Compact"/>
      </w:pPr>
      <w:r>
        <w:t xml:space="preserve">If one can take some premises for granted in an inquiry, then one can take their conjunction for granted in that inquiry.</w:t>
      </w:r>
    </w:p>
    <w:p>
      <w:pPr>
        <w:numPr>
          <w:ilvl w:val="0"/>
          <w:numId w:val="1036"/>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8"/>
      </w:r>
      <w:r>
        <w:t xml:space="preserve"> </w:t>
      </w:r>
      <w:r>
        <w:t xml:space="preserve">Now the following four claims all seem true.</w:t>
      </w:r>
    </w:p>
    <w:p>
      <w:pPr>
        <w:numPr>
          <w:ilvl w:val="0"/>
          <w:numId w:val="1037"/>
        </w:numPr>
        <w:pStyle w:val="Compact"/>
      </w:pPr>
      <w:r>
        <w:t xml:space="preserve">Unconditionally, the only rational play is Red-True.</w:t>
      </w:r>
    </w:p>
    <w:p>
      <w:pPr>
        <w:numPr>
          <w:ilvl w:val="0"/>
          <w:numId w:val="1037"/>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8"/>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8"/>
        </w:numPr>
        <w:pStyle w:val="Compact"/>
      </w:pPr>
      <w:r>
        <w:t xml:space="preserve">Similarly, they can take</w:t>
      </w:r>
      <w:r>
        <w:t xml:space="preserve"> </w:t>
      </w:r>
      <w:r>
        <w:rPr>
          <w:iCs/>
          <w:i/>
        </w:rPr>
        <w:t xml:space="preserve">B</w:t>
      </w:r>
      <w:r>
        <w:t xml:space="preserve"> </w:t>
      </w:r>
      <w:r>
        <w:t xml:space="preserve">for granted.</w:t>
      </w:r>
    </w:p>
    <w:p>
      <w:pPr>
        <w:numPr>
          <w:ilvl w:val="0"/>
          <w:numId w:val="1038"/>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4.2</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89"/>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9"/>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9"/>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9"/>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9"/>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9"/>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90"/>
    <w:bookmarkEnd w:id="91"/>
    <w:bookmarkStart w:id="92" w:name="sec-closuresummary"/>
    <w:p>
      <w:pPr>
        <w:pStyle w:val="Heading2"/>
      </w:pPr>
      <w:r>
        <w:t xml:space="preserve">4.4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92"/>
    <w:bookmarkEnd w:id="93"/>
    <w:bookmarkStart w:id="109"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02"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94"/>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95"/>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96"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96"/>
    <w:bookmarkStart w:id="97"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7"/>
    <w:bookmarkStart w:id="98"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8"/>
    <w:bookmarkStart w:id="99"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4.3.2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9"/>
    <w:bookmarkStart w:id="100"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00"/>
    <w:bookmarkStart w:id="101"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01"/>
    <w:bookmarkEnd w:id="102"/>
    <w:bookmarkStart w:id="103"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4.2</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03"/>
    <w:bookmarkStart w:id="105"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04"/>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05"/>
    <w:bookmarkStart w:id="106"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40"/>
        </w:numPr>
        <w:pStyle w:val="Compact"/>
      </w:pPr>
      <w:r>
        <w:t xml:space="preserve">It strikes me as less compelling that it is coherent</w:t>
      </w:r>
    </w:p>
    <w:p>
      <w:pPr>
        <w:numPr>
          <w:ilvl w:val="0"/>
          <w:numId w:val="1040"/>
        </w:numPr>
        <w:pStyle w:val="Compact"/>
      </w:pPr>
      <w:r>
        <w:t xml:space="preserve">It’s striking that it gets much less attention than surgeon; I wonder if others share my suspicion (but maybe Surgeon is just first)</w:t>
      </w:r>
    </w:p>
    <w:p>
      <w:pPr>
        <w:numPr>
          <w:ilvl w:val="0"/>
          <w:numId w:val="1040"/>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40"/>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40"/>
        </w:numPr>
        <w:pStyle w:val="Compact"/>
      </w:pPr>
      <w:r>
        <w:t xml:space="preserve">In any case, I’m not committed to ordinary usage being good around here. I’m aiming to find a theoretically interesting notion that fits the roles knowledge should fit.</w:t>
      </w:r>
    </w:p>
    <w:bookmarkEnd w:id="106"/>
    <w:bookmarkStart w:id="10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1"/>
        </w:numPr>
        <w:pStyle w:val="Compact"/>
      </w:pPr>
      <w:r>
        <w:t xml:space="preserve">If one should inquire into Q, and were one to inquire into Q, one shouldn’t take p for granted, one doesn’t know p</w:t>
      </w:r>
    </w:p>
    <w:p>
      <w:pPr>
        <w:numPr>
          <w:ilvl w:val="0"/>
          <w:numId w:val="1041"/>
        </w:numPr>
        <w:pStyle w:val="Compact"/>
      </w:pPr>
      <w:r>
        <w:t xml:space="preserve">So there is a kind of moral encroachment into knowledge</w:t>
      </w:r>
    </w:p>
    <w:p>
      <w:pPr>
        <w:numPr>
          <w:ilvl w:val="0"/>
          <w:numId w:val="1041"/>
        </w:numPr>
        <w:pStyle w:val="Compact"/>
      </w:pPr>
      <w:r>
        <w:t xml:space="preserve">Maybe move some chapter 8 stuff here</w:t>
      </w:r>
    </w:p>
    <w:p>
      <w:pPr>
        <w:numPr>
          <w:ilvl w:val="0"/>
          <w:numId w:val="1041"/>
        </w:numPr>
        <w:pStyle w:val="Compact"/>
      </w:pPr>
      <w:r>
        <w:t xml:space="preserve">Note this is asymmetric; inquiries you don’t need to conduct can lose knowledge</w:t>
      </w:r>
    </w:p>
    <w:bookmarkEnd w:id="107"/>
    <w:bookmarkStart w:id="108" w:name="sec-realism"/>
    <w:p>
      <w:pPr>
        <w:pStyle w:val="Heading2"/>
      </w:pPr>
      <w:r>
        <w:t xml:space="preserve">5.6 Inquiry Realism</w:t>
      </w:r>
    </w:p>
    <w:p>
      <w:pPr>
        <w:numPr>
          <w:ilvl w:val="0"/>
          <w:numId w:val="1042"/>
        </w:numPr>
        <w:pStyle w:val="Compact"/>
      </w:pPr>
      <w:r>
        <w:t xml:space="preserve">There’s a fact of the matter about what people are inquiring about - and what they are doing with that inquiry.</w:t>
      </w:r>
    </w:p>
    <w:p>
      <w:pPr>
        <w:numPr>
          <w:ilvl w:val="0"/>
          <w:numId w:val="1042"/>
        </w:numPr>
        <w:pStyle w:val="Compact"/>
      </w:pPr>
      <w:r>
        <w:t xml:space="preserve">This is independent of what their credences are</w:t>
      </w:r>
    </w:p>
    <w:p>
      <w:pPr>
        <w:numPr>
          <w:ilvl w:val="0"/>
          <w:numId w:val="1042"/>
        </w:numPr>
        <w:pStyle w:val="Compact"/>
      </w:pPr>
      <w:r>
        <w:t xml:space="preserve">And there are facts about what they should inquire about; some of these are given by consequentialist considerations, some by (broadly) deontological</w:t>
      </w:r>
    </w:p>
    <w:p>
      <w:pPr>
        <w:numPr>
          <w:ilvl w:val="0"/>
          <w:numId w:val="1042"/>
        </w:numPr>
        <w:pStyle w:val="Compact"/>
      </w:pPr>
      <w:r>
        <w:t xml:space="preserve">They may be inquiring into multiple things; this is ok, they lose a lot of information, but they retain probabilistic information</w:t>
      </w:r>
    </w:p>
    <w:p>
      <w:pPr>
        <w:numPr>
          <w:ilvl w:val="0"/>
          <w:numId w:val="1042"/>
        </w:numPr>
        <w:pStyle w:val="Compact"/>
      </w:pPr>
      <w:r>
        <w:t xml:space="preserve">So this makes the current view sit uneasily in the current dualism/reductionism debate</w:t>
      </w:r>
    </w:p>
    <w:p>
      <w:pPr>
        <w:numPr>
          <w:ilvl w:val="0"/>
          <w:numId w:val="1042"/>
        </w:numPr>
        <w:pStyle w:val="Compact"/>
      </w:pPr>
      <w:r>
        <w:t xml:space="preserve">I do think belief is reducible to credences plus subjects of inquiry</w:t>
      </w:r>
    </w:p>
    <w:p>
      <w:pPr>
        <w:numPr>
          <w:ilvl w:val="0"/>
          <w:numId w:val="1042"/>
        </w:numPr>
        <w:pStyle w:val="Compact"/>
      </w:pPr>
      <w:r>
        <w:t xml:space="preserve">But I don’t think they are reducible to credences alone</w:t>
      </w:r>
    </w:p>
    <w:p>
      <w:pPr>
        <w:numPr>
          <w:ilvl w:val="0"/>
          <w:numId w:val="1042"/>
        </w:numPr>
        <w:pStyle w:val="Compact"/>
      </w:pPr>
      <w:r>
        <w:t xml:space="preserve">Is this dualism or not? I don’t really care.</w:t>
      </w:r>
    </w:p>
    <w:bookmarkEnd w:id="108"/>
    <w:bookmarkEnd w:id="109"/>
    <w:bookmarkStart w:id="123"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10"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3"/>
        </w:numPr>
        <w:pStyle w:val="Compact"/>
      </w:pPr>
      <w:r>
        <w:t xml:space="preserve">In the case where Frankie Lee has no reason to choose one note rather than another, he doesn’t know of any note that it is genuine. And this is surprisingly sceptical.</w:t>
      </w:r>
    </w:p>
    <w:p>
      <w:pPr>
        <w:numPr>
          <w:ilvl w:val="0"/>
          <w:numId w:val="1043"/>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3"/>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10"/>
    <w:bookmarkStart w:id="111"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11"/>
    <w:bookmarkStart w:id="114"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12"/>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13"/>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14"/>
    <w:bookmarkStart w:id="116"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4"/>
        </w:numPr>
        <w:pStyle w:val="Compact"/>
      </w:pPr>
      <w:r>
        <w:t xml:space="preserve">Which option has highest expected utility?</w:t>
      </w:r>
    </w:p>
    <w:p>
      <w:pPr>
        <w:numPr>
          <w:ilvl w:val="0"/>
          <w:numId w:val="1044"/>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15"/>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16"/>
    <w:bookmarkStart w:id="117"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7"/>
    <w:bookmarkStart w:id="120"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5"/>
        </w:numPr>
        <w:pStyle w:val="Compact"/>
      </w:pPr>
      <w:r>
        <w:t xml:space="preserve">Why should we allow this kind of unreflective rule-following in our solution to the regress?</w:t>
      </w:r>
    </w:p>
    <w:p>
      <w:pPr>
        <w:numPr>
          <w:ilvl w:val="0"/>
          <w:numId w:val="1045"/>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8"/>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9"/>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20"/>
    <w:bookmarkStart w:id="122"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21"/>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22"/>
    <w:bookmarkEnd w:id="123"/>
    <w:bookmarkStart w:id="132"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24"/>
      </w:r>
    </w:p>
    <w:bookmarkStart w:id="125"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25"/>
    <w:bookmarkStart w:id="126"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26"/>
    <w:bookmarkStart w:id="12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7"/>
      </w:r>
      <w:r>
        <w:t xml:space="preserve"> </w:t>
      </w:r>
      <w:r>
        <w:t xml:space="preserve">It isn’t extensional adequacy; Dharmottara refuted that 1300 years ago. But it can be expressed using the modern</w:t>
      </w:r>
      <w:r>
        <w:rPr>
          <w:rStyle w:val="FootnoteReference"/>
        </w:rPr>
        <w:footnoteReference w:id="12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6"/>
        </w:numPr>
        <w:pStyle w:val="Compact"/>
      </w:pPr>
      <w:r>
        <w:t xml:space="preserve">S knows that</w:t>
      </w:r>
      <w:r>
        <w:t xml:space="preserve"> </w:t>
      </w:r>
      <w:r>
        <w:rPr>
          <w:iCs/>
          <w:i/>
        </w:rPr>
        <w:t xml:space="preserve">p</w:t>
      </w:r>
      <w:r>
        <w:t xml:space="preserve">.</w:t>
      </w:r>
    </w:p>
    <w:p>
      <w:pPr>
        <w:numPr>
          <w:ilvl w:val="0"/>
          <w:numId w:val="1046"/>
        </w:numPr>
        <w:pStyle w:val="Compact"/>
      </w:pPr>
      <w:r>
        <w:rPr>
          <w:iCs/>
          <w:i/>
        </w:rPr>
        <w:t xml:space="preserve">p</w:t>
      </w:r>
      <w:r>
        <w:t xml:space="preserve">.</w:t>
      </w:r>
    </w:p>
    <w:p>
      <w:pPr>
        <w:numPr>
          <w:ilvl w:val="0"/>
          <w:numId w:val="1046"/>
        </w:numPr>
        <w:pStyle w:val="Compact"/>
      </w:pPr>
      <w:r>
        <w:t xml:space="preserve">S’s attitude to</w:t>
      </w:r>
      <w:r>
        <w:t xml:space="preserve"> </w:t>
      </w:r>
      <w:r>
        <w:rPr>
          <w:iCs/>
          <w:i/>
        </w:rPr>
        <w:t xml:space="preserve">p</w:t>
      </w:r>
      <w:r>
        <w:t xml:space="preserve"> </w:t>
      </w:r>
      <w:r>
        <w:t xml:space="preserve">is rational.</w:t>
      </w:r>
    </w:p>
    <w:p>
      <w:pPr>
        <w:numPr>
          <w:ilvl w:val="0"/>
          <w:numId w:val="1046"/>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9"/>
    <w:bookmarkStart w:id="13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3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31"/>
    <w:bookmarkEnd w:id="132"/>
    <w:bookmarkStart w:id="154"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3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33"/>
      </w:r>
      <w:r>
        <w:t xml:space="preserve"> </w:t>
      </w:r>
      <w:r>
        <w:t xml:space="preserve">They are</w:t>
      </w:r>
    </w:p>
    <w:p>
      <w:pPr>
        <w:numPr>
          <w:ilvl w:val="0"/>
          <w:numId w:val="1047"/>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7"/>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8"/>
        </w:numPr>
        <w:pStyle w:val="Compact"/>
      </w:pPr>
      <w:r>
        <w:t xml:space="preserve">If she declines the bet, nothing happens.</w:t>
      </w:r>
    </w:p>
    <w:p>
      <w:pPr>
        <w:numPr>
          <w:ilvl w:val="0"/>
          <w:numId w:val="1048"/>
        </w:numPr>
        <w:pStyle w:val="Compact"/>
      </w:pPr>
      <w:r>
        <w:t xml:space="preserve">If she accepts the bet, and the Battle of Agincourt was in 1415, she wins $1.</w:t>
      </w:r>
    </w:p>
    <w:p>
      <w:pPr>
        <w:numPr>
          <w:ilvl w:val="0"/>
          <w:numId w:val="1048"/>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9"/>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9"/>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50"/>
        </w:numPr>
        <w:pStyle w:val="Compact"/>
      </w:pPr>
      <w:r>
        <w:t xml:space="preserve">It has been her life goal to lose a billion dollars in a day, so taking the bet strictly dominates not taking it.</w:t>
      </w:r>
    </w:p>
    <w:p>
      <w:pPr>
        <w:numPr>
          <w:ilvl w:val="0"/>
          <w:numId w:val="1050"/>
        </w:numPr>
        <w:pStyle w:val="Compact"/>
      </w:pPr>
      <w:r>
        <w:t xml:space="preserve">She believes (irrationally) that anyone who loses a billion dollars in a day goes to heaven, and she (rationally) values heaven above any monetary amount.</w:t>
      </w:r>
    </w:p>
    <w:p>
      <w:pPr>
        <w:numPr>
          <w:ilvl w:val="0"/>
          <w:numId w:val="1050"/>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34"/>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35"/>
    <w:bookmarkStart w:id="13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1"/>
        </w:numPr>
        <w:pStyle w:val="Compact"/>
      </w:pPr>
      <w:r>
        <w:t xml:space="preserve">At least one of the coin tosses will land either heads or tails.</w:t>
      </w:r>
    </w:p>
    <w:p>
      <w:pPr>
        <w:numPr>
          <w:ilvl w:val="0"/>
          <w:numId w:val="1051"/>
        </w:numPr>
        <w:pStyle w:val="Compact"/>
      </w:pPr>
      <w:r>
        <w:t xml:space="preserve">At least one of the coin tosses will land heads.</w:t>
      </w:r>
    </w:p>
    <w:p>
      <w:pPr>
        <w:numPr>
          <w:ilvl w:val="0"/>
          <w:numId w:val="1051"/>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36"/>
    <w:bookmarkStart w:id="142"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9"/>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40"/>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41"/>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42"/>
    <w:bookmarkStart w:id="148"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43"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2"/>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43"/>
    <w:bookmarkStart w:id="144"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44"/>
    <w:bookmarkStart w:id="145"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45"/>
    <w:bookmarkStart w:id="147"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46"/>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3"/>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4"/>
        </w:numPr>
        <w:pStyle w:val="Compact"/>
      </w:pPr>
      <w:r>
        <w:rPr>
          <w:iCs/>
          <w:i/>
        </w:rPr>
        <w:t xml:space="preserve">S</w:t>
      </w:r>
      <w:r>
        <w:t xml:space="preserve"> </w:t>
      </w:r>
      <w:r>
        <w:t xml:space="preserve">is a rational agent.</w:t>
      </w:r>
    </w:p>
    <w:p>
      <w:pPr>
        <w:numPr>
          <w:ilvl w:val="0"/>
          <w:numId w:val="1054"/>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4"/>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7"/>
    <w:bookmarkEnd w:id="148"/>
    <w:bookmarkStart w:id="153"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49"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9"/>
    <w:bookmarkStart w:id="150"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50"/>
    <w:bookmarkStart w:id="151"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51"/>
    <w:bookmarkStart w:id="152"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52"/>
    <w:bookmarkEnd w:id="153"/>
    <w:bookmarkEnd w:id="154"/>
    <w:bookmarkStart w:id="171" w:name="sec-evidence"/>
    <w:p>
      <w:pPr>
        <w:pStyle w:val="Heading1"/>
      </w:pPr>
      <w:r>
        <w:t xml:space="preserve">9. Evidence</w:t>
      </w:r>
    </w:p>
    <w:bookmarkStart w:id="156"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55"/>
      </w:r>
    </w:p>
    <w:p>
      <w:pPr>
        <w:numPr>
          <w:ilvl w:val="0"/>
          <w:numId w:val="1055"/>
        </w:numPr>
        <w:pStyle w:val="Compact"/>
      </w:pPr>
      <w:r>
        <w:t xml:space="preserve">The red sentence is that two plus two equals four.</w:t>
      </w:r>
    </w:p>
    <w:p>
      <w:pPr>
        <w:numPr>
          <w:ilvl w:val="0"/>
          <w:numId w:val="1055"/>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6"/>
        </w:numPr>
        <w:pStyle w:val="Compact"/>
      </w:pPr>
      <w:r>
        <w:t xml:space="preserve">The red sentence is</w:t>
      </w:r>
      <w:r>
        <w:t xml:space="preserve"> </w:t>
      </w:r>
      <w:r>
        <w:rPr>
          <w:iCs/>
          <w:i/>
        </w:rPr>
        <w:t xml:space="preserve">Two plus two equals four</w:t>
      </w:r>
      <w:r>
        <w:t xml:space="preserve">.</w:t>
      </w:r>
    </w:p>
    <w:p>
      <w:pPr>
        <w:numPr>
          <w:ilvl w:val="0"/>
          <w:numId w:val="1056"/>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7"/>
        </w:numPr>
        <w:pStyle w:val="Compact"/>
      </w:pPr>
      <w:r>
        <w:t xml:space="preserve">The unique rational play for Parveen is Red-True; and</w:t>
      </w:r>
    </w:p>
    <w:p>
      <w:pPr>
        <w:numPr>
          <w:ilvl w:val="0"/>
          <w:numId w:val="1057"/>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56"/>
    <w:bookmarkStart w:id="157"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7"/>
    <w:bookmarkStart w:id="15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58"/>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8"/>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8"/>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9"/>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9"/>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9"/>
    <w:bookmarkStart w:id="164"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60"/>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60"/>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60"/>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60"/>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60"/>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61"/>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62"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62"/>
    <w:bookmarkStart w:id="163"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63"/>
    <w:bookmarkEnd w:id="164"/>
    <w:bookmarkStart w:id="165"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65"/>
    <w:bookmarkStart w:id="166"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1"/>
        </w:numPr>
        <w:pStyle w:val="Compact"/>
      </w:pPr>
      <w:r>
        <w:t xml:space="preserve">Γ ⊨ A</w:t>
      </w:r>
    </w:p>
    <w:p>
      <w:pPr>
        <w:numPr>
          <w:ilvl w:val="0"/>
          <w:numId w:val="1061"/>
        </w:numPr>
        <w:pStyle w:val="Compact"/>
      </w:pPr>
      <w:r>
        <w:t xml:space="preserve">{A} ∪ Δ ⊨ B</w:t>
      </w:r>
    </w:p>
    <w:p>
      <w:pPr>
        <w:numPr>
          <w:ilvl w:val="0"/>
          <w:numId w:val="1061"/>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using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66"/>
    <w:bookmarkStart w:id="167"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67"/>
    <w:bookmarkStart w:id="169"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68"/>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2"/>
        </w:numPr>
        <w:pStyle w:val="Compact"/>
      </w:pPr>
      <w:r>
        <w:t xml:space="preserve">Both signs supply evidence directly to Kate, so her evidence includes that she is on State and that she is on Main.</w:t>
      </w:r>
    </w:p>
    <w:p>
      <w:pPr>
        <w:numPr>
          <w:ilvl w:val="0"/>
          <w:numId w:val="1062"/>
        </w:numPr>
        <w:pStyle w:val="Compact"/>
      </w:pPr>
      <w:r>
        <w:t xml:space="preserve">Neither sign contributes evidence directly to Kate, so her evidence includes what the signs say, but nothing directly about her location.</w:t>
      </w:r>
    </w:p>
    <w:p>
      <w:pPr>
        <w:numPr>
          <w:ilvl w:val="0"/>
          <w:numId w:val="1062"/>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9"/>
    <w:bookmarkStart w:id="170"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70"/>
    <w:bookmarkEnd w:id="171"/>
    <w:bookmarkStart w:id="174"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72"/>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73"/>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74"/>
    <w:bookmarkStart w:id="453" w:name="references"/>
    <w:p>
      <w:pPr>
        <w:pStyle w:val="Heading1"/>
      </w:pPr>
      <w:r>
        <w:t xml:space="preserve">References</w:t>
      </w:r>
    </w:p>
    <w:bookmarkStart w:id="452" w:name="refs"/>
    <w:bookmarkStart w:id="175"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75"/>
    <w:bookmarkStart w:id="176"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76"/>
    <w:bookmarkStart w:id="177"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77"/>
    <w:bookmarkStart w:id="178"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78"/>
    <w:bookmarkStart w:id="179"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9"/>
    <w:bookmarkStart w:id="181"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80">
        <w:r>
          <w:rPr>
            <w:rStyle w:val="Hyperlink"/>
          </w:rPr>
          <w:t xml:space="preserve">https://doi.org/10.1093/analys/anr083</w:t>
        </w:r>
      </w:hyperlink>
      <w:r>
        <w:t xml:space="preserve">.</w:t>
      </w:r>
    </w:p>
    <w:bookmarkEnd w:id="181"/>
    <w:bookmarkStart w:id="183"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82">
        <w:r>
          <w:rPr>
            <w:rStyle w:val="Hyperlink"/>
          </w:rPr>
          <w:t xml:space="preserve">https://doi.org/10.1007/s001820050111</w:t>
        </w:r>
      </w:hyperlink>
      <w:r>
        <w:t xml:space="preserve">.</w:t>
      </w:r>
    </w:p>
    <w:bookmarkEnd w:id="183"/>
    <w:bookmarkStart w:id="184"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84"/>
    <w:bookmarkStart w:id="185" w:name="ref-Bennett2017"/>
    <w:p>
      <w:pPr>
        <w:pStyle w:val="Bibliography"/>
      </w:pPr>
      <w:r>
        <w:t xml:space="preserve">Bennett, Karen. 2017.</w:t>
      </w:r>
      <w:r>
        <w:t xml:space="preserve"> </w:t>
      </w:r>
      <w:r>
        <w:rPr>
          <w:iCs/>
          <w:i/>
        </w:rPr>
        <w:t xml:space="preserve">Making Things up</w:t>
      </w:r>
      <w:r>
        <w:t xml:space="preserve">. Oxford: Oxford University Press.</w:t>
      </w:r>
    </w:p>
    <w:bookmarkEnd w:id="185"/>
    <w:bookmarkStart w:id="186"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86"/>
    <w:bookmarkStart w:id="187"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87"/>
    <w:bookmarkStart w:id="189"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88">
        <w:r>
          <w:rPr>
            <w:rStyle w:val="Hyperlink"/>
          </w:rPr>
          <w:t xml:space="preserve">https://doi.org/10.1111/j.0031-8094.2004.00350.x</w:t>
        </w:r>
      </w:hyperlink>
      <w:r>
        <w:t xml:space="preserve">.</w:t>
      </w:r>
    </w:p>
    <w:bookmarkEnd w:id="189"/>
    <w:bookmarkStart w:id="191"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90">
        <w:r>
          <w:rPr>
            <w:rStyle w:val="Hyperlink"/>
          </w:rPr>
          <w:t xml:space="preserve">https://doi.org/10.1111/j.1933-1592.2009.00280.x</w:t>
        </w:r>
      </w:hyperlink>
      <w:r>
        <w:t xml:space="preserve">.</w:t>
      </w:r>
    </w:p>
    <w:bookmarkEnd w:id="191"/>
    <w:bookmarkStart w:id="193"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92">
        <w:r>
          <w:rPr>
            <w:rStyle w:val="Hyperlink"/>
          </w:rPr>
          <w:t xml:space="preserve">https://doi.org/10.1007/s11229-015-0878-y</w:t>
        </w:r>
      </w:hyperlink>
      <w:r>
        <w:t xml:space="preserve">.</w:t>
      </w:r>
    </w:p>
    <w:bookmarkEnd w:id="193"/>
    <w:bookmarkStart w:id="195"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94">
        <w:r>
          <w:rPr>
            <w:rStyle w:val="Hyperlink"/>
          </w:rPr>
          <w:t xml:space="preserve">https://doi.org/10.1111/j.1468-0262.2008.00835.x</w:t>
        </w:r>
      </w:hyperlink>
      <w:r>
        <w:t xml:space="preserve">.</w:t>
      </w:r>
    </w:p>
    <w:bookmarkEnd w:id="195"/>
    <w:bookmarkStart w:id="197"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96">
        <w:r>
          <w:rPr>
            <w:rStyle w:val="Hyperlink"/>
          </w:rPr>
          <w:t xml:space="preserve">https://plato.stanford.edu/archives/sum2021/entries/philo-larissa/</w:t>
        </w:r>
      </w:hyperlink>
      <w:r>
        <w:t xml:space="preserve">; Metaphysics Research Lab, Stanford University.</w:t>
      </w:r>
    </w:p>
    <w:bookmarkEnd w:id="197"/>
    <w:bookmarkStart w:id="199"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98">
        <w:r>
          <w:rPr>
            <w:rStyle w:val="Hyperlink"/>
          </w:rPr>
          <w:t xml:space="preserve">https://doi.org/10.1111/j.1468-0068.2008.00677.x</w:t>
        </w:r>
      </w:hyperlink>
      <w:r>
        <w:t xml:space="preserve">.</w:t>
      </w:r>
    </w:p>
    <w:bookmarkEnd w:id="199"/>
    <w:bookmarkStart w:id="200" w:name="ref-BuchakRisk"/>
    <w:p>
      <w:pPr>
        <w:pStyle w:val="Bibliography"/>
      </w:pPr>
      <w:r>
        <w:t xml:space="preserve">Buchak, Lara. 2013.</w:t>
      </w:r>
      <w:r>
        <w:t xml:space="preserve"> </w:t>
      </w:r>
      <w:r>
        <w:rPr>
          <w:iCs/>
          <w:i/>
        </w:rPr>
        <w:t xml:space="preserve">Risk and Rationality</w:t>
      </w:r>
      <w:r>
        <w:t xml:space="preserve">. Oxford: Oxford University Press.</w:t>
      </w:r>
    </w:p>
    <w:bookmarkEnd w:id="200"/>
    <w:bookmarkStart w:id="202"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01">
        <w:r>
          <w:rPr>
            <w:rStyle w:val="Hyperlink"/>
          </w:rPr>
          <w:t xml:space="preserve">https://doi.org/10.1257/aer.101.7.2899</w:t>
        </w:r>
      </w:hyperlink>
      <w:r>
        <w:t xml:space="preserve">.</w:t>
      </w:r>
    </w:p>
    <w:bookmarkEnd w:id="202"/>
    <w:bookmarkStart w:id="204"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03">
        <w:r>
          <w:rPr>
            <w:rStyle w:val="Hyperlink"/>
          </w:rPr>
          <w:t xml:space="preserve">https://doi.org/10.2307/2951491</w:t>
        </w:r>
      </w:hyperlink>
      <w:r>
        <w:t xml:space="preserve">.</w:t>
      </w:r>
    </w:p>
    <w:bookmarkEnd w:id="204"/>
    <w:bookmarkStart w:id="20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05">
        <w:r>
          <w:rPr>
            <w:rStyle w:val="Hyperlink"/>
          </w:rPr>
          <w:t xml:space="preserve">https://doi.org/10.1080/00213624.2017.1391594</w:t>
        </w:r>
      </w:hyperlink>
      <w:r>
        <w:t xml:space="preserve">.</w:t>
      </w:r>
    </w:p>
    <w:bookmarkEnd w:id="206"/>
    <w:bookmarkStart w:id="20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07">
        <w:r>
          <w:rPr>
            <w:rStyle w:val="Hyperlink"/>
          </w:rPr>
          <w:t xml:space="preserve">https://doi.org/10.1016/j.jcps.2014.08.002</w:t>
        </w:r>
      </w:hyperlink>
      <w:r>
        <w:t xml:space="preserve">.</w:t>
      </w:r>
    </w:p>
    <w:bookmarkEnd w:id="208"/>
    <w:bookmarkStart w:id="209" w:name="ref-Cherniak1986"/>
    <w:p>
      <w:pPr>
        <w:pStyle w:val="Bibliography"/>
      </w:pPr>
      <w:r>
        <w:t xml:space="preserve">Cherniak, Christopher. 1986.</w:t>
      </w:r>
      <w:r>
        <w:t xml:space="preserve"> </w:t>
      </w:r>
      <w:r>
        <w:rPr>
          <w:iCs/>
          <w:i/>
        </w:rPr>
        <w:t xml:space="preserve">Minimal Rationality</w:t>
      </w:r>
      <w:r>
        <w:t xml:space="preserve">. Cambridge, MA: MIT Press.</w:t>
      </w:r>
    </w:p>
    <w:bookmarkEnd w:id="209"/>
    <w:bookmarkStart w:id="210"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10"/>
    <w:bookmarkStart w:id="211"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11"/>
    <w:bookmarkStart w:id="213"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12">
        <w:r>
          <w:rPr>
            <w:rStyle w:val="Hyperlink"/>
          </w:rPr>
          <w:t xml:space="preserve">http://hdl.handle.net/2027/spo.3521354.0011.006</w:t>
        </w:r>
      </w:hyperlink>
      <w:r>
        <w:t xml:space="preserve">.</w:t>
      </w:r>
    </w:p>
    <w:bookmarkEnd w:id="213"/>
    <w:bookmarkStart w:id="214"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14"/>
    <w:bookmarkStart w:id="215"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15"/>
    <w:bookmarkStart w:id="217"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16">
        <w:r>
          <w:rPr>
            <w:rStyle w:val="Hyperlink"/>
          </w:rPr>
          <w:t xml:space="preserve">https://doi.org/10.1111/j.1933-1592.2002.tb00204.x</w:t>
        </w:r>
      </w:hyperlink>
      <w:r>
        <w:t xml:space="preserve">.</w:t>
      </w:r>
    </w:p>
    <w:bookmarkEnd w:id="217"/>
    <w:bookmarkStart w:id="219"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18">
        <w:r>
          <w:rPr>
            <w:rStyle w:val="Hyperlink"/>
          </w:rPr>
          <w:t xml:space="preserve">https://doi.org/10.1111/j.1533-6077.2004.00040.x</w:t>
        </w:r>
      </w:hyperlink>
      <w:r>
        <w:t xml:space="preserve">.</w:t>
      </w:r>
    </w:p>
    <w:bookmarkEnd w:id="219"/>
    <w:bookmarkStart w:id="220"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20"/>
    <w:bookmarkStart w:id="222"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21">
        <w:r>
          <w:rPr>
            <w:rStyle w:val="Hyperlink"/>
          </w:rPr>
          <w:t xml:space="preserve">https://plato.stanford.edu/archives/spr2018/entries/questions/</w:t>
        </w:r>
      </w:hyperlink>
      <w:r>
        <w:t xml:space="preserve">; Metaphysics Research Lab, Stanford University.</w:t>
      </w:r>
    </w:p>
    <w:bookmarkEnd w:id="222"/>
    <w:bookmarkStart w:id="223"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23"/>
    <w:bookmarkStart w:id="225"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24">
        <w:r>
          <w:rPr>
            <w:rStyle w:val="Hyperlink"/>
          </w:rPr>
          <w:t xml:space="preserve">https://doi.org/10.2307/3182618</w:t>
        </w:r>
      </w:hyperlink>
      <w:r>
        <w:t xml:space="preserve">.</w:t>
      </w:r>
    </w:p>
    <w:bookmarkEnd w:id="225"/>
    <w:bookmarkStart w:id="227"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26">
        <w:r>
          <w:rPr>
            <w:rStyle w:val="Hyperlink"/>
          </w:rPr>
          <w:t xml:space="preserve">http://journal.sjdm.org/8320/jdm8320.pdf</w:t>
        </w:r>
      </w:hyperlink>
      <w:r>
        <w:t xml:space="preserve">.</w:t>
      </w:r>
    </w:p>
    <w:bookmarkEnd w:id="227"/>
    <w:bookmarkStart w:id="228"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28"/>
    <w:bookmarkStart w:id="230"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9">
        <w:r>
          <w:rPr>
            <w:rStyle w:val="Hyperlink"/>
          </w:rPr>
          <w:t xml:space="preserve">https://doi.org/10.3998/ergo.12405314.0002.026</w:t>
        </w:r>
      </w:hyperlink>
      <w:r>
        <w:t xml:space="preserve">.</w:t>
      </w:r>
    </w:p>
    <w:bookmarkEnd w:id="230"/>
    <w:bookmarkStart w:id="231" w:name="ref-Dylan2016"/>
    <w:p>
      <w:pPr>
        <w:pStyle w:val="Bibliography"/>
      </w:pPr>
      <w:r>
        <w:t xml:space="preserve">Dylan, Bob. 2016.</w:t>
      </w:r>
      <w:r>
        <w:t xml:space="preserve"> </w:t>
      </w:r>
      <w:r>
        <w:rPr>
          <w:iCs/>
          <w:i/>
        </w:rPr>
        <w:t xml:space="preserve">The Lyrics: 1961-2012</w:t>
      </w:r>
      <w:r>
        <w:t xml:space="preserve">. New York: Simon &amp; Schuster.</w:t>
      </w:r>
    </w:p>
    <w:bookmarkEnd w:id="231"/>
    <w:bookmarkStart w:id="233"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32">
        <w:r>
          <w:rPr>
            <w:rStyle w:val="Hyperlink"/>
          </w:rPr>
          <w:t xml:space="preserve">https://doi.org/10.1007/s11098-015-0461-x</w:t>
        </w:r>
      </w:hyperlink>
      <w:r>
        <w:t xml:space="preserve">.</w:t>
      </w:r>
    </w:p>
    <w:bookmarkEnd w:id="233"/>
    <w:bookmarkStart w:id="235"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34">
        <w:r>
          <w:rPr>
            <w:rStyle w:val="Hyperlink"/>
          </w:rPr>
          <w:t xml:space="preserve">https://doi.org/10.1007/s11098-008-9225-1</w:t>
        </w:r>
      </w:hyperlink>
      <w:r>
        <w:t xml:space="preserve">.</w:t>
      </w:r>
    </w:p>
    <w:bookmarkEnd w:id="235"/>
    <w:bookmarkStart w:id="236"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36"/>
    <w:bookmarkStart w:id="237"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37"/>
    <w:bookmarkStart w:id="239"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38">
        <w:r>
          <w:rPr>
            <w:rStyle w:val="Hyperlink"/>
          </w:rPr>
          <w:t xml:space="preserve">https://doi.org/10.2307/3182570</w:t>
        </w:r>
      </w:hyperlink>
      <w:r>
        <w:t xml:space="preserve">.</w:t>
      </w:r>
    </w:p>
    <w:bookmarkEnd w:id="239"/>
    <w:bookmarkStart w:id="240"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40"/>
    <w:bookmarkStart w:id="241" w:name="ref-Foley1993"/>
    <w:p>
      <w:pPr>
        <w:pStyle w:val="Bibliography"/>
      </w:pPr>
      <w:r>
        <w:t xml:space="preserve">Foley, Richard. 1993.</w:t>
      </w:r>
      <w:r>
        <w:t xml:space="preserve"> </w:t>
      </w:r>
      <w:r>
        <w:rPr>
          <w:iCs/>
          <w:i/>
        </w:rPr>
        <w:t xml:space="preserve">Working Without a Net</w:t>
      </w:r>
      <w:r>
        <w:t xml:space="preserve">. Oxford: Oxford University Press.</w:t>
      </w:r>
    </w:p>
    <w:bookmarkEnd w:id="241"/>
    <w:bookmarkStart w:id="243"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42">
        <w:r>
          <w:rPr>
            <w:rStyle w:val="Hyperlink"/>
          </w:rPr>
          <w:t xml:space="preserve">https://doi.org/10.1111/nous.12137</w:t>
        </w:r>
      </w:hyperlink>
      <w:r>
        <w:t xml:space="preserve">.</w:t>
      </w:r>
    </w:p>
    <w:bookmarkEnd w:id="243"/>
    <w:bookmarkStart w:id="245"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44">
        <w:r>
          <w:rPr>
            <w:rStyle w:val="Hyperlink"/>
          </w:rPr>
          <w:t xml:space="preserve">https://doi.org/10.1111/phis.12141</w:t>
        </w:r>
      </w:hyperlink>
      <w:r>
        <w:t xml:space="preserve">.</w:t>
      </w:r>
    </w:p>
    <w:bookmarkEnd w:id="245"/>
    <w:bookmarkStart w:id="247"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46">
        <w:r>
          <w:rPr>
            <w:rStyle w:val="Hyperlink"/>
          </w:rPr>
          <w:t xml:space="preserve">https://doi.org/10.1111/nous.12222</w:t>
        </w:r>
      </w:hyperlink>
      <w:r>
        <w:t xml:space="preserve">.</w:t>
      </w:r>
    </w:p>
    <w:bookmarkEnd w:id="247"/>
    <w:bookmarkStart w:id="249"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48">
        <w:r>
          <w:rPr>
            <w:rStyle w:val="Hyperlink"/>
          </w:rPr>
          <w:t xml:space="preserve">https://doi.org/10.1215/00318108-8540918</w:t>
        </w:r>
      </w:hyperlink>
      <w:r>
        <w:t xml:space="preserve">.</w:t>
      </w:r>
    </w:p>
    <w:bookmarkEnd w:id="249"/>
    <w:bookmarkStart w:id="251"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50">
        <w:r>
          <w:rPr>
            <w:rStyle w:val="Hyperlink"/>
          </w:rPr>
          <w:t xml:space="preserve">https://doi.org/10.1007/s11098-007-9133-9</w:t>
        </w:r>
      </w:hyperlink>
      <w:r>
        <w:t xml:space="preserve">.</w:t>
      </w:r>
    </w:p>
    <w:bookmarkEnd w:id="251"/>
    <w:bookmarkStart w:id="252"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52"/>
    <w:bookmarkStart w:id="254"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53">
        <w:r>
          <w:rPr>
            <w:rStyle w:val="Hyperlink"/>
          </w:rPr>
          <w:t xml:space="preserve">https://doi.org/10.1007/s11098-005-7779-8</w:t>
        </w:r>
      </w:hyperlink>
      <w:r>
        <w:t xml:space="preserve">.</w:t>
      </w:r>
    </w:p>
    <w:bookmarkEnd w:id="254"/>
    <w:bookmarkStart w:id="25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55">
        <w:r>
          <w:rPr>
            <w:rStyle w:val="Hyperlink"/>
          </w:rPr>
          <w:t xml:space="preserve">https://doi.org/10.2307/3326922</w:t>
        </w:r>
      </w:hyperlink>
      <w:r>
        <w:t xml:space="preserve">.</w:t>
      </w:r>
    </w:p>
    <w:bookmarkEnd w:id="256"/>
    <w:bookmarkStart w:id="257"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57"/>
    <w:bookmarkStart w:id="259"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58">
        <w:r>
          <w:rPr>
            <w:rStyle w:val="Hyperlink"/>
          </w:rPr>
          <w:t xml:space="preserve">https://doi.org/10.3765/sp.3.4</w:t>
        </w:r>
      </w:hyperlink>
      <w:r>
        <w:t xml:space="preserve">.</w:t>
      </w:r>
    </w:p>
    <w:bookmarkEnd w:id="259"/>
    <w:bookmarkStart w:id="260"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60"/>
    <w:bookmarkStart w:id="261" w:name="ref-Harman1973"/>
    <w:p>
      <w:pPr>
        <w:pStyle w:val="Bibliography"/>
      </w:pPr>
      <w:r>
        <w:t xml:space="preserve">Harman, Gilbert. 1973.</w:t>
      </w:r>
      <w:r>
        <w:t xml:space="preserve"> </w:t>
      </w:r>
      <w:r>
        <w:rPr>
          <w:iCs/>
          <w:i/>
        </w:rPr>
        <w:t xml:space="preserve">Thought</w:t>
      </w:r>
      <w:r>
        <w:t xml:space="preserve">. Princeton: Princeton University Press.</w:t>
      </w:r>
    </w:p>
    <w:bookmarkEnd w:id="261"/>
    <w:bookmarkStart w:id="262" w:name="ref-Harman1986"/>
    <w:p>
      <w:pPr>
        <w:pStyle w:val="Bibliography"/>
      </w:pPr>
      <w:r>
        <w:t xml:space="preserve">———. 1986.</w:t>
      </w:r>
      <w:r>
        <w:t xml:space="preserve"> </w:t>
      </w:r>
      <w:r>
        <w:rPr>
          <w:iCs/>
          <w:i/>
        </w:rPr>
        <w:t xml:space="preserve">Change in View</w:t>
      </w:r>
      <w:r>
        <w:t xml:space="preserve">. Cambridge, MA: Bradford.</w:t>
      </w:r>
    </w:p>
    <w:bookmarkEnd w:id="262"/>
    <w:bookmarkStart w:id="264"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63">
        <w:r>
          <w:rPr>
            <w:rStyle w:val="Hyperlink"/>
          </w:rPr>
          <w:t xml:space="preserve">https://doi.org/10.1007/BF00183199</w:t>
        </w:r>
      </w:hyperlink>
      <w:r>
        <w:t xml:space="preserve">.</w:t>
      </w:r>
    </w:p>
    <w:bookmarkEnd w:id="264"/>
    <w:bookmarkStart w:id="265"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65"/>
    <w:bookmarkStart w:id="267"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66">
        <w:r>
          <w:rPr>
            <w:rStyle w:val="Hyperlink"/>
          </w:rPr>
          <w:t xml:space="preserve">https://doi.org/10.1111/j.1933-1592.2005.tb00540.x</w:t>
        </w:r>
      </w:hyperlink>
      <w:r>
        <w:t xml:space="preserve">.</w:t>
      </w:r>
    </w:p>
    <w:bookmarkEnd w:id="267"/>
    <w:bookmarkStart w:id="269"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68">
        <w:r>
          <w:rPr>
            <w:rStyle w:val="Hyperlink"/>
          </w:rPr>
          <w:t xml:space="preserve">https://doi.org/10.1007/s11098-015-0553-7</w:t>
        </w:r>
      </w:hyperlink>
      <w:r>
        <w:t xml:space="preserve">.</w:t>
      </w:r>
    </w:p>
    <w:bookmarkEnd w:id="269"/>
    <w:bookmarkStart w:id="270"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70"/>
    <w:bookmarkStart w:id="272"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71">
        <w:r>
          <w:rPr>
            <w:rStyle w:val="Hyperlink"/>
          </w:rPr>
          <w:t xml:space="preserve">https://doi.org/10.5840/jphil20081051022</w:t>
        </w:r>
      </w:hyperlink>
      <w:r>
        <w:t xml:space="preserve">.</w:t>
      </w:r>
    </w:p>
    <w:bookmarkEnd w:id="272"/>
    <w:bookmarkStart w:id="274"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73">
        <w:r>
          <w:rPr>
            <w:rStyle w:val="Hyperlink"/>
          </w:rPr>
          <w:t xml:space="preserve">https://doi.org/10.1086/671402</w:t>
        </w:r>
      </w:hyperlink>
      <w:r>
        <w:t xml:space="preserve">.</w:t>
      </w:r>
    </w:p>
    <w:bookmarkEnd w:id="274"/>
    <w:bookmarkStart w:id="276"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75">
        <w:r>
          <w:rPr>
            <w:rStyle w:val="Hyperlink"/>
          </w:rPr>
          <w:t xml:space="preserve">https://doi.org/10.1086/648610</w:t>
        </w:r>
      </w:hyperlink>
      <w:r>
        <w:t xml:space="preserve">.</w:t>
      </w:r>
    </w:p>
    <w:bookmarkEnd w:id="276"/>
    <w:bookmarkStart w:id="278"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77">
        <w:r>
          <w:rPr>
            <w:rStyle w:val="Hyperlink"/>
          </w:rPr>
          <w:t xml:space="preserve">https://doi.org/10.1007/BF00293423</w:t>
        </w:r>
      </w:hyperlink>
      <w:r>
        <w:t xml:space="preserve">.</w:t>
      </w:r>
    </w:p>
    <w:bookmarkEnd w:id="278"/>
    <w:bookmarkStart w:id="280"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79">
        <w:r>
          <w:rPr>
            <w:rStyle w:val="Hyperlink"/>
          </w:rPr>
          <w:t xml:space="preserve">https://doi.org/10.2307/2216304</w:t>
        </w:r>
      </w:hyperlink>
      <w:r>
        <w:t xml:space="preserve">.</w:t>
      </w:r>
    </w:p>
    <w:bookmarkEnd w:id="280"/>
    <w:bookmarkStart w:id="282"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81">
        <w:r>
          <w:rPr>
            <w:rStyle w:val="Hyperlink"/>
          </w:rPr>
          <w:t xml:space="preserve">https://doi.org/10.1111/j.1467-9280.2006.01677.x</w:t>
        </w:r>
      </w:hyperlink>
      <w:r>
        <w:t xml:space="preserve">.</w:t>
      </w:r>
    </w:p>
    <w:bookmarkEnd w:id="282"/>
    <w:bookmarkStart w:id="283" w:name="ref-Jackson1987"/>
    <w:p>
      <w:pPr>
        <w:pStyle w:val="Bibliography"/>
      </w:pPr>
      <w:r>
        <w:t xml:space="preserve">Jackson, Frank. 1987.</w:t>
      </w:r>
      <w:r>
        <w:t xml:space="preserve"> </w:t>
      </w:r>
      <w:r>
        <w:rPr>
          <w:iCs/>
          <w:i/>
        </w:rPr>
        <w:t xml:space="preserve">Conditionals</w:t>
      </w:r>
      <w:r>
        <w:t xml:space="preserve">. Blackwell: Oxford.</w:t>
      </w:r>
    </w:p>
    <w:bookmarkEnd w:id="283"/>
    <w:bookmarkStart w:id="284"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284"/>
    <w:bookmarkStart w:id="285"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85"/>
    <w:bookmarkStart w:id="286"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86"/>
    <w:bookmarkStart w:id="288"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87">
        <w:r>
          <w:rPr>
            <w:rStyle w:val="Hyperlink"/>
          </w:rPr>
          <w:t xml:space="preserve">https://doi.org/10.1111/jere.12070</w:t>
        </w:r>
      </w:hyperlink>
      <w:r>
        <w:t xml:space="preserve">.</w:t>
      </w:r>
    </w:p>
    <w:bookmarkEnd w:id="288"/>
    <w:bookmarkStart w:id="289"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89"/>
    <w:bookmarkStart w:id="291"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90">
        <w:r>
          <w:rPr>
            <w:rStyle w:val="Hyperlink"/>
          </w:rPr>
          <w:t xml:space="preserve">https://doi.org/10.2307/1912320</w:t>
        </w:r>
      </w:hyperlink>
      <w:r>
        <w:t xml:space="preserve">.</w:t>
      </w:r>
    </w:p>
    <w:bookmarkEnd w:id="291"/>
    <w:bookmarkStart w:id="292"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92"/>
    <w:bookmarkStart w:id="294"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93">
        <w:r>
          <w:rPr>
            <w:rStyle w:val="Hyperlink"/>
          </w:rPr>
          <w:t xml:space="preserve">https://doi.org/10.1093/analys/anr129</w:t>
        </w:r>
      </w:hyperlink>
      <w:r>
        <w:t xml:space="preserve">.</w:t>
      </w:r>
    </w:p>
    <w:bookmarkEnd w:id="294"/>
    <w:bookmarkStart w:id="296"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95">
        <w:r>
          <w:rPr>
            <w:rStyle w:val="Hyperlink"/>
          </w:rPr>
          <w:t xml:space="preserve">https://doi.org/10.1111/j.1520-8583.2010.00183.x</w:t>
        </w:r>
      </w:hyperlink>
      <w:r>
        <w:t xml:space="preserve">.</w:t>
      </w:r>
    </w:p>
    <w:bookmarkEnd w:id="296"/>
    <w:bookmarkStart w:id="298"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97">
        <w:r>
          <w:rPr>
            <w:rStyle w:val="Hyperlink"/>
          </w:rPr>
          <w:t xml:space="preserve">https://doi.org/10.1111/phpr.12090</w:t>
        </w:r>
      </w:hyperlink>
      <w:r>
        <w:t xml:space="preserve">.</w:t>
      </w:r>
    </w:p>
    <w:bookmarkEnd w:id="298"/>
    <w:bookmarkStart w:id="300"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99">
        <w:r>
          <w:rPr>
            <w:rStyle w:val="Hyperlink"/>
          </w:rPr>
          <w:t xml:space="preserve">https://doi.org/10.1017/S0012217317000154</w:t>
        </w:r>
      </w:hyperlink>
      <w:r>
        <w:t xml:space="preserve">.</w:t>
      </w:r>
    </w:p>
    <w:bookmarkEnd w:id="300"/>
    <w:bookmarkStart w:id="302"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01">
        <w:r>
          <w:rPr>
            <w:rStyle w:val="Hyperlink"/>
          </w:rPr>
          <w:t xml:space="preserve">https://doi.org/10.1080/05568641.2017.1364142</w:t>
        </w:r>
      </w:hyperlink>
      <w:r>
        <w:t xml:space="preserve">.</w:t>
      </w:r>
    </w:p>
    <w:bookmarkEnd w:id="302"/>
    <w:bookmarkStart w:id="303"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3"/>
    <w:bookmarkStart w:id="305"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04">
        <w:r>
          <w:rPr>
            <w:rStyle w:val="Hyperlink"/>
          </w:rPr>
          <w:t xml:space="preserve">https://doi.org/10.2307/2184045</w:t>
        </w:r>
      </w:hyperlink>
      <w:r>
        <w:t xml:space="preserve">.</w:t>
      </w:r>
    </w:p>
    <w:bookmarkEnd w:id="305"/>
    <w:bookmarkStart w:id="30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06">
        <w:r>
          <w:rPr>
            <w:rStyle w:val="Hyperlink"/>
          </w:rPr>
          <w:t xml:space="preserve">https://doi.org/10.1017/cbo9780511625237.009</w:t>
        </w:r>
      </w:hyperlink>
      <w:r>
        <w:t xml:space="preserve">.</w:t>
      </w:r>
    </w:p>
    <w:bookmarkEnd w:id="307"/>
    <w:bookmarkStart w:id="308" w:name="ref-Lewis1986a"/>
    <w:p>
      <w:pPr>
        <w:pStyle w:val="Bibliography"/>
      </w:pPr>
      <w:r>
        <w:t xml:space="preserve">———. 1986a.</w:t>
      </w:r>
      <w:r>
        <w:t xml:space="preserve"> </w:t>
      </w:r>
      <w:r>
        <w:rPr>
          <w:iCs/>
          <w:i/>
        </w:rPr>
        <w:t xml:space="preserve">On the Plurality of Worlds</w:t>
      </w:r>
      <w:r>
        <w:t xml:space="preserve">. Oxford: Blackwell Publishers.</w:t>
      </w:r>
    </w:p>
    <w:bookmarkEnd w:id="308"/>
    <w:bookmarkStart w:id="310"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09">
        <w:r>
          <w:rPr>
            <w:rStyle w:val="Hyperlink"/>
          </w:rPr>
          <w:t xml:space="preserve">https://doi.org/10.2307/2185051</w:t>
        </w:r>
      </w:hyperlink>
      <w:r>
        <w:t xml:space="preserve">.</w:t>
      </w:r>
    </w:p>
    <w:bookmarkEnd w:id="310"/>
    <w:bookmarkStart w:id="312"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11">
        <w:r>
          <w:rPr>
            <w:rStyle w:val="Hyperlink"/>
          </w:rPr>
          <w:t xml:space="preserve">https://doi.org/10.1093/mind/xcvii.387.323</w:t>
        </w:r>
      </w:hyperlink>
      <w:r>
        <w:t xml:space="preserve">.</w:t>
      </w:r>
    </w:p>
    <w:bookmarkEnd w:id="312"/>
    <w:bookmarkStart w:id="314"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13">
        <w:r>
          <w:rPr>
            <w:rStyle w:val="Hyperlink"/>
          </w:rPr>
          <w:t xml:space="preserve">https://doi.org/10.1093/mind/105.418.303</w:t>
        </w:r>
      </w:hyperlink>
      <w:r>
        <w:t xml:space="preserve">.</w:t>
      </w:r>
    </w:p>
    <w:bookmarkEnd w:id="314"/>
    <w:bookmarkStart w:id="315"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15"/>
    <w:bookmarkStart w:id="317"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6">
        <w:r>
          <w:rPr>
            <w:rStyle w:val="Hyperlink"/>
          </w:rPr>
          <w:t xml:space="preserve">https://doi.org/10.2307/2296233</w:t>
        </w:r>
      </w:hyperlink>
      <w:r>
        <w:t xml:space="preserve">.</w:t>
      </w:r>
    </w:p>
    <w:bookmarkEnd w:id="317"/>
    <w:bookmarkStart w:id="319"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18">
        <w:r>
          <w:rPr>
            <w:rStyle w:val="Hyperlink"/>
          </w:rPr>
          <w:t xml:space="preserve">https://doi.org/10.1111/phpr.12271</w:t>
        </w:r>
      </w:hyperlink>
      <w:r>
        <w:t xml:space="preserve">.</w:t>
      </w:r>
    </w:p>
    <w:bookmarkEnd w:id="319"/>
    <w:bookmarkStart w:id="320"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20"/>
    <w:bookmarkStart w:id="322"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21">
        <w:r>
          <w:rPr>
            <w:rStyle w:val="Hyperlink"/>
          </w:rPr>
          <w:t xml:space="preserve">https://doi.org/10.1086/392759</w:t>
        </w:r>
      </w:hyperlink>
      <w:r>
        <w:t xml:space="preserve">.</w:t>
      </w:r>
    </w:p>
    <w:bookmarkEnd w:id="322"/>
    <w:bookmarkStart w:id="324"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23">
        <w:r>
          <w:rPr>
            <w:rStyle w:val="Hyperlink"/>
          </w:rPr>
          <w:t xml:space="preserve">https://doi.org/10.1086/289906</w:t>
        </w:r>
      </w:hyperlink>
      <w:r>
        <w:t xml:space="preserve">.</w:t>
      </w:r>
    </w:p>
    <w:bookmarkEnd w:id="324"/>
    <w:bookmarkStart w:id="326"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25">
        <w:r>
          <w:rPr>
            <w:rStyle w:val="Hyperlink"/>
          </w:rPr>
          <w:t xml:space="preserve">https://doi.org/10.1007/s11098-010-9542-z</w:t>
        </w:r>
      </w:hyperlink>
      <w:r>
        <w:t xml:space="preserve">.</w:t>
      </w:r>
    </w:p>
    <w:bookmarkEnd w:id="326"/>
    <w:bookmarkStart w:id="328"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27">
        <w:r>
          <w:rPr>
            <w:rStyle w:val="Hyperlink"/>
          </w:rPr>
          <w:t xml:space="preserve">https://doi.org/10.1215/00318108-3878483</w:t>
        </w:r>
      </w:hyperlink>
      <w:r>
        <w:t xml:space="preserve">.</w:t>
      </w:r>
    </w:p>
    <w:bookmarkEnd w:id="328"/>
    <w:bookmarkStart w:id="330"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29">
        <w:r>
          <w:rPr>
            <w:rStyle w:val="Hyperlink"/>
          </w:rPr>
          <w:t xml:space="preserve">https://doi.org/10.1007/s10734-010-9309-7</w:t>
        </w:r>
      </w:hyperlink>
      <w:r>
        <w:t xml:space="preserve">.</w:t>
      </w:r>
    </w:p>
    <w:bookmarkEnd w:id="330"/>
    <w:bookmarkStart w:id="332"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31">
        <w:r>
          <w:rPr>
            <w:rStyle w:val="Hyperlink"/>
          </w:rPr>
          <w:t xml:space="preserve">https://doi.org/10.1007/s11238-017-9592-1</w:t>
        </w:r>
      </w:hyperlink>
      <w:r>
        <w:t xml:space="preserve">.</w:t>
      </w:r>
    </w:p>
    <w:bookmarkEnd w:id="332"/>
    <w:bookmarkStart w:id="334"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33">
        <w:r>
          <w:rPr>
            <w:rStyle w:val="Hyperlink"/>
          </w:rPr>
          <w:t xml:space="preserve">https://doi.org/10.1111/nous.12323</w:t>
        </w:r>
      </w:hyperlink>
      <w:r>
        <w:t xml:space="preserve">.</w:t>
      </w:r>
    </w:p>
    <w:bookmarkEnd w:id="334"/>
    <w:bookmarkStart w:id="335"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35"/>
    <w:bookmarkStart w:id="336"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36"/>
    <w:bookmarkStart w:id="337"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37"/>
    <w:bookmarkStart w:id="339"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38">
        <w:r>
          <w:rPr>
            <w:rStyle w:val="Hyperlink"/>
          </w:rPr>
          <w:t xml:space="preserve">https://doi.org/10.1111/j.1520-8583.2010.00198.x</w:t>
        </w:r>
      </w:hyperlink>
      <w:r>
        <w:t xml:space="preserve">.</w:t>
      </w:r>
    </w:p>
    <w:bookmarkEnd w:id="339"/>
    <w:bookmarkStart w:id="341"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40">
        <w:r>
          <w:rPr>
            <w:rStyle w:val="Hyperlink"/>
          </w:rPr>
          <w:t xml:space="preserve">https://doi.org/10.1080/0020174X.2013.775014</w:t>
        </w:r>
      </w:hyperlink>
      <w:r>
        <w:t xml:space="preserve">.</w:t>
      </w:r>
    </w:p>
    <w:bookmarkEnd w:id="341"/>
    <w:bookmarkStart w:id="342" w:name="ref-Nagel2014"/>
    <w:p>
      <w:pPr>
        <w:pStyle w:val="Bibliography"/>
      </w:pPr>
      <w:r>
        <w:t xml:space="preserve">———. 2014.</w:t>
      </w:r>
      <w:r>
        <w:t xml:space="preserve"> </w:t>
      </w:r>
      <w:r>
        <w:rPr>
          <w:iCs/>
          <w:i/>
        </w:rPr>
        <w:t xml:space="preserve">Knowledge: A Very Short Introduction</w:t>
      </w:r>
      <w:r>
        <w:t xml:space="preserve">. Oxford: Oxford University Press.</w:t>
      </w:r>
    </w:p>
    <w:bookmarkEnd w:id="342"/>
    <w:bookmarkStart w:id="344"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43">
        <w:r>
          <w:rPr>
            <w:rStyle w:val="Hyperlink"/>
          </w:rPr>
          <w:t xml:space="preserve">https://doi.org/10.1111/phpr.12431</w:t>
        </w:r>
      </w:hyperlink>
      <w:r>
        <w:t xml:space="preserve">.</w:t>
      </w:r>
    </w:p>
    <w:bookmarkEnd w:id="344"/>
    <w:bookmarkStart w:id="346"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45">
        <w:r>
          <w:rPr>
            <w:rStyle w:val="Hyperlink"/>
          </w:rPr>
          <w:t xml:space="preserve">https://doi.org/10.1111/j.1933-1592.2007.00069.x</w:t>
        </w:r>
      </w:hyperlink>
      <w:r>
        <w:t xml:space="preserve">.</w:t>
      </w:r>
    </w:p>
    <w:bookmarkEnd w:id="346"/>
    <w:bookmarkStart w:id="348"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47">
        <w:r>
          <w:rPr>
            <w:rStyle w:val="Hyperlink"/>
          </w:rPr>
          <w:t xml:space="preserve">https://doi.org/10.1037/pspp0000141</w:t>
        </w:r>
      </w:hyperlink>
      <w:r>
        <w:t xml:space="preserve">.</w:t>
      </w:r>
    </w:p>
    <w:bookmarkEnd w:id="348"/>
    <w:bookmarkStart w:id="350"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9">
        <w:r>
          <w:rPr>
            <w:rStyle w:val="Hyperlink"/>
          </w:rPr>
          <w:t xml:space="preserve">https://doi.org/10.1016/j.shpsb.2009.08.008</w:t>
        </w:r>
      </w:hyperlink>
      <w:r>
        <w:t xml:space="preserve">.</w:t>
      </w:r>
    </w:p>
    <w:bookmarkEnd w:id="350"/>
    <w:bookmarkStart w:id="351"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51"/>
    <w:bookmarkStart w:id="352"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52"/>
    <w:bookmarkStart w:id="353"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53"/>
    <w:bookmarkStart w:id="355"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54">
        <w:r>
          <w:rPr>
            <w:rStyle w:val="Hyperlink"/>
          </w:rPr>
          <w:t xml:space="preserve">https://doi.org/10.1016/j.mathsocsci.2013.08.005</w:t>
        </w:r>
      </w:hyperlink>
      <w:r>
        <w:t xml:space="preserve">.</w:t>
      </w:r>
    </w:p>
    <w:bookmarkEnd w:id="355"/>
    <w:bookmarkStart w:id="356"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56"/>
    <w:bookmarkStart w:id="358"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57">
        <w:r>
          <w:rPr>
            <w:rStyle w:val="Hyperlink"/>
          </w:rPr>
          <w:t xml:space="preserve">https://sites.google.com/a/nyu.edu/davidpearce/</w:t>
        </w:r>
      </w:hyperlink>
      <w:r>
        <w:t xml:space="preserve">.</w:t>
      </w:r>
    </w:p>
    <w:bookmarkEnd w:id="358"/>
    <w:bookmarkStart w:id="359"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9"/>
    <w:bookmarkStart w:id="361"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60">
        <w:r>
          <w:rPr>
            <w:rStyle w:val="Hyperlink"/>
          </w:rPr>
          <w:t xml:space="preserve">https://doi.org/10.1111/j.1533-6077.2004.00034.x</w:t>
        </w:r>
      </w:hyperlink>
      <w:r>
        <w:t xml:space="preserve">.</w:t>
      </w:r>
    </w:p>
    <w:bookmarkEnd w:id="361"/>
    <w:bookmarkStart w:id="36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62">
        <w:r>
          <w:rPr>
            <w:rStyle w:val="Hyperlink"/>
          </w:rPr>
          <w:t xml:space="preserve">https://doi.org/10.1016/0167-2681(82)90008-7</w:t>
        </w:r>
      </w:hyperlink>
      <w:r>
        <w:t xml:space="preserve">.</w:t>
      </w:r>
    </w:p>
    <w:bookmarkEnd w:id="363"/>
    <w:bookmarkStart w:id="365"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64">
        <w:r>
          <w:rPr>
            <w:rStyle w:val="Hyperlink"/>
          </w:rPr>
          <w:t xml:space="preserve">https://plato.stanford.edu/archives/spr2018/entries/public-reason/</w:t>
        </w:r>
      </w:hyperlink>
      <w:r>
        <w:t xml:space="preserve">; Metaphysics Research Lab, Stanford University.</w:t>
      </w:r>
    </w:p>
    <w:bookmarkEnd w:id="365"/>
    <w:bookmarkStart w:id="36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6"/>
    <w:bookmarkStart w:id="368"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67">
        <w:r>
          <w:rPr>
            <w:rStyle w:val="Hyperlink"/>
          </w:rPr>
          <w:t xml:space="preserve">https://doi.org/10.1257/aer.101.2.900</w:t>
        </w:r>
      </w:hyperlink>
      <w:r>
        <w:t xml:space="preserve">.</w:t>
      </w:r>
    </w:p>
    <w:bookmarkEnd w:id="368"/>
    <w:bookmarkStart w:id="37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9">
        <w:r>
          <w:rPr>
            <w:rStyle w:val="Hyperlink"/>
          </w:rPr>
          <w:t xml:space="preserve">https://doi.org/10.1080/00048408412341601</w:t>
        </w:r>
      </w:hyperlink>
      <w:r>
        <w:t xml:space="preserve">.</w:t>
      </w:r>
    </w:p>
    <w:bookmarkEnd w:id="370"/>
    <w:bookmarkStart w:id="372"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71">
        <w:r>
          <w:rPr>
            <w:rStyle w:val="Hyperlink"/>
          </w:rPr>
          <w:t xml:space="preserve">https://doi.org/10.3765/sp.5.6</w:t>
        </w:r>
      </w:hyperlink>
      <w:r>
        <w:t xml:space="preserve">.</w:t>
      </w:r>
    </w:p>
    <w:bookmarkEnd w:id="372"/>
    <w:bookmarkStart w:id="374"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73">
        <w:r>
          <w:rPr>
            <w:rStyle w:val="Hyperlink"/>
          </w:rPr>
          <w:t xml:space="preserve">https://doi.org/10.1111/j.1933-1592.2011.00552.x</w:t>
        </w:r>
      </w:hyperlink>
      <w:r>
        <w:t xml:space="preserve">.</w:t>
      </w:r>
    </w:p>
    <w:bookmarkEnd w:id="374"/>
    <w:bookmarkStart w:id="375"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75"/>
    <w:bookmarkStart w:id="377"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76">
        <w:r>
          <w:rPr>
            <w:rStyle w:val="Hyperlink"/>
          </w:rPr>
          <w:t xml:space="preserve">https://doi.org/10.1080/00048400802001996</w:t>
        </w:r>
      </w:hyperlink>
      <w:r>
        <w:t xml:space="preserve">.</w:t>
      </w:r>
    </w:p>
    <w:bookmarkEnd w:id="377"/>
    <w:bookmarkStart w:id="379"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78">
        <w:r>
          <w:rPr>
            <w:rStyle w:val="Hyperlink"/>
          </w:rPr>
          <w:t xml:space="preserve">https://doi.org/10.1016/S0004-3702(97)00026-X</w:t>
        </w:r>
      </w:hyperlink>
      <w:r>
        <w:t xml:space="preserve">.</w:t>
      </w:r>
    </w:p>
    <w:bookmarkEnd w:id="379"/>
    <w:bookmarkStart w:id="381"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80">
        <w:r>
          <w:rPr>
            <w:rStyle w:val="Hyperlink"/>
          </w:rPr>
          <w:t xml:space="preserve">https://doi.org/10.1086/288168</w:t>
        </w:r>
      </w:hyperlink>
      <w:r>
        <w:t xml:space="preserve">.</w:t>
      </w:r>
    </w:p>
    <w:bookmarkEnd w:id="381"/>
    <w:bookmarkStart w:id="383"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82">
        <w:r>
          <w:rPr>
            <w:rStyle w:val="Hyperlink"/>
          </w:rPr>
          <w:t xml:space="preserve">https://doi.org/10.1086/651235</w:t>
        </w:r>
      </w:hyperlink>
      <w:r>
        <w:t xml:space="preserve">.</w:t>
      </w:r>
    </w:p>
    <w:bookmarkEnd w:id="383"/>
    <w:bookmarkStart w:id="385"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84">
        <w:r>
          <w:rPr>
            <w:rStyle w:val="Hyperlink"/>
          </w:rPr>
          <w:t xml:space="preserve">https://doi.org/10.1111/nous.12006</w:t>
        </w:r>
      </w:hyperlink>
      <w:r>
        <w:t xml:space="preserve">.</w:t>
      </w:r>
    </w:p>
    <w:bookmarkEnd w:id="385"/>
    <w:bookmarkStart w:id="387"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86">
        <w:r>
          <w:rPr>
            <w:rStyle w:val="Hyperlink"/>
          </w:rPr>
          <w:t xml:space="preserve">https://doi.org/10.1007/s11098-008-9200-x</w:t>
        </w:r>
      </w:hyperlink>
      <w:r>
        <w:t xml:space="preserve">.</w:t>
      </w:r>
    </w:p>
    <w:bookmarkEnd w:id="387"/>
    <w:bookmarkStart w:id="388"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88"/>
    <w:bookmarkStart w:id="390"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9">
        <w:r>
          <w:rPr>
            <w:rStyle w:val="Hyperlink"/>
          </w:rPr>
          <w:t xml:space="preserve">https://doi.org/10.1037/0022-3514.83.5.1178</w:t>
        </w:r>
      </w:hyperlink>
      <w:r>
        <w:t xml:space="preserve">.</w:t>
      </w:r>
    </w:p>
    <w:bookmarkEnd w:id="390"/>
    <w:bookmarkStart w:id="392"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91">
        <w:r>
          <w:rPr>
            <w:rStyle w:val="Hyperlink"/>
          </w:rPr>
          <w:t xml:space="preserve">https://doi.org/10.1215/00318108-2007-037</w:t>
        </w:r>
      </w:hyperlink>
      <w:r>
        <w:t xml:space="preserve">.</w:t>
      </w:r>
    </w:p>
    <w:bookmarkEnd w:id="392"/>
    <w:bookmarkStart w:id="394"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93">
        <w:r>
          <w:rPr>
            <w:rStyle w:val="Hyperlink"/>
          </w:rPr>
          <w:t xml:space="preserve">https://doi.org/10.1111/j.1468-0017.2010.01394.x</w:t>
        </w:r>
      </w:hyperlink>
      <w:r>
        <w:t xml:space="preserve">.</w:t>
      </w:r>
    </w:p>
    <w:bookmarkEnd w:id="394"/>
    <w:bookmarkStart w:id="396"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95">
        <w:r>
          <w:rPr>
            <w:rStyle w:val="Hyperlink"/>
          </w:rPr>
          <w:t xml:space="preserve">https://doi.org/10.1111/nous.12254</w:t>
        </w:r>
      </w:hyperlink>
      <w:r>
        <w:t xml:space="preserve">.</w:t>
      </w:r>
    </w:p>
    <w:bookmarkEnd w:id="396"/>
    <w:bookmarkStart w:id="397" w:name="ref-Stalnaker1984"/>
    <w:p>
      <w:pPr>
        <w:pStyle w:val="Bibliography"/>
      </w:pPr>
      <w:r>
        <w:t xml:space="preserve">Stalnaker, Robert. 1984.</w:t>
      </w:r>
      <w:r>
        <w:t xml:space="preserve"> </w:t>
      </w:r>
      <w:r>
        <w:rPr>
          <w:iCs/>
          <w:i/>
        </w:rPr>
        <w:t xml:space="preserve">Inquiry</w:t>
      </w:r>
      <w:r>
        <w:t xml:space="preserve">. Cambridge, MA: MIT Press.</w:t>
      </w:r>
    </w:p>
    <w:bookmarkEnd w:id="397"/>
    <w:bookmarkStart w:id="399"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398">
        <w:r>
          <w:rPr>
            <w:rStyle w:val="Hyperlink"/>
          </w:rPr>
          <w:t xml:space="preserve">https://doi.org/10.1007/BF01079205</w:t>
        </w:r>
      </w:hyperlink>
      <w:r>
        <w:t xml:space="preserve">.</w:t>
      </w:r>
    </w:p>
    <w:bookmarkEnd w:id="399"/>
    <w:bookmarkStart w:id="401"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00">
        <w:r>
          <w:rPr>
            <w:rStyle w:val="Hyperlink"/>
          </w:rPr>
          <w:t xml:space="preserve">https://doi.org/10.1017/S0266267100004132</w:t>
        </w:r>
      </w:hyperlink>
      <w:r>
        <w:t xml:space="preserve">.</w:t>
      </w:r>
    </w:p>
    <w:bookmarkEnd w:id="401"/>
    <w:bookmarkStart w:id="403"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02">
        <w:r>
          <w:rPr>
            <w:rStyle w:val="Hyperlink"/>
          </w:rPr>
          <w:t xml:space="preserve">https://doi.org/10.1016/S0165-4896(98)00007-9</w:t>
        </w:r>
      </w:hyperlink>
      <w:r>
        <w:t xml:space="preserve">.</w:t>
      </w:r>
    </w:p>
    <w:bookmarkEnd w:id="403"/>
    <w:bookmarkStart w:id="405"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04">
        <w:r>
          <w:rPr>
            <w:rStyle w:val="Hyperlink"/>
          </w:rPr>
          <w:t xml:space="preserve">https://doi.org/10.1006/reec.1999.0200</w:t>
        </w:r>
      </w:hyperlink>
      <w:r>
        <w:t xml:space="preserve">.</w:t>
      </w:r>
    </w:p>
    <w:bookmarkEnd w:id="405"/>
    <w:bookmarkStart w:id="40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06"/>
    <w:bookmarkStart w:id="407" w:name="ref-Stanley2011"/>
    <w:p>
      <w:pPr>
        <w:pStyle w:val="Bibliography"/>
      </w:pPr>
      <w:r>
        <w:t xml:space="preserve">———. 2011.</w:t>
      </w:r>
      <w:r>
        <w:t xml:space="preserve"> </w:t>
      </w:r>
      <w:r>
        <w:rPr>
          <w:iCs/>
          <w:i/>
        </w:rPr>
        <w:t xml:space="preserve">Know How</w:t>
      </w:r>
      <w:r>
        <w:t xml:space="preserve">. Oxford: Oxford University Press.</w:t>
      </w:r>
    </w:p>
    <w:bookmarkEnd w:id="407"/>
    <w:bookmarkStart w:id="408"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08"/>
    <w:bookmarkStart w:id="410"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09">
        <w:r>
          <w:rPr>
            <w:rStyle w:val="Hyperlink"/>
          </w:rPr>
          <w:t xml:space="preserve">https://doi.org/10.1111/phpr.12191</w:t>
        </w:r>
      </w:hyperlink>
      <w:r>
        <w:t xml:space="preserve">.</w:t>
      </w:r>
    </w:p>
    <w:bookmarkEnd w:id="410"/>
    <w:bookmarkStart w:id="411"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11"/>
    <w:bookmarkStart w:id="413"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12">
        <w:r>
          <w:rPr>
            <w:rStyle w:val="Hyperlink"/>
          </w:rPr>
          <w:t xml:space="preserve">https://doi.org/10.1111/j.1520-8583.2005.00068.x</w:t>
        </w:r>
      </w:hyperlink>
      <w:r>
        <w:t xml:space="preserve">.</w:t>
      </w:r>
    </w:p>
    <w:bookmarkEnd w:id="413"/>
    <w:bookmarkStart w:id="415"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14">
        <w:r>
          <w:rPr>
            <w:rStyle w:val="Hyperlink"/>
          </w:rPr>
          <w:t xml:space="preserve">https://doi.org/10.1007/s11098-004-5218-x</w:t>
        </w:r>
      </w:hyperlink>
      <w:r>
        <w:t xml:space="preserve">.</w:t>
      </w:r>
    </w:p>
    <w:bookmarkEnd w:id="415"/>
    <w:bookmarkStart w:id="417"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16">
        <w:r>
          <w:rPr>
            <w:rStyle w:val="Hyperlink"/>
          </w:rPr>
          <w:t xml:space="preserve">https://doi.org/10.5840/logos-episteme2011248</w:t>
        </w:r>
      </w:hyperlink>
      <w:r>
        <w:t xml:space="preserve">.</w:t>
      </w:r>
    </w:p>
    <w:bookmarkEnd w:id="417"/>
    <w:bookmarkStart w:id="418"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18"/>
    <w:bookmarkStart w:id="420"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19">
        <w:r>
          <w:rPr>
            <w:rStyle w:val="Hyperlink"/>
          </w:rPr>
          <w:t xml:space="preserve">https://doi.org/10.1111/phpr.12088</w:t>
        </w:r>
      </w:hyperlink>
      <w:r>
        <w:t xml:space="preserve">.</w:t>
      </w:r>
    </w:p>
    <w:bookmarkEnd w:id="420"/>
    <w:bookmarkStart w:id="421"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21"/>
    <w:bookmarkStart w:id="422"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22"/>
    <w:bookmarkStart w:id="423"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23"/>
    <w:bookmarkStart w:id="424" w:name="ref-Weatherson2019"/>
    <w:p>
      <w:pPr>
        <w:pStyle w:val="Bibliography"/>
      </w:pPr>
      <w:r>
        <w:t xml:space="preserve">———. 2019.</w:t>
      </w:r>
      <w:r>
        <w:t xml:space="preserve"> </w:t>
      </w:r>
      <w:r>
        <w:rPr>
          <w:iCs/>
          <w:i/>
        </w:rPr>
        <w:t xml:space="preserve">Normative Externalism</w:t>
      </w:r>
      <w:r>
        <w:t xml:space="preserve">. Oxford: Oxford University Press.</w:t>
      </w:r>
    </w:p>
    <w:bookmarkEnd w:id="424"/>
    <w:bookmarkStart w:id="426"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25">
        <w:r>
          <w:rPr>
            <w:rStyle w:val="Hyperlink"/>
          </w:rPr>
          <w:t xml:space="preserve">https://doi.org/10.1111/j.1933-1592.2010.00448.x</w:t>
        </w:r>
      </w:hyperlink>
      <w:r>
        <w:t xml:space="preserve">.</w:t>
      </w:r>
    </w:p>
    <w:bookmarkEnd w:id="426"/>
    <w:bookmarkStart w:id="428"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27">
        <w:r>
          <w:rPr>
            <w:rStyle w:val="Hyperlink"/>
          </w:rPr>
          <w:t xml:space="preserve">https://doi.org/2027/spo.3521354.0013.022</w:t>
        </w:r>
      </w:hyperlink>
      <w:r>
        <w:t xml:space="preserve">.</w:t>
      </w:r>
    </w:p>
    <w:bookmarkEnd w:id="428"/>
    <w:bookmarkStart w:id="429"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29"/>
    <w:bookmarkStart w:id="431"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30">
        <w:r>
          <w:rPr>
            <w:rStyle w:val="Hyperlink"/>
          </w:rPr>
          <w:t xml:space="preserve">https://doi.org/10.1111/j.1520-8583.2005.00069.x</w:t>
        </w:r>
      </w:hyperlink>
      <w:r>
        <w:t xml:space="preserve">.</w:t>
      </w:r>
    </w:p>
    <w:bookmarkEnd w:id="431"/>
    <w:bookmarkStart w:id="432"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32"/>
    <w:bookmarkStart w:id="433" w:name="ref-Williamson1994"/>
    <w:p>
      <w:pPr>
        <w:pStyle w:val="Bibliography"/>
      </w:pPr>
      <w:r>
        <w:t xml:space="preserve">Williamson, Timothy. 1994.</w:t>
      </w:r>
      <w:r>
        <w:t xml:space="preserve"> </w:t>
      </w:r>
      <w:r>
        <w:rPr>
          <w:iCs/>
          <w:i/>
        </w:rPr>
        <w:t xml:space="preserve">Vagueness</w:t>
      </w:r>
      <w:r>
        <w:t xml:space="preserve">. New York: Routledge.</w:t>
      </w:r>
    </w:p>
    <w:bookmarkEnd w:id="433"/>
    <w:bookmarkStart w:id="434" w:name="ref-Williamson2000"/>
    <w:p>
      <w:pPr>
        <w:pStyle w:val="Bibliography"/>
      </w:pPr>
      <w:r>
        <w:t xml:space="preserve">———. 2000.</w:t>
      </w:r>
      <w:r>
        <w:t xml:space="preserve"> </w:t>
      </w:r>
      <w:r>
        <w:rPr>
          <w:iCs/>
          <w:i/>
        </w:rPr>
        <w:t xml:space="preserve">Knowledge and its Limits</w:t>
      </w:r>
      <w:r>
        <w:t xml:space="preserve">. Oxford University Press.</w:t>
      </w:r>
    </w:p>
    <w:bookmarkEnd w:id="434"/>
    <w:bookmarkStart w:id="436"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35">
        <w:r>
          <w:rPr>
            <w:rStyle w:val="Hyperlink"/>
          </w:rPr>
          <w:t xml:space="preserve">https://doi.org/10.1111/j.0031-8094.2005.00396.x</w:t>
        </w:r>
      </w:hyperlink>
      <w:r>
        <w:t xml:space="preserve">.</w:t>
      </w:r>
    </w:p>
    <w:bookmarkEnd w:id="436"/>
    <w:bookmarkStart w:id="438"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37">
        <w:r>
          <w:rPr>
            <w:rStyle w:val="Hyperlink"/>
          </w:rPr>
          <w:t xml:space="preserve">https://doi.org/10.1111/j.1467-8284.2007.00671.x</w:t>
        </w:r>
      </w:hyperlink>
      <w:r>
        <w:t xml:space="preserve">.</w:t>
      </w:r>
    </w:p>
    <w:bookmarkEnd w:id="438"/>
    <w:bookmarkStart w:id="440"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39">
        <w:r>
          <w:rPr>
            <w:rStyle w:val="Hyperlink"/>
          </w:rPr>
          <w:t xml:space="preserve">https://doi.org/10.1080/0020174X.2013.775010</w:t>
        </w:r>
      </w:hyperlink>
      <w:r>
        <w:t xml:space="preserve">.</w:t>
      </w:r>
    </w:p>
    <w:bookmarkEnd w:id="440"/>
    <w:bookmarkStart w:id="441"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41"/>
    <w:bookmarkStart w:id="442"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42"/>
    <w:bookmarkStart w:id="443" w:name="ref-Woodard2021"/>
    <w:p>
      <w:pPr>
        <w:pStyle w:val="Bibliography"/>
      </w:pPr>
      <w:r>
        <w:t xml:space="preserve">Woodard, Elise. 2020.</w:t>
      </w:r>
      <w:r>
        <w:t xml:space="preserve"> </w:t>
      </w:r>
      <w:r>
        <w:t xml:space="preserve">“Why Double-Check.”</w:t>
      </w:r>
    </w:p>
    <w:bookmarkEnd w:id="443"/>
    <w:bookmarkStart w:id="445"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44">
        <w:r>
          <w:rPr>
            <w:rStyle w:val="Hyperlink"/>
          </w:rPr>
          <w:t xml:space="preserve">https://doi.org/10.1111/j.1933-1592.2002.tb00205.x</w:t>
        </w:r>
      </w:hyperlink>
      <w:r>
        <w:t xml:space="preserve">.</w:t>
      </w:r>
    </w:p>
    <w:bookmarkEnd w:id="445"/>
    <w:bookmarkStart w:id="446"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46"/>
    <w:bookmarkStart w:id="448"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47">
        <w:r>
          <w:rPr>
            <w:rStyle w:val="Hyperlink"/>
          </w:rPr>
          <w:t xml:space="preserve">https://doi.org/10.1111/phpr.12330</w:t>
        </w:r>
      </w:hyperlink>
      <w:r>
        <w:t xml:space="preserve">.</w:t>
      </w:r>
    </w:p>
    <w:bookmarkEnd w:id="448"/>
    <w:bookmarkStart w:id="449"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49"/>
    <w:bookmarkStart w:id="451"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50">
        <w:r>
          <w:rPr>
            <w:rStyle w:val="Hyperlink"/>
          </w:rPr>
          <w:t xml:space="preserve">https://doi.org/10.1007/s11098-016-0631-5</w:t>
        </w:r>
      </w:hyperlink>
      <w:r>
        <w:t xml:space="preserve">.</w:t>
      </w:r>
    </w:p>
    <w:bookmarkEnd w:id="451"/>
    <w:bookmarkEnd w:id="452"/>
    <w:bookmarkEnd w:id="4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Charles Brittain’s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Brittain’s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8">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4">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6">
    <w:p>
      <w:pPr>
        <w:pStyle w:val="FootnoteText"/>
      </w:pPr>
      <w:r>
        <w:rPr>
          <w:rStyle w:val="FootnoteReference"/>
        </w:rPr>
        <w:footnoteRef/>
      </w:r>
      <w:r>
        <w:t xml:space="preserve"> </w:t>
      </w:r>
      <w:r>
        <w:t xml:space="preserve">I was first convinced of this by conversations with Tom Donaldson some years back.</w:t>
      </w:r>
    </w:p>
  </w:footnote>
  <w:footnote w:id="48">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2">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4">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5">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7">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59">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1">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2">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4">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5">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6">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7">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8">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0">
    <w:p>
      <w:pPr>
        <w:pStyle w:val="FootnoteText"/>
      </w:pPr>
      <w:r>
        <w:rPr>
          <w:rStyle w:val="FootnoteReference"/>
        </w:rPr>
        <w:footnoteRef/>
      </w:r>
      <w:r>
        <w:t xml:space="preserve"> </w:t>
      </w:r>
      <w:r>
        <w:t xml:space="preserve">Fantl and McGrath (2009)</w:t>
      </w:r>
      <w:r>
        <w:t xml:space="preserve"> </w:t>
      </w:r>
      <w:r>
        <w:t xml:space="preserve">make a similar argument, targetted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5">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78">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1">
    <w:p>
      <w:pPr>
        <w:pStyle w:val="FootnoteText"/>
      </w:pPr>
      <w:r>
        <w:rPr>
          <w:rStyle w:val="FootnoteReference"/>
        </w:rPr>
        <w:footnoteRef/>
      </w:r>
      <w:r>
        <w:t xml:space="preserve"> </w:t>
      </w:r>
      <w:r>
        <w:t xml:space="preserve">This section is based on §1.1 of my</w:t>
      </w:r>
      <w:r>
        <w:t xml:space="preserve"> </w:t>
      </w:r>
      <w:r>
        <w:t xml:space="preserve">(2012)</w:t>
      </w:r>
      <w:r>
        <w:t xml:space="preserve">.</w:t>
      </w:r>
    </w:p>
  </w:footnote>
  <w:footnote w:id="82">
    <w:p>
      <w:pPr>
        <w:pStyle w:val="FootnoteText"/>
      </w:pPr>
      <w:r>
        <w:rPr>
          <w:rStyle w:val="FootnoteReference"/>
        </w:rPr>
        <w:footnoteRef/>
      </w:r>
      <w:r>
        <w:t xml:space="preserve"> </w:t>
      </w:r>
      <w:r>
        <w:t xml:space="preserve">The cases I’ll discuss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also raise problems for this proposal. And the proposal is very similar to the theory I’ll call IRT-CP in</w:t>
      </w:r>
      <w:r>
        <w:t xml:space="preserve"> </w:t>
      </w:r>
      <w:hyperlink w:anchor="sec-ties">
        <w:r>
          <w:rPr>
            <w:rStyle w:val="Hyperlink"/>
          </w:rPr>
          <w:t xml:space="preserve">chapter 6</w:t>
        </w:r>
      </w:hyperlink>
      <w:r>
        <w:t xml:space="preserve">, a theory that has trouble dealing with situations involving close calls.</w:t>
      </w:r>
    </w:p>
  </w:footnote>
  <w:footnote w:id="84">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86">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 do endorse single premise closure.</w:t>
      </w:r>
    </w:p>
  </w:footnote>
  <w:footnote w:id="88">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9">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94">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95">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04">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12">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13">
    <w:p>
      <w:pPr>
        <w:pStyle w:val="FootnoteText"/>
      </w:pPr>
      <w:r>
        <w:rPr>
          <w:rStyle w:val="FootnoteReference"/>
        </w:rPr>
        <w:footnoteRef/>
      </w:r>
      <w:r>
        <w:t xml:space="preserve"> </w:t>
      </w:r>
      <w:r>
        <w:t xml:space="preserve">This is true of milk in Australian supermarkets, but not, typically, in American supermarkets.</w:t>
      </w:r>
    </w:p>
  </w:footnote>
  <w:footnote w:id="115">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8">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9">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21">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24">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2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3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3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3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3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9">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40">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41">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46">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55">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58">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60">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61">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68">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72">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73">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2" Target="http://hdl.handle.net/2027/spo.3521354.0011.006" TargetMode="External" /><Relationship Type="http://schemas.openxmlformats.org/officeDocument/2006/relationships/hyperlink" Id="rId226" Target="http://journal.sjdm.org/8320/jdm8320.pdf" TargetMode="External" /><Relationship Type="http://schemas.openxmlformats.org/officeDocument/2006/relationships/hyperlink" Id="rId404" Target="https://doi.org/10.1006/reec.1999.0200" TargetMode="External" /><Relationship Type="http://schemas.openxmlformats.org/officeDocument/2006/relationships/hyperlink" Id="rId263" Target="https://doi.org/10.1007/BF00183199" TargetMode="External" /><Relationship Type="http://schemas.openxmlformats.org/officeDocument/2006/relationships/hyperlink" Id="rId277" Target="https://doi.org/10.1007/BF00293423" TargetMode="External" /><Relationship Type="http://schemas.openxmlformats.org/officeDocument/2006/relationships/hyperlink" Id="rId398" Target="https://doi.org/10.1007/BF01079205" TargetMode="External" /><Relationship Type="http://schemas.openxmlformats.org/officeDocument/2006/relationships/hyperlink" Id="rId182" Target="https://doi.org/10.1007/s001820050111" TargetMode="External" /><Relationship Type="http://schemas.openxmlformats.org/officeDocument/2006/relationships/hyperlink" Id="rId329" Target="https://doi.org/10.1007/s10734-010-9309-7" TargetMode="External" /><Relationship Type="http://schemas.openxmlformats.org/officeDocument/2006/relationships/hyperlink" Id="rId414" Target="https://doi.org/10.1007/s11098-004-5218-x" TargetMode="External" /><Relationship Type="http://schemas.openxmlformats.org/officeDocument/2006/relationships/hyperlink" Id="rId253" Target="https://doi.org/10.1007/s11098-005-7779-8" TargetMode="External" /><Relationship Type="http://schemas.openxmlformats.org/officeDocument/2006/relationships/hyperlink" Id="rId250" Target="https://doi.org/10.1007/s11098-007-9133-9" TargetMode="External" /><Relationship Type="http://schemas.openxmlformats.org/officeDocument/2006/relationships/hyperlink" Id="rId386" Target="https://doi.org/10.1007/s11098-008-9200-x" TargetMode="External" /><Relationship Type="http://schemas.openxmlformats.org/officeDocument/2006/relationships/hyperlink" Id="rId234" Target="https://doi.org/10.1007/s11098-008-9225-1" TargetMode="External" /><Relationship Type="http://schemas.openxmlformats.org/officeDocument/2006/relationships/hyperlink" Id="rId325" Target="https://doi.org/10.1007/s11098-010-9542-z" TargetMode="External" /><Relationship Type="http://schemas.openxmlformats.org/officeDocument/2006/relationships/hyperlink" Id="rId232" Target="https://doi.org/10.1007/s11098-015-0461-x" TargetMode="External" /><Relationship Type="http://schemas.openxmlformats.org/officeDocument/2006/relationships/hyperlink" Id="rId268" Target="https://doi.org/10.1007/s11098-015-0553-7" TargetMode="External" /><Relationship Type="http://schemas.openxmlformats.org/officeDocument/2006/relationships/hyperlink" Id="rId450" Target="https://doi.org/10.1007/s11098-016-0631-5" TargetMode="External" /><Relationship Type="http://schemas.openxmlformats.org/officeDocument/2006/relationships/hyperlink" Id="rId192" Target="https://doi.org/10.1007/s11229-015-0878-y" TargetMode="External" /><Relationship Type="http://schemas.openxmlformats.org/officeDocument/2006/relationships/hyperlink" Id="rId331" Target="https://doi.org/10.1007/s11238-017-9592-1" TargetMode="External" /><Relationship Type="http://schemas.openxmlformats.org/officeDocument/2006/relationships/hyperlink" Id="rId362" Target="https://doi.org/10.1016/0167-2681(82)90008-7" TargetMode="External" /><Relationship Type="http://schemas.openxmlformats.org/officeDocument/2006/relationships/hyperlink" Id="rId378" Target="https://doi.org/10.1016/S0004-3702(97)00026-X" TargetMode="External" /><Relationship Type="http://schemas.openxmlformats.org/officeDocument/2006/relationships/hyperlink" Id="rId402" Target="https://doi.org/10.1016/S0165-4896(98)00007-9" TargetMode="External" /><Relationship Type="http://schemas.openxmlformats.org/officeDocument/2006/relationships/hyperlink" Id="rId207" Target="https://doi.org/10.1016/j.jcps.2014.08.002" TargetMode="External" /><Relationship Type="http://schemas.openxmlformats.org/officeDocument/2006/relationships/hyperlink" Id="rId354" Target="https://doi.org/10.1016/j.mathsocsci.2013.08.005" TargetMode="External" /><Relationship Type="http://schemas.openxmlformats.org/officeDocument/2006/relationships/hyperlink" Id="rId349" Target="https://doi.org/10.1016/j.shpsb.2009.08.008" TargetMode="External" /><Relationship Type="http://schemas.openxmlformats.org/officeDocument/2006/relationships/hyperlink" Id="rId299" Target="https://doi.org/10.1017/S0012217317000154" TargetMode="External" /><Relationship Type="http://schemas.openxmlformats.org/officeDocument/2006/relationships/hyperlink" Id="rId400" Target="https://doi.org/10.1017/S0266267100004132" TargetMode="External" /><Relationship Type="http://schemas.openxmlformats.org/officeDocument/2006/relationships/hyperlink" Id="rId306" Target="https://doi.org/10.1017/cbo9780511625237.009" TargetMode="External" /><Relationship Type="http://schemas.openxmlformats.org/officeDocument/2006/relationships/hyperlink" Id="rId389" Target="https://doi.org/10.1037/0022-3514.83.5.1178" TargetMode="External" /><Relationship Type="http://schemas.openxmlformats.org/officeDocument/2006/relationships/hyperlink" Id="rId347" Target="https://doi.org/10.1037/pspp0000141" TargetMode="External" /><Relationship Type="http://schemas.openxmlformats.org/officeDocument/2006/relationships/hyperlink" Id="rId376" Target="https://doi.org/10.1080/00048400802001996" TargetMode="External" /><Relationship Type="http://schemas.openxmlformats.org/officeDocument/2006/relationships/hyperlink" Id="rId369" Target="https://doi.org/10.1080/00048408412341601" TargetMode="External" /><Relationship Type="http://schemas.openxmlformats.org/officeDocument/2006/relationships/hyperlink" Id="rId439" Target="https://doi.org/10.1080/0020174X.2013.775010" TargetMode="External" /><Relationship Type="http://schemas.openxmlformats.org/officeDocument/2006/relationships/hyperlink" Id="rId340" Target="https://doi.org/10.1080/0020174X.2013.775014" TargetMode="External" /><Relationship Type="http://schemas.openxmlformats.org/officeDocument/2006/relationships/hyperlink" Id="rId205" Target="https://doi.org/10.1080/00213624.2017.1391594" TargetMode="External" /><Relationship Type="http://schemas.openxmlformats.org/officeDocument/2006/relationships/hyperlink" Id="rId301" Target="https://doi.org/10.1080/05568641.2017.1364142" TargetMode="External" /><Relationship Type="http://schemas.openxmlformats.org/officeDocument/2006/relationships/hyperlink" Id="rId380" Target="https://doi.org/10.1086/288168" TargetMode="External" /><Relationship Type="http://schemas.openxmlformats.org/officeDocument/2006/relationships/hyperlink" Id="rId323" Target="https://doi.org/10.1086/289906" TargetMode="External" /><Relationship Type="http://schemas.openxmlformats.org/officeDocument/2006/relationships/hyperlink" Id="rId321" Target="https://doi.org/10.1086/392759" TargetMode="External" /><Relationship Type="http://schemas.openxmlformats.org/officeDocument/2006/relationships/hyperlink" Id="rId275" Target="https://doi.org/10.1086/648610" TargetMode="External" /><Relationship Type="http://schemas.openxmlformats.org/officeDocument/2006/relationships/hyperlink" Id="rId382" Target="https://doi.org/10.1086/651235" TargetMode="External" /><Relationship Type="http://schemas.openxmlformats.org/officeDocument/2006/relationships/hyperlink" Id="rId273" Target="https://doi.org/10.1086/671402" TargetMode="External" /><Relationship Type="http://schemas.openxmlformats.org/officeDocument/2006/relationships/hyperlink" Id="rId180" Target="https://doi.org/10.1093/analys/anr083" TargetMode="External" /><Relationship Type="http://schemas.openxmlformats.org/officeDocument/2006/relationships/hyperlink" Id="rId293" Target="https://doi.org/10.1093/analys/anr129" TargetMode="External" /><Relationship Type="http://schemas.openxmlformats.org/officeDocument/2006/relationships/hyperlink" Id="rId313" Target="https://doi.org/10.1093/mind/105.418.303" TargetMode="External" /><Relationship Type="http://schemas.openxmlformats.org/officeDocument/2006/relationships/hyperlink" Id="rId311" Target="https://doi.org/10.1093/mind/xcvii.387.323" TargetMode="External" /><Relationship Type="http://schemas.openxmlformats.org/officeDocument/2006/relationships/hyperlink" Id="rId188" Target="https://doi.org/10.1111/j.0031-8094.2004.00350.x" TargetMode="External" /><Relationship Type="http://schemas.openxmlformats.org/officeDocument/2006/relationships/hyperlink" Id="rId435" Target="https://doi.org/10.1111/j.0031-8094.2005.00396.x" TargetMode="External" /><Relationship Type="http://schemas.openxmlformats.org/officeDocument/2006/relationships/hyperlink" Id="rId437" Target="https://doi.org/10.1111/j.1467-8284.2007.00671.x" TargetMode="External" /><Relationship Type="http://schemas.openxmlformats.org/officeDocument/2006/relationships/hyperlink" Id="rId281" Target="https://doi.org/10.1111/j.1467-9280.2006.01677.x" TargetMode="External" /><Relationship Type="http://schemas.openxmlformats.org/officeDocument/2006/relationships/hyperlink" Id="rId393" Target="https://doi.org/10.1111/j.1468-0017.2010.01394.x" TargetMode="External" /><Relationship Type="http://schemas.openxmlformats.org/officeDocument/2006/relationships/hyperlink" Id="rId198" Target="https://doi.org/10.1111/j.1468-0068.2008.00677.x" TargetMode="External" /><Relationship Type="http://schemas.openxmlformats.org/officeDocument/2006/relationships/hyperlink" Id="rId194" Target="https://doi.org/10.1111/j.1468-0262.2008.00835.x" TargetMode="External" /><Relationship Type="http://schemas.openxmlformats.org/officeDocument/2006/relationships/hyperlink" Id="rId412" Target="https://doi.org/10.1111/j.1520-8583.2005.00068.x" TargetMode="External" /><Relationship Type="http://schemas.openxmlformats.org/officeDocument/2006/relationships/hyperlink" Id="rId430" Target="https://doi.org/10.1111/j.1520-8583.2005.00069.x" TargetMode="External" /><Relationship Type="http://schemas.openxmlformats.org/officeDocument/2006/relationships/hyperlink" Id="rId295" Target="https://doi.org/10.1111/j.1520-8583.2010.00183.x" TargetMode="External" /><Relationship Type="http://schemas.openxmlformats.org/officeDocument/2006/relationships/hyperlink" Id="rId338" Target="https://doi.org/10.1111/j.1520-8583.2010.00198.x" TargetMode="External" /><Relationship Type="http://schemas.openxmlformats.org/officeDocument/2006/relationships/hyperlink" Id="rId360" Target="https://doi.org/10.1111/j.1533-6077.2004.00034.x" TargetMode="External" /><Relationship Type="http://schemas.openxmlformats.org/officeDocument/2006/relationships/hyperlink" Id="rId218" Target="https://doi.org/10.1111/j.1533-6077.2004.00040.x" TargetMode="External" /><Relationship Type="http://schemas.openxmlformats.org/officeDocument/2006/relationships/hyperlink" Id="rId216" Target="https://doi.org/10.1111/j.1933-1592.2002.tb00204.x" TargetMode="External" /><Relationship Type="http://schemas.openxmlformats.org/officeDocument/2006/relationships/hyperlink" Id="rId444" Target="https://doi.org/10.1111/j.1933-1592.2002.tb00205.x" TargetMode="External" /><Relationship Type="http://schemas.openxmlformats.org/officeDocument/2006/relationships/hyperlink" Id="rId266" Target="https://doi.org/10.1111/j.1933-1592.2005.tb00540.x" TargetMode="External" /><Relationship Type="http://schemas.openxmlformats.org/officeDocument/2006/relationships/hyperlink" Id="rId345" Target="https://doi.org/10.1111/j.1933-1592.2007.00069.x" TargetMode="External" /><Relationship Type="http://schemas.openxmlformats.org/officeDocument/2006/relationships/hyperlink" Id="rId190" Target="https://doi.org/10.1111/j.1933-1592.2009.00280.x" TargetMode="External" /><Relationship Type="http://schemas.openxmlformats.org/officeDocument/2006/relationships/hyperlink" Id="rId425" Target="https://doi.org/10.1111/j.1933-1592.2010.00448.x" TargetMode="External" /><Relationship Type="http://schemas.openxmlformats.org/officeDocument/2006/relationships/hyperlink" Id="rId373" Target="https://doi.org/10.1111/j.1933-1592.2011.00552.x" TargetMode="External" /><Relationship Type="http://schemas.openxmlformats.org/officeDocument/2006/relationships/hyperlink" Id="rId287" Target="https://doi.org/10.1111/jere.12070" TargetMode="External" /><Relationship Type="http://schemas.openxmlformats.org/officeDocument/2006/relationships/hyperlink" Id="rId384" Target="https://doi.org/10.1111/nous.12006" TargetMode="External" /><Relationship Type="http://schemas.openxmlformats.org/officeDocument/2006/relationships/hyperlink" Id="rId242" Target="https://doi.org/10.1111/nous.12137" TargetMode="External" /><Relationship Type="http://schemas.openxmlformats.org/officeDocument/2006/relationships/hyperlink" Id="rId246" Target="https://doi.org/10.1111/nous.12222" TargetMode="External" /><Relationship Type="http://schemas.openxmlformats.org/officeDocument/2006/relationships/hyperlink" Id="rId395" Target="https://doi.org/10.1111/nous.12254" TargetMode="External" /><Relationship Type="http://schemas.openxmlformats.org/officeDocument/2006/relationships/hyperlink" Id="rId333" Target="https://doi.org/10.1111/nous.12323" TargetMode="External" /><Relationship Type="http://schemas.openxmlformats.org/officeDocument/2006/relationships/hyperlink" Id="rId244" Target="https://doi.org/10.1111/phis.12141" TargetMode="External" /><Relationship Type="http://schemas.openxmlformats.org/officeDocument/2006/relationships/hyperlink" Id="rId419" Target="https://doi.org/10.1111/phpr.12088" TargetMode="External" /><Relationship Type="http://schemas.openxmlformats.org/officeDocument/2006/relationships/hyperlink" Id="rId297" Target="https://doi.org/10.1111/phpr.12090" TargetMode="External" /><Relationship Type="http://schemas.openxmlformats.org/officeDocument/2006/relationships/hyperlink" Id="rId409" Target="https://doi.org/10.1111/phpr.12191" TargetMode="External" /><Relationship Type="http://schemas.openxmlformats.org/officeDocument/2006/relationships/hyperlink" Id="rId318" Target="https://doi.org/10.1111/phpr.12271" TargetMode="External" /><Relationship Type="http://schemas.openxmlformats.org/officeDocument/2006/relationships/hyperlink" Id="rId447" Target="https://doi.org/10.1111/phpr.12330" TargetMode="External" /><Relationship Type="http://schemas.openxmlformats.org/officeDocument/2006/relationships/hyperlink" Id="rId343" Target="https://doi.org/10.1111/phpr.12431" TargetMode="External" /><Relationship Type="http://schemas.openxmlformats.org/officeDocument/2006/relationships/hyperlink" Id="rId391" Target="https://doi.org/10.1215/00318108-2007-037" TargetMode="External" /><Relationship Type="http://schemas.openxmlformats.org/officeDocument/2006/relationships/hyperlink" Id="rId327" Target="https://doi.org/10.1215/00318108-3878483" TargetMode="External" /><Relationship Type="http://schemas.openxmlformats.org/officeDocument/2006/relationships/hyperlink" Id="rId248" Target="https://doi.org/10.1215/00318108-8540918" TargetMode="External" /><Relationship Type="http://schemas.openxmlformats.org/officeDocument/2006/relationships/hyperlink" Id="rId367" Target="https://doi.org/10.1257/aer.101.2.900" TargetMode="External" /><Relationship Type="http://schemas.openxmlformats.org/officeDocument/2006/relationships/hyperlink" Id="rId201" Target="https://doi.org/10.1257/aer.101.7.2899" TargetMode="External" /><Relationship Type="http://schemas.openxmlformats.org/officeDocument/2006/relationships/hyperlink" Id="rId290" Target="https://doi.org/10.2307/1912320" TargetMode="External" /><Relationship Type="http://schemas.openxmlformats.org/officeDocument/2006/relationships/hyperlink" Id="rId304" Target="https://doi.org/10.2307/2184045" TargetMode="External" /><Relationship Type="http://schemas.openxmlformats.org/officeDocument/2006/relationships/hyperlink" Id="rId309" Target="https://doi.org/10.2307/2185051" TargetMode="External" /><Relationship Type="http://schemas.openxmlformats.org/officeDocument/2006/relationships/hyperlink" Id="rId279" Target="https://doi.org/10.2307/2216304" TargetMode="External" /><Relationship Type="http://schemas.openxmlformats.org/officeDocument/2006/relationships/hyperlink" Id="rId316" Target="https://doi.org/10.2307/2296233" TargetMode="External" /><Relationship Type="http://schemas.openxmlformats.org/officeDocument/2006/relationships/hyperlink" Id="rId203" Target="https://doi.org/10.2307/2951491" TargetMode="External" /><Relationship Type="http://schemas.openxmlformats.org/officeDocument/2006/relationships/hyperlink" Id="rId238" Target="https://doi.org/10.2307/3182570" TargetMode="External" /><Relationship Type="http://schemas.openxmlformats.org/officeDocument/2006/relationships/hyperlink" Id="rId224" Target="https://doi.org/10.2307/3182618" TargetMode="External" /><Relationship Type="http://schemas.openxmlformats.org/officeDocument/2006/relationships/hyperlink" Id="rId255" Target="https://doi.org/10.2307/3326922" TargetMode="External" /><Relationship Type="http://schemas.openxmlformats.org/officeDocument/2006/relationships/hyperlink" Id="rId258" Target="https://doi.org/10.3765/sp.3.4" TargetMode="External" /><Relationship Type="http://schemas.openxmlformats.org/officeDocument/2006/relationships/hyperlink" Id="rId371" Target="https://doi.org/10.3765/sp.5.6" TargetMode="External" /><Relationship Type="http://schemas.openxmlformats.org/officeDocument/2006/relationships/hyperlink" Id="rId229" Target="https://doi.org/10.3998/ergo.12405314.0002.026" TargetMode="External" /><Relationship Type="http://schemas.openxmlformats.org/officeDocument/2006/relationships/hyperlink" Id="rId271" Target="https://doi.org/10.5840/jphil20081051022" TargetMode="External" /><Relationship Type="http://schemas.openxmlformats.org/officeDocument/2006/relationships/hyperlink" Id="rId416" Target="https://doi.org/10.5840/logos-episteme2011248" TargetMode="External" /><Relationship Type="http://schemas.openxmlformats.org/officeDocument/2006/relationships/hyperlink" Id="rId427" Target="https://doi.org/2027/spo.3521354.0013.022" TargetMode="External" /><Relationship Type="http://schemas.openxmlformats.org/officeDocument/2006/relationships/hyperlink" Id="rId364" Target="https://plato.stanford.edu/archives/spr2018/entries/public-reason/" TargetMode="External" /><Relationship Type="http://schemas.openxmlformats.org/officeDocument/2006/relationships/hyperlink" Id="rId221" Target="https://plato.stanford.edu/archives/spr2018/entries/questions/" TargetMode="External" /><Relationship Type="http://schemas.openxmlformats.org/officeDocument/2006/relationships/hyperlink" Id="rId196" Target="https://plato.stanford.edu/archives/sum2021/entries/philo-larissa/" TargetMode="External" /><Relationship Type="http://schemas.openxmlformats.org/officeDocument/2006/relationships/hyperlink" Id="rId357"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12" Target="http://hdl.handle.net/2027/spo.3521354.0011.006" TargetMode="External" /><Relationship Type="http://schemas.openxmlformats.org/officeDocument/2006/relationships/hyperlink" Id="rId226" Target="http://journal.sjdm.org/8320/jdm8320.pdf" TargetMode="External" /><Relationship Type="http://schemas.openxmlformats.org/officeDocument/2006/relationships/hyperlink" Id="rId404" Target="https://doi.org/10.1006/reec.1999.0200" TargetMode="External" /><Relationship Type="http://schemas.openxmlformats.org/officeDocument/2006/relationships/hyperlink" Id="rId263" Target="https://doi.org/10.1007/BF00183199" TargetMode="External" /><Relationship Type="http://schemas.openxmlformats.org/officeDocument/2006/relationships/hyperlink" Id="rId277" Target="https://doi.org/10.1007/BF00293423" TargetMode="External" /><Relationship Type="http://schemas.openxmlformats.org/officeDocument/2006/relationships/hyperlink" Id="rId398" Target="https://doi.org/10.1007/BF01079205" TargetMode="External" /><Relationship Type="http://schemas.openxmlformats.org/officeDocument/2006/relationships/hyperlink" Id="rId182" Target="https://doi.org/10.1007/s001820050111" TargetMode="External" /><Relationship Type="http://schemas.openxmlformats.org/officeDocument/2006/relationships/hyperlink" Id="rId329" Target="https://doi.org/10.1007/s10734-010-9309-7" TargetMode="External" /><Relationship Type="http://schemas.openxmlformats.org/officeDocument/2006/relationships/hyperlink" Id="rId414" Target="https://doi.org/10.1007/s11098-004-5218-x" TargetMode="External" /><Relationship Type="http://schemas.openxmlformats.org/officeDocument/2006/relationships/hyperlink" Id="rId253" Target="https://doi.org/10.1007/s11098-005-7779-8" TargetMode="External" /><Relationship Type="http://schemas.openxmlformats.org/officeDocument/2006/relationships/hyperlink" Id="rId250" Target="https://doi.org/10.1007/s11098-007-9133-9" TargetMode="External" /><Relationship Type="http://schemas.openxmlformats.org/officeDocument/2006/relationships/hyperlink" Id="rId386" Target="https://doi.org/10.1007/s11098-008-9200-x" TargetMode="External" /><Relationship Type="http://schemas.openxmlformats.org/officeDocument/2006/relationships/hyperlink" Id="rId234" Target="https://doi.org/10.1007/s11098-008-9225-1" TargetMode="External" /><Relationship Type="http://schemas.openxmlformats.org/officeDocument/2006/relationships/hyperlink" Id="rId325" Target="https://doi.org/10.1007/s11098-010-9542-z" TargetMode="External" /><Relationship Type="http://schemas.openxmlformats.org/officeDocument/2006/relationships/hyperlink" Id="rId232" Target="https://doi.org/10.1007/s11098-015-0461-x" TargetMode="External" /><Relationship Type="http://schemas.openxmlformats.org/officeDocument/2006/relationships/hyperlink" Id="rId268" Target="https://doi.org/10.1007/s11098-015-0553-7" TargetMode="External" /><Relationship Type="http://schemas.openxmlformats.org/officeDocument/2006/relationships/hyperlink" Id="rId450" Target="https://doi.org/10.1007/s11098-016-0631-5" TargetMode="External" /><Relationship Type="http://schemas.openxmlformats.org/officeDocument/2006/relationships/hyperlink" Id="rId192" Target="https://doi.org/10.1007/s11229-015-0878-y" TargetMode="External" /><Relationship Type="http://schemas.openxmlformats.org/officeDocument/2006/relationships/hyperlink" Id="rId331" Target="https://doi.org/10.1007/s11238-017-9592-1" TargetMode="External" /><Relationship Type="http://schemas.openxmlformats.org/officeDocument/2006/relationships/hyperlink" Id="rId362" Target="https://doi.org/10.1016/0167-2681(82)90008-7" TargetMode="External" /><Relationship Type="http://schemas.openxmlformats.org/officeDocument/2006/relationships/hyperlink" Id="rId378" Target="https://doi.org/10.1016/S0004-3702(97)00026-X" TargetMode="External" /><Relationship Type="http://schemas.openxmlformats.org/officeDocument/2006/relationships/hyperlink" Id="rId402" Target="https://doi.org/10.1016/S0165-4896(98)00007-9" TargetMode="External" /><Relationship Type="http://schemas.openxmlformats.org/officeDocument/2006/relationships/hyperlink" Id="rId207" Target="https://doi.org/10.1016/j.jcps.2014.08.002" TargetMode="External" /><Relationship Type="http://schemas.openxmlformats.org/officeDocument/2006/relationships/hyperlink" Id="rId354" Target="https://doi.org/10.1016/j.mathsocsci.2013.08.005" TargetMode="External" /><Relationship Type="http://schemas.openxmlformats.org/officeDocument/2006/relationships/hyperlink" Id="rId349" Target="https://doi.org/10.1016/j.shpsb.2009.08.008" TargetMode="External" /><Relationship Type="http://schemas.openxmlformats.org/officeDocument/2006/relationships/hyperlink" Id="rId299" Target="https://doi.org/10.1017/S0012217317000154" TargetMode="External" /><Relationship Type="http://schemas.openxmlformats.org/officeDocument/2006/relationships/hyperlink" Id="rId400" Target="https://doi.org/10.1017/S0266267100004132" TargetMode="External" /><Relationship Type="http://schemas.openxmlformats.org/officeDocument/2006/relationships/hyperlink" Id="rId306" Target="https://doi.org/10.1017/cbo9780511625237.009" TargetMode="External" /><Relationship Type="http://schemas.openxmlformats.org/officeDocument/2006/relationships/hyperlink" Id="rId389" Target="https://doi.org/10.1037/0022-3514.83.5.1178" TargetMode="External" /><Relationship Type="http://schemas.openxmlformats.org/officeDocument/2006/relationships/hyperlink" Id="rId347" Target="https://doi.org/10.1037/pspp0000141" TargetMode="External" /><Relationship Type="http://schemas.openxmlformats.org/officeDocument/2006/relationships/hyperlink" Id="rId376" Target="https://doi.org/10.1080/00048400802001996" TargetMode="External" /><Relationship Type="http://schemas.openxmlformats.org/officeDocument/2006/relationships/hyperlink" Id="rId369" Target="https://doi.org/10.1080/00048408412341601" TargetMode="External" /><Relationship Type="http://schemas.openxmlformats.org/officeDocument/2006/relationships/hyperlink" Id="rId439" Target="https://doi.org/10.1080/0020174X.2013.775010" TargetMode="External" /><Relationship Type="http://schemas.openxmlformats.org/officeDocument/2006/relationships/hyperlink" Id="rId340" Target="https://doi.org/10.1080/0020174X.2013.775014" TargetMode="External" /><Relationship Type="http://schemas.openxmlformats.org/officeDocument/2006/relationships/hyperlink" Id="rId205" Target="https://doi.org/10.1080/00213624.2017.1391594" TargetMode="External" /><Relationship Type="http://schemas.openxmlformats.org/officeDocument/2006/relationships/hyperlink" Id="rId301" Target="https://doi.org/10.1080/05568641.2017.1364142" TargetMode="External" /><Relationship Type="http://schemas.openxmlformats.org/officeDocument/2006/relationships/hyperlink" Id="rId380" Target="https://doi.org/10.1086/288168" TargetMode="External" /><Relationship Type="http://schemas.openxmlformats.org/officeDocument/2006/relationships/hyperlink" Id="rId323" Target="https://doi.org/10.1086/289906" TargetMode="External" /><Relationship Type="http://schemas.openxmlformats.org/officeDocument/2006/relationships/hyperlink" Id="rId321" Target="https://doi.org/10.1086/392759" TargetMode="External" /><Relationship Type="http://schemas.openxmlformats.org/officeDocument/2006/relationships/hyperlink" Id="rId275" Target="https://doi.org/10.1086/648610" TargetMode="External" /><Relationship Type="http://schemas.openxmlformats.org/officeDocument/2006/relationships/hyperlink" Id="rId382" Target="https://doi.org/10.1086/651235" TargetMode="External" /><Relationship Type="http://schemas.openxmlformats.org/officeDocument/2006/relationships/hyperlink" Id="rId273" Target="https://doi.org/10.1086/671402" TargetMode="External" /><Relationship Type="http://schemas.openxmlformats.org/officeDocument/2006/relationships/hyperlink" Id="rId180" Target="https://doi.org/10.1093/analys/anr083" TargetMode="External" /><Relationship Type="http://schemas.openxmlformats.org/officeDocument/2006/relationships/hyperlink" Id="rId293" Target="https://doi.org/10.1093/analys/anr129" TargetMode="External" /><Relationship Type="http://schemas.openxmlformats.org/officeDocument/2006/relationships/hyperlink" Id="rId313" Target="https://doi.org/10.1093/mind/105.418.303" TargetMode="External" /><Relationship Type="http://schemas.openxmlformats.org/officeDocument/2006/relationships/hyperlink" Id="rId311" Target="https://doi.org/10.1093/mind/xcvii.387.323" TargetMode="External" /><Relationship Type="http://schemas.openxmlformats.org/officeDocument/2006/relationships/hyperlink" Id="rId188" Target="https://doi.org/10.1111/j.0031-8094.2004.00350.x" TargetMode="External" /><Relationship Type="http://schemas.openxmlformats.org/officeDocument/2006/relationships/hyperlink" Id="rId435" Target="https://doi.org/10.1111/j.0031-8094.2005.00396.x" TargetMode="External" /><Relationship Type="http://schemas.openxmlformats.org/officeDocument/2006/relationships/hyperlink" Id="rId437" Target="https://doi.org/10.1111/j.1467-8284.2007.00671.x" TargetMode="External" /><Relationship Type="http://schemas.openxmlformats.org/officeDocument/2006/relationships/hyperlink" Id="rId281" Target="https://doi.org/10.1111/j.1467-9280.2006.01677.x" TargetMode="External" /><Relationship Type="http://schemas.openxmlformats.org/officeDocument/2006/relationships/hyperlink" Id="rId393" Target="https://doi.org/10.1111/j.1468-0017.2010.01394.x" TargetMode="External" /><Relationship Type="http://schemas.openxmlformats.org/officeDocument/2006/relationships/hyperlink" Id="rId198" Target="https://doi.org/10.1111/j.1468-0068.2008.00677.x" TargetMode="External" /><Relationship Type="http://schemas.openxmlformats.org/officeDocument/2006/relationships/hyperlink" Id="rId194" Target="https://doi.org/10.1111/j.1468-0262.2008.00835.x" TargetMode="External" /><Relationship Type="http://schemas.openxmlformats.org/officeDocument/2006/relationships/hyperlink" Id="rId412" Target="https://doi.org/10.1111/j.1520-8583.2005.00068.x" TargetMode="External" /><Relationship Type="http://schemas.openxmlformats.org/officeDocument/2006/relationships/hyperlink" Id="rId430" Target="https://doi.org/10.1111/j.1520-8583.2005.00069.x" TargetMode="External" /><Relationship Type="http://schemas.openxmlformats.org/officeDocument/2006/relationships/hyperlink" Id="rId295" Target="https://doi.org/10.1111/j.1520-8583.2010.00183.x" TargetMode="External" /><Relationship Type="http://schemas.openxmlformats.org/officeDocument/2006/relationships/hyperlink" Id="rId338" Target="https://doi.org/10.1111/j.1520-8583.2010.00198.x" TargetMode="External" /><Relationship Type="http://schemas.openxmlformats.org/officeDocument/2006/relationships/hyperlink" Id="rId360" Target="https://doi.org/10.1111/j.1533-6077.2004.00034.x" TargetMode="External" /><Relationship Type="http://schemas.openxmlformats.org/officeDocument/2006/relationships/hyperlink" Id="rId218" Target="https://doi.org/10.1111/j.1533-6077.2004.00040.x" TargetMode="External" /><Relationship Type="http://schemas.openxmlformats.org/officeDocument/2006/relationships/hyperlink" Id="rId216" Target="https://doi.org/10.1111/j.1933-1592.2002.tb00204.x" TargetMode="External" /><Relationship Type="http://schemas.openxmlformats.org/officeDocument/2006/relationships/hyperlink" Id="rId444" Target="https://doi.org/10.1111/j.1933-1592.2002.tb00205.x" TargetMode="External" /><Relationship Type="http://schemas.openxmlformats.org/officeDocument/2006/relationships/hyperlink" Id="rId266" Target="https://doi.org/10.1111/j.1933-1592.2005.tb00540.x" TargetMode="External" /><Relationship Type="http://schemas.openxmlformats.org/officeDocument/2006/relationships/hyperlink" Id="rId345" Target="https://doi.org/10.1111/j.1933-1592.2007.00069.x" TargetMode="External" /><Relationship Type="http://schemas.openxmlformats.org/officeDocument/2006/relationships/hyperlink" Id="rId190" Target="https://doi.org/10.1111/j.1933-1592.2009.00280.x" TargetMode="External" /><Relationship Type="http://schemas.openxmlformats.org/officeDocument/2006/relationships/hyperlink" Id="rId425" Target="https://doi.org/10.1111/j.1933-1592.2010.00448.x" TargetMode="External" /><Relationship Type="http://schemas.openxmlformats.org/officeDocument/2006/relationships/hyperlink" Id="rId373" Target="https://doi.org/10.1111/j.1933-1592.2011.00552.x" TargetMode="External" /><Relationship Type="http://schemas.openxmlformats.org/officeDocument/2006/relationships/hyperlink" Id="rId287" Target="https://doi.org/10.1111/jere.12070" TargetMode="External" /><Relationship Type="http://schemas.openxmlformats.org/officeDocument/2006/relationships/hyperlink" Id="rId384" Target="https://doi.org/10.1111/nous.12006" TargetMode="External" /><Relationship Type="http://schemas.openxmlformats.org/officeDocument/2006/relationships/hyperlink" Id="rId242" Target="https://doi.org/10.1111/nous.12137" TargetMode="External" /><Relationship Type="http://schemas.openxmlformats.org/officeDocument/2006/relationships/hyperlink" Id="rId246" Target="https://doi.org/10.1111/nous.12222" TargetMode="External" /><Relationship Type="http://schemas.openxmlformats.org/officeDocument/2006/relationships/hyperlink" Id="rId395" Target="https://doi.org/10.1111/nous.12254" TargetMode="External" /><Relationship Type="http://schemas.openxmlformats.org/officeDocument/2006/relationships/hyperlink" Id="rId333" Target="https://doi.org/10.1111/nous.12323" TargetMode="External" /><Relationship Type="http://schemas.openxmlformats.org/officeDocument/2006/relationships/hyperlink" Id="rId244" Target="https://doi.org/10.1111/phis.12141" TargetMode="External" /><Relationship Type="http://schemas.openxmlformats.org/officeDocument/2006/relationships/hyperlink" Id="rId419" Target="https://doi.org/10.1111/phpr.12088" TargetMode="External" /><Relationship Type="http://schemas.openxmlformats.org/officeDocument/2006/relationships/hyperlink" Id="rId297" Target="https://doi.org/10.1111/phpr.12090" TargetMode="External" /><Relationship Type="http://schemas.openxmlformats.org/officeDocument/2006/relationships/hyperlink" Id="rId409" Target="https://doi.org/10.1111/phpr.12191" TargetMode="External" /><Relationship Type="http://schemas.openxmlformats.org/officeDocument/2006/relationships/hyperlink" Id="rId318" Target="https://doi.org/10.1111/phpr.12271" TargetMode="External" /><Relationship Type="http://schemas.openxmlformats.org/officeDocument/2006/relationships/hyperlink" Id="rId447" Target="https://doi.org/10.1111/phpr.12330" TargetMode="External" /><Relationship Type="http://schemas.openxmlformats.org/officeDocument/2006/relationships/hyperlink" Id="rId343" Target="https://doi.org/10.1111/phpr.12431" TargetMode="External" /><Relationship Type="http://schemas.openxmlformats.org/officeDocument/2006/relationships/hyperlink" Id="rId391" Target="https://doi.org/10.1215/00318108-2007-037" TargetMode="External" /><Relationship Type="http://schemas.openxmlformats.org/officeDocument/2006/relationships/hyperlink" Id="rId327" Target="https://doi.org/10.1215/00318108-3878483" TargetMode="External" /><Relationship Type="http://schemas.openxmlformats.org/officeDocument/2006/relationships/hyperlink" Id="rId248" Target="https://doi.org/10.1215/00318108-8540918" TargetMode="External" /><Relationship Type="http://schemas.openxmlformats.org/officeDocument/2006/relationships/hyperlink" Id="rId367" Target="https://doi.org/10.1257/aer.101.2.900" TargetMode="External" /><Relationship Type="http://schemas.openxmlformats.org/officeDocument/2006/relationships/hyperlink" Id="rId201" Target="https://doi.org/10.1257/aer.101.7.2899" TargetMode="External" /><Relationship Type="http://schemas.openxmlformats.org/officeDocument/2006/relationships/hyperlink" Id="rId290" Target="https://doi.org/10.2307/1912320" TargetMode="External" /><Relationship Type="http://schemas.openxmlformats.org/officeDocument/2006/relationships/hyperlink" Id="rId304" Target="https://doi.org/10.2307/2184045" TargetMode="External" /><Relationship Type="http://schemas.openxmlformats.org/officeDocument/2006/relationships/hyperlink" Id="rId309" Target="https://doi.org/10.2307/2185051" TargetMode="External" /><Relationship Type="http://schemas.openxmlformats.org/officeDocument/2006/relationships/hyperlink" Id="rId279" Target="https://doi.org/10.2307/2216304" TargetMode="External" /><Relationship Type="http://schemas.openxmlformats.org/officeDocument/2006/relationships/hyperlink" Id="rId316" Target="https://doi.org/10.2307/2296233" TargetMode="External" /><Relationship Type="http://schemas.openxmlformats.org/officeDocument/2006/relationships/hyperlink" Id="rId203" Target="https://doi.org/10.2307/2951491" TargetMode="External" /><Relationship Type="http://schemas.openxmlformats.org/officeDocument/2006/relationships/hyperlink" Id="rId238" Target="https://doi.org/10.2307/3182570" TargetMode="External" /><Relationship Type="http://schemas.openxmlformats.org/officeDocument/2006/relationships/hyperlink" Id="rId224" Target="https://doi.org/10.2307/3182618" TargetMode="External" /><Relationship Type="http://schemas.openxmlformats.org/officeDocument/2006/relationships/hyperlink" Id="rId255" Target="https://doi.org/10.2307/3326922" TargetMode="External" /><Relationship Type="http://schemas.openxmlformats.org/officeDocument/2006/relationships/hyperlink" Id="rId258" Target="https://doi.org/10.3765/sp.3.4" TargetMode="External" /><Relationship Type="http://schemas.openxmlformats.org/officeDocument/2006/relationships/hyperlink" Id="rId371" Target="https://doi.org/10.3765/sp.5.6" TargetMode="External" /><Relationship Type="http://schemas.openxmlformats.org/officeDocument/2006/relationships/hyperlink" Id="rId229" Target="https://doi.org/10.3998/ergo.12405314.0002.026" TargetMode="External" /><Relationship Type="http://schemas.openxmlformats.org/officeDocument/2006/relationships/hyperlink" Id="rId271" Target="https://doi.org/10.5840/jphil20081051022" TargetMode="External" /><Relationship Type="http://schemas.openxmlformats.org/officeDocument/2006/relationships/hyperlink" Id="rId416" Target="https://doi.org/10.5840/logos-episteme2011248" TargetMode="External" /><Relationship Type="http://schemas.openxmlformats.org/officeDocument/2006/relationships/hyperlink" Id="rId427" Target="https://doi.org/2027/spo.3521354.0013.022" TargetMode="External" /><Relationship Type="http://schemas.openxmlformats.org/officeDocument/2006/relationships/hyperlink" Id="rId364" Target="https://plato.stanford.edu/archives/spr2018/entries/public-reason/" TargetMode="External" /><Relationship Type="http://schemas.openxmlformats.org/officeDocument/2006/relationships/hyperlink" Id="rId221" Target="https://plato.stanford.edu/archives/spr2018/entries/questions/" TargetMode="External" /><Relationship Type="http://schemas.openxmlformats.org/officeDocument/2006/relationships/hyperlink" Id="rId196" Target="https://plato.stanford.edu/archives/sum2021/entries/philo-larissa/" TargetMode="External" /><Relationship Type="http://schemas.openxmlformats.org/officeDocument/2006/relationships/hyperlink" Id="rId357"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2023-04-26T15:49:18Z</dcterms:created>
  <dcterms:modified xsi:type="dcterms:W3CDTF">2023-04-26T15:49:18Z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