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2024-03-23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modelled as expected utility maximisation. Perhaps some kinds of equilibrium seeking are parts of practical inquiry, and can’t be modelled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sabbatical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31" w:name="sec-overture"/>
    <w:p>
      <w:pPr>
        <w:pStyle w:val="Heading1"/>
      </w:pPr>
      <w:r>
        <w:t xml:space="preserve">1. Overture</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interest-relativity.</w:t>
      </w:r>
      <w:r>
        <w:rPr>
          <w:rStyle w:val="FootnoteReference"/>
        </w:rPr>
        <w:footnoteReference w:id="21"/>
      </w:r>
      <w:r>
        <w:t xml:space="preserve"> </w:t>
      </w:r>
      <w:r>
        <w:t xml:space="preserve">Before then, interest-relative theories held a place last occupied by concrete modal realism. Rarely does a theory give rise to a literature with so many opponents and so few proponents.</w:t>
      </w:r>
    </w:p>
    <w:p>
      <w:pPr>
        <w:pStyle w:val="BodyText"/>
      </w:pPr>
      <w:r>
        <w:t xml:space="preserve">The terminology that is used to describe the debate about interest-relativity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2"/>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sensitivity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They weren’t wrong that safety has precursors, but they were wrong that interest-relative theories did not.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3"/>
      </w:r>
    </w:p>
    <w:p>
      <w:pPr>
        <w:pStyle w:val="BodyText"/>
      </w:pPr>
      <w:r>
        <w:t xml:space="preserve">Philo of Larissa lived from around 159 BCE to around 83 BCE, and was the last sceptical head of Plato’s Academy.</w:t>
      </w:r>
      <w:r>
        <w:rPr>
          <w:rStyle w:val="FootnoteReference"/>
        </w:rPr>
        <w:footnoteReference w:id="24"/>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5"/>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&amp;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26"/>
      </w:r>
    </w:p>
    <w:p>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27"/>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&amp; Lancaster, 1956-1957)</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w:t>
      </w:r>
      <w:r>
        <w:t xml:space="preserve"> </w:t>
      </w:r>
      <w:hyperlink w:anchor="sec-lockearb">
        <w:r>
          <w:rPr>
            <w:rStyle w:val="Hyperlink"/>
          </w:rPr>
          <w:t xml:space="preserve">Section 8.4.1</w:t>
        </w:r>
      </w:hyperlink>
      <w:r>
        <w:t xml:space="preserve">.)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 good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(2000)</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And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But while these are motivations, neither of them is strictly speaking at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knowledge is often lost in these cases. But the literature has ended up a bit lopsided. Knowledge is also lost in</w:t>
      </w:r>
      <w:r>
        <w:t xml:space="preserve"> </w:t>
      </w:r>
      <w:r>
        <w:t xml:space="preserve">‘</w:t>
      </w:r>
      <w:r>
        <w:t xml:space="preserve">easy checking</w:t>
      </w:r>
      <w:r>
        <w:t xml:space="preserve">’</w:t>
      </w:r>
      <w:r>
        <w:t xml:space="preserve"> </w:t>
      </w:r>
      <w:r>
        <w:t xml:space="preserve">cases.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28"/>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w:t>
      </w:r>
      <w:r>
        <w:rPr>
          <w:rStyle w:val="FootnoteReference"/>
        </w:rPr>
        <w:footnoteReference w:id="29"/>
      </w:r>
      <w:r>
        <w:t xml:space="preserve"> </w:t>
      </w:r>
      <w:r>
        <w:t xml:space="preserve">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30"/>
      </w:r>
      <w:r>
        <w:t xml:space="preserve"> </w:t>
      </w:r>
      <w:r>
        <w:t xml:space="preserve">But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Friedman</w:t>
      </w:r>
      <w:r>
        <w:t xml:space="preserve"> </w:t>
      </w:r>
      <w:r>
        <w:t xml:space="preserve">(2019b)</w:t>
      </w:r>
      <w:r>
        <w:t xml:space="preserve"> </w:t>
      </w:r>
      <w:r>
        <w:t xml:space="preserve">that it is incoherent to inquire into something one knows.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the reason the theory of that paper respects closure is that it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31"/>
    <w:bookmarkStart w:id="57" w:name="sec-interests"/>
    <w:p>
      <w:pPr>
        <w:pStyle w:val="Heading1"/>
      </w:pPr>
      <w:r>
        <w:t xml:space="preserve">2. Interests</w:t>
      </w:r>
    </w:p>
    <w:bookmarkStart w:id="33"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 That is to say,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32"/>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And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in Blaise’s case there are alternative interest-invariant explanations are somewhat more plausible. Because these competing explanations exist, it’s hard to argue that interest-relativity is the best explanation of why Blaise’s action is wrong. And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3"/>
    <w:bookmarkStart w:id="36"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4"/>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pStyle w:val="BodyText"/>
      </w:pPr>
      <w:r>
        <w:t xml:space="preserve">The last claim, that every view has counterintuitive consequences, deserves some defence. But just to set out a simple version of the problems for each theory, observe all of the following look true.</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w:t>
      </w:r>
      <w:r>
        <w:rPr>
          <w:rStyle w:val="FootnoteReference"/>
        </w:rPr>
        <w:footnoteReference w:id="35"/>
      </w:r>
      <w:r>
        <w:t xml:space="preserve">. And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6"/>
    <w:bookmarkStart w:id="43"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7"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&amp;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And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(Cohen, 2004; DeRose, 2002)</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And Chamari’s position does sound very bad here.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7"/>
    <w:bookmarkStart w:id="38"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 When I say</w:t>
      </w:r>
      <w:r>
        <w:t xml:space="preserve"> </w:t>
      </w:r>
      <w:r>
        <w:t xml:space="preserve">‘</w:t>
      </w:r>
      <w:r>
        <w:t xml:space="preserve">sort people</w:t>
      </w:r>
      <w:r>
        <w:t xml:space="preserve">’</w:t>
      </w:r>
      <w:r>
        <w:t xml:space="preserve">, I mean to allow that she can say that she doesn’t know for any given case; it’s unlikely, however, that she would say this about her own case. 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And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8"/>
    <w:bookmarkStart w:id="40"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9"/>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40"/>
    <w:bookmarkStart w:id="42"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41"/>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42"/>
    <w:bookmarkEnd w:id="43"/>
    <w:bookmarkStart w:id="47"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4"/>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5"/>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pct" w:w="5000"/>
        <w:tblLook w:firstRow="0" w:lastRow="0" w:firstColumn="0" w:lastColumn="0" w:noHBand="0" w:noVBand="0" w:val="0000"/>
        <w:jc w:val="start"/>
        <w:tblLayout w:type="fixed"/>
      </w:tblPr>
      <w:tblGrid>
        <w:gridCol w:w="7920"/>
      </w:tblGrid>
      <w:tr>
        <w:tc>
          <w:tcPr/>
          <w:bookmarkStart w:id="46" w:name="tbl-google"/>
          <w:p>
            <w:pPr>
              <w:jc w:val="center"/>
            </w:pPr>
            <w:pPr>
              <w:jc w:val="start"/>
              <w:spacing w:before="200"/>
              <w:pStyle w:val="ImageCaption"/>
            </w:pPr>
            <w:r>
              <w:t xml:space="preserve">Table 2.1: Darja’s choice between answering the question, and checking Google.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rPr>
                      <w:iCs/>
                      <w:i/>
                    </w:rPr>
                    <w:t xml:space="preserve">p</w:t>
                  </w:r>
                </w:p>
              </w:tc>
              <w:tc>
                <w:tcPr/>
                <w:p>
                  <w:pPr>
                    <w:pStyle w:val="Compact"/>
                    <w:jc w:val="center"/>
                    <w:jc w:val="center"/>
                  </w:pPr>
                  <w:r>
                    <w:t xml:space="preserve">¬</w:t>
                  </w:r>
                  <w:r>
                    <w:t xml:space="preserve"> </w:t>
                  </w:r>
                  <w:r>
                    <w:rPr>
                      <w:iCs/>
                      <w:i/>
                    </w:rPr>
                    <w:t xml:space="preserve">p</w:t>
                  </w:r>
                </w:p>
              </w:tc>
            </w:tr>
            <w:tr>
              <w:tc>
                <w:tcPr/>
                <w:p>
                  <w:pPr>
                    <w:pStyle w:val="Compact"/>
                    <w:jc w:val="right"/>
                    <w:jc w:val="center"/>
                  </w:pPr>
                  <w:r>
                    <w:t xml:space="preserve">Say</w:t>
                  </w:r>
                  <w:r>
                    <w:t xml:space="preserve"> </w:t>
                  </w:r>
                  <w:r>
                    <w:t xml:space="preserve">“</w:t>
                  </w:r>
                  <w:r>
                    <w:t xml:space="preserve">June 28, 1914</w:t>
                  </w:r>
                  <w:r>
                    <w:t xml:space="preserv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Google the answer</w:t>
                  </w:r>
                </w:p>
              </w:tc>
              <w:tc>
                <w:tcPr/>
                <w:p>
                  <w:pPr>
                    <w:pStyle w:val="Compact"/>
                    <w:jc w:val="center"/>
                    <w:jc w:val="center"/>
                  </w:pPr>
                  <w:r>
                    <w:t xml:space="preserve">$50 ‑ ε</w:t>
                  </w:r>
                </w:p>
              </w:tc>
              <w:tc>
                <w:tcPr/>
                <w:p>
                  <w:pPr>
                    <w:pStyle w:val="Compact"/>
                    <w:jc w:val="center"/>
                    <w:jc w:val="center"/>
                  </w:pPr>
                  <w:r>
                    <w:t xml:space="preserve">$50 ‑ ε</w:t>
                  </w:r>
                </w:p>
              </w:tc>
            </w:tr>
          </w:tbl>
          <w:bookmarkEnd w:id="46"/>
          <w:p/>
        </w:tc>
      </w:tr>
    </w:tbl>
    <w:p>
      <w:pPr>
        <w:pStyle w:val="BodyText"/>
      </w:pPr>
      <w:r>
        <w:t xml:space="preserve">If Darja has her phone near her, and has cheap easy access to Google, then ε might be really low. In that case she should take the safe option; it’s the one that maximises expected utility.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7"/>
    <w:bookmarkStart w:id="49"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8"/>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&amp;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And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9"/>
    <w:bookmarkStart w:id="51"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But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50"/>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It just won’t be as simple a story as one might hope to tell, or indeed that I tried to tell in earlier work.</w:t>
      </w:r>
    </w:p>
    <w:bookmarkEnd w:id="51"/>
    <w:bookmarkStart w:id="56" w:name="sec-neutrality"/>
    <w:p>
      <w:pPr>
        <w:pStyle w:val="Heading2"/>
      </w:pPr>
      <w:r>
        <w:t xml:space="preserve">2.7 Neutrality</w:t>
      </w:r>
    </w:p>
    <w:p>
      <w:pPr>
        <w:pStyle w:val="FirstParagraph"/>
      </w:pPr>
      <w:r>
        <w:t xml:space="preserve">This book defends, at some length, the idea that knowledge is interest-relative. But I’m staying neutral on a number of other topics in the vicinity.</w:t>
      </w:r>
    </w:p>
    <w:bookmarkStart w:id="54" w:name="sec-neutrality-contextualism"/>
    <w:p>
      <w:pPr>
        <w:pStyle w:val="Heading3"/>
      </w:pPr>
      <w:r>
        <w:t xml:space="preserve">2.7.1 Neutrality about Contextualism</w:t>
      </w:r>
    </w:p>
    <w:p>
      <w:pPr>
        <w:pStyle w:val="FirstParagraph"/>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52"/>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3"/>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One reason I’m not rejecting contextualism is that I’m not sure really what it is. Here’s a theory about</w:t>
      </w:r>
      <w:r>
        <w:t xml:space="preserve"> </w:t>
      </w:r>
      <w:r>
        <w:t xml:space="preserve">‘</w:t>
      </w:r>
      <w:r>
        <w:t xml:space="preserve">knows</w:t>
      </w:r>
      <w:r>
        <w:t xml:space="preserve">’</w:t>
      </w:r>
      <w:r>
        <w:t xml:space="preserve"> </w:t>
      </w:r>
      <w:r>
        <w:t xml:space="preserve">that I think is interesting, and I don’t know whether it is contextualist. The word</w:t>
      </w:r>
      <w:r>
        <w:t xml:space="preserve"> </w:t>
      </w:r>
      <w:r>
        <w:t xml:space="preserve">‘</w:t>
      </w:r>
      <w:r>
        <w:t xml:space="preserve">knows</w:t>
      </w:r>
      <w:r>
        <w:t xml:space="preserve">’</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And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w:t>
      </w:r>
      <w:r>
        <w:t xml:space="preserve">knows</w:t>
      </w:r>
      <w:r>
        <w:t xml:space="preserve">’</w:t>
      </w:r>
      <w:r>
        <w:t xml:space="preserve"> </w:t>
      </w:r>
      <w:r>
        <w:t xml:space="preserve">has the kind of continuous variation that is typical in comparative adjectives like</w:t>
      </w:r>
      <w:r>
        <w:t xml:space="preserve"> </w:t>
      </w:r>
      <w:r>
        <w:t xml:space="preserve">‘</w:t>
      </w:r>
      <w:r>
        <w:t xml:space="preserve">rich</w:t>
      </w:r>
      <w:r>
        <w:t xml:space="preserve">’</w:t>
      </w:r>
      <w:r>
        <w:t xml:space="preserve">. Since I think this kind of polysemy theory might be true, and (independently) that it might be contextualist, I’m not in a position to deny contextualism.</w:t>
      </w:r>
    </w:p>
    <w:bookmarkEnd w:id="54"/>
    <w:bookmarkStart w:id="55" w:name="sec-neutrality-k-nec"/>
    <w:p>
      <w:pPr>
        <w:pStyle w:val="Heading3"/>
      </w:pPr>
      <w:r>
        <w:t xml:space="preserve">2.7.2 Other Aspects of Neutrality</w:t>
      </w:r>
    </w:p>
    <w:p>
      <w:pPr>
        <w:pStyle w:val="FirstParagraph"/>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5"/>
    <w:bookmarkEnd w:id="56"/>
    <w:bookmarkEnd w:id="57"/>
    <w:bookmarkStart w:id="87" w:name="sec-belief"/>
    <w:p>
      <w:pPr>
        <w:pStyle w:val="Heading1"/>
      </w:pPr>
      <w:r>
        <w:t xml:space="preserve">3. Belief</w:t>
      </w:r>
    </w:p>
    <w:bookmarkStart w:id="59"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8"/>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&amp;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9"/>
    <w:bookmarkStart w:id="62"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60"/>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61"/>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62"/>
    <w:bookmarkStart w:id="64"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63"/>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4"/>
    <w:bookmarkStart w:id="67"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&amp;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pct" w:w="5000"/>
        <w:tblLook w:firstRow="0" w:lastRow="0" w:firstColumn="0" w:lastColumn="0" w:noHBand="0" w:noVBand="0" w:val="0000"/>
        <w:jc w:val="start"/>
        <w:tblLayout w:type="fixed"/>
      </w:tblPr>
      <w:tblGrid>
        <w:gridCol w:w="7920"/>
      </w:tblGrid>
      <w:tr>
        <w:tc>
          <w:tcPr/>
          <w:bookmarkStart w:id="65" w:name="tbl-redsox"/>
          <w:p>
            <w:pPr>
              <w:jc w:val="center"/>
            </w:pPr>
            <w:pPr>
              <w:jc w:val="start"/>
              <w:spacing w:before="200"/>
              <w:pStyle w:val="ImageCaption"/>
            </w:pPr>
            <w:r>
              <w:t xml:space="preserve">Table 3.1: Betting on the Red Sox</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jc w:val="center"/>
                  </w:pPr>
                  <w:r>
                    <w:t xml:space="preserve"> </w:t>
                  </w:r>
                </w:p>
              </w:tc>
              <w:tc>
                <w:tcPr/>
                <w:p>
                  <w:pPr>
                    <w:pStyle w:val="Compact"/>
                    <w:jc w:val="center"/>
                    <w:jc w:val="center"/>
                  </w:pPr>
                  <w:r>
                    <w:t xml:space="preserve">Red Sox Win</w:t>
                  </w:r>
                </w:p>
              </w:tc>
              <w:tc>
                <w:tcPr/>
                <w:p>
                  <w:pPr>
                    <w:pStyle w:val="Compact"/>
                    <w:jc w:val="center"/>
                    <w:jc w:val="center"/>
                  </w:pPr>
                  <w:r>
                    <w:t xml:space="preserve">Red Sox Don’t Win</w:t>
                  </w:r>
                </w:p>
              </w:tc>
            </w:tr>
            <w:tr>
              <w:tc>
                <w:tcPr/>
                <w:p>
                  <w:pPr>
                    <w:pStyle w:val="Compact"/>
                    <w:jc w:val="right"/>
                    <w:jc w:val="center"/>
                  </w:pPr>
                  <w:r>
                    <w:t xml:space="preserve">Take Bet A</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Take Bet B</w:t>
                  </w:r>
                </w:p>
              </w:tc>
              <w:tc>
                <w:tcPr/>
                <w:p>
                  <w:pPr>
                    <w:pStyle w:val="Compact"/>
                    <w:jc w:val="center"/>
                    <w:jc w:val="center"/>
                  </w:pPr>
                  <w:r>
                    <w:t xml:space="preserve">$60</w:t>
                  </w:r>
                </w:p>
              </w:tc>
              <w:tc>
                <w:tcPr/>
                <w:p>
                  <w:pPr>
                    <w:pStyle w:val="Compact"/>
                    <w:jc w:val="center"/>
                    <w:jc w:val="center"/>
                  </w:pPr>
                  <w:r>
                    <w:t xml:space="preserve">$0</w:t>
                  </w:r>
                </w:p>
              </w:tc>
            </w:tr>
          </w:tbl>
          <w:bookmarkEnd w:id="65"/>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6"/>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t xml:space="preserve">Given 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 Given,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7"/>
    <w:bookmarkStart w:id="70"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8"/>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 Unrestricted Conditional Questions 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 Unrestricted Conditional Questions.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I’ve argued that Given and Relevant Conditional Questions are necessary conditions on belief.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 Given and Relevant Conditional Questions are satisfied, then S believes that</w:t>
      </w:r>
      <w:r>
        <w:t xml:space="preserve"> </w:t>
      </w:r>
      <w:r>
        <w:rPr>
          <w:iCs/>
          <w:i/>
        </w:rPr>
        <w:t xml:space="preserve">p</w:t>
      </w:r>
      <w:r>
        <w:t xml:space="preserve">.</w:t>
      </w:r>
    </w:p>
    <w:p>
      <w:pPr>
        <w:pStyle w:val="BodyText"/>
      </w:pPr>
      <w:r>
        <w:t xml:space="preserve">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9"/>
      </w:r>
      <w:r>
        <w:t xml:space="preserve"> </w:t>
      </w:r>
      <w:r>
        <w:t xml:space="preserve">But they could be part of a theory of belief, and the theory they are part of is helpful for seeing how beliefs and interests fit together.</w:t>
      </w:r>
    </w:p>
    <w:bookmarkEnd w:id="70"/>
    <w:bookmarkStart w:id="76"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71"/>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72"/>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73"/>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4"/>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75"/>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bookmarkEnd w:id="76"/>
    <w:bookmarkStart w:id="84"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8"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7"/>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78"/>
    <w:bookmarkStart w:id="79"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79"/>
    <w:bookmarkStart w:id="80"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80"/>
    <w:bookmarkStart w:id="81"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w:t>
      </w:r>
      <w:r>
        <w:t xml:space="preserve"> </w:t>
      </w:r>
      <w:hyperlink w:anchor="sec-andelim">
        <w:r>
          <w:rPr>
            <w:rStyle w:val="Hyperlink"/>
          </w:rPr>
          <w:t xml:space="preserve">Section 4.6.1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81"/>
    <w:bookmarkStart w:id="83"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82"/>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83"/>
    <w:bookmarkEnd w:id="84"/>
    <w:bookmarkStart w:id="86"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5"/>
      </w:r>
      <w:r>
        <w:t xml:space="preserve"> </w:t>
      </w:r>
      <w:r>
        <w:t xml:space="preserve">They say that to believe</w:t>
      </w:r>
      <w:r>
        <w:t xml:space="preserve"> </w:t>
      </w:r>
      <w:r>
        <w:rPr>
          <w:iCs/>
          <w:i/>
        </w:rPr>
        <w:t xml:space="preserve">p</w:t>
      </w:r>
      <w:r>
        <w:t xml:space="preserve"> </w:t>
      </w:r>
      <w:r>
        <w:t xml:space="preserve">is to have a</w:t>
      </w:r>
      <w:r>
        <w:t xml:space="preserve"> </w:t>
      </w:r>
      <w:r>
        <w:rPr>
          <w:iCs/>
          <w:i/>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&amp;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 Stability.</w:t>
      </w:r>
    </w:p>
    <w:p>
      <w:pPr>
        <w:pStyle w:val="DefinitionTerm"/>
      </w:pPr>
      <w:r>
        <w:t xml:space="preserve">Stability</w:t>
      </w:r>
    </w:p>
    <w:p>
      <w:pPr>
        <w:pStyle w:val="Definition"/>
      </w:pPr>
      <w:r>
        <w:t xml:space="preserve">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 Kelly</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86"/>
    <w:bookmarkEnd w:id="87"/>
    <w:bookmarkStart w:id="117"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94"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8"/>
      </w:r>
      <w:r>
        <w:t xml:space="preserve"> </w:t>
      </w:r>
      <w:r>
        <w:t xml:space="preserve">Here, for instance, is a table for the problem faced by a person, call him Ragnar, choosing how to get to work.</w:t>
      </w:r>
    </w:p>
    <w:tbl>
      <w:tblPr>
        <w:tblStyle w:val="Table"/>
        <w:tblW w:type="pct" w:w="5000"/>
        <w:tblLook w:firstRow="0" w:lastRow="0" w:firstColumn="0" w:lastColumn="0" w:noHBand="0" w:noVBand="0" w:val="0000"/>
        <w:jc w:val="start"/>
        <w:tblLayout w:type="fixed"/>
      </w:tblPr>
      <w:tblGrid>
        <w:gridCol w:w="7920"/>
      </w:tblGrid>
      <w:tr>
        <w:tc>
          <w:tcPr/>
          <w:bookmarkStart w:id="89" w:name="tbl-walkbus"/>
          <w:p>
            <w:pPr>
              <w:jc w:val="center"/>
            </w:pPr>
            <w:pPr>
              <w:jc w:val="start"/>
              <w:spacing w:before="200"/>
              <w:pStyle w:val="ImageCaption"/>
            </w:pPr>
            <w:r>
              <w:t xml:space="preserve">Table 4.1: Ragnar’s trip to work</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Rain</w:t>
                  </w:r>
                </w:p>
              </w:tc>
              <w:tc>
                <w:tcPr/>
                <w:p>
                  <w:pPr>
                    <w:pStyle w:val="Compact"/>
                    <w:jc w:val="center"/>
                    <w:jc w:val="center"/>
                  </w:pPr>
                  <w:r>
                    <w:t xml:space="preserve">Dry</w:t>
                  </w:r>
                </w:p>
              </w:tc>
            </w:tr>
            <w:tr>
              <w:tc>
                <w:tcPr/>
                <w:p>
                  <w:pPr>
                    <w:pStyle w:val="Compact"/>
                    <w:jc w:val="right"/>
                    <w:jc w:val="center"/>
                  </w:pPr>
                  <w:r>
                    <w:t xml:space="preserve">Walk</w:t>
                  </w:r>
                </w:p>
              </w:tc>
              <w:tc>
                <w:tcPr/>
                <w:p>
                  <w:pPr>
                    <w:pStyle w:val="Compact"/>
                    <w:jc w:val="center"/>
                    <w:jc w:val="center"/>
                  </w:pPr>
                  <w:r>
                    <w:t xml:space="preserve">0</w:t>
                  </w:r>
                </w:p>
              </w:tc>
              <w:tc>
                <w:tcPr/>
                <w:p>
                  <w:pPr>
                    <w:pStyle w:val="Compact"/>
                    <w:jc w:val="center"/>
                    <w:jc w:val="center"/>
                  </w:pPr>
                  <w:r>
                    <w:t xml:space="preserve">5</w:t>
                  </w:r>
                </w:p>
              </w:tc>
            </w:tr>
            <w:tr>
              <w:tc>
                <w:tcPr/>
                <w:p>
                  <w:pPr>
                    <w:pStyle w:val="Compact"/>
                    <w:jc w:val="right"/>
                    <w:jc w:val="center"/>
                  </w:pPr>
                  <w:r>
                    <w:t xml:space="preserve">Bus</w:t>
                  </w:r>
                </w:p>
              </w:tc>
              <w:tc>
                <w:tcPr/>
                <w:p>
                  <w:pPr>
                    <w:pStyle w:val="Compact"/>
                    <w:jc w:val="center"/>
                    <w:jc w:val="center"/>
                  </w:pPr>
                  <w:r>
                    <w:t xml:space="preserve">3</w:t>
                  </w:r>
                </w:p>
              </w:tc>
              <w:tc>
                <w:tcPr/>
                <w:p>
                  <w:pPr>
                    <w:pStyle w:val="Compact"/>
                    <w:jc w:val="center"/>
                    <w:jc w:val="center"/>
                  </w:pPr>
                  <w:r>
                    <w:t xml:space="preserve">4</w:t>
                  </w:r>
                </w:p>
              </w:tc>
            </w:tr>
          </w:tbl>
          <w:bookmarkEnd w:id="89"/>
          <w:p/>
        </w:tc>
      </w:tr>
    </w:tbl>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But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calculation that I mentioned in the previous paragraph.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90"/>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91"/>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There is much less philosophical work on this. Brian Hedden</w:t>
      </w:r>
      <w:r>
        <w:t xml:space="preserve"> </w:t>
      </w:r>
      <w:r>
        <w:t xml:space="preserve">(2012)</w:t>
      </w:r>
      <w:r>
        <w:t xml:space="preserve"> </w:t>
      </w:r>
      <w:r>
        <w:t xml:space="preserve">has a paper arguing that the options should all be decisions, rather than actions like walking. This would be a fairly radical change,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92"/>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93"/>
      </w:r>
      <w:r>
        <w:t xml:space="preserve"> </w:t>
      </w:r>
      <w:r>
        <w:t xml:space="preserve">In any case, the conditional will be enough.</w:t>
      </w:r>
    </w:p>
    <w:bookmarkEnd w:id="94"/>
    <w:bookmarkStart w:id="99"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Having the ability, however, means that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5"/>
      </w:r>
      <w:r>
        <w:t xml:space="preserve"> </w:t>
      </w:r>
      <w:r>
        <w:t xml:space="preserve">Imagine that two ice cream trucks have to choose (simultaneously) where they will be located on a beach. The beach has seven locations, numbered 1 to 7.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7, so 14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 Here is the table for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tbl>
      <w:tblPr>
        <w:tblStyle w:val="Table"/>
        <w:tblW w:type="pct" w:w="5000"/>
        <w:tblLook w:firstRow="0" w:lastRow="0" w:firstColumn="0" w:lastColumn="0" w:noHBand="0" w:noVBand="0" w:val="0000"/>
        <w:jc w:val="start"/>
        <w:tblLayout w:type="fixed"/>
      </w:tblPr>
      <w:tblGrid>
        <w:gridCol w:w="7920"/>
      </w:tblGrid>
      <w:tr>
        <w:tc>
          <w:tcPr/>
          <w:bookmarkStart w:id="96" w:name="tbl-hotelling"/>
          <w:p>
            <w:pPr>
              <w:jc w:val="center"/>
            </w:pPr>
            <w:pPr>
              <w:jc w:val="start"/>
              <w:spacing w:before="200"/>
              <w:pStyle w:val="ImageCaption"/>
            </w:pPr>
            <w:r>
              <w:t xml:space="preserve">Table 4.2: Payouts in the Hotelling game</w:t>
            </w:r>
          </w:p>
          <w:tbl>
            <w:tblPr>
              <w:tblStyle w:val="Table"/>
              <w:tblW w:type="auto" w:w="0"/>
              <w:tblLook w:firstRow="0" w:lastRow="0" w:firstColumn="0" w:lastColumn="0" w:noHBand="0" w:noVBand="0" w:val="0000"/>
              <w:jc w:val="start"/>
            </w:tblPr>
            <w:tblGrid>
              <w:gridCol w:w="1320"/>
              <w:gridCol w:w="1320"/>
              <w:gridCol w:w="1320"/>
              <w:gridCol w:w="1320"/>
              <w:gridCol w:w="1320"/>
              <w:gridCol w:w="1320"/>
            </w:tblGrid>
            <w:tr>
              <w:tc>
                <w:tcPr/>
                <w:p>
                  <w:pPr>
                    <w:pStyle w:val="Compact"/>
                  </w:pPr>
                </w:p>
              </w:tc>
              <w:tc>
                <w:tcPr/>
                <w:p>
                  <w:pPr>
                    <w:pStyle w:val="Compact"/>
                    <w:jc w:val="center"/>
                    <w:jc w:val="center"/>
                  </w:pPr>
                  <w:r>
                    <w:rPr>
                      <w:bCs/>
                      <w:b/>
                    </w:rPr>
                    <w:t xml:space="preserve">1</w:t>
                  </w: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c>
                <w:tcPr/>
                <w:p>
                  <w:pPr>
                    <w:pStyle w:val="Compact"/>
                    <w:jc w:val="center"/>
                    <w:jc w:val="center"/>
                  </w:pPr>
                  <w:r>
                    <w:rPr>
                      <w:bCs/>
                      <w:b/>
                    </w:rPr>
                    <w:t xml:space="preserve">5</w:t>
                  </w:r>
                </w:p>
              </w:tc>
            </w:tr>
            <w:tr>
              <w:tc>
                <w:tcPr/>
                <w:p>
                  <w:pPr>
                    <w:pStyle w:val="Compact"/>
                    <w:jc w:val="right"/>
                    <w:jc w:val="center"/>
                  </w:pPr>
                  <w:r>
                    <w:rPr>
                      <w:bCs/>
                      <w:b/>
                    </w:rPr>
                    <w:t xml:space="preserve">1</w:t>
                  </w:r>
                </w:p>
              </w:tc>
              <w:tc>
                <w:tcPr/>
                <w:p>
                  <w:pPr>
                    <w:pStyle w:val="Compact"/>
                    <w:jc w:val="center"/>
                    <w:jc w:val="center"/>
                  </w:pPr>
                  <w:r>
                    <w:t xml:space="preserve">5,5</w:t>
                  </w:r>
                </w:p>
              </w:tc>
              <w:tc>
                <w:tcPr/>
                <w:p>
                  <w:pPr>
                    <w:pStyle w:val="Compact"/>
                    <w:jc w:val="center"/>
                    <w:jc w:val="center"/>
                  </w:pPr>
                  <w:r>
                    <w:t xml:space="preserve">2,8</w:t>
                  </w:r>
                </w:p>
              </w:tc>
              <w:tc>
                <w:tcPr/>
                <w:p>
                  <w:pPr>
                    <w:pStyle w:val="Compact"/>
                    <w:jc w:val="center"/>
                    <w:jc w:val="center"/>
                  </w:pPr>
                  <w:r>
                    <w:t xml:space="preserve">3,7</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right"/>
                    <w:jc w:val="center"/>
                  </w:pPr>
                  <w:r>
                    <w:rPr>
                      <w:bCs/>
                      <w:b/>
                    </w:rPr>
                    <w:t xml:space="preserve">2</w:t>
                  </w:r>
                </w:p>
              </w:tc>
              <w:tc>
                <w:tcPr/>
                <w:p>
                  <w:pPr>
                    <w:pStyle w:val="Compact"/>
                    <w:jc w:val="center"/>
                    <w:jc w:val="center"/>
                  </w:pPr>
                  <w:r>
                    <w:t xml:space="preserve">8,2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right"/>
                    <w:jc w:val="center"/>
                  </w:pPr>
                  <w:r>
                    <w:rPr>
                      <w:bCs/>
                      <w:b/>
                    </w:rPr>
                    <w:t xml:space="preserve">3</w:t>
                  </w:r>
                </w:p>
              </w:tc>
              <w:tc>
                <w:tcPr/>
                <w:p>
                  <w:pPr>
                    <w:pStyle w:val="Compact"/>
                    <w:jc w:val="center"/>
                    <w:jc w:val="center"/>
                  </w:pPr>
                  <w:r>
                    <w:t xml:space="preserve">7,3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c>
                <w:tcPr/>
                <w:p>
                  <w:pPr>
                    <w:pStyle w:val="Compact"/>
                    <w:jc w:val="center"/>
                    <w:jc w:val="center"/>
                  </w:pPr>
                  <w:r>
                    <w:t xml:space="preserve">7,3</w:t>
                  </w:r>
                </w:p>
              </w:tc>
            </w:tr>
            <w:tr>
              <w:tc>
                <w:tcPr/>
                <w:p>
                  <w:pPr>
                    <w:pStyle w:val="Compact"/>
                    <w:jc w:val="right"/>
                    <w:jc w:val="center"/>
                  </w:pPr>
                  <w:r>
                    <w:rPr>
                      <w:bCs/>
                      <w:b/>
                    </w:rPr>
                    <w:t xml:space="preserve">4</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8,2</w:t>
                  </w:r>
                </w:p>
              </w:tc>
            </w:tr>
            <w:tr>
              <w:tc>
                <w:tcPr/>
                <w:p>
                  <w:pPr>
                    <w:pStyle w:val="Compact"/>
                    <w:jc w:val="right"/>
                    <w:jc w:val="center"/>
                  </w:pPr>
                  <w:r>
                    <w:rPr>
                      <w:bCs/>
                      <w:b/>
                    </w:rPr>
                    <w:t xml:space="preserve">5</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3,7</w:t>
                  </w:r>
                </w:p>
              </w:tc>
              <w:tc>
                <w:tcPr/>
                <w:p>
                  <w:pPr>
                    <w:pStyle w:val="Compact"/>
                    <w:jc w:val="center"/>
                    <w:jc w:val="center"/>
                  </w:pPr>
                  <w:r>
                    <w:t xml:space="preserve">2,8</w:t>
                  </w:r>
                </w:p>
              </w:tc>
              <w:tc>
                <w:tcPr/>
                <w:p>
                  <w:pPr>
                    <w:pStyle w:val="Compact"/>
                    <w:jc w:val="center"/>
                    <w:jc w:val="center"/>
                  </w:pPr>
                  <w:r>
                    <w:t xml:space="preserve">5,5</w:t>
                  </w:r>
                </w:p>
              </w:tc>
            </w:tr>
          </w:tbl>
          <w:bookmarkEnd w:id="96"/>
          <w:p/>
        </w:tc>
      </w:tr>
    </w:tbl>
    <w:p>
      <w:pPr>
        <w:pStyle w:val="BodyText"/>
      </w:pPr>
      <w:r>
        <w:t xml:space="preserve">Assume that it is common knowledge, in the sense of</w:t>
      </w:r>
      <w:r>
        <w:t xml:space="preserve"> </w:t>
      </w:r>
      <w:r>
        <w:t xml:space="preserve">Lewis (1969)</w:t>
      </w:r>
      <w:r>
        <w:t xml:space="preserve">, that this 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And, since the game is symmetric, the same goes for Column’s options 1 and 5. By the common knowledge assumption, this means we can delete those rows, and columns, from the table. The result is the following table.</w:t>
      </w:r>
    </w:p>
    <w:tbl>
      <w:tblPr>
        <w:tblStyle w:val="Table"/>
        <w:tblW w:type="pct" w:w="5000"/>
        <w:tblLook w:firstRow="0" w:lastRow="0" w:firstColumn="0" w:lastColumn="0" w:noHBand="0" w:noVBand="0" w:val="0000"/>
        <w:jc w:val="start"/>
        <w:tblLayout w:type="fixed"/>
      </w:tblPr>
      <w:tblGrid>
        <w:gridCol w:w="7920"/>
      </w:tblGrid>
      <w:tr>
        <w:tc>
          <w:tcPr/>
          <w:bookmarkStart w:id="97" w:name="tbl-hotelling-iterated"/>
          <w:p>
            <w:pPr>
              <w:jc w:val="center"/>
            </w:pPr>
            <w:pPr>
              <w:jc w:val="start"/>
              <w:spacing w:before="200"/>
              <w:pStyle w:val="ImageCaption"/>
            </w:pPr>
            <w:r>
              <w:t xml:space="preserve">Table 4.3: The Hotelling game after one iteration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r>
            <w:tr>
              <w:tc>
                <w:tcPr/>
                <w:p>
                  <w:pPr>
                    <w:pStyle w:val="Compact"/>
                    <w:jc w:val="left"/>
                    <w:jc w:val="center"/>
                  </w:pPr>
                  <w:r>
                    <w:rPr>
                      <w:bCs/>
                      <w:b/>
                    </w:rPr>
                    <w:t xml:space="preserve">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left"/>
                    <w:jc w:val="center"/>
                  </w:pPr>
                  <w:r>
                    <w:rPr>
                      <w:bCs/>
                      <w:b/>
                    </w:rPr>
                    <w:t xml:space="preserve">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left"/>
                    <w:jc w:val="center"/>
                  </w:pPr>
                  <w:r>
                    <w:rPr>
                      <w:bCs/>
                      <w:b/>
                    </w:rPr>
                    <w:t xml:space="preserve">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bl>
          <w:bookmarkEnd w:id="97"/>
          <w:p/>
        </w:tc>
      </w:tr>
    </w:tbl>
    <w:p>
      <w:pPr>
        <w:pStyle w:val="BodyText"/>
      </w:pPr>
      <w:r>
        <w:t xml:space="preserve">And 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And that’s all we’ll assume. Since knowledge is factive, we can still rule out the extreme options, i.e., 1 and 5. And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And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And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8"/>
      </w:r>
      <w:r>
        <w:t xml:space="preserve"> </w:t>
      </w:r>
      <w:r>
        <w:t xml:space="preserve">It is meant to show that we theorists can deduce what the players will in fact do, given their evidence, and the assumptions about rationality. And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And the players themselves should not go to any of those 4 spots, but we can’t tell more than that without knowing more about the players.</w:t>
      </w:r>
    </w:p>
    <w:p>
      <w:pPr>
        <w:pStyle w:val="BodyText"/>
      </w:pPr>
      <w:r>
        <w:t xml:space="preserve">But wait a minute! Without KAE, the last two paragraphs consist of one fallacious step after another. The player knows that the other player will not play an extreme option. And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9"/>
    <w:bookmarkStart w:id="105" w:name="sec-other-answers"/>
    <w:p>
      <w:pPr>
        <w:pStyle w:val="Heading2"/>
      </w:pPr>
      <w:r>
        <w:t xml:space="preserve">4.3 Other Answers</w:t>
      </w:r>
    </w:p>
    <w:p>
      <w:pPr>
        <w:pStyle w:val="FirstParagraph"/>
      </w:pPr>
      <w:r>
        <w:t xml:space="preserve">If KAE is false, what should go in its place? What could be the state which does allow exclusion?</w:t>
      </w:r>
      <w:r>
        <w:rPr>
          <w:rStyle w:val="FootnoteReference"/>
        </w:rPr>
        <w:footnoteReference w:id="100"/>
      </w:r>
    </w:p>
    <w:bookmarkStart w:id="101" w:name="sec-none-of-the-above"/>
    <w:p>
      <w:pPr>
        <w:pStyle w:val="Heading3"/>
      </w:pPr>
      <w:r>
        <w:t xml:space="preserve">4.3.1 None of the Above</w:t>
      </w:r>
    </w:p>
    <w:p>
      <w:pPr>
        <w:pStyle w:val="FirstParagraph"/>
      </w:pPr>
      <w:r>
        <w:t xml:space="preserve">One might object to the presupposition of that question. Maybe exclusion is never allowed. Perhaps every table should partition the possibility space. In any table, the last state should be</w:t>
      </w:r>
      <w:r>
        <w:t xml:space="preserve"> </w:t>
      </w:r>
      <w:r>
        <w:rPr>
          <w:iCs/>
          <w:i/>
        </w:rPr>
        <w:t xml:space="preserve">None of the above</w:t>
      </w:r>
      <w:r>
        <w:t xml:space="preserve">, so (assuming classical logic) it must always be true that some state in the table obtains.</w:t>
      </w:r>
    </w:p>
    <w:p>
      <w:pPr>
        <w:pStyle w:val="BodyText"/>
      </w:pPr>
      <w:r>
        <w:t xml:space="preserve">If one is not completely convinced that classical logic is correct, this move won’t seem particularly appealing. But I suspect most readers are completely convinced that classical logic is correct, so I won’t investigate that line. Instead I’ll look at two more pressing objections to the idea that decision tables should always have a none of the above option.</w:t>
      </w:r>
    </w:p>
    <w:p>
      <w:pPr>
        <w:pStyle w:val="BodyText"/>
      </w:pPr>
      <w:r>
        <w:t xml:space="preserve">First, in many cases there is no sensible way to determine the probabilities or utilities that would go in this column. Imagine that I’m making a decision whose consequences 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But the error bars on those probabilities are bigger than the probabilities themselves. There is simply no sensible value to put in the cell as the value of the pair;</w:t>
      </w:r>
      <w:r>
        <w:t xml:space="preserve"> </w:t>
      </w:r>
      <w:r>
        <w:rPr>
          <w:iCs/>
          <w:i/>
        </w:rPr>
        <w:t xml:space="preserve">Schedule a large Super Bowl party in Las Vegas</w:t>
      </w:r>
      <w:r>
        <w:t xml:space="preserve">,</w:t>
      </w:r>
      <w:r>
        <w:t xml:space="preserve"> </w:t>
      </w:r>
      <w:r>
        <w:rPr>
          <w:iCs/>
          <w:i/>
        </w:rPr>
        <w:t xml:space="preserve">None of these 32 teams win the league</w:t>
      </w:r>
      <w:r>
        <w:t xml:space="preserve">. If that state comes about because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But if one doesn’t take anything to be evidence, then it is unclear how one’s probabilities can update. It can’t be by regular conditionalisation. It could be by Jeffrey conditionalisation, if one thought that somehow it was impossible to ever learn that</w:t>
      </w:r>
      <w:r>
        <w:t xml:space="preserve"> </w:t>
      </w:r>
      <w:r>
        <w:rPr>
          <w:iCs/>
          <w:i/>
        </w:rPr>
        <w:t xml:space="preserve">p</w:t>
      </w:r>
      <w:r>
        <w:t xml:space="preserve">, but sometimes possible to learn what</w:t>
      </w:r>
      <w:r>
        <w:t xml:space="preserve"> </w:t>
      </w:r>
      <w:r>
        <w:rPr>
          <w:iCs/>
          <w:i/>
        </w:rPr>
        <w:t xml:space="preserve">p</w:t>
      </w:r>
      <w:r>
        <w:t xml:space="preserve">’s probability is. Personally, I’ve never had a learning experience that told me the precise probability of some proposition without learning for sure some other proposition. I have never seen reason to think anyone else has either.</w:t>
      </w:r>
    </w:p>
    <w:p>
      <w:pPr>
        <w:pStyle w:val="BodyText"/>
      </w:pPr>
      <w:r>
        <w:t xml:space="preserve">This is a quite general point about interest-relative epistemology, and one that will keep coming up in different ways throughout the book. If one wants to do without knowledge, and just use probabilities (or credences), one owes us a story of how those probabilities change. And the best stories will involve some kind of interest-relative theory.</w:t>
      </w:r>
    </w:p>
    <w:bookmarkEnd w:id="101"/>
    <w:bookmarkStart w:id="102" w:name="sec-kae-evidence"/>
    <w:p>
      <w:pPr>
        <w:pStyle w:val="Heading3"/>
      </w:pPr>
      <w:r>
        <w:t xml:space="preserve">4.3.2 Evidence</w:t>
      </w:r>
    </w:p>
    <w:p>
      <w:pPr>
        <w:pStyle w:val="FirstParagraph"/>
      </w:pPr>
      <w:r>
        <w:t xml:space="preserve">These considerations suggest a different answer to this exclusion problem; perhaps the decision maker can exclude</w:t>
      </w:r>
      <w:r>
        <w:t xml:space="preserve"> </w:t>
      </w:r>
      <w:r>
        <w:rPr>
          <w:iCs/>
          <w:i/>
        </w:rPr>
        <w:t xml:space="preserve">p</w:t>
      </w:r>
      <w:r>
        <w:t xml:space="preserve"> </w:t>
      </w:r>
      <w:r>
        <w:t xml:space="preserve">iff</w:t>
      </w:r>
      <w:r>
        <w:t xml:space="preserve"> </w:t>
      </w:r>
      <w:r>
        <w:rPr>
          <w:iCs/>
          <w:i/>
        </w:rPr>
        <w:t xml:space="preserve">p</w:t>
      </w:r>
      <w:r>
        <w:t xml:space="preserve"> </w:t>
      </w:r>
      <w:r>
        <w:t xml:space="preserve">is part of their evidence. Call this view EAE, for Evidence Allows Exclusion.</w:t>
      </w:r>
    </w:p>
    <w:p>
      <w:pPr>
        <w:pStyle w:val="BodyText"/>
      </w:pPr>
      <w:r>
        <w:t xml:space="preserve">It isn’t obvious that this is an alternative to KAE. If evidence and knowledge are co-extensive, as</w:t>
      </w:r>
      <w:r>
        <w:t xml:space="preserve"> </w:t>
      </w:r>
      <w:r>
        <w:t xml:space="preserve">Williamson (2000)</w:t>
      </w:r>
      <w:r>
        <w:t xml:space="preserve"> </w:t>
      </w:r>
      <w:r>
        <w:t xml:space="preserve">argued, it will not be. But since I’m going to argue in</w:t>
      </w:r>
      <w:r>
        <w:t xml:space="preserve"> </w:t>
      </w:r>
      <w:hyperlink w:anchor="sec-evidence">
        <w:r>
          <w:rPr>
            <w:rStyle w:val="Hyperlink"/>
          </w:rPr>
          <w:t xml:space="preserve">Chapter 9</w:t>
        </w:r>
      </w:hyperlink>
      <w:r>
        <w:t xml:space="preserve"> </w:t>
      </w:r>
      <w:r>
        <w:t xml:space="preserve">against this claim of Williamson’s, I can’t rely on that.</w:t>
      </w:r>
    </w:p>
    <w:p>
      <w:pPr>
        <w:pStyle w:val="BodyText"/>
      </w:pPr>
      <w:r>
        <w:t xml:space="preserve">Instead I’ll offer a two-part response. That</w:t>
      </w:r>
      <w:r>
        <w:t xml:space="preserve"> </w:t>
      </w:r>
      <w:r>
        <w:rPr>
          <w:iCs/>
          <w:i/>
        </w:rPr>
        <w:t xml:space="preserve">p</w:t>
      </w:r>
      <w:r>
        <w:t xml:space="preserve"> </w:t>
      </w:r>
      <w:r>
        <w:t xml:space="preserve">is part of one’s evidence either entails that one knows</w:t>
      </w:r>
      <w:r>
        <w:t xml:space="preserve"> </w:t>
      </w:r>
      <w:r>
        <w:rPr>
          <w:iCs/>
          <w:i/>
        </w:rPr>
        <w:t xml:space="preserve">p</w:t>
      </w:r>
      <w:r>
        <w:t xml:space="preserve"> </w:t>
      </w:r>
      <w:r>
        <w:t xml:space="preserve">or it does not. Either way, EAE doesn’t pose a problem for my overall argument.</w:t>
      </w:r>
    </w:p>
    <w:p>
      <w:pPr>
        <w:pStyle w:val="BodyText"/>
      </w:pPr>
      <w:r>
        <w:t xml:space="preserve">If it does, then whether EAE or KAE is true won’t matter for the overall argument. I’m going to argue that some propositions that are known in typical situations might not be properly excluded if one’s interests change. That will imply interest-relativity given KAE, but it will also imply interest-relativity given EAE plus the thesis that evidence entails knowledge.</w:t>
      </w:r>
    </w:p>
    <w:p>
      <w:pPr>
        <w:pStyle w:val="BodyText"/>
      </w:pPr>
      <w:r>
        <w:t xml:space="preserve">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pPr>
        <w:pStyle w:val="BodyText"/>
      </w:pPr>
      <w:r>
        <w:t xml:space="preserve">The view I’ll defend in</w:t>
      </w:r>
      <w:r>
        <w:t xml:space="preserve"> </w:t>
      </w:r>
      <w:hyperlink w:anchor="sec-evidence">
        <w:r>
          <w:rPr>
            <w:rStyle w:val="Hyperlink"/>
          </w:rPr>
          <w:t xml:space="preserve">Chapter 9</w:t>
        </w:r>
      </w:hyperlink>
      <w:r>
        <w:t xml:space="preserve"> </w:t>
      </w:r>
      <w:r>
        <w:t xml:space="preserve">is that evidence does entail knowledge. There is a really simple argument for this view. One way to know that</w:t>
      </w:r>
      <w:r>
        <w:t xml:space="preserve"> </w:t>
      </w:r>
      <w:r>
        <w:rPr>
          <w:iCs/>
          <w:i/>
        </w:rPr>
        <w:t xml:space="preserve">p</w:t>
      </w:r>
      <w:r>
        <w:t xml:space="preserve"> </w:t>
      </w:r>
      <w:r>
        <w:t xml:space="preserve">is by properly deducing</w:t>
      </w:r>
      <w:r>
        <w:t xml:space="preserve"> </w:t>
      </w:r>
      <w:r>
        <w:rPr>
          <w:iCs/>
          <w:i/>
        </w:rPr>
        <w:t xml:space="preserve">p</w:t>
      </w:r>
      <w:r>
        <w:t xml:space="preserve"> </w:t>
      </w:r>
      <w:r>
        <w:t xml:space="preserve">from one’s evidence. The deduction</w:t>
      </w:r>
      <w:r>
        <w:t xml:space="preserve"> </w:t>
      </w:r>
      <w:r>
        <w:rPr>
          <w:iCs/>
          <w:i/>
        </w:rPr>
        <w:t xml:space="preserve">p, therefore p</w:t>
      </w:r>
      <w:r>
        <w:t xml:space="preserve"> </w:t>
      </w:r>
      <w:r>
        <w:t xml:space="preserve">can be properly carried out. So one can know anything in one’s evidence. But I’m not relying on this argument here, and instead on the point that if evidence doesn’t suffice for knowledge, it surely doesn’t suffice for exclusion.</w:t>
      </w:r>
    </w:p>
    <w:p>
      <w:pPr>
        <w:pStyle w:val="BodyText"/>
      </w:pPr>
      <w:r>
        <w:t xml:space="preserve">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bookmarkEnd w:id="102"/>
    <w:bookmarkStart w:id="103" w:name="sec-kae-high-prob"/>
    <w:p>
      <w:pPr>
        <w:pStyle w:val="Heading3"/>
      </w:pPr>
      <w:r>
        <w:t xml:space="preserve">4.3.3 Sufficiently High Probability</w:t>
      </w:r>
    </w:p>
    <w:p>
      <w:pPr>
        <w:pStyle w:val="FirstParagraph"/>
      </w:pPr>
      <w:r>
        <w:t xml:space="preserve">Perhaps one can exclude those propositions whose falsity is sufficiently high that treating them as definitely false doesn’t make a difference to the decision one makes. Call this view PAE, for sufficiently high Probability Allows Exclusion.</w:t>
      </w:r>
    </w:p>
    <w:p>
      <w:pPr>
        <w:pStyle w:val="BodyText"/>
      </w:pPr>
      <w:r>
        <w:t xml:space="preserve">The first thing to note is that if this is to be plausible, the notion of sufficiency here must be interest-relative. It’s often fine to ignore propositions that have a one in 10,000 chance of being true. When planning what to do a fine sunny day with a clear weather forecast, I simply ignore the chance that there will be a passing shower, even though that probably still has a 1 in 10000 chance. But it’s absurd to ignore one in 10,000 chances when deciding what insurance to buy. Fewer than one home in 10,000 burns down in any given year; that’s not a reason to skip fire insurance for the year.</w:t>
      </w:r>
    </w:p>
    <w:p>
      <w:pPr>
        <w:pStyle w:val="BodyText"/>
      </w:pPr>
      <w:r>
        <w:t xml:space="preserve">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pPr>
        <w:pStyle w:val="BodyText"/>
      </w:pPr>
      <w:r>
        <w:t xml:space="preserve">Third, once one does that, PAE starts to look suspiciously like a form of KAE. In particular, it looks like the view I’ll call IRT-CP in</w:t>
      </w:r>
      <w:r>
        <w:t xml:space="preserve"> </w:t>
      </w:r>
      <w:hyperlink w:anchor="sec-ties">
        <w:r>
          <w:rPr>
            <w:rStyle w:val="Hyperlink"/>
          </w:rPr>
          <w:t xml:space="preserve">Chapter 6</w:t>
        </w:r>
      </w:hyperlink>
      <w:r>
        <w:t xml:space="preserve">. That means (a) that it isn’t obviously an alternative to KAE, and (b) the objections to IRT-CP are also objections to it. Some of those objections will come up in</w:t>
      </w:r>
      <w:r>
        <w:t xml:space="preserve"> </w:t>
      </w:r>
      <w:hyperlink w:anchor="sec-lockecoin">
        <w:r>
          <w:rPr>
            <w:rStyle w:val="Hyperlink"/>
          </w:rPr>
          <w:t xml:space="preserve">Section 8.2</w:t>
        </w:r>
      </w:hyperlink>
      <w:r>
        <w:t xml:space="preserve"> </w:t>
      </w:r>
      <w:r>
        <w:t xml:space="preserve">and</w:t>
      </w:r>
      <w:r>
        <w:t xml:space="preserve"> </w:t>
      </w:r>
      <w:hyperlink w:anchor="sec-lockegames">
        <w:r>
          <w:rPr>
            <w:rStyle w:val="Hyperlink"/>
          </w:rPr>
          <w:t xml:space="preserve">Section 8.3</w:t>
        </w:r>
      </w:hyperlink>
      <w:r>
        <w:t xml:space="preserve">. But I’ll end this survey with a different puzzle case.</w:t>
      </w:r>
    </w:p>
    <w:p>
      <w:pPr>
        <w:pStyle w:val="BodyText"/>
      </w:pPr>
      <w:r>
        <w:t xml:space="preserve">Luc is lucky; he’s in a casino where they are offering better than fair odds on roulette. Although the chance of winning any bet is 1 in 38, if Luc bets $10, and his bet wins, he will win $400. (That’s the only bet on offer.) Luc is considering betting on 28. As it turns out, 28 won’t come up, although since this is a fair roulette wheel, Luc doesn’t know this. Luc, like most agents, has a declining marginal utility for money. He currently has $1,000, and for any amount of money $</w:t>
      </w:r>
      <w:r>
        <w:rPr>
          <w:iCs/>
          <w:i/>
        </w:rPr>
        <w:t xml:space="preserve">x</w:t>
      </w:r>
      <w:r>
        <w:t xml:space="preserve">, Luc gets utility</w:t>
      </w:r>
      <w:r>
        <w:t xml:space="preserve"> </w:t>
      </w:r>
      <w:r>
        <w:rPr>
          <w:iCs/>
          <w:i/>
        </w:rPr>
        <w:t xml:space="preserve">x</w:t>
      </w:r>
      <w:r>
        <w:rPr>
          <w:vertAlign w:val="subscript"/>
        </w:rPr>
        <w:t xml:space="preserve">0.5</w:t>
      </w:r>
      <w:r>
        <w:t xml:space="preserve"> </w:t>
      </w:r>
      <w:r>
        <w:t xml:space="preserve">out of having $</w:t>
      </w:r>
      <w:r>
        <w:rPr>
          <w:iCs/>
          <w:i/>
        </w:rPr>
        <w:t xml:space="preserve">x</w:t>
      </w:r>
      <w:r>
        <w:t xml:space="preserve">.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w:t>
      </w:r>
    </w:p>
    <w:p>
      <w:pPr>
        <w:pStyle w:val="BodyText"/>
      </w:pPr>
      <w:r>
        <w:t xml:space="preserve">Does that mean it is acceptable, in presenting Luc’s decision problem, to leave off the table any possibility of him winning, since he won’t win, and setting the probability of losing to 1 rather than 37 in 38 doesn’t change the decision he should make? No; this would misrepresent Luc’s situation in an important way. In particular, it would misrepresent how sensitive Luc’s choice is to his utility function, and to the size of the stakes. If Luc’s utility function had been that he gets utility</w:t>
      </w:r>
      <w:r>
        <w:t xml:space="preserve"> </w:t>
      </w:r>
      <w:r>
        <w:rPr>
          <w:iCs/>
          <w:i/>
        </w:rPr>
        <w:t xml:space="preserve">x</w:t>
      </w:r>
      <w:r>
        <w:rPr>
          <w:vertAlign w:val="subscript"/>
        </w:rPr>
        <w:t xml:space="preserve">0.75</w:t>
      </w:r>
      <w:r>
        <w:t xml:space="preserve"> </w:t>
      </w:r>
      <w:r>
        <w:t xml:space="preserve">from wealth</w:t>
      </w:r>
      <w:r>
        <w:t xml:space="preserve"> </w:t>
      </w:r>
      <w:r>
        <w:rPr>
          <w:iCs/>
          <w:i/>
        </w:rPr>
        <w:t xml:space="preserve">x</w:t>
      </w:r>
      <w:r>
        <w:t xml:space="preserve">, then it would have been wise for Luc to take the bet. Even with his actual utility function, if the bet had been $1 against $40, rather than $10 against $400, he would have been wise to take the bet. Leaving off the possibility of winning hides these facts, and badly misrepresents Luc’s situation.</w:t>
      </w:r>
    </w:p>
    <w:bookmarkEnd w:id="103"/>
    <w:bookmarkStart w:id="104" w:name="sec-kae-wrapping-ip"/>
    <w:p>
      <w:pPr>
        <w:pStyle w:val="Heading3"/>
      </w:pPr>
      <w:r>
        <w:t xml:space="preserve">4.3.4 Wrapping Up</w:t>
      </w:r>
    </w:p>
    <w:p>
      <w:pPr>
        <w:pStyle w:val="FirstParagraph"/>
      </w:pPr>
      <w:r>
        <w:t xml:space="preserve">I’ve argued that the states we can exclude from a decision table are the states that the agent knows not to obtain. The argument is largely by elimination. One might object that I haven’t excluded</w:t>
      </w:r>
      <w:r>
        <w:t xml:space="preserve"> </w:t>
      </w:r>
      <w:r>
        <w:rPr>
          <w:iCs/>
          <w:i/>
        </w:rPr>
        <w:t xml:space="preserve">all</w:t>
      </w:r>
      <w:r>
        <w:t xml:space="preserve"> </w:t>
      </w:r>
      <w:r>
        <w:t xml:space="preserve">alternatives. We could keep going asking whether one can exclude all and only those things that are justifiably believed to be false, or which are known to be known, or any number of other alternatives.</w:t>
      </w:r>
    </w:p>
    <w:p>
      <w:pPr>
        <w:pStyle w:val="BodyText"/>
      </w:pPr>
      <w:r>
        <w:t xml:space="preserve">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pPr>
        <w:pStyle w:val="BodyText"/>
      </w:pPr>
      <w:r>
        <w:t xml:space="preserve">That’s hardly a conclusive argument, but it seems like a good enough one to leave off the survey here, and return to the main narrative of asking what follows if Knowledge Allows Exclusion.</w:t>
      </w:r>
    </w:p>
    <w:bookmarkEnd w:id="104"/>
    <w:bookmarkEnd w:id="105"/>
    <w:bookmarkStart w:id="107" w:name="sec-from-kae-to-irt"/>
    <w:p>
      <w:pPr>
        <w:pStyle w:val="Heading2"/>
      </w:pPr>
      <w:r>
        <w:t xml:space="preserve">4.4 From KAE to Interest-Relativity</w:t>
      </w:r>
    </w:p>
    <w:p>
      <w:pPr>
        <w:pStyle w:val="FirstParagraph"/>
      </w:pPr>
      <w:r>
        <w:t xml:space="preserve">If Knowledge Allows Exclusion, then there is a simple argument that Anisa loses knowledge when playing the red-blue game. The following would be a bad table for Anisa to use when deciding what to do.</w:t>
      </w:r>
    </w:p>
    <w:tbl>
      <w:tblPr>
        <w:tblStyle w:val="Table"/>
        <w:tblW w:type="pct" w:w="5000"/>
        <w:tblLook w:firstRow="0" w:lastRow="0" w:firstColumn="0" w:lastColumn="0" w:noHBand="0" w:noVBand="0" w:val="0000"/>
        <w:jc w:val="start"/>
        <w:tblLayout w:type="fixed"/>
      </w:tblPr>
      <w:tblGrid>
        <w:gridCol w:w="7920"/>
      </w:tblGrid>
      <w:tr>
        <w:tc>
          <w:tcPr/>
          <w:bookmarkStart w:id="106" w:name="tbl-assume-agincourt"/>
          <w:p>
            <w:pPr>
              <w:jc w:val="center"/>
            </w:pPr>
            <w:pPr>
              <w:jc w:val="start"/>
              <w:spacing w:before="200"/>
              <w:pStyle w:val="Imag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2+2=4</w:t>
                  </w:r>
                </w:p>
              </w:tc>
              <w:tc>
                <w:tcPr/>
                <w:p>
                  <w:pPr>
                    <w:pStyle w:val="Compact"/>
                    <w:jc w:val="center"/>
                    <w:jc w:val="center"/>
                  </w:pPr>
                  <w:r>
                    <w:t xml:space="preserve">2+2 ≠ 4</w:t>
                  </w:r>
                </w:p>
              </w:tc>
            </w:tr>
            <w:tr>
              <w:tc>
                <w:tcPr/>
                <w:p>
                  <w:pPr>
                    <w:pStyle w:val="Compact"/>
                    <w:jc w:val="right"/>
                    <w:jc w:val="center"/>
                  </w:pPr>
                  <w:r>
                    <w:t xml:space="preserve">Red-True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Red-False</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right"/>
                    <w:jc w:val="center"/>
                  </w:pPr>
                  <w:r>
                    <w:t xml:space="preserve">Blue-True</w:t>
                  </w:r>
                </w:p>
              </w:tc>
              <w:tc>
                <w:tcPr/>
                <w:p>
                  <w:pPr>
                    <w:pStyle w:val="Compact"/>
                    <w:jc w:val="center"/>
                    <w:jc w:val="center"/>
                  </w:pPr>
                  <w:r>
                    <w:t xml:space="preserve">$50</w:t>
                  </w:r>
                </w:p>
              </w:tc>
              <w:tc>
                <w:tcPr/>
                <w:p>
                  <w:pPr>
                    <w:pStyle w:val="Compact"/>
                    <w:jc w:val="center"/>
                    <w:jc w:val="center"/>
                  </w:pPr>
                  <w:r>
                    <w:t xml:space="preserve">$50</w:t>
                  </w:r>
                </w:p>
              </w:tc>
            </w:tr>
            <w:tr>
              <w:tc>
                <w:tcPr/>
                <w:p>
                  <w:pPr>
                    <w:pStyle w:val="Compact"/>
                    <w:jc w:val="right"/>
                    <w:jc w:val="center"/>
                  </w:pPr>
                  <w:r>
                    <w:t xml:space="preserve">Blue-False</w:t>
                  </w:r>
                </w:p>
              </w:tc>
              <w:tc>
                <w:tcPr/>
                <w:p>
                  <w:pPr>
                    <w:pStyle w:val="Compact"/>
                    <w:jc w:val="center"/>
                    <w:jc w:val="center"/>
                  </w:pPr>
                  <w:r>
                    <w:t xml:space="preserve">0</w:t>
                  </w:r>
                </w:p>
              </w:tc>
              <w:tc>
                <w:tcPr/>
                <w:p>
                  <w:pPr>
                    <w:pStyle w:val="Compact"/>
                    <w:jc w:val="center"/>
                    <w:jc w:val="center"/>
                  </w:pPr>
                  <w:r>
                    <w:t xml:space="preserve">0</w:t>
                  </w:r>
                </w:p>
              </w:tc>
            </w:tr>
          </w:tbl>
          <w:bookmarkEnd w:id="106"/>
          <w:p/>
        </w:tc>
      </w:tr>
    </w:tbl>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bookmarkEnd w:id="107"/>
    <w:bookmarkStart w:id="109" w:name="sec-theoreticalknowledge"/>
    <w:p>
      <w:pPr>
        <w:pStyle w:val="Heading2"/>
      </w:pPr>
      <w:r>
        <w:t xml:space="preserve">4.5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108"/>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Section 4.6.2</w:t>
        </w:r>
      </w:hyperlink>
      <w:r>
        <w:t xml:space="preserve">. Until then I’ll be talking about single pieces of knowledge at a time.</w:t>
      </w:r>
    </w:p>
    <w:bookmarkEnd w:id="109"/>
    <w:bookmarkStart w:id="115" w:name="knowledge-and-closure"/>
    <w:p>
      <w:pPr>
        <w:pStyle w:val="Heading2"/>
      </w:pPr>
      <w:r>
        <w:t xml:space="preserve">4.6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Section 4.6.2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11" w:name="sec-andelim"/>
    <w:p>
      <w:pPr>
        <w:pStyle w:val="Heading3"/>
      </w:pPr>
      <w:r>
        <w:t xml:space="preserve">4.6.1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10"/>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And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11"/>
    <w:bookmarkStart w:id="114" w:name="sec-andintro"/>
    <w:p>
      <w:pPr>
        <w:pStyle w:val="Heading3"/>
      </w:pPr>
      <w:r>
        <w:t xml:space="preserve">4.6.2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12"/>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4.5</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13"/>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114"/>
    <w:bookmarkEnd w:id="115"/>
    <w:bookmarkStart w:id="116" w:name="sec-closuresummary"/>
    <w:p>
      <w:pPr>
        <w:pStyle w:val="Heading2"/>
      </w:pPr>
      <w:r>
        <w:t xml:space="preserve">4.7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16"/>
    <w:bookmarkEnd w:id="117"/>
    <w:bookmarkStart w:id="141"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I now think the objection should be addressed head on.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the version of IRT that I had developed in previous work does not say the particular implausible thing they were accusing IRT of. On the other hand, the views I had developed in those works did say something just as implausible, perhaps even more implausible, about their cases. They had argued that IRT would lead to closure failures in these cases. I had designed a version of IRT that couldn’t possibly have closure failures, so when I first saw these arguments I thought they couldn’t possibly apply to my version of IRT. Unfortunately, the theory avoids closure failures by being implausibly sceptical, and that’s still bad. What I’m going to argue is that the problem their cases raise is not due to IRT, which is correct, but to the background assumption that choosers should maximise expected utility. And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Cs/>
          <w:i/>
        </w:rPr>
        <w:t xml:space="preserve">close call</w:t>
      </w:r>
      <w:r>
        <w:t xml:space="preserve"> </w:t>
      </w:r>
      <w:r>
        <w:t xml:space="preserve">cases. And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overture">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29"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is the view that humans are capable of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18"/>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119"/>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&amp;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21"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Cs/>
          <w:i/>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w:t>
      </w:r>
      <w:r>
        <w:rPr>
          <w:rStyle w:val="FootnoteReference"/>
        </w:rPr>
        <w:footnoteReference w:id="120"/>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Cs/>
          <w:i/>
        </w:rPr>
        <w:t xml:space="preserve">checking</w:t>
      </w:r>
      <w:r>
        <w:t xml:space="preserve">.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w:t>
      </w:r>
      <w:r>
        <w:t xml:space="preserve"> </w:t>
      </w:r>
      <w:r>
        <w:rPr>
          <w:iCs/>
          <w:i/>
        </w:rPr>
        <w:t xml:space="preserve">The Age</w:t>
      </w:r>
      <w:r>
        <w:t xml:space="preserve"> </w:t>
      </w:r>
      <w:r>
        <w:t xml:space="preserve">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121"/>
    <w:bookmarkStart w:id="122"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&amp;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22"/>
    <w:bookmarkStart w:id="123"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 why he was assassinated</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123"/>
    <w:bookmarkStart w:id="125"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Section 4.6.2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w:t>
      </w:r>
      <w:r>
        <w:rPr>
          <w:rStyle w:val="FootnoteReference"/>
        </w:rPr>
        <w:footnoteReference w:id="124"/>
      </w:r>
      <w:r>
        <w:t xml:space="preserve"> </w:t>
      </w:r>
      <w:r>
        <w:t xml:space="preserve">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25"/>
    <w:bookmarkStart w:id="126"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26"/>
    <w:bookmarkStart w:id="127"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Cs/>
          <w:i/>
        </w:rPr>
        <w:t xml:space="preserve">p</w:t>
      </w:r>
      <w:r>
        <w:t xml:space="preserve"> </w:t>
      </w:r>
      <w:r>
        <w:t xml:space="preserve">as part of one’s evidence might license inductive inferences that are not licensed by a smaller evidence set that doesn’t include</w:t>
      </w:r>
      <w:r>
        <w:t xml:space="preserve"> </w:t>
      </w:r>
      <w:r>
        <w:rPr>
          <w:iCs/>
          <w:i/>
        </w:rPr>
        <w:t xml:space="preserve">p</w:t>
      </w:r>
      <w:r>
        <w:t xml:space="preserve">, even if one knows</w:t>
      </w:r>
      <w:r>
        <w:t xml:space="preserve"> </w:t>
      </w:r>
      <w:r>
        <w:rPr>
          <w:iCs/>
          <w:i/>
        </w:rPr>
        <w:t xml:space="preserve">p</w:t>
      </w:r>
      <w:r>
        <w:t xml:space="preserve"> </w:t>
      </w:r>
      <w:r>
        <w:t xml:space="preserve">on the basis of that smaller set. If that’s right, evidence gathering could be epistemically useful even if one already knows the evidence to be gathered.</w:t>
      </w:r>
    </w:p>
    <w:bookmarkEnd w:id="127"/>
    <w:bookmarkStart w:id="128"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28"/>
    <w:bookmarkEnd w:id="129"/>
    <w:bookmarkStart w:id="130"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4.5</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30"/>
    <w:bookmarkStart w:id="132"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31"/>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32"/>
    <w:bookmarkStart w:id="135" w:name="sec-doublecheck"/>
    <w:p>
      <w:pPr>
        <w:pStyle w:val="Heading2"/>
      </w:pPr>
      <w:r>
        <w:t xml:space="preserve">5.4 Double Checking</w:t>
      </w:r>
    </w:p>
    <w:p>
      <w:pPr>
        <w:pStyle w:val="FirstParagraph"/>
      </w:pPr>
      <w:r>
        <w:t xml:space="preserve">In her 2008 paper “Subject-Sensitive Invariantism and the Knowledge Norm for Practical Reasoning, Jessica</w:t>
      </w:r>
      <w:r>
        <w:t xml:space="preserve"> </w:t>
      </w:r>
      <w:r>
        <w:t xml:space="preserve">Brown (2008)</w:t>
      </w:r>
      <w:r>
        <w:t xml:space="preserve"> </w:t>
      </w:r>
      <w:r>
        <w:t xml:space="preserve">runs through a bunch of cases where, she says, intuitively someone knows a proposition but they cannot use it in practical deliberation. The first of these cases has been frequently cited as a problem for the kind of view I’m defending.</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rPr>
          <w:iCs/>
          <w:i/>
        </w:rPr>
        <w:t xml:space="preserve">Student</w:t>
      </w:r>
      <w:r>
        <w:t xml:space="preserve">: I don’t understand. Why is she looking at the patient’s records? She was in clinic with the patient this morning. Doesn’t she even know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I think there are pretty good arguments that checking the chart is the right thing to do even if the surgeon knows which kidney is diseased, so this case isn’t a problem for the views about knowledge and action that I’m defending.</w:t>
      </w:r>
    </w:p>
    <w:p>
      <w:pPr>
        <w:pStyle w:val="BodyText"/>
      </w:pPr>
      <w:r>
        <w:t xml:space="preserve">In medical contexts, intuitions about appropriate action very rarely track expected utility maximisation. This is one reason why it is so easy to come up with medical counterexamples to act utilitarianism for intro ethics classes. Instead, intuitions about appropriate actions here are more likely to track with rule utilitarianism. And the rule</w:t>
      </w:r>
      <w:r>
        <w:t xml:space="preserve"> </w:t>
      </w:r>
      <w:r>
        <w:rPr>
          <w:iCs/>
          <w:i/>
        </w:rPr>
        <w:t xml:space="preserve">Double-check the notes before removing an organ</w:t>
      </w:r>
      <w:r>
        <w:t xml:space="preserve"> </w:t>
      </w:r>
      <w:r>
        <w:t xml:space="preserve">seems like it will on average maximise utility, even if it would not help in this case.</w:t>
      </w:r>
    </w:p>
    <w:p>
      <w:pPr>
        <w:pStyle w:val="BodyText"/>
      </w:pPr>
      <w:r>
        <w:t xml:space="preserve">To connect this to the discussion in</w:t>
      </w:r>
      <w:r>
        <w:t xml:space="preserve"> </w:t>
      </w:r>
      <w:hyperlink w:anchor="sec-settling">
        <w:r>
          <w:rPr>
            <w:rStyle w:val="Hyperlink"/>
          </w:rPr>
          <w:t xml:space="preserve">Section 5.1</w:t>
        </w:r>
      </w:hyperlink>
      <w:r>
        <w:t xml:space="preserve">,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So this is a reasonable bit of sensitivity for the surgeon to chase, and for the rule-makers to require be chased.</w:t>
      </w:r>
      <w:r>
        <w:rPr>
          <w:rStyle w:val="FootnoteReference"/>
        </w:rPr>
        <w:footnoteReference w:id="133"/>
      </w:r>
    </w:p>
    <w:p>
      <w:pPr>
        <w:pStyle w:val="BodyText"/>
      </w:pPr>
      <w:r>
        <w:t xml:space="preserve">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pPr>
        <w:pStyle w:val="BlockText"/>
      </w:pPr>
      <w:r>
        <w:rPr>
          <w:iCs/>
          <w:i/>
        </w:rPr>
        <w:t xml:space="preserve">Student</w:t>
      </w:r>
      <w:r>
        <w:t xml:space="preserve">: I don’t understand. Why is she looking at the patient’s records for the seventeenth time? She just looked at the notes each minute for the last sixteen minutes; she knows which kidney it is.</w:t>
      </w:r>
      <w:r>
        <w:t xml:space="preserve"> </w:t>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This is a really bad defence of the surgeon’s actions. And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And that assumption is only defeated if there is some other worthwhile epistemic good that can be attained. In this case, there isn’t, since sensitivity to whether one misread the chart the last sixteen times isn’t a worthwhile kind of sensitivity to get.</w:t>
      </w:r>
    </w:p>
    <w:p>
      <w:pPr>
        <w:pStyle w:val="BodyText"/>
      </w:pPr>
      <w:r>
        <w:t xml:space="preserve">In general, anyone who wants to separate out knowledge from action, and do so on account of the fact that sometimes we double check things we know, owes a story about why we don’t also triple-check, quadruple-check, and so on. And I suspect such a story won’t be easy to tell.</w:t>
      </w:r>
    </w:p>
    <w:p>
      <w:pPr>
        <w:pStyle w:val="BodyText"/>
      </w:pPr>
      <w:r>
        <w:t xml:space="preserve">Brown has another example that hasn’t attracted nearly as much attention in the literature. This is unfortunate since I think it’s a more pressing problem for the view Brown is attacking.</w:t>
      </w:r>
    </w:p>
    <w:p>
      <w:pPr>
        <w:pStyle w:val="BlockText"/>
      </w:pPr>
      <w:r>
        <w:t xml:space="preserve">A husband is berating his friend for not telling him that his wife has been having an affair even though the friend has known of the affair for weeks.</w:t>
      </w:r>
    </w:p>
    <w:p>
      <w:pPr>
        <w:pStyle w:val="BlockText"/>
      </w:pPr>
      <w:r>
        <w:rPr>
          <w:iCs/>
          <w:i/>
        </w:rPr>
        <w:t xml:space="preserve">Husband</w:t>
      </w:r>
      <w:r>
        <w:t xml:space="preserve">: Why didn’t you say she was having an affair? You’ve known for weeks.</w:t>
      </w:r>
      <w:r>
        <w:br/>
      </w:r>
      <w:r>
        <w:rPr>
          <w:iCs/>
          <w:i/>
        </w:rPr>
        <w:t xml:space="preserve">Friend</w:t>
      </w:r>
      <w:r>
        <w:t xml:space="preserve">: Ok, I admit I knew, but it wouldn’t have been right for me to say anything before I was absolutely sure. I knew the damage it would cause to your marriage.</w:t>
      </w:r>
    </w:p>
    <w:p>
      <w:pPr>
        <w:pStyle w:val="FirstParagraph"/>
      </w:pPr>
      <w:r>
        <w:t xml:space="preserve">In this case, the tricks I was deploying in</w:t>
      </w:r>
      <w:r>
        <w:t xml:space="preserve"> </w:t>
      </w:r>
      <w:hyperlink w:anchor="sec-settling">
        <w:r>
          <w:rPr>
            <w:rStyle w:val="Hyperlink"/>
          </w:rPr>
          <w:t xml:space="preserve">Section 5.1</w:t>
        </w:r>
      </w:hyperlink>
      <w:r>
        <w:t xml:space="preserve"> </w:t>
      </w:r>
      <w:r>
        <w:t xml:space="preserve">don’t seem to help. There is no further epistemic good that Friend obtains by waiting further.</w:t>
      </w:r>
    </w:p>
    <w:p>
      <w:pPr>
        <w:pStyle w:val="BodyText"/>
      </w:pPr>
      <w:r>
        <w:t xml:space="preserve">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134"/>
      </w:r>
    </w:p>
    <w:p>
      <w:pPr>
        <w:pStyle w:val="BodyText"/>
      </w:pPr>
      <w:r>
        <w:t xml:space="preserve">There are two things that might be going on in this case. My best guess is that the explanation for why Friend’s statement seems so natural relies on both of them.</w:t>
      </w:r>
    </w:p>
    <w:p>
      <w:pPr>
        <w:pStyle w:val="BodyText"/>
      </w:pPr>
      <w:r>
        <w:t xml:space="preserve">First, we do sometimes use</w:t>
      </w:r>
      <w:r>
        <w:t xml:space="preserve"> </w:t>
      </w:r>
      <w:r>
        <w:t xml:space="preserve">‘</w:t>
      </w:r>
      <w:r>
        <w:t xml:space="preserve">know</w:t>
      </w:r>
      <w:r>
        <w:t xml:space="preserve">’</w:t>
      </w:r>
      <w:r>
        <w:t xml:space="preserve"> </w:t>
      </w:r>
      <w:r>
        <w:t xml:space="preserve">in a purely informational sense. We saw this in</w:t>
      </w:r>
      <w:r>
        <w:t xml:space="preserve"> </w:t>
      </w:r>
      <w:hyperlink w:anchor="sec-defraginquiry">
        <w:r>
          <w:rPr>
            <w:rStyle w:val="Hyperlink"/>
          </w:rPr>
          <w:t xml:space="preserve">Section 5.1.4</w:t>
        </w:r>
      </w:hyperlink>
      <w:r>
        <w:t xml:space="preserve"> </w:t>
      </w:r>
      <w:r>
        <w:t xml:space="preserve">with Paresseux’s claim that he</w:t>
      </w:r>
      <w:r>
        <w:t xml:space="preserve"> </w:t>
      </w:r>
      <w:r>
        <w:rPr>
          <w:iCs/>
          <w:i/>
        </w:rPr>
        <w:t xml:space="preserve">knew</w:t>
      </w:r>
      <w:r>
        <w:t xml:space="preserve"> </w:t>
      </w:r>
      <w:r>
        <w:t xml:space="preserve">Assidue was visiting. He possessed the information, though little more than that. Still, in context this can be enough to ascribe knowledge.</w:t>
      </w:r>
    </w:p>
    <w:p>
      <w:pPr>
        <w:pStyle w:val="BodyText"/>
      </w:pPr>
      <w:r>
        <w:t xml:space="preserve">Second, we can be very flexible about past-tense knowledge claims when we, the current speakers, know how things turned out. After our sports team loses a game they should have won, we might say</w:t>
      </w:r>
      <w:r>
        <w:t xml:space="preserve"> </w:t>
      </w:r>
      <w:r>
        <w:t xml:space="preserve">“</w:t>
      </w:r>
      <w:r>
        <w:t xml:space="preserve">I had a bad feeling about today, I knew we were going to mess it up.</w:t>
      </w:r>
      <w:r>
        <w:t xml:space="preserve">”</w:t>
      </w:r>
      <w:r>
        <w:t xml:space="preserve"> </w:t>
      </w:r>
      <w:r>
        <w:t xml:space="preserve">In most cases it would be weird to say the speaker even thought their team would mess up, let alone believed it. (Why didn’t they bet on the opposition if they thought the result was a foregone conclusion?) But even if they did believe it, we really don’t think</w:t>
      </w:r>
      <w:r>
        <w:t xml:space="preserve"> </w:t>
      </w:r>
      <w:r>
        <w:rPr>
          <w:iCs/>
          <w:i/>
        </w:rPr>
        <w:t xml:space="preserve">bad feelings</w:t>
      </w:r>
      <w:r>
        <w:t xml:space="preserve"> </w:t>
      </w:r>
      <w:r>
        <w:t xml:space="preserve">are appropriate grounds for knowledge. And yet, the speakers claim that they knew the team would mess up sounds fine.</w:t>
      </w:r>
    </w:p>
    <w:p>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The Friend didn’t know, in the sense of</w:t>
      </w:r>
      <w:r>
        <w:t xml:space="preserve"> </w:t>
      </w:r>
      <w:r>
        <w:rPr>
          <w:iCs/>
          <w:i/>
        </w:rPr>
        <w:t xml:space="preserve">know</w:t>
      </w:r>
      <w:r>
        <w:t xml:space="preserve"> </w:t>
      </w:r>
      <w:r>
        <w:t xml:space="preserve">relevant to epistemology, about the affair.</w:t>
      </w:r>
    </w:p>
    <w:p>
      <w:pPr>
        <w:pStyle w:val="BodyText"/>
      </w:pPr>
      <w:r>
        <w:t xml:space="preserve">The general methodological point is that these last two senses of knowledge do seem different to what we typically talk about in epistemology. It’s possible, as I noted in</w:t>
      </w:r>
      <w:r>
        <w:t xml:space="preserve"> </w:t>
      </w:r>
      <w:hyperlink w:anchor="sec-neutrality-contextualism">
        <w:r>
          <w:rPr>
            <w:rStyle w:val="Hyperlink"/>
          </w:rPr>
          <w:t xml:space="preserve">Section 2.7.1</w:t>
        </w:r>
      </w:hyperlink>
      <w:r>
        <w:t xml:space="preserve">, that considering the information-possession sense of knowledge is important for thinking through whether any kind of contextualism is true. I don’t think the</w:t>
      </w:r>
      <w:r>
        <w:t xml:space="preserve"> </w:t>
      </w:r>
      <w:r>
        <w:t xml:space="preserve">‘</w:t>
      </w:r>
      <w:r>
        <w:t xml:space="preserve">bad feeling</w:t>
      </w:r>
      <w:r>
        <w:t xml:space="preserve">’</w:t>
      </w:r>
      <w:r>
        <w:t xml:space="preserve"> </w:t>
      </w:r>
      <w:r>
        <w:t xml:space="preserve">cases are relevant to anything in epistemology, save for cases where we might need to explain away intuitions that they are involved in. Maybe that’s what’s happening in Brown’s second case.</w:t>
      </w:r>
    </w:p>
    <w:bookmarkEnd w:id="135"/>
    <w:bookmarkStart w:id="137"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In that inquiry, they shouldn’t take</w:t>
      </w:r>
      <w:r>
        <w:t xml:space="preserve"> </w:t>
      </w:r>
      <w:r>
        <w:rPr>
          <w:iCs/>
          <w:i/>
        </w:rPr>
        <w:t xml:space="preserve">p</w:t>
      </w:r>
      <w:r>
        <w:t xml:space="preserve"> </w:t>
      </w:r>
      <w:r>
        <w:t xml:space="preserve">for granted. They shouldn’t take it for granted for a very particular reason, because it might be false. If they knew</w:t>
      </w:r>
      <w:r>
        <w:t xml:space="preserve"> </w:t>
      </w:r>
      <w:r>
        <w:rPr>
          <w:iCs/>
          <w:i/>
        </w:rPr>
        <w:t xml:space="preserve">p</w:t>
      </w:r>
      <w:r>
        <w:t xml:space="preserve">, they could take it for granted, or, at least, if they couldn’t, it would be for some reason other than that</w:t>
      </w:r>
      <w:r>
        <w:t xml:space="preserve"> </w:t>
      </w:r>
      <w:r>
        <w:rPr>
          <w:iCs/>
          <w:i/>
        </w:rPr>
        <w:t xml:space="preserve">p</w:t>
      </w:r>
      <w:r>
        <w:t xml:space="preserve"> </w:t>
      </w:r>
      <w:r>
        <w:t xml:space="preserve">might be false. So they don’t know that</w:t>
      </w:r>
      <w:r>
        <w:t xml:space="preserve"> </w:t>
      </w:r>
      <w:r>
        <w:rPr>
          <w:iCs/>
          <w:i/>
        </w:rPr>
        <w:t xml:space="preserve">p</w:t>
      </w:r>
      <w:r>
        <w:t xml:space="preserve">.</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Cs/>
          <w:i/>
        </w:rPr>
        <w:t xml:space="preserve">p</w:t>
      </w:r>
      <w:r>
        <w:t xml:space="preserve"> </w:t>
      </w:r>
      <w:r>
        <w:t xml:space="preserve">for granted because it might be false, one doesn’t know</w:t>
      </w:r>
      <w:r>
        <w:t xml:space="preserve"> </w:t>
      </w:r>
      <w:r>
        <w:rPr>
          <w:iCs/>
          <w:i/>
        </w:rPr>
        <w:t xml:space="preserve">p</w:t>
      </w:r>
      <w:r>
        <w:t xml:space="preserve">. </w:t>
      </w:r>
    </w:p>
    <w:p>
      <w:pPr>
        <w:pStyle w:val="BodyText"/>
      </w:pPr>
      <w:r>
        <w:t xml:space="preserve">This is a kind of moral encroachment in the sense of</w:t>
      </w:r>
      <w:r>
        <w:t xml:space="preserve"> </w:t>
      </w:r>
      <w:r>
        <w:t xml:space="preserve">Basu &amp; Schroeder (2019)</w:t>
      </w:r>
      <w:r>
        <w:t xml:space="preserve">.</w:t>
      </w:r>
      <w:r>
        <w:rPr>
          <w:rStyle w:val="FootnoteReference"/>
        </w:rPr>
        <w:footnoteReference w:id="136"/>
      </w:r>
      <w:r>
        <w:t xml:space="preserve"> </w:t>
      </w:r>
      <w:r>
        <w:t xml:space="preserve">What one knows might be sensitive to one’s moral obligations in inquiry. Imagine two people both take</w:t>
      </w:r>
      <w:r>
        <w:t xml:space="preserve"> </w:t>
      </w:r>
      <w:r>
        <w:rPr>
          <w:iCs/>
          <w:i/>
        </w:rPr>
        <w:t xml:space="preserve">p</w:t>
      </w:r>
      <w:r>
        <w:t xml:space="preserve"> </w:t>
      </w:r>
      <w:r>
        <w:t xml:space="preserve">for granted in making a decision that affects other people. This is mostly fine because</w:t>
      </w:r>
      <w:r>
        <w:t xml:space="preserve"> </w:t>
      </w:r>
      <w:r>
        <w:rPr>
          <w:iCs/>
          <w:i/>
        </w:rPr>
        <w:t xml:space="preserve">p</w:t>
      </w:r>
      <w:r>
        <w:t xml:space="preserve"> </w:t>
      </w:r>
      <w:r>
        <w:t xml:space="preserve">is true, and they had good reasons to take it for granted. Still, there was some risk to others, and they could have checked whether</w:t>
      </w:r>
      <w:r>
        <w:t xml:space="preserve"> </w:t>
      </w:r>
      <w:r>
        <w:rPr>
          <w:iCs/>
          <w:i/>
        </w:rPr>
        <w:t xml:space="preserve">p</w:t>
      </w:r>
      <w:r>
        <w:t xml:space="preserve"> </w:t>
      </w:r>
      <w:r>
        <w:t xml:space="preserve">was actually true before acting, but in each case they had other things they would rather be doing than checking</w:t>
      </w:r>
      <w:r>
        <w:t xml:space="preserve"> </w:t>
      </w:r>
      <w:r>
        <w:rPr>
          <w:iCs/>
          <w:i/>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Cs/>
          <w:i/>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37"/>
    <w:bookmarkStart w:id="140" w:name="sec-multiple"/>
    <w:p>
      <w:pPr>
        <w:pStyle w:val="Heading2"/>
      </w:pPr>
      <w:r>
        <w:t xml:space="preserve">5.6 Multiple Inquiries</w:t>
      </w:r>
    </w:p>
    <w:p>
      <w:pPr>
        <w:pStyle w:val="FirstParagraph"/>
      </w:pPr>
      <w:r>
        <w:t xml:space="preserve">IRT says that what one knows is a function of what one is inquiring into. It would be very convenient if there was a position in the logical form of knowledge ascriptions for inquiries. That is, it would be very convenient if the logical form of</w:t>
      </w:r>
      <w:r>
        <w:t xml:space="preserve"> </w:t>
      </w:r>
      <w:r>
        <w:rPr>
          <w:iCs/>
          <w:i/>
        </w:rPr>
        <w:t xml:space="preserve">S knows that p</w:t>
      </w:r>
      <w:r>
        <w:t xml:space="preserve"> </w:t>
      </w:r>
      <w:r>
        <w:t xml:space="preserve">was something like</w:t>
      </w:r>
      <w:r>
        <w:t xml:space="preserve"> </w:t>
      </w:r>
      <w:r>
        <w:rPr>
          <w:iCs/>
          <w:i/>
        </w:rPr>
        <w:t xml:space="preserve">Ktspi</w:t>
      </w:r>
      <w:r>
        <w:t xml:space="preserve">, where</w:t>
      </w:r>
      <w:r>
        <w:t xml:space="preserve"> </w:t>
      </w:r>
      <w:r>
        <w:rPr>
          <w:iCs/>
          <w:i/>
        </w:rPr>
        <w:t xml:space="preserve">t</w:t>
      </w:r>
      <w:r>
        <w:t xml:space="preserve"> </w:t>
      </w:r>
      <w:r>
        <w:t xml:space="preserve">is the time,</w:t>
      </w:r>
      <w:r>
        <w:t xml:space="preserve"> </w:t>
      </w:r>
      <w:r>
        <w:rPr>
          <w:iCs/>
          <w:i/>
        </w:rPr>
        <w:t xml:space="preserve">s</w:t>
      </w:r>
      <w:r>
        <w:t xml:space="preserve"> </w:t>
      </w:r>
      <w:r>
        <w:t xml:space="preserve">is the knower,</w:t>
      </w:r>
      <w:r>
        <w:t xml:space="preserve"> </w:t>
      </w:r>
      <w:r>
        <w:rPr>
          <w:iCs/>
          <w:i/>
        </w:rPr>
        <w:t xml:space="preserve">p</w:t>
      </w:r>
      <w:r>
        <w:t xml:space="preserve"> </w:t>
      </w:r>
      <w:r>
        <w:t xml:space="preserve">is what’s known, and</w:t>
      </w:r>
      <w:r>
        <w:t xml:space="preserve"> </w:t>
      </w:r>
      <w:r>
        <w:rPr>
          <w:iCs/>
          <w:i/>
        </w:rPr>
        <w:t xml:space="preserve">i</w:t>
      </w:r>
      <w:r>
        <w:t xml:space="preserve"> </w:t>
      </w:r>
      <w:r>
        <w:t xml:space="preserve">is the inquiry it is known in. Then we could say that one condition on such a knowledge claim being true is that at</w:t>
      </w:r>
      <w:r>
        <w:t xml:space="preserve"> </w:t>
      </w:r>
      <w:r>
        <w:rPr>
          <w:iCs/>
          <w:i/>
        </w:rPr>
        <w:t xml:space="preserve">t</w:t>
      </w:r>
      <w:r>
        <w:t xml:space="preserve">,</w:t>
      </w:r>
      <w:r>
        <w:t xml:space="preserve"> </w:t>
      </w:r>
      <w:r>
        <w:rPr>
          <w:iCs/>
          <w:i/>
        </w:rPr>
        <w:t xml:space="preserve">s</w:t>
      </w:r>
      <w:r>
        <w:t xml:space="preserve"> </w:t>
      </w:r>
      <w:r>
        <w:t xml:space="preserve">can properly use</w:t>
      </w:r>
      <w:r>
        <w:t xml:space="preserve"> </w:t>
      </w:r>
      <w:r>
        <w:rPr>
          <w:iCs/>
          <w:i/>
        </w:rPr>
        <w:t xml:space="preserve">p</w:t>
      </w:r>
      <w:r>
        <w:t xml:space="preserve"> </w:t>
      </w:r>
      <w:r>
        <w:t xml:space="preserve">as a starting point in inquiry</w:t>
      </w:r>
      <w:r>
        <w:t xml:space="preserve"> </w:t>
      </w:r>
      <w:r>
        <w:rPr>
          <w:iCs/>
          <w:i/>
        </w:rPr>
        <w:t xml:space="preserve">i</w:t>
      </w:r>
      <w:r>
        <w:t xml:space="preserve">.</w:t>
      </w:r>
      <w:r>
        <w:rPr>
          <w:rStyle w:val="FootnoteReference"/>
        </w:rPr>
        <w:footnoteReference w:id="138"/>
      </w:r>
      <w:r>
        <w:t xml:space="preserve"> </w:t>
      </w:r>
      <w:r>
        <w:t xml:space="preserve">Unfortunately for IRT, that’s not the logical form of knowledge ascriptions. The</w:t>
      </w:r>
      <w:r>
        <w:t xml:space="preserve"> </w:t>
      </w:r>
      <w:r>
        <w:rPr>
          <w:iCs/>
          <w:i/>
        </w:rPr>
        <w:t xml:space="preserve">t</w:t>
      </w:r>
      <w:r>
        <w:t xml:space="preserve">,</w:t>
      </w:r>
      <w:r>
        <w:t xml:space="preserve"> </w:t>
      </w:r>
      <w:r>
        <w:rPr>
          <w:iCs/>
          <w:i/>
        </w:rPr>
        <w:t xml:space="preserve">s</w:t>
      </w:r>
      <w:r>
        <w:t xml:space="preserve">, and</w:t>
      </w:r>
      <w:r>
        <w:t xml:space="preserve"> </w:t>
      </w:r>
      <w:r>
        <w:rPr>
          <w:iCs/>
          <w:i/>
        </w:rPr>
        <w:t xml:space="preserve">p</w:t>
      </w:r>
      <w:r>
        <w:t xml:space="preserve"> </w:t>
      </w:r>
      <w:r>
        <w:t xml:space="preserve">are there all right, but not the</w:t>
      </w:r>
      <w:r>
        <w:t xml:space="preserve"> </w:t>
      </w:r>
      <w:r>
        <w:rPr>
          <w:iCs/>
          <w:i/>
        </w:rPr>
        <w:t xml:space="preserve">i</w:t>
      </w:r>
      <w:r>
        <w:t xml:space="preserve">. Fortunately for IRT, the logical form does have reference to a knower, that</w:t>
      </w:r>
      <w:r>
        <w:t xml:space="preserve"> </w:t>
      </w:r>
      <w:r>
        <w:rPr>
          <w:iCs/>
          <w:i/>
        </w:rPr>
        <w:t xml:space="preserve">s</w:t>
      </w:r>
      <w:r>
        <w:t xml:space="preserve">. Since knowers undertake inquiries, we can bring in the inquiries via the knower. All knowledge is inquiry-relative, we say, and it is relative to the inquiries of the person knowledge is being ascribed to.</w:t>
      </w:r>
    </w:p>
    <w:p>
      <w:pPr>
        <w:pStyle w:val="BodyText"/>
      </w:pPr>
      <w:r>
        <w:t xml:space="preserve">If every person was, at each time, undertaking precisely one inquiry, everything would fall into place very nicely. Given</w:t>
      </w:r>
      <w:r>
        <w:t xml:space="preserve"> </w:t>
      </w:r>
      <w:r>
        <w:rPr>
          <w:iCs/>
          <w:i/>
        </w:rPr>
        <w:t xml:space="preserve">t</w:t>
      </w:r>
      <w:r>
        <w:t xml:space="preserve"> </w:t>
      </w:r>
      <w:r>
        <w:t xml:space="preserve">and</w:t>
      </w:r>
      <w:r>
        <w:t xml:space="preserve"> </w:t>
      </w:r>
      <w:r>
        <w:rPr>
          <w:iCs/>
          <w:i/>
        </w:rPr>
        <w:t xml:space="preserve">s</w:t>
      </w:r>
      <w:r>
        <w:t xml:space="preserve">, we could guarantee the unique existence of an</w:t>
      </w:r>
      <w:r>
        <w:t xml:space="preserve"> </w:t>
      </w:r>
      <w:r>
        <w:rPr>
          <w:iCs/>
          <w:i/>
        </w:rPr>
        <w:t xml:space="preserve">i</w:t>
      </w:r>
      <w:r>
        <w:t xml:space="preserve">, and it would be as if there was an</w:t>
      </w:r>
      <w:r>
        <w:t xml:space="preserve"> </w:t>
      </w:r>
      <w:r>
        <w:rPr>
          <w:iCs/>
          <w:i/>
        </w:rPr>
        <w:t xml:space="preserve">i</w:t>
      </w:r>
      <w:r>
        <w:t xml:space="preserve"> </w:t>
      </w:r>
      <w:r>
        <w:t xml:space="preserve">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w:t>
      </w:r>
      <w:r>
        <w:t xml:space="preserve"> </w:t>
      </w:r>
      <w:r>
        <w:t xml:space="preserve">‘</w:t>
      </w:r>
      <w:r>
        <w:t xml:space="preserve">traditional</w:t>
      </w:r>
      <w:r>
        <w:t xml:space="preserve">’</w:t>
      </w:r>
      <w:r>
        <w:t xml:space="preserve"> </w:t>
      </w:r>
      <w:r>
        <w:t xml:space="preserve">factors, such as what they believe, whether those beliefs are true, grounded in the evidence, safe, and so on.</w:t>
      </w:r>
      <w:r>
        <w:rPr>
          <w:rStyle w:val="FootnoteReference"/>
        </w:rPr>
        <w:footnoteReference w:id="139"/>
      </w:r>
      <w:r>
        <w:t xml:space="preserve"> </w:t>
      </w:r>
      <w:r>
        <w:t xml:space="preserve">The case where someone is engaged in multiple inquiries is a little harder.</w:t>
      </w:r>
    </w:p>
    <w:p>
      <w:pPr>
        <w:pStyle w:val="BodyText"/>
      </w:pPr>
      <w:r>
        <w:t xml:space="preserve">The view I’ll defend is that the person knows</w:t>
      </w:r>
      <w:r>
        <w:t xml:space="preserve"> </w:t>
      </w:r>
      <w:r>
        <w:rPr>
          <w:iCs/>
          <w:i/>
        </w:rPr>
        <w:t xml:space="preserve">p</w:t>
      </w:r>
      <w:r>
        <w:t xml:space="preserve"> </w:t>
      </w:r>
      <w:r>
        <w:t xml:space="preserve">only if</w:t>
      </w:r>
      <w:r>
        <w:t xml:space="preserve"> </w:t>
      </w:r>
      <w:r>
        <w:rPr>
          <w:iCs/>
          <w:i/>
        </w:rPr>
        <w:t xml:space="preserve">p</w:t>
      </w:r>
      <w:r>
        <w:t xml:space="preserve"> </w:t>
      </w:r>
      <w:r>
        <w:t xml:space="preserve">can properly be used as a starting point in all the inquiries the person is engaged in. This has a surprising, and not entirely welcome, side effect. It means that some people don’t know</w:t>
      </w:r>
      <w:r>
        <w:t xml:space="preserve"> </w:t>
      </w:r>
      <w:r>
        <w:rPr>
          <w:iCs/>
          <w:i/>
        </w:rPr>
        <w:t xml:space="preserve">p</w:t>
      </w:r>
      <w:r>
        <w:t xml:space="preserve">, and hence can’t use</w:t>
      </w:r>
      <w:r>
        <w:t xml:space="preserve"> </w:t>
      </w:r>
      <w:r>
        <w:rPr>
          <w:iCs/>
          <w:i/>
        </w:rPr>
        <w:t xml:space="preserve">p</w:t>
      </w:r>
      <w:r>
        <w:t xml:space="preserve"> </w:t>
      </w:r>
      <w:r>
        <w:t xml:space="preserve">in an inquiry</w:t>
      </w:r>
      <w:r>
        <w:t xml:space="preserve"> </w:t>
      </w:r>
      <w:r>
        <w:rPr>
          <w:iCs/>
          <w:i/>
        </w:rPr>
        <w:t xml:space="preserve">i</w:t>
      </w:r>
      <w:r>
        <w:t xml:space="preserve">, even though they could use</w:t>
      </w:r>
      <w:r>
        <w:t xml:space="preserve"> </w:t>
      </w:r>
      <w:r>
        <w:rPr>
          <w:iCs/>
          <w:i/>
        </w:rPr>
        <w:t xml:space="preserve">p</w:t>
      </w:r>
      <w:r>
        <w:t xml:space="preserve"> </w:t>
      </w:r>
      <w:r>
        <w:t xml:space="preserve">as a starting point to</w:t>
      </w:r>
      <w:r>
        <w:t xml:space="preserve"> </w:t>
      </w:r>
      <w:r>
        <w:rPr>
          <w:iCs/>
          <w:i/>
        </w:rPr>
        <w:t xml:space="preserve">i</w:t>
      </w:r>
      <w:r>
        <w:t xml:space="preserve"> </w:t>
      </w:r>
      <w:r>
        <w:t xml:space="preserve">if</w:t>
      </w:r>
      <w:r>
        <w:t xml:space="preserve"> </w:t>
      </w:r>
      <w:r>
        <w:rPr>
          <w:iCs/>
          <w:i/>
        </w:rPr>
        <w:t xml:space="preserve">i</w:t>
      </w:r>
      <w:r>
        <w:t xml:space="preserve"> </w:t>
      </w:r>
      <w:r>
        <w:t xml:space="preserve">were the only inquiry they were engaged in. This is a somewhat more sceptical result than I like, but I suspect it’s the best choice out of a bad lot. The only other options I can see are to either try to find ways to get</w:t>
      </w:r>
      <w:r>
        <w:t xml:space="preserve"> </w:t>
      </w:r>
      <w:r>
        <w:rPr>
          <w:iCs/>
          <w:i/>
        </w:rPr>
        <w:t xml:space="preserve">i</w:t>
      </w:r>
      <w:r>
        <w:t xml:space="preserve"> </w:t>
      </w:r>
      <w:r>
        <w:t xml:space="preserve">back into the logical form of knowledge ascriptions, or to adopt a novel form of relativism that says knowledge claims are true or false relative to inquiries, or to say that the person conducting multiple inquiries is fragmented, and each of the fragments has their own knowledge. None of these moves strikes me as remotely plausible, and so we’re forced to have some kind of view where we quantify over the inquiries a person is engaged in.</w:t>
      </w:r>
    </w:p>
    <w:p>
      <w:pPr>
        <w:pStyle w:val="BodyText"/>
      </w:pPr>
      <w:r>
        <w:t xml:space="preserve">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And third, to say why this isn’t a devastating result, even though it’s not exactly a happy one.</w:t>
      </w:r>
    </w:p>
    <w:p>
      <w:pPr>
        <w:pStyle w:val="BodyText"/>
      </w:pPr>
      <w:r>
        <w:t xml:space="preserve">Our example of someone with multiple inquiries will be a historian called Tori. She has been taught, like everyone else, that the Battle of Hastings was in 1066. And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pPr>
        <w:pStyle w:val="BodyText"/>
      </w:pPr>
      <w:r>
        <w:t xml:space="preserve">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And in some of those jobs, it will have been sensible to take as given when the Battle of Hastings, and hence the Norman rule over Britain, took place. So there will be contexts, ones where her primary focus is on an everyday question where one takes for granted the common 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pPr>
        <w:pStyle w:val="BodyText"/>
      </w:pPr>
      <w:r>
        <w:t xml:space="preserve">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pPr>
        <w:pStyle w:val="BodyText"/>
      </w:pPr>
      <w:r>
        <w:t xml:space="preserve">The first thing to note is that even if Tori loses the knowledge that the Battle of Hastings was in 1066, she keeps her voluminous evidence that the Battle happened then. And in most inquiries, anything she might infer from a claim about the Battle’s date, she can infer from that evidence. So she’ll still, on the whole, be able to draw the same conclusions in other inquiries as if she kept that knowledge.</w:t>
      </w:r>
    </w:p>
    <w:p>
      <w:pPr>
        <w:pStyle w:val="BodyText"/>
      </w:pPr>
      <w:r>
        <w:t xml:space="preserve">Usually there are two reasons for keeping the conclusions of one’s inquiries and not one’s evidence. First, it helps with clutter avoidance</w:t>
      </w:r>
      <w:r>
        <w:t xml:space="preserve"> </w:t>
      </w:r>
      <w:r>
        <w:t xml:space="preserve">(Harman, 1986: 12)</w:t>
      </w:r>
      <w:r>
        <w:t xml:space="preserve">.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w:t>
      </w:r>
      <w:r>
        <w:t xml:space="preserve"> </w:t>
      </w:r>
      <w:r>
        <w:rPr>
          <w:iCs/>
          <w:i/>
        </w:rPr>
        <w:t xml:space="preserve">that step</w:t>
      </w:r>
      <w:r>
        <w:t xml:space="preserve">, and replace inferences that rely on it with inferences that rely on the underlying evidence.</w:t>
      </w:r>
    </w:p>
    <w:p>
      <w:pPr>
        <w:pStyle w:val="BodyText"/>
      </w:pPr>
      <w:r>
        <w:t xml:space="preserve">The other thing to note is that we can explain Tori’s behaviour in inquiries without positing more knowledge to her than IRT allows. The key thing is to replace the familiar</w:t>
      </w:r>
      <w:r>
        <w:t xml:space="preserve"> </w:t>
      </w:r>
      <w:r>
        <w:rPr>
          <w:bCs/>
          <w:b/>
        </w:rPr>
        <w:t xml:space="preserve">Knowledge Norm of Assertion</w:t>
      </w:r>
      <w:r>
        <w:t xml:space="preserve"> </w:t>
      </w:r>
      <w:r>
        <w:t xml:space="preserve">with the slightly more complicated</w:t>
      </w:r>
      <w:r>
        <w:t xml:space="preserve"> </w:t>
      </w:r>
      <w:r>
        <w:rPr>
          <w:bCs/>
          <w:b/>
        </w:rPr>
        <w:t xml:space="preserve">Sufficient Evidence Norm of Assertion</w:t>
      </w:r>
      <w:r>
        <w:t xml:space="preserve">.</w:t>
      </w:r>
    </w:p>
    <w:p>
      <w:pPr>
        <w:pStyle w:val="DefinitionTerm"/>
      </w:pPr>
      <w:r>
        <w:t xml:space="preserve">Knowledge Norm of Assertion</w:t>
      </w:r>
    </w:p>
    <w:p>
      <w:pPr>
        <w:pStyle w:val="Definition"/>
      </w:pPr>
      <w:r>
        <w:t xml:space="preserve">One must: Assert</w:t>
      </w:r>
      <w:r>
        <w:t xml:space="preserve"> </w:t>
      </w:r>
      <w:r>
        <w:rPr>
          <w:iCs/>
          <w:i/>
        </w:rPr>
        <w:t xml:space="preserve">p</w:t>
      </w:r>
      <w:r>
        <w:t xml:space="preserve"> </w:t>
      </w:r>
      <w:r>
        <w:t xml:space="preserve">only if one knows that</w:t>
      </w:r>
      <w:r>
        <w:t xml:space="preserve"> </w:t>
      </w:r>
      <w:r>
        <w:rPr>
          <w:iCs/>
          <w:i/>
        </w:rPr>
        <w:t xml:space="preserve">p</w:t>
      </w:r>
      <w:r>
        <w:t xml:space="preserve">.</w:t>
      </w:r>
    </w:p>
    <w:p>
      <w:pPr>
        <w:pStyle w:val="DefinitionTerm"/>
      </w:pPr>
      <w:r>
        <w:t xml:space="preserve">Sufficient Evidence Norm of Assertion</w:t>
      </w:r>
    </w:p>
    <w:p>
      <w:pPr>
        <w:pStyle w:val="Definition"/>
      </w:pPr>
      <w:r>
        <w:t xml:space="preserve">One must: Assert</w:t>
      </w:r>
      <w:r>
        <w:t xml:space="preserve"> </w:t>
      </w:r>
      <w:r>
        <w:rPr>
          <w:iCs/>
          <w:i/>
        </w:rPr>
        <w:t xml:space="preserve">p</w:t>
      </w:r>
      <w:r>
        <w:t xml:space="preserve"> </w:t>
      </w:r>
      <w:r>
        <w:t xml:space="preserve">only if one’s evidence is sufficient for one’s audience to know that</w:t>
      </w:r>
      <w:r>
        <w:t xml:space="preserve"> </w:t>
      </w:r>
      <w:r>
        <w:rPr>
          <w:iCs/>
          <w:i/>
        </w:rPr>
        <w:t xml:space="preserve">p</w:t>
      </w:r>
      <w:r>
        <w:t xml:space="preserve">.</w:t>
      </w:r>
    </w:p>
    <w:p>
      <w:pPr>
        <w:pStyle w:val="FirstParagraph"/>
      </w:pPr>
      <w:r>
        <w:t xml:space="preserve">If one identifies evidence with knowledge, then it’s hard to see any space between these two. I don’t quite endorse that identification for reasons that I’ll go over more in</w:t>
      </w:r>
      <w:r>
        <w:t xml:space="preserve"> </w:t>
      </w:r>
      <w:hyperlink w:anchor="sec-evidence">
        <w:r>
          <w:rPr>
            <w:rStyle w:val="Hyperlink"/>
          </w:rPr>
          <w:t xml:space="preserve">Chapter 9</w:t>
        </w:r>
      </w:hyperlink>
      <w:r>
        <w:t xml:space="preserve">, but I mention it here just to note that this need not be a radical revision.</w:t>
      </w:r>
    </w:p>
    <w:p>
      <w:pPr>
        <w:pStyle w:val="BodyText"/>
      </w:pPr>
      <w:r>
        <w:t xml:space="preserve">If the norms do come apart, then the latter seems to play better with IRT. Imagine that</w:t>
      </w:r>
      <w:r>
        <w:t xml:space="preserve"> </w:t>
      </w:r>
      <w:r>
        <w:rPr>
          <w:iCs/>
          <w:i/>
        </w:rPr>
        <w:t xml:space="preserve">S</w:t>
      </w:r>
      <w:r>
        <w:t xml:space="preserve"> </w:t>
      </w:r>
      <w:r>
        <w:t xml:space="preserve">is talking to some people who are facing a long-shot bet on whether</w:t>
      </w:r>
      <w:r>
        <w:t xml:space="preserve"> </w:t>
      </w:r>
      <w:r>
        <w:rPr>
          <w:iCs/>
          <w:i/>
        </w:rPr>
        <w:t xml:space="preserve">p</w:t>
      </w:r>
      <w:r>
        <w:t xml:space="preserve">. These people would not be best off, in expectation, taking</w:t>
      </w:r>
      <w:r>
        <w:t xml:space="preserve"> </w:t>
      </w:r>
      <w:r>
        <w:rPr>
          <w:iCs/>
          <w:i/>
        </w:rPr>
        <w:t xml:space="preserve">p</w:t>
      </w:r>
      <w:r>
        <w:t xml:space="preserve"> </w:t>
      </w:r>
      <w:r>
        <w:t xml:space="preserve">for granted. Unfortunately,</w:t>
      </w:r>
      <w:r>
        <w:t xml:space="preserve"> </w:t>
      </w:r>
      <w:r>
        <w:rPr>
          <w:iCs/>
          <w:i/>
        </w:rPr>
        <w:t xml:space="preserve">S</w:t>
      </w:r>
      <w:r>
        <w:t xml:space="preserve"> </w:t>
      </w:r>
      <w:r>
        <w:t xml:space="preserve">doesn’t care about the welfare of these people, though for some reason they do care about being a good informant and testifier. And imagine that</w:t>
      </w:r>
      <w:r>
        <w:t xml:space="preserve"> </w:t>
      </w:r>
      <w:r>
        <w:rPr>
          <w:iCs/>
          <w:i/>
        </w:rPr>
        <w:t xml:space="preserve">S</w:t>
      </w:r>
      <w:r>
        <w:t xml:space="preserve">’s evidence for</w:t>
      </w:r>
      <w:r>
        <w:t xml:space="preserve"> </w:t>
      </w:r>
      <w:r>
        <w:rPr>
          <w:iCs/>
          <w:i/>
        </w:rPr>
        <w:t xml:space="preserve">p</w:t>
      </w:r>
      <w:r>
        <w:t xml:space="preserve">, while strong, isn’t quite strong enough to justify the audience in taking this long-shot bet. Then it is wrong for</w:t>
      </w:r>
      <w:r>
        <w:t xml:space="preserve"> </w:t>
      </w:r>
      <w:r>
        <w:rPr>
          <w:iCs/>
          <w:i/>
        </w:rPr>
        <w:t xml:space="preserve">S</w:t>
      </w:r>
      <w:r>
        <w:t xml:space="preserve"> </w:t>
      </w:r>
      <w:r>
        <w:t xml:space="preserve">to simply say that</w:t>
      </w:r>
      <w:r>
        <w:t xml:space="preserve"> </w:t>
      </w:r>
      <w:r>
        <w:rPr>
          <w:iCs/>
          <w:i/>
        </w:rPr>
        <w:t xml:space="preserve">p</w:t>
      </w:r>
      <w:r>
        <w:t xml:space="preserve">.</w:t>
      </w:r>
    </w:p>
    <w:p>
      <w:pPr>
        <w:pStyle w:val="BodyText"/>
      </w:pPr>
      <w:r>
        <w:t xml:space="preserve">The picture behind the Sufficient Evidence Norm of Assertion is that one should say</w:t>
      </w:r>
      <w:r>
        <w:t xml:space="preserve"> </w:t>
      </w:r>
      <w:r>
        <w:rPr>
          <w:iCs/>
          <w:i/>
        </w:rPr>
        <w:t xml:space="preserve">p</w:t>
      </w:r>
      <w:r>
        <w:t xml:space="preserve"> </w:t>
      </w:r>
      <w:r>
        <w:t xml:space="preserve">only if one’s audience can take</w:t>
      </w:r>
      <w:r>
        <w:t xml:space="preserve"> </w:t>
      </w:r>
      <w:r>
        <w:rPr>
          <w:iCs/>
          <w:i/>
        </w:rPr>
        <w:t xml:space="preserve">p</w:t>
      </w:r>
      <w:r>
        <w:t xml:space="preserve"> </w:t>
      </w:r>
      <w:r>
        <w:t xml:space="preserve">as a starting point in inquiry. Sometimes one might violate this norm without much blame attaching, as when it turns out one’s audience has an unexpectedly long-odds bet on</w:t>
      </w:r>
      <w:r>
        <w:t xml:space="preserve"> </w:t>
      </w:r>
      <w:r>
        <w:rPr>
          <w:iCs/>
          <w:i/>
        </w:rPr>
        <w:t xml:space="preserve">p</w:t>
      </w:r>
      <w:r>
        <w:t xml:space="preserve">. But in normal cases, where one knows at least something about one’s audience, one should calibrate one’s assertions to the projects of one’s audience.</w:t>
      </w:r>
    </w:p>
    <w:p>
      <w:pPr>
        <w:pStyle w:val="BodyText"/>
      </w:pPr>
      <w:r>
        <w:t xml:space="preserve">This pictures seems to get two possible cases where Tori is involved in a group inquiry just right.</w:t>
      </w:r>
    </w:p>
    <w:p>
      <w:pPr>
        <w:pStyle w:val="BodyText"/>
      </w:pPr>
      <w:r>
        <w:t xml:space="preserve">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pPr>
        <w:pStyle w:val="BodyText"/>
      </w:pPr>
      <w:r>
        <w:t xml:space="preserve">In the second (somewhat odder) case, Tori is working with a group of people one of whom shares her concerns about these anomalies. In the context of the other inquiry (i.e., not the inquiry into the date of the Battle), Tori says</w:t>
      </w:r>
      <w:r>
        <w:t xml:space="preserve"> </w:t>
      </w:r>
      <w:r>
        <w:t xml:space="preserve">“</w:t>
      </w:r>
      <w:r>
        <w:t xml:space="preserve">The Battle of Hastings was in 1066.</w:t>
      </w:r>
      <w:r>
        <w:t xml:space="preserve">”</w:t>
      </w:r>
      <w:r>
        <w:t xml:space="preserve"> </w:t>
      </w:r>
      <w:r>
        <w:t xml:space="preserve">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pPr>
        <w:pStyle w:val="BodyText"/>
      </w:pPr>
      <w:r>
        <w:t xml:space="preserve">Two final notes about this case.</w:t>
      </w:r>
    </w:p>
    <w:p>
      <w:pPr>
        <w:pStyle w:val="BodyText"/>
      </w:pPr>
      <w:r>
        <w:t xml:space="preserve">First, I’ve crafted the Sufficient Evidence Norm to be the variation on the Knowledge Norm that a defender of IRT should like. But one might suspect the Knowledge Norm on independent grounds, e.g., because it gets the cases in</w:t>
      </w:r>
      <w:r>
        <w:t xml:space="preserve"> </w:t>
      </w:r>
      <w:r>
        <w:t xml:space="preserve">Maitra &amp; Weatherson (2010)</w:t>
      </w:r>
      <w:r>
        <w:t xml:space="preserve"> </w:t>
      </w:r>
      <w:r>
        <w:t xml:space="preserve">wrong. I think the Sufficient Evidence Norm should be tinkered with to handle those cases, but I’m not exactly sure how this should go. Still, the tinkering shouldn’t undermine the way IRT handles these cases.</w:t>
      </w:r>
    </w:p>
    <w:p>
      <w:pPr>
        <w:pStyle w:val="BodyText"/>
      </w:pPr>
      <w:r>
        <w:t xml:space="preserve">Second, there is a really interesting historical question around here. Imagine you have a community that governs itself by the Sufficient Evidence Norm. And then someone comes along and invents the printing press, and all of a sudden it’s possible to assert things with no knowledge of what is at take for one’s audience. How should one react, especially given the usefulness of the printing press for conducting inquiries that are widely distributed over space and time?</w:t>
      </w:r>
    </w:p>
    <w:p>
      <w:pPr>
        <w:pStyle w:val="BodyText"/>
      </w:pPr>
      <w:r>
        <w:t xml:space="preserve">A natural move would be to develop some new interest-invariant standards for printed assertion, and hopefully make it clear to both writers</w:t>
      </w:r>
      <w:r>
        <w:t xml:space="preserve"> </w:t>
      </w:r>
      <w:r>
        <w:rPr>
          <w:iCs/>
          <w:i/>
        </w:rPr>
        <w:t xml:space="preserve">and readers</w:t>
      </w:r>
      <w:r>
        <w:t xml:space="preserve"> </w:t>
      </w:r>
      <w:r>
        <w:t xml:space="preserve">what these standards are.</w:t>
      </w:r>
    </w:p>
    <w:p>
      <w:pPr>
        <w:pStyle w:val="BodyText"/>
      </w:pPr>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And I still think something like this is arguably true, at least if we mean the development of interest-invariant norms for what I called in</w:t>
      </w:r>
      <w:r>
        <w:t xml:space="preserve"> </w:t>
      </w:r>
      <w:hyperlink w:anchor="sec-overture">
        <w:r>
          <w:rPr>
            <w:rStyle w:val="Hyperlink"/>
          </w:rPr>
          <w:t xml:space="preserve">Chapter 1</w:t>
        </w:r>
      </w:hyperlink>
      <w:r>
        <w:t xml:space="preserve"> </w:t>
      </w:r>
      <w:r>
        <w:t xml:space="preserve">‘</w:t>
      </w:r>
      <w:r>
        <w:t xml:space="preserve">sub-optimal</w:t>
      </w:r>
      <w:r>
        <w:t xml:space="preserve">’</w:t>
      </w:r>
      <w:r>
        <w:t xml:space="preserve"> </w:t>
      </w:r>
      <w:r>
        <w:t xml:space="preserve">epistemology. But defending this claim would require a different book, and a writer with very different skills, to this one.</w:t>
      </w:r>
    </w:p>
    <w:p>
      <w:pPr>
        <w:pStyle w:val="BodyText"/>
      </w:pPr>
      <w:r>
        <w:t xml:space="preserve">So I’ll just leave this as a conjecture for the end of the chapter. What most philosophers call</w:t>
      </w:r>
      <w:r>
        <w:t xml:space="preserve"> </w:t>
      </w:r>
      <w:r>
        <w:t xml:space="preserve">‘</w:t>
      </w:r>
      <w:r>
        <w:t xml:space="preserve">traditional</w:t>
      </w:r>
      <w:r>
        <w:t xml:space="preserve">’</w:t>
      </w:r>
      <w:r>
        <w:t xml:space="preserve"> </w:t>
      </w:r>
      <w:r>
        <w:t xml:space="preserve">epistemological views, i.e., fallibilism plus interest-invariance, might just be a response to a relatively recent technological innovation.</w:t>
      </w:r>
    </w:p>
    <w:bookmarkEnd w:id="140"/>
    <w:bookmarkEnd w:id="141"/>
    <w:bookmarkStart w:id="155" w:name="sec-ties"/>
    <w:p>
      <w:pPr>
        <w:pStyle w:val="Heading1"/>
      </w:pPr>
      <w:r>
        <w:t xml:space="preserve">6. Ties</w:t>
      </w:r>
    </w:p>
    <w:p>
      <w:pPr>
        <w:pStyle w:val="FirstParagraph"/>
      </w:pPr>
      <w:r>
        <w:t xml:space="preserve">I have mentioned a couple of times that a natural version of IRT leads to unpleasant closure failures. Adam</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if you add this principle and nothing else to a natural theory of knowledge, you get a theory where a person can know</w:t>
      </w:r>
      <w:r>
        <w:t xml:space="preserve"> </w:t>
      </w:r>
      <w:r>
        <w:rPr>
          <w:iCs/>
          <w:i/>
        </w:rPr>
        <w:t xml:space="preserve">p</w:t>
      </w:r>
      <w:r>
        <w:t xml:space="preserve"> </w:t>
      </w:r>
      <w:r>
        <w:t xml:space="preserve">∧</w:t>
      </w:r>
      <w:r>
        <w:t xml:space="preserve"> </w:t>
      </w:r>
      <w:r>
        <w:rPr>
          <w:iCs/>
          <w:i/>
        </w:rPr>
        <w:t xml:space="preserve">q</w:t>
      </w:r>
      <w:r>
        <w:t xml:space="preserve"> </w:t>
      </w:r>
      <w:r>
        <w:t xml:space="preserve">but not</w:t>
      </w:r>
      <w:r>
        <w:rPr>
          <w:iCs/>
          <w:i/>
        </w:rPr>
        <w:t xml:space="preserve">p</w:t>
      </w:r>
      <w:r>
        <w:t xml:space="preserve">.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pPr>
        <w:pStyle w:val="BodyText"/>
      </w:pPr>
      <w:r>
        <w:t xml:space="preserve">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bookmarkStart w:id="142"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 … ∧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39"/>
        </w:numPr>
        <w:pStyle w:val="Compact"/>
      </w:pPr>
      <w:r>
        <w:t xml:space="preserve">In the case where Frankie Lee has no reason to choose one note rather than another, he doesn’t know of any note that it is genuine. And this is surprisingly sceptical.</w:t>
      </w:r>
    </w:p>
    <w:p>
      <w:pPr>
        <w:numPr>
          <w:ilvl w:val="0"/>
          <w:numId w:val="1039"/>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39"/>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it’s good news for some interest-relative theory. This is some evidence that the problem is not with the very idea of interest-relativity, but with the implementation of it. We’ll see more such evidence as the chapter goes along.</w:t>
      </w:r>
    </w:p>
    <w:bookmarkEnd w:id="142"/>
    <w:bookmarkStart w:id="143"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Before we do that, I am going to outline how my version of IRT, which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bookmarkEnd w:id="143"/>
    <w:bookmarkStart w:id="146"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44"/>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45"/>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46"/>
    <w:bookmarkStart w:id="148"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0"/>
        </w:numPr>
        <w:pStyle w:val="Compact"/>
      </w:pPr>
      <w:r>
        <w:t xml:space="preserve">Which option has highest expected utility?</w:t>
      </w:r>
    </w:p>
    <w:p>
      <w:pPr>
        <w:numPr>
          <w:ilvl w:val="0"/>
          <w:numId w:val="1040"/>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as being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47"/>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48"/>
    <w:bookmarkStart w:id="149"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w:t>
      </w:r>
      <w:r>
        <w:t xml:space="preserve"> </w:t>
      </w:r>
      <w:r>
        <w:t xml:space="preserve">(2017)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&amp; Schwartz, 2006)</w:t>
      </w:r>
      <w:r>
        <w:t xml:space="preserve"> </w:t>
      </w:r>
      <w:r>
        <w:t xml:space="preserve">where the maximisers end up with higher salaries but less job satisfaction, and to friend choice</w:t>
      </w:r>
      <w:r>
        <w:t xml:space="preserve"> </w:t>
      </w:r>
      <w:r>
        <w:t xml:space="preserve">(Newman, Schug, Yuki, Yamada, &amp; Nezlek,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&amp; Todd, 2010)</w:t>
      </w:r>
      <w:r>
        <w:t xml:space="preserve"> </w:t>
      </w:r>
      <w:r>
        <w:t xml:space="preserve">did not show the effect existing at all, though a later meta-analysis finds a significant mediated effect</w:t>
      </w:r>
      <w:r>
        <w:t xml:space="preserve"> </w:t>
      </w:r>
      <w:r>
        <w:t xml:space="preserve">(Chernev, Böckenholt, &amp;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&amp;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et al.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49"/>
    <w:bookmarkStart w:id="152" w:name="sec-deliberationcosts"/>
    <w:p>
      <w:pPr>
        <w:pStyle w:val="Heading2"/>
      </w:pPr>
      <w:r>
        <w:t xml:space="preserve">6.6 Deliberation Costs and Infinite Regresses</w:t>
      </w:r>
    </w:p>
    <w:p>
      <w:pPr>
        <w:pStyle w:val="FirstParagraph"/>
      </w:pPr>
      <w:r>
        <w:t xml:space="preserve">The idea that people should reason by choosing arbitrarily between choices that are close enough is not a new one. Experimental work by</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66–7)</w:t>
      </w:r>
    </w:p>
    <w:p>
      <w:pPr>
        <w:pStyle w:val="FirstParagraph"/>
      </w:pPr>
      <w:r>
        <w:t xml:space="preserve">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That’s not relevant to us though; we’re just interested in the claim about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Conlisk thinks that this is what rational agents will do, but he notes that there is a problem for it.</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Conlisk points out that there is very little</w:t>
      </w:r>
      <w:r>
        <w:t xml:space="preserve"> </w:t>
      </w:r>
      <w:r>
        <w:rPr>
          <w:iCs/>
          <w:i/>
        </w:rPr>
        <w:t xml:space="preserve">discussion</w:t>
      </w:r>
      <w:r>
        <w:t xml:space="preserve"> </w:t>
      </w:r>
      <w:r>
        <w:t xml:space="preserve">of the infinite regress problem in the literature before 1996. The same remains true after 1996.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They are typically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&amp;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&amp; Slack (2010)</w:t>
      </w:r>
      <w:r>
        <w:t xml:space="preserve">,</w:t>
      </w:r>
      <w:r>
        <w:t xml:space="preserve"> </w:t>
      </w:r>
      <w:r>
        <w:t xml:space="preserve">Ogaki &amp;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pPr>
        <w:pStyle w:val="BodyText"/>
      </w:pPr>
      <w:r>
        <w:t xml:space="preserve">This solution to the regress problem is easy to state, but a little harder to motivate. There are two big questions to answer before we can say it is really motivated.</w:t>
      </w:r>
    </w:p>
    <w:p>
      <w:pPr>
        <w:numPr>
          <w:ilvl w:val="0"/>
          <w:numId w:val="1041"/>
        </w:numPr>
        <w:pStyle w:val="Compact"/>
      </w:pPr>
      <w:r>
        <w:t xml:space="preserve">Why should we allow this kind of unreflective rule-following in our solution to the regress?</w:t>
      </w:r>
    </w:p>
    <w:p>
      <w:pPr>
        <w:numPr>
          <w:ilvl w:val="0"/>
          <w:numId w:val="1041"/>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Agents are not just informationally limited, they are computationally limited too. We could treat computational limits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50"/>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51"/>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52"/>
    <w:bookmarkStart w:id="154"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pPr>
        <w:pStyle w:val="BodyText"/>
      </w:pPr>
      <w:r>
        <w:t xml:space="preserve">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w:t>
      </w:r>
      <w:r>
        <w:t xml:space="preserve"> </w:t>
      </w:r>
      <w:r>
        <w:t xml:space="preserve">Sperber et al. (2010)</w:t>
      </w:r>
      <w:r>
        <w:t xml:space="preserve">. In this context, that means considering only those problems for which there is evidence that they are worth considering, and ignoring the rest. 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undamaged cans are safe to eat. This model is defeasible, but typically not defeated. (In Joyce’s terms, the small worlds are all ones in which the chickpeas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And in those cases, but only those cases, IRT does have sceptical consequences. In general</w:t>
      </w:r>
      <w:r>
        <w:t xml:space="preserve"> </w:t>
      </w:r>
      <w:r>
        <w:t xml:space="preserve">However, if there is something to do about the differences between nearly 1 and 1, such as with plastic banknotes or looking inside an egg carton, then the more complex model should be used. In general, the simpler model is the best choice, and when it is, IRT is consistent with the chooser having a lot of knowledge.</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On the other hand, David doesn’t know the eggs aren’t cracked. The toy model that says all available eggs on uncracked is bad.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53"/>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54"/>
    <w:bookmarkEnd w:id="155"/>
    <w:bookmarkStart w:id="165" w:name="sec-changes"/>
    <w:p>
      <w:pPr>
        <w:pStyle w:val="Heading1"/>
      </w:pPr>
      <w:r>
        <w:t xml:space="preserve">7. Changes</w:t>
      </w:r>
    </w:p>
    <w:p>
      <w:pPr>
        <w:pStyle w:val="FirstParagraph"/>
      </w:pPr>
      <w:r>
        <w:t xml:space="preserve">My version of IRT version endorse shares defects with more familiar versions of IRT. For instance, it is subject to the criticism that Crispin Wright makes here.</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That’s right; I do allow that instances of such a conjunction can be true. A similar objection has been made by Gillian Russell and John Doris</w:t>
      </w:r>
      <w:r>
        <w:t xml:space="preserve"> </w:t>
      </w:r>
      <w:r>
        <w:t xml:space="preserve">(2009)</w:t>
      </w:r>
      <w:r>
        <w:t xml:space="preserve">, by Michael</w:t>
      </w:r>
      <w:r>
        <w:t xml:space="preserve"> </w:t>
      </w:r>
      <w:r>
        <w:t xml:space="preserve">Blome-Tillmann (2009)</w:t>
      </w:r>
      <w:r>
        <w:t xml:space="preserve">, and by David Eaton and Timothy Pickavance</w:t>
      </w:r>
      <w:r>
        <w:t xml:space="preserve"> </w:t>
      </w:r>
      <w:r>
        <w:t xml:space="preserve">(2015)</w:t>
      </w:r>
      <w:r>
        <w:t xml:space="preserve">.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156"/>
      </w:r>
    </w:p>
    <w:bookmarkStart w:id="157" w:name="sec-overview"/>
    <w:p>
      <w:pPr>
        <w:pStyle w:val="Heading2"/>
      </w:pPr>
      <w:r>
        <w:t xml:space="preserve">7.1 Overview of Replies</w:t>
      </w:r>
    </w:p>
    <w:p>
      <w:pPr>
        <w:pStyle w:val="FirstParagraph"/>
      </w:pPr>
      <w:r>
        <w:t xml:space="preserve">I’m going to quickly go over five responses to this objection. I think at some level all five are correct. The first two, however, would probably do little to persuade anyone not already committed to IRI. The last three are more persuasive, and I’ll develop each of them in a subsequent section.</w:t>
      </w:r>
    </w:p>
    <w:p>
      <w:pPr>
        <w:pStyle w:val="BodyText"/>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57"/>
    <w:bookmarkStart w:id="159" w:name="sec-gettier"/>
    <w:p>
      <w:pPr>
        <w:pStyle w:val="Heading2"/>
      </w:pPr>
      <w:r>
        <w:t xml:space="preserve">7.2 So Long JTB</w:t>
      </w:r>
    </w:p>
    <w:p>
      <w:pPr>
        <w:pStyle w:val="FirstParagraph"/>
      </w:pPr>
      <w:r>
        <w:t xml:space="preserve">The story of investigations into knowledge over the last fifty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Caillaux.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Charlotte does not know that</w:t>
      </w:r>
      <w:r>
        <w:t xml:space="preserve"> </w:t>
      </w:r>
      <w:r>
        <w:rPr>
          <w:iCs/>
          <w:i/>
        </w:rPr>
        <w:t xml:space="preserve">p</w:t>
      </w:r>
      <w:r>
        <w:t xml:space="preserve"> </w:t>
      </w:r>
      <w:r>
        <w:t xml:space="preserve">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There are philosophers who argue that the conditions in all three cases are not strictly necessary. However, I won’t be discussing these points as it would take us too far afield. Instead, I’ll assume that Variant J demonstrates the need for justification or some form of rationality for knowledge. Variant T shows that knowledge requires truth, and Variant B shows that belief or strong acceptance is necessary for knowledge.</w:t>
      </w:r>
      <w:r>
        <w:rPr>
          <w:rStyle w:val="FootnoteReference"/>
        </w:rPr>
        <w:footnoteReference w:id="158"/>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Charlotte stops reading before the denouement. She thinks Caillaux was acquitted, not on a hunch, but because she read in another book that official France was too disorganized in July 1914 to convict any murderer. This is untrue, but Charlotte used it to arrive at the correct conclusion that</w:t>
      </w:r>
      <w:r>
        <w:t xml:space="preserve"> </w:t>
      </w:r>
      <w:r>
        <w:rPr>
          <w:iCs/>
          <w:i/>
        </w:rPr>
        <w:t xml:space="preserve">p</w:t>
      </w:r>
      <w:r>
        <w:t xml:space="preserve">.</w:t>
      </w:r>
    </w:p>
    <w:p>
      <w:pPr>
        <w:pStyle w:val="FirstParagraph"/>
      </w:pPr>
      <w:r>
        <w:t xml:space="preserve">In Variant D, Charlotte lacks knowledge of</w:t>
      </w:r>
      <w:r>
        <w:t xml:space="preserve"> </w:t>
      </w:r>
      <w:r>
        <w:rPr>
          <w:iCs/>
          <w:i/>
        </w:rPr>
        <w:t xml:space="preserve">p</w:t>
      </w:r>
      <w:r>
        <w:t xml:space="preserve"> </w:t>
      </w:r>
      <w:r>
        <w:t xml:space="preserve">because basing one’s reasoning on a falsehood typically does not establish knowledge. So whether one knows is influenced by the accuracy of the grounds for one’s belief. The subsequent variations may not be as straightforward, as determining whether Charlotte knows</w:t>
      </w:r>
      <w:r>
        <w:t xml:space="preserve"> </w:t>
      </w:r>
      <w:r>
        <w:rPr>
          <w:iCs/>
          <w:i/>
        </w:rPr>
        <w:t xml:space="preserve">p</w:t>
      </w:r>
      <w:r>
        <w:t xml:space="preserve"> </w:t>
      </w:r>
      <w:r>
        <w:t xml:space="preserve">will be more controversial. They are all instances where it is plausible that knowledge is sensitive to more factors than we’ve seen so far.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w:t>
      </w:r>
      <w:r>
        <w:t xml:space="preserve"> </w:t>
      </w:r>
      <w:r>
        <w:rPr>
          <w:iCs/>
          <w:i/>
        </w:rPr>
        <w:t xml:space="preserve">p</w:t>
      </w:r>
      <w:r>
        <w:t xml:space="preserve">. If she had encountered any of these older books or plays, she would have assumed her book was mistaken since it’s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w:t>
      </w:r>
      <w:r>
        <w:t xml:space="preserve"> </w:t>
      </w:r>
      <w:r>
        <w:rPr>
          <w:iCs/>
          <w:i/>
        </w:rPr>
        <w:t xml:space="preserve">p</w:t>
      </w:r>
      <w:r>
        <w:t xml:space="preserve"> </w:t>
      </w:r>
      <w:r>
        <w:t xml:space="preserve">was false.</w:t>
      </w:r>
    </w:p>
    <w:p>
      <w:pPr>
        <w:pStyle w:val="FirstParagraph"/>
      </w:pPr>
      <w:r>
        <w:t xml:space="preserve">Charlotte is doesn’t know that</w:t>
      </w:r>
      <w:r>
        <w:t xml:space="preserve"> </w:t>
      </w:r>
      <w:r>
        <w:rPr>
          <w:iCs/>
          <w:i/>
        </w:rPr>
        <w:t xml:space="preserve">p</w:t>
      </w:r>
      <w:r>
        <w:t xml:space="preserve"> </w:t>
      </w:r>
      <w:r>
        <w:t xml:space="preserve">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contemporary terminology, a belief forming method yields knowledge only if it is</w:t>
      </w:r>
      <w:r>
        <w:t xml:space="preserve"> </w:t>
      </w:r>
      <w:r>
        <w:rPr>
          <w:iCs/>
          <w:i/>
        </w:rPr>
        <w:t xml:space="preserve">safe</w:t>
      </w:r>
      <w:r>
        <w:t xml:space="preserve">.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 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With more more change,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w:t>
      </w:r>
      <w:r>
        <w:t xml:space="preserve"> </w:t>
      </w:r>
      <w:r>
        <w:rPr>
          <w:iCs/>
          <w:i/>
        </w:rPr>
        <w:t xml:space="preserve">p</w:t>
      </w:r>
      <w:r>
        <w:t xml:space="preserve">.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w:t>
      </w:r>
      <w:r>
        <w:t xml:space="preserve"> </w:t>
      </w:r>
      <w:r>
        <w:t xml:space="preserve">(Fantl &amp;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pPr>
        <w:pStyle w:val="BodyText"/>
      </w:pPr>
      <w:r>
        <w:t xml:space="preserve">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59"/>
    <w:bookmarkStart w:id="162"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60"/>
      </w:r>
      <w:r>
        <w:t xml:space="preserve"> </w:t>
      </w:r>
      <w:r>
        <w:t xml:space="preserve">It isn’t extensional adequacy; Dharmottara refuted that 1300 years ago. But it can be expressed using the modern</w:t>
      </w:r>
      <w:r>
        <w:rPr>
          <w:rStyle w:val="FootnoteReference"/>
        </w:rPr>
        <w:footnoteReference w:id="161"/>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2"/>
        </w:numPr>
        <w:pStyle w:val="Compact"/>
      </w:pPr>
      <w:r>
        <w:t xml:space="preserve">S knows that</w:t>
      </w:r>
      <w:r>
        <w:t xml:space="preserve"> </w:t>
      </w:r>
      <w:r>
        <w:rPr>
          <w:iCs/>
          <w:i/>
        </w:rPr>
        <w:t xml:space="preserve">p</w:t>
      </w:r>
      <w:r>
        <w:t xml:space="preserve">.</w:t>
      </w:r>
    </w:p>
    <w:p>
      <w:pPr>
        <w:numPr>
          <w:ilvl w:val="0"/>
          <w:numId w:val="1042"/>
        </w:numPr>
        <w:pStyle w:val="Compact"/>
      </w:pPr>
      <w:r>
        <w:rPr>
          <w:iCs/>
          <w:i/>
        </w:rPr>
        <w:t xml:space="preserve">p</w:t>
      </w:r>
      <w:r>
        <w:t xml:space="preserve">.</w:t>
      </w:r>
    </w:p>
    <w:p>
      <w:pPr>
        <w:numPr>
          <w:ilvl w:val="0"/>
          <w:numId w:val="1042"/>
        </w:numPr>
        <w:pStyle w:val="Compact"/>
      </w:pPr>
      <w:r>
        <w:t xml:space="preserve">S’s attitude to</w:t>
      </w:r>
      <w:r>
        <w:t xml:space="preserve"> </w:t>
      </w:r>
      <w:r>
        <w:rPr>
          <w:iCs/>
          <w:i/>
        </w:rPr>
        <w:t xml:space="preserve">p</w:t>
      </w:r>
      <w:r>
        <w:t xml:space="preserve"> </w:t>
      </w:r>
      <w:r>
        <w:t xml:space="preserve">is rational.</w:t>
      </w:r>
    </w:p>
    <w:p>
      <w:pPr>
        <w:numPr>
          <w:ilvl w:val="0"/>
          <w:numId w:val="1042"/>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pPr>
        <w:pStyle w:val="BodyText"/>
      </w:pPr>
      <w:r>
        <w:t xml:space="preserve">Some of the objections to IRT might rely on running together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bookmarkEnd w:id="162"/>
    <w:bookmarkStart w:id="164"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63"/>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Since Charlotte knows that</w:t>
      </w:r>
      <w:r>
        <w:t xml:space="preserve"> </w:t>
      </w:r>
      <w:r>
        <w:rPr>
          <w:iCs/>
          <w:i/>
        </w:rPr>
        <w:t xml:space="preserve">p</w:t>
      </w:r>
      <w:r>
        <w:t xml:space="preserve"> </w:t>
      </w:r>
      <w:r>
        <w:t xml:space="preserve">in Variant K, but not in Variant S, knowledge is sensitive to one’s preferred format for reading books. This is hardly a</w:t>
      </w:r>
      <w:r>
        <w:t xml:space="preserve"> </w:t>
      </w:r>
      <w:r>
        <w:t xml:space="preserve">‘</w:t>
      </w:r>
      <w:r>
        <w:t xml:space="preserve">truth-relevant</w:t>
      </w:r>
      <w:r>
        <w:t xml:space="preserve">’</w:t>
      </w:r>
      <w:r>
        <w:t xml:space="preserve"> </w:t>
      </w:r>
      <w:r>
        <w:t xml:space="preserve">feature, so knowledge isn’t only relevant to truth-relevant features. Knowledge generally depends on whether one was lucky, and the factors that determine whether one was lucky on an occasion need not be truth-relevant.</w:t>
      </w:r>
    </w:p>
    <w:p>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emigration status isn’t truth-relevant or truth-connected.</w:t>
      </w:r>
    </w:p>
    <w:p>
      <w:pPr>
        <w:pStyle w:val="BodyText"/>
      </w:pPr>
      <w:r>
        <w:t xml:space="preserve">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pPr>
        <w:pStyle w:val="BodyText"/>
      </w:pPr>
      <w:r>
        <w:t xml:space="preserve">That’s enough to argue against sweeping generalisations about what knowledge could or could not be sensitive to. Knowledge could be sensitive to anything, because anything could matter to which reference class one is in. Nilanjan Das</w:t>
      </w:r>
      <w:r>
        <w:t xml:space="preserve"> </w:t>
      </w:r>
      <w:r>
        <w:t xml:space="preserve">(2016: 116)</w:t>
      </w:r>
      <w:r>
        <w:t xml:space="preserve"> </w:t>
      </w:r>
      <w:r>
        <w:t xml:space="preserve">shows that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64"/>
    <w:bookmarkEnd w:id="165"/>
    <w:bookmarkStart w:id="192" w:name="sec-ratbel"/>
    <w:p>
      <w:pPr>
        <w:pStyle w:val="Heading1"/>
      </w:pPr>
      <w:r>
        <w:t xml:space="preserve">8. Rationality</w:t>
      </w:r>
    </w:p>
    <w:p>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w:t>
      </w:r>
      <w:r>
        <w:t xml:space="preserve"> </w:t>
      </w:r>
      <w:r>
        <w:rPr>
          <w:iCs/>
          <w:i/>
        </w:rPr>
        <w:t xml:space="preserve">p</w:t>
      </w:r>
      <w:r>
        <w:t xml:space="preserve"> </w:t>
      </w:r>
      <w:r>
        <w:t xml:space="preserve">just is to have credence in</w:t>
      </w:r>
      <w:r>
        <w:t xml:space="preserve"> </w:t>
      </w:r>
      <w:r>
        <w:rPr>
          <w:iCs/>
          <w:i/>
        </w:rPr>
        <w:t xml:space="preserve">p</w:t>
      </w:r>
      <w:r>
        <w:t xml:space="preserve"> </w:t>
      </w:r>
      <w:r>
        <w:t xml:space="preserve">at or above some threshold. The other is a normative claim: one rationally believes</w:t>
      </w:r>
      <w:r>
        <w:t xml:space="preserve"> </w:t>
      </w:r>
      <w:r>
        <w:rPr>
          <w:iCs/>
          <w:i/>
        </w:rPr>
        <w:t xml:space="preserve">p</w:t>
      </w:r>
      <w:r>
        <w:t xml:space="preserve"> </w:t>
      </w:r>
      <w:r>
        <w:t xml:space="preserve">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w:t>
      </w:r>
      <w:r>
        <w:t xml:space="preserve"> </w:t>
      </w:r>
      <w:r>
        <w:t xml:space="preserve">‘</w:t>
      </w:r>
      <w:r>
        <w:t xml:space="preserve">threshold</w:t>
      </w:r>
      <w:r>
        <w:t xml:space="preserve">’</w:t>
      </w:r>
      <w:r>
        <w:t xml:space="preserve"> </w:t>
      </w:r>
      <w:r>
        <w:t xml:space="preserve">in them is non-maximal. I’ll end the chapter by noting how the view of rational belief that comes out of IRT is immune to the problems associated with understanding belief in terms of a credal threshold.</w:t>
      </w:r>
    </w:p>
    <w:bookmarkStart w:id="168"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suggested that the following two conditions were individually necessary for belief that</w:t>
      </w:r>
      <w:r>
        <w:t xml:space="preserve"> </w:t>
      </w:r>
      <w:r>
        <w:rPr>
          <w:iCs/>
          <w:i/>
        </w:rPr>
        <w:t xml:space="preserve">p</w:t>
      </w:r>
      <w:r>
        <w:t xml:space="preserve">, and suggested they might be jointly sufficient.</w:t>
      </w:r>
      <w:r>
        <w:rPr>
          <w:rStyle w:val="FootnoteReference"/>
        </w:rPr>
        <w:footnoteReference w:id="166"/>
      </w:r>
    </w:p>
    <w:p>
      <w:pPr>
        <w:numPr>
          <w:ilvl w:val="0"/>
          <w:numId w:val="1043"/>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3"/>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4"/>
        </w:numPr>
        <w:pStyle w:val="Compact"/>
      </w:pPr>
      <w:r>
        <w:t xml:space="preserve">If she declines the bet, nothing happens.</w:t>
      </w:r>
    </w:p>
    <w:p>
      <w:pPr>
        <w:numPr>
          <w:ilvl w:val="0"/>
          <w:numId w:val="1044"/>
        </w:numPr>
        <w:pStyle w:val="Compact"/>
      </w:pPr>
      <w:r>
        <w:t xml:space="preserve">If she accepts the bet, and the Battle of Agincourt was in 1415, she wins $1.</w:t>
      </w:r>
    </w:p>
    <w:p>
      <w:pPr>
        <w:numPr>
          <w:ilvl w:val="0"/>
          <w:numId w:val="1044"/>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really was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5"/>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5"/>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6"/>
        </w:numPr>
        <w:pStyle w:val="Compact"/>
      </w:pPr>
      <w:r>
        <w:t xml:space="preserve">It has been her life goal to lose a billion dollars in a day, so taking the bet strictly dominates not taking it.</w:t>
      </w:r>
    </w:p>
    <w:p>
      <w:pPr>
        <w:numPr>
          <w:ilvl w:val="0"/>
          <w:numId w:val="1046"/>
        </w:numPr>
        <w:pStyle w:val="Compact"/>
      </w:pPr>
      <w:r>
        <w:t xml:space="preserve">She believes (irrationally) that anyone who loses a billion dollars in a day goes to heaven, and she (rationally) values heaven above any monetary amount.</w:t>
      </w:r>
    </w:p>
    <w:p>
      <w:pPr>
        <w:numPr>
          <w:ilvl w:val="0"/>
          <w:numId w:val="1046"/>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67"/>
      </w:r>
      <w:r>
        <w:t xml:space="preserve"> </w:t>
      </w: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 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which in turn maps ones preferences onto a probability function and a family of utility functions such that</w:t>
      </w:r>
      <w:r>
        <w:t xml:space="preserve"> </w:t>
      </w:r>
      <w:r>
        <w:rPr>
          <w:iCs/>
          <w:i/>
        </w:rPr>
        <w:t xml:space="preserve">Pr</w:t>
      </w:r>
      <w:r>
        <w:t xml:space="preserve">(</w:t>
      </w:r>
      <w:r>
        <w:rPr>
          <w:iCs/>
          <w:i/>
        </w:rPr>
        <w:t xml:space="preserve">p</w:t>
      </w:r>
      <w:r>
        <w:t xml:space="preserve">) = 0.6. That can’t be right because some people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68"/>
    <w:bookmarkStart w:id="169"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threshold, their theory fails, since rational credence one does not entail rational belief. In</w:t>
      </w:r>
      <w:r>
        <w:t xml:space="preserve"> </w:t>
      </w:r>
      <w:hyperlink w:anchor="sec-lockepuzzles">
        <w:r>
          <w:rPr>
            <w:rStyle w:val="Hyperlink"/>
          </w:rPr>
          <w:t xml:space="preserve">Section 8.4</w:t>
        </w:r>
      </w:hyperlink>
      <w:r>
        <w:t xml:space="preserve"> </w:t>
      </w:r>
      <w:r>
        <w:t xml:space="preserve">I’ll go over puzzles that arise for Lockean theories that set the threshold below one.</w:t>
      </w:r>
    </w:p>
    <w:p>
      <w:pPr>
        <w:pStyle w:val="BodyText"/>
      </w:pPr>
      <w:r>
        <w:t xml:space="preserve">The first puzzle for Lockeans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47"/>
        </w:numPr>
        <w:pStyle w:val="Compact"/>
      </w:pPr>
      <w:r>
        <w:t xml:space="preserve">At least one of the coin tosses will land either heads or tails.</w:t>
      </w:r>
    </w:p>
    <w:p>
      <w:pPr>
        <w:numPr>
          <w:ilvl w:val="0"/>
          <w:numId w:val="1047"/>
        </w:numPr>
        <w:pStyle w:val="Compact"/>
      </w:pPr>
      <w:r>
        <w:t xml:space="preserve">At least one of the coin tosses will land heads.</w:t>
      </w:r>
    </w:p>
    <w:p>
      <w:pPr>
        <w:numPr>
          <w:ilvl w:val="0"/>
          <w:numId w:val="1047"/>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69"/>
    <w:bookmarkStart w:id="180"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70"/>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w:t>
      </w:r>
      <w:r>
        <w:rPr>
          <w:rStyle w:val="FootnoteReference"/>
        </w:rPr>
        <w:footnoteReference w:id="171"/>
      </w:r>
      <w:r>
        <w:t xml:space="preserve"> </w:t>
      </w:r>
      <w:r>
        <w:t xml:space="preserve">So I’ll set the basic points slowly, and then circle back to the puzzle for the Lockeans.</w:t>
      </w:r>
      <w:r>
        <w:rPr>
          <w:rStyle w:val="FootnoteReference"/>
        </w:rPr>
        <w:footnoteReference w:id="172"/>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pct" w:w="5000"/>
        <w:tblLook w:firstRow="0" w:lastRow="0" w:firstColumn="0" w:lastColumn="0" w:noHBand="0" w:noVBand="0" w:val="0000"/>
        <w:jc w:val="start"/>
        <w:tblLayout w:type="fixed"/>
      </w:tblPr>
      <w:tblGrid>
        <w:gridCol w:w="7920"/>
      </w:tblGrid>
      <w:tr>
        <w:tc>
          <w:tcPr/>
          <w:bookmarkStart w:id="173" w:name="tbl-underspecified"/>
          <w:p>
            <w:pPr>
              <w:jc w:val="center"/>
            </w:pPr>
            <w:pPr>
              <w:jc w:val="start"/>
              <w:spacing w:before="200"/>
              <w:pStyle w:val="ImageCaption"/>
            </w:pPr>
            <w:r>
              <w:t xml:space="preserve">Table 8.1: An underspecified decision problem.</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w:t>
                  </w:r>
                </w:p>
              </w:tc>
              <w:tc>
                <w:tcPr/>
                <w:p>
                  <w:pPr>
                    <w:pStyle w:val="Compact"/>
                    <w:jc w:val="center"/>
                    <w:jc w:val="center"/>
                  </w:pPr>
                  <w:r>
                    <w:t xml:space="preserve">1</w:t>
                  </w:r>
                </w:p>
              </w:tc>
            </w:tr>
          </w:tbl>
          <w:bookmarkEnd w:id="173"/>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pct" w:w="5000"/>
        <w:tblLook w:firstRow="0" w:lastRow="0" w:firstColumn="0" w:lastColumn="0" w:noHBand="0" w:noVBand="0" w:val="0000"/>
        <w:jc w:val="start"/>
        <w:tblLayout w:type="fixed"/>
      </w:tblPr>
      <w:tblGrid>
        <w:gridCol w:w="7920"/>
      </w:tblGrid>
      <w:tr>
        <w:tc>
          <w:tcPr/>
          <w:bookmarkStart w:id="174" w:name="tbl-simple-game"/>
          <w:p>
            <w:pPr>
              <w:jc w:val="center"/>
            </w:pPr>
            <w:pPr>
              <w:jc w:val="start"/>
              <w:spacing w:before="200"/>
              <w:pStyle w:val="ImageCaption"/>
            </w:pPr>
            <w:r>
              <w:t xml:space="preserve">Table 8.2: A simple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4, 0</w:t>
                  </w:r>
                </w:p>
              </w:tc>
              <w:tc>
                <w:tcPr/>
                <w:p>
                  <w:pPr>
                    <w:pStyle w:val="Compact"/>
                    <w:jc w:val="center"/>
                    <w:jc w:val="center"/>
                  </w:pPr>
                  <w:r>
                    <w:t xml:space="preserve">0, 1</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1, 0</w:t>
                  </w:r>
                </w:p>
              </w:tc>
              <w:tc>
                <w:tcPr/>
                <w:p>
                  <w:pPr>
                    <w:pStyle w:val="Compact"/>
                    <w:jc w:val="center"/>
                    <w:jc w:val="center"/>
                  </w:pPr>
                  <w:r>
                    <w:t xml:space="preserve">1, 1</w:t>
                  </w:r>
                </w:p>
              </w:tc>
            </w:tr>
          </w:tbl>
          <w:bookmarkEnd w:id="174"/>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This game is solvable, though the decision problem could not be. What’s perhaps surprising is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75"/>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pct" w:w="5000"/>
        <w:tblLook w:firstRow="0" w:lastRow="0" w:firstColumn="0" w:lastColumn="0" w:noHBand="0" w:noVBand="0" w:val="0000"/>
        <w:jc w:val="start"/>
        <w:tblLayout w:type="fixed"/>
      </w:tblPr>
      <w:tblGrid>
        <w:gridCol w:w="7920"/>
      </w:tblGrid>
      <w:tr>
        <w:tc>
          <w:tcPr/>
          <w:bookmarkStart w:id="176" w:name="tbl-death-damascus"/>
          <w:p>
            <w:pPr>
              <w:jc w:val="center"/>
            </w:pPr>
            <w:pPr>
              <w:jc w:val="start"/>
              <w:spacing w:before="200"/>
              <w:pStyle w:val="ImageCaption"/>
            </w:pPr>
            <w:r>
              <w:t xml:space="preserve">Table 8.3: Death in Damascus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0, 1</w:t>
                  </w:r>
                </w:p>
              </w:tc>
              <w:tc>
                <w:tcPr/>
                <w:p>
                  <w:pPr>
                    <w:pStyle w:val="Compact"/>
                    <w:jc w:val="center"/>
                    <w:jc w:val="center"/>
                  </w:pPr>
                  <w:r>
                    <w:t xml:space="preserve">10, 0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9, 0</w:t>
                  </w:r>
                </w:p>
              </w:tc>
              <w:tc>
                <w:tcPr/>
                <w:p>
                  <w:pPr>
                    <w:pStyle w:val="Compact"/>
                    <w:jc w:val="center"/>
                    <w:jc w:val="center"/>
                  </w:pPr>
                  <w:r>
                    <w:t xml:space="preserve">-1, 1</w:t>
                  </w:r>
                </w:p>
              </w:tc>
            </w:tr>
          </w:tbl>
          <w:bookmarkEnd w:id="176"/>
          <w:p/>
        </w:tc>
      </w:tr>
    </w:tbl>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Column wants the two players to make the</w:t>
      </w:r>
      <w:r>
        <w:t xml:space="preserve"> </w:t>
      </w:r>
      <w:r>
        <w:t xml:space="preserve">‘</w:t>
      </w:r>
      <w:r>
        <w:t xml:space="preserve">same</w:t>
      </w:r>
      <w:r>
        <w:t xml:space="preserve">’</w:t>
      </w:r>
      <w:r>
        <w:t xml:space="preserve"> </w:t>
      </w:r>
      <w:r>
        <w:t xml:space="preserve">choice, i.e., both choose option 1 or both choose option 2. They get 1 if they do, 0 otherwise. Row wants them to make different choices, and gets 10 if they do. Row also dislikes playing</w:t>
      </w:r>
      <w:r>
        <w:t xml:space="preserve"> </w:t>
      </w:r>
      <w:r>
        <w:rPr>
          <w:iCs/>
          <w:i/>
        </w:rPr>
        <w:t xml:space="preserve">A</w:t>
      </w:r>
      <w:r>
        <w:rPr>
          <w:vertAlign w:val="subscript"/>
        </w:rPr>
        <w:t xml:space="preserve">2</w:t>
      </w:r>
      <w:r>
        <w:t xml:space="preserve">, and this costs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iCs/>
          <w:i/>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&amp;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iCs/>
          <w:i/>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77"/>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78"/>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pct" w:w="5000"/>
        <w:tblLook w:firstRow="0" w:lastRow="0" w:firstColumn="0" w:lastColumn="0" w:noHBand="0" w:noVBand="0" w:val="0000"/>
        <w:jc w:val="start"/>
        <w:tblLayout w:type="fixed"/>
      </w:tblPr>
      <w:tblGrid>
        <w:gridCol w:w="7920"/>
      </w:tblGrid>
      <w:tr>
        <w:tc>
          <w:tcPr/>
          <w:bookmarkStart w:id="179" w:name="tbl-up-down"/>
          <w:p>
            <w:pPr>
              <w:jc w:val="center"/>
            </w:pPr>
            <w:pPr>
              <w:jc w:val="start"/>
              <w:spacing w:before="200"/>
              <w:pStyle w:val="ImageCaption"/>
            </w:pPr>
            <w:r>
              <w:t xml:space="preserve">Table 8.4: The Up-Down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up</w:t>
                  </w:r>
                </w:p>
              </w:tc>
              <w:tc>
                <w:tcPr/>
                <w:p>
                  <w:pPr>
                    <w:pStyle w:val="Compact"/>
                    <w:jc w:val="center"/>
                    <w:jc w:val="center"/>
                  </w:pPr>
                  <w:r>
                    <w:rPr>
                      <w:iCs/>
                      <w:i/>
                    </w:rPr>
                    <w:t xml:space="preserve">down</w:t>
                  </w:r>
                </w:p>
              </w:tc>
            </w:tr>
            <w:tr>
              <w:tc>
                <w:tcPr/>
                <w:p>
                  <w:pPr>
                    <w:pStyle w:val="Compact"/>
                    <w:jc w:val="left"/>
                    <w:jc w:val="center"/>
                  </w:pPr>
                  <w:r>
                    <w:t xml:space="preserve">UP</w:t>
                  </w:r>
                </w:p>
              </w:tc>
              <w:tc>
                <w:tcPr/>
                <w:p>
                  <w:pPr>
                    <w:pStyle w:val="Compact"/>
                    <w:jc w:val="center"/>
                    <w:jc w:val="center"/>
                  </w:pPr>
                  <w:r>
                    <w:t xml:space="preserve">1, 1</w:t>
                  </w:r>
                </w:p>
              </w:tc>
              <w:tc>
                <w:tcPr/>
                <w:p>
                  <w:pPr>
                    <w:pStyle w:val="Compact"/>
                    <w:jc w:val="center"/>
                    <w:jc w:val="center"/>
                  </w:pPr>
                  <w:r>
                    <w:t xml:space="preserve">1, 1</w:t>
                  </w:r>
                </w:p>
              </w:tc>
            </w:tr>
            <w:tr>
              <w:tc>
                <w:tcPr/>
                <w:p>
                  <w:pPr>
                    <w:pStyle w:val="Compact"/>
                    <w:jc w:val="left"/>
                    <w:jc w:val="center"/>
                  </w:pPr>
                  <w:r>
                    <w:t xml:space="preserve">DOWN</w:t>
                  </w:r>
                </w:p>
              </w:tc>
              <w:tc>
                <w:tcPr/>
                <w:p>
                  <w:pPr>
                    <w:pStyle w:val="Compact"/>
                    <w:jc w:val="center"/>
                    <w:jc w:val="center"/>
                  </w:pPr>
                  <w:r>
                    <w:t xml:space="preserve">1, 1</w:t>
                  </w:r>
                </w:p>
              </w:tc>
              <w:tc>
                <w:tcPr/>
                <w:p>
                  <w:pPr>
                    <w:pStyle w:val="Compact"/>
                    <w:jc w:val="center"/>
                    <w:jc w:val="center"/>
                  </w:pPr>
                  <w:r>
                    <w:t xml:space="preserve">0, 0</w:t>
                  </w:r>
                </w:p>
              </w:tc>
            </w:tr>
          </w:tbl>
          <w:bookmarkEnd w:id="179"/>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apparently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Since I rejected an unrestricted version of expected utility maximisation in</w:t>
      </w:r>
      <w:r>
        <w:t xml:space="preserve"> </w:t>
      </w:r>
      <w:hyperlink w:anchor="sec-ties">
        <w:r>
          <w:rPr>
            <w:rStyle w:val="Hyperlink"/>
          </w:rPr>
          <w:t xml:space="preserve">Chapter 6</w:t>
        </w:r>
      </w:hyperlink>
      <w:r>
        <w:t xml:space="preserve">, I better not assume it here. Perhaps this is a case where it fails. There are two reasons it might fail, and neither seems applicable here. One is that the players have deliberation costs. Those, however, can be easily assumed away. The arguments are pretty simple to follow, and the players can be realistically assumed to be able to follow them. A better reason, following a suggestion from Stalnaker, is that weak dominance reasoning might be a supplement to expected utility maximisation.</w:t>
      </w:r>
    </w:p>
    <w:p>
      <w:pPr>
        <w:pStyle w:val="BodyText"/>
      </w:pPr>
      <w:r>
        <w:t xml:space="preserve">Weak dominance reasoning doesn’t provide to play UP in this case as I’ve set it up.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80"/>
    <w:bookmarkStart w:id="186"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bookmarkStart w:id="181"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 the belief threshold 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This won’t help at all on theories of truth which endorse classical logic, like epistemicism</w:t>
      </w:r>
      <w:r>
        <w:t xml:space="preserve"> </w:t>
      </w:r>
      <w:r>
        <w:t xml:space="preserve">(Williamson, 1994)</w:t>
      </w:r>
      <w:r>
        <w:t xml:space="preserve">, or supervaluationism, or my preferred comparative truth theory</w:t>
      </w:r>
      <w:r>
        <w:t xml:space="preserve"> </w:t>
      </w:r>
      <w:r>
        <w:t xml:space="preserve">(Weatherson, 2005b)</w:t>
      </w:r>
      <w:r>
        <w:t xml:space="preserve">. On any of those theories there will still be a true existential claim that the threshold exists and is unimportant. But even without settling what the right theory of vagueness is, we can see why this can’t be right by thinking about what it means to say that a 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w:t>
      </w:r>
      <w:r>
        <w:t xml:space="preserve"> </w:t>
      </w:r>
      <w:r>
        <w:t xml:space="preserve">‘</w:t>
      </w:r>
      <w:r>
        <w:t xml:space="preserve">hot</w:t>
      </w:r>
      <w:r>
        <w:t xml:space="preserve">’</w:t>
      </w:r>
      <w:r>
        <w:t xml:space="preserve"> </w:t>
      </w:r>
      <w:r>
        <w:t xml:space="preserve">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pPr>
        <w:pStyle w:val="BodyText"/>
      </w:pPr>
      <w:r>
        <w:t xml:space="preserve">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pPr>
        <w:pStyle w:val="BodyText"/>
      </w:pPr>
      <w:r>
        <w:t xml:space="preserve">Start by considering this generalisation.</w:t>
      </w:r>
    </w:p>
    <w:p>
      <w:pPr>
        <w:numPr>
          <w:ilvl w:val="0"/>
          <w:numId w:val="1048"/>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pPr>
        <w:pStyle w:val="BodyText"/>
      </w:pPr>
      <w:r>
        <w:t xml:space="preserve">The Lockean denies almost all of that. They say this principle has widespread counterexamples, even among rational agents. And when it is true, it isn’t explanatory. Rather, it is a summary of some genuinely explanatory claims about the relationship between credence and action.</w:t>
      </w:r>
    </w:p>
    <w:p>
      <w:pPr>
        <w:pStyle w:val="BodyText"/>
      </w:pPr>
      <w:r>
        <w:t xml:space="preserve">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81"/>
    <w:bookmarkStart w:id="182"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 the belief/non-belief threshold is greater than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82"/>
    <w:bookmarkStart w:id="183"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83"/>
    <w:bookmarkStart w:id="185"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84"/>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49"/>
        </w:numPr>
        <w:pStyle w:val="Compact"/>
      </w:pPr>
      <w:r>
        <w:rPr>
          <w:iCs/>
          <w:i/>
        </w:rPr>
        <w:t xml:space="preserve">S</w:t>
      </w:r>
      <w:r>
        <w:t xml:space="preserve"> </w:t>
      </w:r>
      <w:r>
        <w:t xml:space="preserve">is a rational agent.</w:t>
      </w:r>
    </w:p>
    <w:p>
      <w:pPr>
        <w:numPr>
          <w:ilvl w:val="0"/>
          <w:numId w:val="1049"/>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49"/>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0"/>
        </w:numPr>
        <w:pStyle w:val="Compact"/>
      </w:pPr>
      <w:r>
        <w:rPr>
          <w:iCs/>
          <w:i/>
        </w:rPr>
        <w:t xml:space="preserve">S</w:t>
      </w:r>
      <w:r>
        <w:t xml:space="preserve"> </w:t>
      </w:r>
      <w:r>
        <w:t xml:space="preserve">is a rational agent.</w:t>
      </w:r>
    </w:p>
    <w:p>
      <w:pPr>
        <w:numPr>
          <w:ilvl w:val="0"/>
          <w:numId w:val="1050"/>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0"/>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85"/>
    <w:bookmarkEnd w:id="186"/>
    <w:bookmarkStart w:id="191" w:name="sec-solving"/>
    <w:p>
      <w:pPr>
        <w:pStyle w:val="Heading2"/>
      </w:pPr>
      <w:r>
        <w:t xml:space="preserve">8.5 Solving the Challenges</w:t>
      </w:r>
    </w:p>
    <w:p>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w:t>
      </w:r>
      <w:r>
        <w:t xml:space="preserve"> </w:t>
      </w:r>
      <w:hyperlink w:anchor="sec-mecorrect">
        <w:r>
          <w:rPr>
            <w:rStyle w:val="Hyperlink"/>
          </w:rPr>
          <w:t xml:space="preserve">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However, I would like to briefly touch upon the remaining four problems.</w:t>
      </w:r>
    </w:p>
    <w:bookmarkStart w:id="187" w:name="coins"/>
    <w:p>
      <w:pPr>
        <w:pStyle w:val="Heading3"/>
      </w:pPr>
      <w:r>
        <w:t xml:space="preserve">8.5.1 Coins</w:t>
      </w:r>
    </w:p>
    <w:p>
      <w:pPr>
        <w:pStyle w:val="FirstParagraph"/>
      </w:pPr>
      <w:r>
        <w:t xml:space="preserve">To believe</w:t>
      </w:r>
      <w:r>
        <w:t xml:space="preserve"> </w:t>
      </w:r>
      <w:r>
        <w:rPr>
          <w:iCs/>
          <w:i/>
        </w:rPr>
        <w:t xml:space="preserve">p</w:t>
      </w:r>
      <w:r>
        <w:t xml:space="preserve">,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bookmarkEnd w:id="187"/>
    <w:bookmarkStart w:id="188"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88"/>
    <w:bookmarkStart w:id="189"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89"/>
    <w:bookmarkStart w:id="190"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90"/>
    <w:bookmarkEnd w:id="191"/>
    <w:bookmarkEnd w:id="192"/>
    <w:bookmarkStart w:id="215" w:name="sec-evidence"/>
    <w:p>
      <w:pPr>
        <w:pStyle w:val="Heading1"/>
      </w:pPr>
      <w:r>
        <w:t xml:space="preserve">9. Evidence</w:t>
      </w:r>
    </w:p>
    <w:bookmarkStart w:id="194"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93"/>
      </w:r>
    </w:p>
    <w:p>
      <w:pPr>
        <w:numPr>
          <w:ilvl w:val="0"/>
          <w:numId w:val="1051"/>
        </w:numPr>
        <w:pStyle w:val="Compact"/>
      </w:pPr>
      <w:r>
        <w:t xml:space="preserve">The red sentence is that two plus two equals four.</w:t>
      </w:r>
    </w:p>
    <w:p>
      <w:pPr>
        <w:numPr>
          <w:ilvl w:val="0"/>
          <w:numId w:val="1051"/>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that, in normal circumstances, would be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my project has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2"/>
        </w:numPr>
        <w:pStyle w:val="Compact"/>
      </w:pPr>
      <w:r>
        <w:t xml:space="preserve">The red sentence is</w:t>
      </w:r>
      <w:r>
        <w:t xml:space="preserve"> </w:t>
      </w:r>
      <w:r>
        <w:rPr>
          <w:iCs/>
          <w:i/>
        </w:rPr>
        <w:t xml:space="preserve">Two plus two equals four</w:t>
      </w:r>
      <w:r>
        <w:t xml:space="preserve">.</w:t>
      </w:r>
    </w:p>
    <w:p>
      <w:pPr>
        <w:numPr>
          <w:ilvl w:val="0"/>
          <w:numId w:val="1052"/>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3"/>
        </w:numPr>
        <w:pStyle w:val="Compact"/>
      </w:pPr>
      <w:r>
        <w:t xml:space="preserve">The unique rational play for Parveen is Red-True; and</w:t>
      </w:r>
    </w:p>
    <w:p>
      <w:pPr>
        <w:numPr>
          <w:ilvl w:val="0"/>
          <w:numId w:val="1053"/>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94"/>
    <w:bookmarkStart w:id="195"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some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95"/>
    <w:bookmarkStart w:id="199"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w:t>
      </w:r>
      <w:r>
        <w:rPr>
          <w:rStyle w:val="FootnoteReference"/>
        </w:rPr>
        <w:footnoteReference w:id="196"/>
      </w:r>
      <w:r>
        <w:t xml:space="preserve"> </w:t>
      </w:r>
      <w:r>
        <w:t xml:space="preserve">This is an especially useful move when the problems involve interactions of rational agents. Here, for example, is the game table for Newcomb’s problem, with the human who is usually the focus of the problem as Row, and the demon as Column.</w:t>
      </w:r>
    </w:p>
    <w:tbl>
      <w:tblPr>
        <w:tblStyle w:val="Table"/>
        <w:tblW w:type="pct" w:w="5000"/>
        <w:tblLook w:firstRow="0" w:lastRow="0" w:firstColumn="0" w:lastColumn="0" w:noHBand="0" w:noVBand="0" w:val="0000"/>
        <w:jc w:val="start"/>
        <w:tblLayout w:type="fixed"/>
      </w:tblPr>
      <w:tblGrid>
        <w:gridCol w:w="7920"/>
      </w:tblGrid>
      <w:tr>
        <w:tc>
          <w:tcPr/>
          <w:bookmarkStart w:id="197" w:name="tbl-Newcomb"/>
          <w:p>
            <w:pPr>
              <w:jc w:val="center"/>
            </w:pPr>
            <w:pPr>
              <w:jc w:val="start"/>
              <w:spacing w:before="200"/>
              <w:pStyle w:val="ImageCaption"/>
            </w:pPr>
            <w:r>
              <w:t xml:space="preserve">Table 9.1: Newcomb’s Problem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t xml:space="preserve">Predict 1 Box</w:t>
                  </w:r>
                </w:p>
              </w:tc>
              <w:tc>
                <w:tcPr/>
                <w:p>
                  <w:pPr>
                    <w:pStyle w:val="Compact"/>
                    <w:jc w:val="center"/>
                    <w:jc w:val="center"/>
                  </w:pPr>
                  <w:r>
                    <w:t xml:space="preserve">Predict 2 Boxes</w:t>
                  </w:r>
                </w:p>
              </w:tc>
            </w:tr>
            <w:tr>
              <w:tc>
                <w:tcPr/>
                <w:p>
                  <w:pPr>
                    <w:pStyle w:val="Compact"/>
                    <w:jc w:val="right"/>
                    <w:jc w:val="center"/>
                  </w:pPr>
                  <w:r>
                    <w:t xml:space="preserve">Choose 1 Box</w:t>
                  </w:r>
                </w:p>
              </w:tc>
              <w:tc>
                <w:tcPr/>
                <w:p>
                  <w:pPr>
                    <w:pStyle w:val="Compact"/>
                    <w:jc w:val="center"/>
                    <w:jc w:val="center"/>
                  </w:pPr>
                  <w:r>
                    <w:t xml:space="preserve">1000, 1</w:t>
                  </w:r>
                </w:p>
              </w:tc>
              <w:tc>
                <w:tcPr/>
                <w:p>
                  <w:pPr>
                    <w:pStyle w:val="Compact"/>
                    <w:jc w:val="center"/>
                    <w:jc w:val="center"/>
                  </w:pPr>
                  <w:r>
                    <w:t xml:space="preserve">0, 0</w:t>
                  </w:r>
                </w:p>
              </w:tc>
            </w:tr>
            <w:tr>
              <w:tc>
                <w:tcPr/>
                <w:p>
                  <w:pPr>
                    <w:pStyle w:val="Compact"/>
                    <w:jc w:val="right"/>
                    <w:jc w:val="center"/>
                  </w:pPr>
                  <w:r>
                    <w:t xml:space="preserve">Choose 2 Boxes</w:t>
                  </w:r>
                </w:p>
              </w:tc>
              <w:tc>
                <w:tcPr/>
                <w:p>
                  <w:pPr>
                    <w:pStyle w:val="Compact"/>
                    <w:jc w:val="center"/>
                    <w:jc w:val="center"/>
                  </w:pPr>
                  <w:r>
                    <w:t xml:space="preserve">1001, 0</w:t>
                  </w:r>
                </w:p>
              </w:tc>
              <w:tc>
                <w:tcPr/>
                <w:p>
                  <w:pPr>
                    <w:pStyle w:val="Compact"/>
                    <w:jc w:val="center"/>
                    <w:jc w:val="center"/>
                  </w:pPr>
                  <w:r>
                    <w:t xml:space="preserve">1, 1</w:t>
                  </w:r>
                </w:p>
              </w:tc>
            </w:tr>
          </w:tbl>
          <w:bookmarkEnd w:id="197"/>
          <w:p/>
        </w:tc>
      </w:tr>
    </w:tbl>
    <w:p>
      <w:pPr>
        <w:pStyle w:val="BodyText"/>
      </w:pPr>
      <w:r>
        <w:t xml:space="preserve">This game has a unique Nash equilibrium;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In this case the invention is not a demon, but The Radical Interpreter. To know the payouts for the players, we need to know their value function. More colloquially, we need to know their goals.</w:t>
      </w:r>
    </w:p>
    <w:p>
      <w:pPr>
        <w:numPr>
          <w:ilvl w:val="0"/>
          <w:numId w:val="1054"/>
        </w:numPr>
        <w:pStyle w:val="Compact"/>
      </w:pPr>
      <w:r>
        <w:t xml:space="preserve">The Radical Interpreter assigns mental states to Human in such a way as to predict Human’s actions given that Human is rational. We’ll assume here that evidence is a mental state, so saying what evidence Human has is among Radical Interpreter’s tasks. (Indeed, in the game play to come, it will be their primary task.)</w:t>
      </w:r>
    </w:p>
    <w:p>
      <w:pPr>
        <w:numPr>
          <w:ilvl w:val="0"/>
          <w:numId w:val="1054"/>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w:t>
      </w:r>
      <w:r>
        <w:t xml:space="preserve"> </w:t>
      </w:r>
      <w:r>
        <w:rPr>
          <w:iCs/>
          <w:i/>
        </w:rPr>
        <w:t xml:space="preserve">p</w:t>
      </w:r>
      <w:r>
        <w:t xml:space="preserve"> </w:t>
      </w:r>
      <w:r>
        <w:t xml:space="preserve">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5"/>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5"/>
        </w:numPr>
        <w:pStyle w:val="Compact"/>
      </w:pPr>
      <w:r>
        <w:t xml:space="preserve">Human has to decide whether to Take or Decline the bet.</w:t>
      </w:r>
    </w:p>
    <w:p>
      <w:pPr>
        <w:pStyle w:val="FirstParagraph"/>
      </w:pPr>
      <w:r>
        <w:t xml:space="preserve">The Radical Interpreter achieves their goal if this biconditional is true: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the payouts for the game are those in</w:t>
      </w:r>
      <w:r>
        <w:t xml:space="preserve"> </w:t>
      </w:r>
      <w:hyperlink w:anchor="tbl-radical-interpreter">
        <w:r>
          <w:rPr>
            <w:rStyle w:val="Hyperlink"/>
          </w:rPr>
          <w:t xml:space="preserve">Table 9.2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8" w:name="tbl-radical-interpreter"/>
          <w:p>
            <w:pPr>
              <w:jc w:val="center"/>
            </w:pPr>
            <w:pPr>
              <w:jc w:val="start"/>
              <w:spacing w:before="200"/>
              <w:pStyle w:val="ImageCaption"/>
            </w:pPr>
            <w:r>
              <w:t xml:space="preserve">Table 9.2: The Radical Interpreter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p</w:t>
                  </w:r>
                  <w:r>
                    <w:t xml:space="preserve"> ∈ </w:t>
                  </w:r>
                  <w:r>
                    <w:rPr>
                      <w:iCs/>
                      <w:i/>
                    </w:rPr>
                    <w:t xml:space="preserve">E</w:t>
                  </w:r>
                </w:p>
              </w:tc>
              <w:tc>
                <w:tcPr/>
                <w:p>
                  <w:pPr>
                    <w:pStyle w:val="Compact"/>
                    <w:jc w:val="center"/>
                    <w:jc w:val="center"/>
                  </w:pPr>
                  <w:r>
                    <w:rPr>
                      <w:iCs/>
                      <w:i/>
                    </w:rPr>
                    <w:t xml:space="preserve">p</w:t>
                  </w:r>
                  <w:r>
                    <w:t xml:space="preserve"> ∉ </w:t>
                  </w:r>
                  <w:r>
                    <w:rPr>
                      <w:iCs/>
                      <w:i/>
                    </w:rPr>
                    <w:t xml:space="preserve">E</w:t>
                  </w:r>
                </w:p>
              </w:tc>
            </w:tr>
            <w:tr>
              <w:tc>
                <w:tcPr/>
                <w:p>
                  <w:pPr>
                    <w:pStyle w:val="Compact"/>
                    <w:jc w:val="right"/>
                    <w:jc w:val="center"/>
                  </w:pPr>
                  <w:r>
                    <w:t xml:space="preserve">Take the Bet</w:t>
                  </w:r>
                </w:p>
              </w:tc>
              <w:tc>
                <w:tcPr/>
                <w:p>
                  <w:pPr>
                    <w:pStyle w:val="Compact"/>
                    <w:jc w:val="center"/>
                    <w:jc w:val="center"/>
                  </w:pPr>
                  <w:r>
                    <w:t xml:space="preserve">1, 1</w:t>
                  </w:r>
                </w:p>
              </w:tc>
              <w:tc>
                <w:tcPr/>
                <w:p>
                  <w:pPr>
                    <w:pStyle w:val="Compact"/>
                    <w:jc w:val="center"/>
                    <w:jc w:val="center"/>
                  </w:pPr>
                  <w:r>
                    <w:t xml:space="preserve">-9.1, 0</w:t>
                  </w:r>
                </w:p>
              </w:tc>
            </w:tr>
            <w:tr>
              <w:tc>
                <w:tcPr/>
                <w:p>
                  <w:pPr>
                    <w:pStyle w:val="Compact"/>
                    <w:jc w:val="right"/>
                    <w:jc w:val="center"/>
                  </w:pPr>
                  <w:r>
                    <w:t xml:space="preserve">Decline the Bet</w:t>
                  </w:r>
                </w:p>
              </w:tc>
              <w:tc>
                <w:tcPr/>
                <w:p>
                  <w:pPr>
                    <w:pStyle w:val="Compact"/>
                    <w:jc w:val="center"/>
                    <w:jc w:val="center"/>
                  </w:pPr>
                  <w:r>
                    <w:t xml:space="preserve">0, 0</w:t>
                  </w:r>
                </w:p>
              </w:tc>
              <w:tc>
                <w:tcPr/>
                <w:p>
                  <w:pPr>
                    <w:pStyle w:val="Compact"/>
                    <w:jc w:val="center"/>
                    <w:jc w:val="center"/>
                  </w:pPr>
                  <w:r>
                    <w:t xml:space="preserve">0, 1</w:t>
                  </w:r>
                </w:p>
              </w:tc>
            </w:tr>
          </w:tbl>
          <w:bookmarkEnd w:id="198"/>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99"/>
    <w:bookmarkStart w:id="208" w:name="sec-globalgame"/>
    <w:p>
      <w:pPr>
        <w:pStyle w:val="Heading2"/>
      </w:pPr>
      <w:r>
        <w:t xml:space="preserve">9.4 Risk-Dominant Equilibria</w:t>
      </w:r>
    </w:p>
    <w:p>
      <w:pPr>
        <w:pStyle w:val="FirstParagraph"/>
      </w:pPr>
      <w:r>
        <w:t xml:space="preserve">At an almost maximal level of abstraction, a two player, two option each game looks like</w:t>
      </w:r>
      <w:r>
        <w:t xml:space="preserve"> </w:t>
      </w:r>
      <w:hyperlink w:anchor="tbl-generic-game">
        <w:r>
          <w:rPr>
            <w:rStyle w:val="Hyperlink"/>
          </w:rPr>
          <w:t xml:space="preserve">Table 9.3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00" w:name="tbl-generic-game"/>
          <w:p>
            <w:pPr>
              <w:jc w:val="center"/>
            </w:pPr>
            <w:pPr>
              <w:jc w:val="start"/>
              <w:spacing w:before="200"/>
              <w:pStyle w:val="ImageCaption"/>
            </w:pPr>
            <w:r>
              <w:t xml:space="preserve">Table 9.3: A generic 2 by 2 by 2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jc w:val="center"/>
                  </w:pPr>
                  <w:r>
                    <w:rPr>
                      <w:iCs/>
                      <w:i/>
                    </w:rPr>
                    <w:t xml:space="preserve">B</w:t>
                  </w:r>
                </w:p>
              </w:tc>
              <w:tc>
                <w:tcPr/>
                <w:p>
                  <w:pPr>
                    <w:pStyle w:val="Compact"/>
                    <w:jc w:val="center"/>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bookmarkEnd w:id="200"/>
          <w:p/>
        </w:tc>
      </w:tr>
    </w:tbl>
    <w:p>
      <w:pPr>
        <w:pStyle w:val="BodyText"/>
      </w:pPr>
      <w:r>
        <w:t xml:space="preserve">We’re going to focus on games that have the following eight properties:</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6"/>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6"/>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6"/>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6"/>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iCs/>
          <w:i/>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iCs/>
          <w:i/>
        </w:rPr>
        <w:t xml:space="preserve">risk-optimal</w:t>
      </w:r>
      <w:r>
        <w:t xml:space="preserve">.</w:t>
      </w:r>
    </w:p>
    <w:p>
      <w:pPr>
        <w:pStyle w:val="BodyText"/>
      </w:pPr>
      <w:r>
        <w:t xml:space="preserve">I’m going to set out an argument presented by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Many situations that theorists instinctively treat as Prisoners’ Dilemmas turn out, on closer inspection, to be Stag Hunts</w:t>
      </w:r>
      <w:r>
        <w:t xml:space="preserve"> </w:t>
      </w:r>
      <w:r>
        <w:t xml:space="preserve">(Skyrms, 2001)</w:t>
      </w:r>
      <w:r>
        <w:t xml:space="preserve">.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in</w:t>
      </w:r>
      <w:r>
        <w:t xml:space="preserve"> </w:t>
      </w:r>
      <w:hyperlink w:anchor="tbl-stag-hunt">
        <w:r>
          <w:rPr>
            <w:rStyle w:val="Hyperlink"/>
          </w:rPr>
          <w:t xml:space="preserve">Table 9.4</w:t>
        </w:r>
      </w:hyperlink>
      <w:r>
        <w:t xml:space="preserve">. (From here I’m following Carlsson and van Damme very closely; this is their example, with just the labelling slightly altered.)</w:t>
      </w:r>
    </w:p>
    <w:tbl>
      <w:tblPr>
        <w:tblStyle w:val="Table"/>
        <w:tblW w:type="pct" w:w="5000"/>
        <w:tblLook w:firstRow="0" w:lastRow="0" w:firstColumn="0" w:lastColumn="0" w:noHBand="0" w:noVBand="0" w:val="0000"/>
        <w:jc w:val="start"/>
        <w:tblLayout w:type="fixed"/>
      </w:tblPr>
      <w:tblGrid>
        <w:gridCol w:w="7920"/>
      </w:tblGrid>
      <w:tr>
        <w:tc>
          <w:tcPr/>
          <w:bookmarkStart w:id="201" w:name="tbl-stag-hunt"/>
          <w:p>
            <w:pPr>
              <w:jc w:val="center"/>
            </w:pPr>
            <w:pPr>
              <w:jc w:val="start"/>
              <w:spacing w:before="200"/>
              <w:pStyle w:val="ImageCaption"/>
            </w:pPr>
            <w:r>
              <w:t xml:space="preserve">Table 9.4: A simple version of Stag Hunt.</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left"/>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left"/>
                    <w:jc w:val="center"/>
                  </w:pPr>
                  <w:r>
                    <w:t xml:space="preserve">0, 3</w:t>
                  </w:r>
                </w:p>
              </w:tc>
            </w:tr>
            <w:tr>
              <w:tc>
                <w:tcPr/>
                <w:p>
                  <w:pPr>
                    <w:pStyle w:val="Compact"/>
                    <w:jc w:val="right"/>
                    <w:jc w:val="center"/>
                  </w:pPr>
                  <w:r>
                    <w:rPr>
                      <w:iCs/>
                      <w:i/>
                    </w:rPr>
                    <w:t xml:space="preserve">B</w:t>
                  </w:r>
                </w:p>
              </w:tc>
              <w:tc>
                <w:tcPr/>
                <w:p>
                  <w:pPr>
                    <w:pStyle w:val="Compact"/>
                    <w:jc w:val="center"/>
                    <w:jc w:val="center"/>
                  </w:pPr>
                  <w:r>
                    <w:t xml:space="preserve">3, 0</w:t>
                  </w:r>
                </w:p>
              </w:tc>
              <w:tc>
                <w:tcPr/>
                <w:p>
                  <w:pPr>
                    <w:pStyle w:val="Compact"/>
                    <w:jc w:val="left"/>
                    <w:jc w:val="center"/>
                  </w:pPr>
                  <w:r>
                    <w:t xml:space="preserve">3, 3</w:t>
                  </w:r>
                </w:p>
              </w:tc>
            </w:tr>
          </w:tbl>
          <w:bookmarkEnd w:id="201"/>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w:t>
      </w:r>
      <w:r>
        <w:t xml:space="preserve"> </w:t>
      </w:r>
      <w:hyperlink w:anchor="tbl-global-game">
        <w:r>
          <w:rPr>
            <w:rStyle w:val="Hyperlink"/>
          </w:rPr>
          <w:t xml:space="preserve">Table 9.5</w:t>
        </w:r>
      </w:hyperlink>
      <w:r>
        <w:t xml:space="preserve">, with</w:t>
      </w:r>
      <w:r>
        <w:t xml:space="preserve"> </w:t>
      </w:r>
      <w:r>
        <w:rPr>
          <w:iCs/>
          <w:i/>
        </w:rPr>
        <w:t xml:space="preserve">x</w:t>
      </w:r>
      <w:r>
        <w:t xml:space="preserve"> </w:t>
      </w:r>
      <w:r>
        <w:t xml:space="preserve">to be selected at random from a flat distribution over [-1, 5].</w:t>
      </w:r>
    </w:p>
    <w:tbl>
      <w:tblPr>
        <w:tblStyle w:val="Table"/>
        <w:tblW w:type="pct" w:w="5000"/>
        <w:tblLook w:firstRow="0" w:lastRow="0" w:firstColumn="0" w:lastColumn="0" w:noHBand="0" w:noVBand="0" w:val="0000"/>
        <w:jc w:val="start"/>
        <w:tblLayout w:type="fixed"/>
      </w:tblPr>
      <w:tblGrid>
        <w:gridCol w:w="7920"/>
      </w:tblGrid>
      <w:tr>
        <w:tc>
          <w:tcPr/>
          <w:bookmarkStart w:id="202" w:name="tbl-global-game"/>
          <w:p>
            <w:pPr>
              <w:jc w:val="center"/>
            </w:pPr>
            <w:pPr>
              <w:jc w:val="start"/>
              <w:spacing w:before="200"/>
              <w:pStyle w:val="ImageCaption"/>
            </w:pPr>
            <w:r>
              <w:t xml:space="preserve">Table 9.5: The global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center"/>
                    <w:jc w:val="center"/>
                  </w:pPr>
                  <w:r>
                    <w:t xml:space="preserve">0, </w:t>
                  </w:r>
                  <w:r>
                    <w:rPr>
                      <w:iCs/>
                      <w:i/>
                    </w:rPr>
                    <w:t xml:space="preserve">x</w:t>
                  </w:r>
                </w:p>
              </w:tc>
            </w:tr>
            <w:tr>
              <w:tc>
                <w:tcPr/>
                <w:p>
                  <w:pPr>
                    <w:pStyle w:val="Compact"/>
                    <w:jc w:val="right"/>
                    <w:jc w:val="center"/>
                  </w:pPr>
                  <w:r>
                    <w:rPr>
                      <w:iCs/>
                      <w:i/>
                    </w:rPr>
                    <w:t xml:space="preserve">B</w:t>
                  </w:r>
                </w:p>
              </w:tc>
              <w:tc>
                <w:tcPr/>
                <w:p>
                  <w:pPr>
                    <w:pStyle w:val="Compact"/>
                    <w:jc w:val="center"/>
                    <w:jc w:val="center"/>
                  </w:pPr>
                  <w:r>
                    <w:rPr>
                      <w:iCs/>
                      <w:i/>
                    </w:rPr>
                    <w:t xml:space="preserve">x</w:t>
                  </w:r>
                  <w:r>
                    <w:t xml:space="preserve">, 0</w:t>
                  </w:r>
                </w:p>
              </w:tc>
              <w:tc>
                <w:tcPr/>
                <w:p>
                  <w:pPr>
                    <w:pStyle w:val="Compact"/>
                    <w:jc w:val="center"/>
                    <w:jc w:val="center"/>
                  </w:pPr>
                  <w:r>
                    <w:rPr>
                      <w:iCs/>
                      <w:i/>
                    </w:rPr>
                    <w:t xml:space="preserve">x</w:t>
                  </w:r>
                  <w:r>
                    <w:t xml:space="preserve">, </w:t>
                  </w:r>
                  <w:r>
                    <w:rPr>
                      <w:iCs/>
                      <w:i/>
                    </w:rPr>
                    <w:t xml:space="preserve">x</w:t>
                  </w:r>
                </w:p>
              </w:tc>
            </w:tr>
          </w:tbl>
          <w:bookmarkEnd w:id="202"/>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203"/>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w:t>
      </w:r>
      <w:r>
        <w:rPr>
          <w:rStyle w:val="FootnoteReference"/>
        </w:rPr>
        <w:footnoteReference w:id="204"/>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To see this, think about the case involving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Section 9.4.2</w:t>
        </w:r>
      </w:hyperlink>
      <w:r>
        <w:t xml:space="preserve">, that Carlsson and van Damme’s result only needs that one player is uncertain of the payouts. And given that human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as long as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w:t>
      </w:r>
      <w:r>
        <w:t xml:space="preserve"> </w:t>
      </w:r>
      <w:hyperlink w:anchor="sec-evsolution">
        <w:r>
          <w:rPr>
            <w:rStyle w:val="Hyperlink"/>
          </w:rPr>
          <w:t xml:space="preserve">Section 9.5</w:t>
        </w:r>
      </w:hyperlink>
      <w:r>
        <w:t xml:space="preserve">. In</w:t>
      </w:r>
      <w:r>
        <w:t xml:space="preserve"> </w:t>
      </w:r>
      <w:hyperlink w:anchor="sec-cvdproof">
        <w:r>
          <w:rPr>
            <w:rStyle w:val="Hyperlink"/>
          </w:rPr>
          <w:t xml:space="preserve">Section 9.4.1</w:t>
        </w:r>
      </w:hyperlink>
      <w:r>
        <w:t xml:space="preserve"> </w:t>
      </w:r>
      <w:r>
        <w:t xml:space="preserve">I summarise their argument that we only need iterated deletion of strictly dominated strategies to get the result that rational players will play the risk-dominant strategies. Then in</w:t>
      </w:r>
      <w:r>
        <w:t xml:space="preserve"> </w:t>
      </w:r>
      <w:hyperlink w:anchor="sec-perfectri">
        <w:r>
          <w:rPr>
            <w:rStyle w:val="Hyperlink"/>
          </w:rPr>
          <w:t xml:space="preserve">Section 9.4.2</w:t>
        </w:r>
      </w:hyperlink>
      <w:r>
        <w:t xml:space="preserve"> </w:t>
      </w:r>
      <w:r>
        <w:t xml:space="preserve">I offer a small generalisation of their argument, showing that it still goes through when one of the players gets a precise signal, and the other gets a noisy signal.</w:t>
      </w:r>
    </w:p>
    <w:bookmarkStart w:id="206"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In this context,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w:t>
      </w:r>
      <w:r>
        <w:t xml:space="preserve"> </w:t>
      </w:r>
      <m:oMath>
        <m:f>
          <m:fPr>
            <m:type m:val="bar"/>
          </m:fPr>
          <m:num>
            <m:rad>
              <m:radPr>
                <m:degHide m:val="on"/>
              </m:radPr>
              <m:deg/>
              <m:e>
                <m:r>
                  <m:t>145</m:t>
                </m:r>
                <m:r>
                  <m:rPr>
                    <m:sty m:val="p"/>
                  </m:rPr>
                  <m:t>−</m:t>
                </m:r>
                <m:r>
                  <m:t>32</m:t>
                </m:r>
                <m:r>
                  <m:t>y</m:t>
                </m:r>
              </m:e>
            </m:rad>
            <m:r>
              <m:rPr>
                <m:sty m:val="p"/>
              </m:rPr>
              <m:t>−</m:t>
            </m:r>
            <m:r>
              <m:t>9</m:t>
            </m:r>
          </m:num>
          <m:den>
            <m:r>
              <m:t>16</m:t>
            </m:r>
          </m:den>
        </m:f>
      </m:oMath>
      <w:r>
        <w:t xml:space="preserve">. (The working out is a tedious but trivial application of the quadratic formula, plus some rearranging.)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on"/>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w:t>
      </w:r>
      <w:r>
        <w:t xml:space="preserve"> </w:t>
      </w:r>
      <w:hyperlink w:anchor="tbl-threshold">
        <w:r>
          <w:rPr>
            <w:rStyle w:val="Hyperlink"/>
          </w:rPr>
          <w:t xml:space="preserve">Table 9.6</w:t>
        </w:r>
      </w:hyperlink>
      <w:r>
        <w:t xml:space="preserve"> </w:t>
      </w:r>
      <w:r>
        <w:t xml:space="preserve">shows the upper bound on the threshold after</w:t>
      </w:r>
      <w:r>
        <w:t xml:space="preserve"> </w:t>
      </w:r>
      <w:r>
        <w:rPr>
          <w:iCs/>
          <w:i/>
        </w:rPr>
        <w:t xml:space="preserve">n</w:t>
      </w:r>
      <w:r>
        <w:t xml:space="preserve"> </w:t>
      </w:r>
      <w:r>
        <w:t xml:space="preserve">rounds of deletion of dominated strategies. (The numbers in</w:t>
      </w:r>
      <w:r>
        <w:t xml:space="preserve"> </w:t>
      </w:r>
      <w:hyperlink w:anchor="tbl-threshold">
        <w:r>
          <w:rPr>
            <w:rStyle w:val="Hyperlink"/>
          </w:rPr>
          <w:t xml:space="preserve">Table 9.6</w:t>
        </w:r>
      </w:hyperlink>
      <w:r>
        <w:t xml:space="preserve"> </w:t>
      </w:r>
      <w:r>
        <w:t xml:space="preserve">are precise for the first two rounds, and correct to three significant figures after that.)</w:t>
      </w:r>
    </w:p>
    <w:tbl>
      <w:tblPr>
        <w:tblStyle w:val="Table"/>
        <w:tblW w:type="pct" w:w="5000"/>
        <w:tblLook w:firstRow="0" w:lastRow="0" w:firstColumn="0" w:lastColumn="0" w:noHBand="0" w:noVBand="0" w:val="0000"/>
        <w:jc w:val="start"/>
        <w:tblLayout w:type="fixed"/>
      </w:tblPr>
      <w:tblGrid>
        <w:gridCol w:w="7920"/>
      </w:tblGrid>
      <w:tr>
        <w:tc>
          <w:tcPr/>
          <w:bookmarkStart w:id="205" w:name="tbl-threshold"/>
          <w:p>
            <w:pPr>
              <w:jc w:val="center"/>
            </w:pPr>
            <w:pPr>
              <w:jc w:val="start"/>
              <w:spacing w:before="200"/>
              <w:pStyle w:val="ImageCaption"/>
            </w:pPr>
            <w:r>
              <w:t xml:space="preserve">Table 9.6: How the threshold moves towards 2.</w:t>
            </w:r>
          </w:p>
          <w:tbl>
            <w:tblPr>
              <w:tblStyle w:val="Table"/>
              <w:tblW w:type="auto" w:w="0"/>
              <w:tblLook w:firstRow="0" w:lastRow="0" w:firstColumn="0" w:lastColumn="0" w:noHBand="0" w:noVBand="0" w:val="0000"/>
              <w:jc w:val="start"/>
            </w:tblPr>
            <w:tblGrid>
              <w:gridCol w:w="3960"/>
              <w:gridCol w:w="3960"/>
            </w:tblGrid>
            <w:tr>
              <w:tc>
                <w:tcPr/>
                <w:p>
                  <w:pPr>
                    <w:pStyle w:val="Compact"/>
                    <w:jc w:val="center"/>
                    <w:jc w:val="center"/>
                  </w:pPr>
                  <w:r>
                    <w:rPr>
                      <w:iCs/>
                      <w:i/>
                    </w:rPr>
                    <w:t xml:space="preserve">Round</w:t>
                  </w:r>
                </w:p>
              </w:tc>
              <w:tc>
                <w:tcPr/>
                <w:p>
                  <w:pPr>
                    <w:pStyle w:val="Compact"/>
                    <w:jc w:val="center"/>
                    <w:jc w:val="center"/>
                  </w:pPr>
                  <w:r>
                    <w:rPr>
                      <w:iCs/>
                      <w:i/>
                    </w:rPr>
                    <w:t xml:space="preserve">Upper Bound on Threshold</w:t>
                  </w:r>
                </w:p>
              </w:tc>
            </w:tr>
            <w:tr>
              <w:tc>
                <w:tcPr/>
                <w:p>
                  <w:pPr>
                    <w:pStyle w:val="Compact"/>
                    <w:jc w:val="center"/>
                    <w:jc w:val="center"/>
                  </w:pPr>
                  <w:r>
                    <w:t xml:space="preserve">1</w:t>
                  </w:r>
                </w:p>
              </w:tc>
              <w:tc>
                <w:tcPr/>
                <w:p>
                  <w:pPr>
                    <w:pStyle w:val="Compact"/>
                    <w:jc w:val="center"/>
                    <w:jc w:val="center"/>
                  </w:pPr>
                  <w:r>
                    <w:t xml:space="preserve">4.250</w:t>
                  </w:r>
                </w:p>
              </w:tc>
            </w:tr>
            <w:tr>
              <w:tc>
                <w:tcPr/>
                <w:p>
                  <w:pPr>
                    <w:pStyle w:val="Compact"/>
                    <w:jc w:val="center"/>
                    <w:jc w:val="center"/>
                  </w:pPr>
                  <w:r>
                    <w:t xml:space="preserve">2</w:t>
                  </w:r>
                </w:p>
              </w:tc>
              <w:tc>
                <w:tcPr/>
                <w:p>
                  <w:pPr>
                    <w:pStyle w:val="Compact"/>
                    <w:jc w:val="center"/>
                    <w:jc w:val="center"/>
                  </w:pPr>
                  <w:r>
                    <w:t xml:space="preserve">3.875</w:t>
                  </w:r>
                </w:p>
              </w:tc>
            </w:tr>
            <w:tr>
              <w:tc>
                <w:tcPr/>
                <w:p>
                  <w:pPr>
                    <w:pStyle w:val="Compact"/>
                    <w:jc w:val="center"/>
                    <w:jc w:val="center"/>
                  </w:pPr>
                  <w:r>
                    <w:t xml:space="preserve">3</w:t>
                  </w:r>
                </w:p>
              </w:tc>
              <w:tc>
                <w:tcPr/>
                <w:p>
                  <w:pPr>
                    <w:pStyle w:val="Compact"/>
                    <w:jc w:val="center"/>
                    <w:jc w:val="center"/>
                  </w:pPr>
                  <w:r>
                    <w:t xml:space="preserve">3.599</w:t>
                  </w:r>
                </w:p>
              </w:tc>
            </w:tr>
            <w:tr>
              <w:tc>
                <w:tcPr/>
                <w:p>
                  <w:pPr>
                    <w:pStyle w:val="Compact"/>
                    <w:jc w:val="center"/>
                    <w:jc w:val="center"/>
                  </w:pPr>
                  <w:r>
                    <w:t xml:space="preserve">4</w:t>
                  </w:r>
                </w:p>
              </w:tc>
              <w:tc>
                <w:tcPr/>
                <w:p>
                  <w:pPr>
                    <w:pStyle w:val="Compact"/>
                    <w:jc w:val="center"/>
                    <w:jc w:val="center"/>
                  </w:pPr>
                  <w:r>
                    <w:t xml:space="preserve">3.378</w:t>
                  </w:r>
                </w:p>
              </w:tc>
            </w:tr>
            <w:tr>
              <w:tc>
                <w:tcPr/>
                <w:p>
                  <w:pPr>
                    <w:pStyle w:val="Compact"/>
                    <w:jc w:val="center"/>
                    <w:jc w:val="center"/>
                  </w:pPr>
                  <w:r>
                    <w:t xml:space="preserve">5</w:t>
                  </w:r>
                </w:p>
              </w:tc>
              <w:tc>
                <w:tcPr/>
                <w:p>
                  <w:pPr>
                    <w:pStyle w:val="Compact"/>
                    <w:jc w:val="center"/>
                    <w:jc w:val="center"/>
                  </w:pPr>
                  <w:r>
                    <w:t xml:space="preserve">3.195</w:t>
                  </w:r>
                </w:p>
              </w:tc>
            </w:tr>
            <w:tr>
              <w:tc>
                <w:tcPr/>
                <w:p>
                  <w:pPr>
                    <w:pStyle w:val="Compact"/>
                    <w:jc w:val="center"/>
                    <w:jc w:val="center"/>
                  </w:pPr>
                  <w:r>
                    <w:t xml:space="preserve">6</w:t>
                  </w:r>
                </w:p>
              </w:tc>
              <w:tc>
                <w:tcPr/>
                <w:p>
                  <w:pPr>
                    <w:pStyle w:val="Compact"/>
                    <w:jc w:val="center"/>
                    <w:jc w:val="center"/>
                  </w:pPr>
                  <w:r>
                    <w:t xml:space="preserve">3.041</w:t>
                  </w:r>
                </w:p>
              </w:tc>
            </w:tr>
            <w:tr>
              <w:tc>
                <w:tcPr/>
                <w:p>
                  <w:pPr>
                    <w:pStyle w:val="Compact"/>
                    <w:jc w:val="center"/>
                    <w:jc w:val="center"/>
                  </w:pPr>
                  <w:r>
                    <w:t xml:space="preserve">7</w:t>
                  </w:r>
                </w:p>
              </w:tc>
              <w:tc>
                <w:tcPr/>
                <w:p>
                  <w:pPr>
                    <w:pStyle w:val="Compact"/>
                    <w:jc w:val="center"/>
                    <w:jc w:val="center"/>
                  </w:pPr>
                  <w:r>
                    <w:t xml:space="preserve">2.910</w:t>
                  </w:r>
                </w:p>
              </w:tc>
            </w:tr>
            <w:tr>
              <w:tc>
                <w:tcPr/>
                <w:p>
                  <w:pPr>
                    <w:pStyle w:val="Compact"/>
                    <w:jc w:val="center"/>
                    <w:jc w:val="center"/>
                  </w:pPr>
                  <w:r>
                    <w:t xml:space="preserve">8</w:t>
                  </w:r>
                </w:p>
              </w:tc>
              <w:tc>
                <w:tcPr/>
                <w:p>
                  <w:pPr>
                    <w:pStyle w:val="Compact"/>
                    <w:jc w:val="center"/>
                    <w:jc w:val="center"/>
                  </w:pPr>
                  <w:r>
                    <w:t xml:space="preserve">2.798</w:t>
                  </w:r>
                </w:p>
              </w:tc>
            </w:tr>
            <w:tr>
              <w:tc>
                <w:tcPr/>
                <w:p>
                  <w:pPr>
                    <w:pStyle w:val="Compact"/>
                    <w:jc w:val="center"/>
                    <w:jc w:val="center"/>
                  </w:pPr>
                  <w:r>
                    <w:t xml:space="preserve">9</w:t>
                  </w:r>
                </w:p>
              </w:tc>
              <w:tc>
                <w:tcPr/>
                <w:p>
                  <w:pPr>
                    <w:pStyle w:val="Compact"/>
                    <w:jc w:val="center"/>
                    <w:jc w:val="center"/>
                  </w:pPr>
                  <w:r>
                    <w:t xml:space="preserve">2.701</w:t>
                  </w:r>
                </w:p>
              </w:tc>
            </w:tr>
            <w:tr>
              <w:tc>
                <w:tcPr/>
                <w:p>
                  <w:pPr>
                    <w:pStyle w:val="Compact"/>
                    <w:jc w:val="center"/>
                    <w:jc w:val="center"/>
                  </w:pPr>
                  <w:r>
                    <w:t xml:space="preserve">10</w:t>
                  </w:r>
                </w:p>
              </w:tc>
              <w:tc>
                <w:tcPr/>
                <w:p>
                  <w:pPr>
                    <w:pStyle w:val="Compact"/>
                    <w:jc w:val="center"/>
                    <w:jc w:val="center"/>
                  </w:pPr>
                  <w:r>
                    <w:t xml:space="preserve">2.617</w:t>
                  </w:r>
                </w:p>
              </w:tc>
            </w:tr>
          </w:tbl>
          <w:bookmarkEnd w:id="205"/>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3.875,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3.599,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206"/>
    <w:bookmarkStart w:id="207" w:name="sec-perfectri"/>
    <w:p>
      <w:pPr>
        <w:pStyle w:val="Heading3"/>
      </w:pPr>
      <w:r>
        <w:t xml:space="preserve">9.4.2 Making One Signal Precise</w:t>
      </w:r>
    </w:p>
    <w:p>
      <w:pPr>
        <w:pStyle w:val="FirstParagraph"/>
      </w:pPr>
      <w:r>
        <w:t xml:space="preserve">The aim of this sub-section is to prove something that Carlsson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This slows the proof down, but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207"/>
    <w:bookmarkEnd w:id="208"/>
    <w:bookmarkStart w:id="209"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This game is important because it is the game where the error in Human’s knowledge of the payoffs is determined by their actual epistemic limitations.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209"/>
    <w:bookmarkStart w:id="210"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iCs/>
          <w:i/>
        </w:rPr>
        <w:t xml:space="preserve">Cut</w:t>
      </w:r>
      <w:r>
        <w:t xml:space="preserve"> </w:t>
      </w:r>
      <w:r>
        <w:t xml:space="preserve">that Nair focuses on is that if 1 and 2 are true, so is 3.</w:t>
      </w:r>
    </w:p>
    <w:p>
      <w:pPr>
        <w:numPr>
          <w:ilvl w:val="0"/>
          <w:numId w:val="1057"/>
        </w:numPr>
        <w:pStyle w:val="Compact"/>
      </w:pPr>
      <w:r>
        <w:t xml:space="preserve">Γ ⊨ A</w:t>
      </w:r>
    </w:p>
    <w:p>
      <w:pPr>
        <w:numPr>
          <w:ilvl w:val="0"/>
          <w:numId w:val="1057"/>
        </w:numPr>
        <w:pStyle w:val="Compact"/>
      </w:pPr>
      <w:r>
        <w:t xml:space="preserve">{A} ∪ Δ ⊨ B</w:t>
      </w:r>
    </w:p>
    <w:p>
      <w:pPr>
        <w:numPr>
          <w:ilvl w:val="0"/>
          <w:numId w:val="1057"/>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what I didn’t need to make explicit, even in this laborious reconstruction. I didn’t need to note a change of status of the claim that Jack went up the hill. That goes from being a conclusion to being a premise.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Cs/>
          <w:i/>
        </w:rPr>
        <w:t xml:space="preserve">Cut</w:t>
      </w:r>
      <w:r>
        <w:t xml:space="preserve"> </w:t>
      </w:r>
      <w:r>
        <w:t xml:space="preserve">is true.</w:t>
      </w:r>
    </w:p>
    <w:p>
      <w:pPr>
        <w:pStyle w:val="BodyText"/>
      </w:pPr>
      <w:r>
        <w:t xml:space="preserve">But while</w:t>
      </w:r>
      <w:r>
        <w:t xml:space="preserve"> </w:t>
      </w:r>
      <w:r>
        <w:rPr>
          <w:iCs/>
          <w:i/>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iCs/>
          <w:i/>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assuming that Γ ⊨ A is true. I’ll call cases where it is true monotonic instances of</w:t>
      </w:r>
      <w:r>
        <w:t xml:space="preserve"> </w:t>
      </w:r>
      <w:r>
        <w:rPr>
          <w:iCs/>
          <w:i/>
        </w:rPr>
        <w:t xml:space="preserve">Cut</w:t>
      </w:r>
      <w:r>
        <w:t xml:space="preserve">, and cases where it is false non-monotonic instances.</w:t>
      </w:r>
    </w:p>
    <w:p>
      <w:pPr>
        <w:pStyle w:val="BodyText"/>
      </w:pPr>
      <w:r>
        <w:t xml:space="preserve">That</w:t>
      </w:r>
      <w:r>
        <w:t xml:space="preserve"> </w:t>
      </w:r>
      <w:r>
        <w:rPr>
          <w:iCs/>
          <w:i/>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Cs/>
          <w:i/>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 is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iCs/>
          <w:i/>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What I really need for the argument is independent of how we think spatial distance relates to rational inductive inference. All that’s needed is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w:t>
      </w:r>
      <w:r>
        <w:t xml:space="preserve">inductive margin of inference</w:t>
      </w:r>
      <w:r>
        <w:t xml:space="preserve">’</w:t>
      </w:r>
      <w:r>
        <w:t xml:space="preserve">, the argument works.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Cs/>
          <w:i/>
        </w:rPr>
        <w:t xml:space="preserve">No Feedback</w:t>
      </w:r>
      <w:r>
        <w:t xml:space="preserve"> </w:t>
      </w:r>
      <w:r>
        <w:t xml:space="preserve">(Weisberg, 2010: 533–4)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 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characteristic role of evidence. And that suggests that E=K is false.</w:t>
      </w:r>
    </w:p>
    <w:bookmarkEnd w:id="210"/>
    <w:bookmarkStart w:id="211"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w:t>
      </w:r>
      <w:r>
        <w:t xml:space="preserve">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211"/>
    <w:bookmarkStart w:id="213"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212"/>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58"/>
        </w:numPr>
        <w:pStyle w:val="Compact"/>
      </w:pPr>
      <w:r>
        <w:t xml:space="preserve">Both signs supply evidence directly to Kate, so her evidence includes that she is on State and that she is on Main.</w:t>
      </w:r>
    </w:p>
    <w:p>
      <w:pPr>
        <w:numPr>
          <w:ilvl w:val="0"/>
          <w:numId w:val="1058"/>
        </w:numPr>
        <w:pStyle w:val="Compact"/>
      </w:pPr>
      <w:r>
        <w:t xml:space="preserve">Neither sign contributes evidence directly to Kate, so her evidence includes what the signs say, but nothing directly about her location.</w:t>
      </w:r>
    </w:p>
    <w:p>
      <w:pPr>
        <w:numPr>
          <w:ilvl w:val="0"/>
          <w:numId w:val="1058"/>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213"/>
    <w:bookmarkStart w:id="214"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&amp;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214"/>
    <w:bookmarkEnd w:id="215"/>
    <w:bookmarkStart w:id="219"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16"/>
      </w:r>
    </w:p>
    <w:p>
      <w:pPr>
        <w:pStyle w:val="BodyText"/>
      </w:pPr>
      <w:r>
        <w:t xml:space="preserve">But it turns out to be surprisingly hard to articulate the magnitude of that power. One might want to say that the actions which knowing that</w:t>
      </w:r>
      <w:r>
        <w:t xml:space="preserve"> </w:t>
      </w:r>
      <w:r>
        <w:rPr>
          <w:iCs/>
          <w:i/>
        </w:rPr>
        <w:t xml:space="preserve">p</w:t>
      </w:r>
      <w:r>
        <w:t xml:space="preserve"> </w:t>
      </w:r>
      <w:r>
        <w:t xml:space="preserve">makes rational include all the actions whatsoever that make sense if</w:t>
      </w:r>
      <w:r>
        <w:t xml:space="preserve"> </w:t>
      </w:r>
      <w:r>
        <w:rPr>
          <w:iCs/>
          <w:i/>
        </w:rPr>
        <w:t xml:space="preserve">p</w:t>
      </w:r>
      <w:r>
        <w:t xml:space="preserve"> </w:t>
      </w:r>
      <w:r>
        <w:t xml:space="preserve">can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that</w:t>
      </w:r>
      <w:r>
        <w:t xml:space="preserve"> </w:t>
      </w:r>
      <w:r>
        <w:rPr>
          <w:iCs/>
          <w:i/>
        </w:rPr>
        <w:t xml:space="preserve">X</w:t>
      </w:r>
      <w:r>
        <w:t xml:space="preserve">’s actions make no difference to which member 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might also be probable enough that</w:t>
      </w:r>
      <w:r>
        <w:t xml:space="preserve"> </w:t>
      </w:r>
      <w:r>
        <w:rPr>
          <w:iCs/>
          <w:i/>
        </w:rPr>
        <w:t xml:space="preserve">A</w:t>
      </w:r>
      <w:r>
        <w:t xml:space="preserve"> </w:t>
      </w:r>
      <w:r>
        <w:t xml:space="preserve">will lead to a disastrous outcome for it to be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217"/>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18"/>
      </w:r>
      <w:r>
        <w:t xml:space="preserve"> </w:t>
      </w:r>
      <w:r>
        <w:t xml:space="preserve">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interest-relative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 not say that interests matter iff they put the chooser in a high stakes situation,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previously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of these particular burden of proof arguments. It’s hard to even state a principle about the (alleged) independence of knowledge and interests without saying something false about double luck cases, or variable reliability cases, or deviant causal chain cases.</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19"/>
    <w:bookmarkStart w:id="531" w:name="references"/>
    <w:p>
      <w:pPr>
        <w:pStyle w:val="Heading1"/>
      </w:pPr>
      <w:r>
        <w:t xml:space="preserve">References</w:t>
      </w:r>
    </w:p>
    <w:bookmarkStart w:id="530" w:name="refs"/>
    <w:bookmarkStart w:id="220"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w:t>
      </w:r>
      <w:r>
        <w:t xml:space="preserve">(Oxford). Oxford University Press.</w:t>
      </w:r>
    </w:p>
    <w:bookmarkEnd w:id="220"/>
    <w:bookmarkStart w:id="221" w:name="ref-Adamson2019"/>
    <w:p>
      <w:pPr>
        <w:pStyle w:val="Bibliography"/>
      </w:pPr>
      <w:r>
        <w:t xml:space="preserve">Adamson, Peter. (2019).</w:t>
      </w:r>
      <w:r>
        <w:t xml:space="preserve"> </w:t>
      </w:r>
      <w:r>
        <w:rPr>
          <w:iCs/>
          <w:i/>
        </w:rPr>
        <w:t xml:space="preserve">Medieval philosophy: A history of philosophy without any gaps, volume 4</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21"/>
    <w:bookmarkStart w:id="222"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University Press.</w:t>
      </w:r>
    </w:p>
    <w:bookmarkEnd w:id="222"/>
    <w:bookmarkStart w:id="223" w:name="ref-AndersonHawthorne2019a"/>
    <w:p>
      <w:pPr>
        <w:pStyle w:val="Bibliography"/>
      </w:pPr>
      <w:r>
        <w:t xml:space="preserve">Anderson, Charity, and John Hawthorne. (2019a). Knowledge, practical adequacy, and stakes.</w:t>
      </w:r>
      <w:r>
        <w:t xml:space="preserve"> </w:t>
      </w:r>
      <w:r>
        <w:rPr>
          <w:iCs/>
          <w:i/>
        </w:rPr>
        <w:t xml:space="preserve">Oxford Studies in Epistemology</w:t>
      </w:r>
      <w:r>
        <w:t xml:space="preserve">,</w:t>
      </w:r>
      <w:r>
        <w:t xml:space="preserve"> </w:t>
      </w:r>
      <w:r>
        <w:rPr>
          <w:iCs/>
          <w:i/>
        </w:rPr>
        <w:t xml:space="preserve">6</w:t>
      </w:r>
      <w:r>
        <w:t xml:space="preserve">, 234–257.</w:t>
      </w:r>
    </w:p>
    <w:bookmarkEnd w:id="223"/>
    <w:bookmarkStart w:id="224" w:name="ref-AndersonHawthorne2019b"/>
    <w:p>
      <w:pPr>
        <w:pStyle w:val="Bibliography"/>
      </w:pPr>
      <w:r>
        <w:t xml:space="preserve">Anderson, Charity, and John Hawthorne. (2019b). Pragmatic encroachment and closure. In Brian Kim &amp; Matthew McGrath (Eds.),</w:t>
      </w:r>
      <w:r>
        <w:t xml:space="preserve"> </w:t>
      </w:r>
      <w:r>
        <w:rPr>
          <w:iCs/>
          <w:i/>
        </w:rPr>
        <w:t xml:space="preserve">Pragmatic encroachment in epistemology</w:t>
      </w:r>
      <w:r>
        <w:t xml:space="preserve"> </w:t>
      </w:r>
      <w:r>
        <w:t xml:space="preserve">(107–115). Routledge.</w:t>
      </w:r>
    </w:p>
    <w:bookmarkEnd w:id="224"/>
    <w:bookmarkStart w:id="226" w:name="ref-ArmourGarb2011"/>
    <w:p>
      <w:pPr>
        <w:pStyle w:val="Bibliography"/>
      </w:pPr>
      <w:r>
        <w:t xml:space="preserve">Armour-Garb, B. (2011). Contextualism without pragmatic encroachment.</w:t>
      </w:r>
      <w:r>
        <w:t xml:space="preserve"> </w:t>
      </w:r>
      <w:r>
        <w:rPr>
          <w:iCs/>
          <w:i/>
        </w:rPr>
        <w:t xml:space="preserve">Analysis</w:t>
      </w:r>
      <w:r>
        <w:t xml:space="preserve">,</w:t>
      </w:r>
      <w:r>
        <w:t xml:space="preserve"> </w:t>
      </w:r>
      <w:r>
        <w:rPr>
          <w:iCs/>
          <w:i/>
        </w:rPr>
        <w:t xml:space="preserve">71</w:t>
      </w:r>
      <w:r>
        <w:t xml:space="preserve">(4), 667–676. doi:</w:t>
      </w:r>
      <w:hyperlink r:id="rId225">
        <w:r>
          <w:rPr>
            <w:rStyle w:val="Hyperlink"/>
          </w:rPr>
          <w:t xml:space="preserve">10.1093/analys/anr083</w:t>
        </w:r>
      </w:hyperlink>
    </w:p>
    <w:bookmarkEnd w:id="226"/>
    <w:bookmarkStart w:id="228" w:name="ref-Aumann1999"/>
    <w:p>
      <w:pPr>
        <w:pStyle w:val="Bibliography"/>
      </w:pPr>
      <w:r>
        <w:t xml:space="preserve">Aumann, Robert J. (1999). Interactive epistemology i: knowledge.</w:t>
      </w:r>
      <w:r>
        <w:t xml:space="preserve"> </w:t>
      </w:r>
      <w:r>
        <w:rPr>
          <w:iCs/>
          <w:i/>
        </w:rPr>
        <w:t xml:space="preserve">International Journal of Game Theory</w:t>
      </w:r>
      <w:r>
        <w:t xml:space="preserve">,</w:t>
      </w:r>
      <w:r>
        <w:t xml:space="preserve"> </w:t>
      </w:r>
      <w:r>
        <w:rPr>
          <w:iCs/>
          <w:i/>
        </w:rPr>
        <w:t xml:space="preserve">28</w:t>
      </w:r>
      <w:r>
        <w:t xml:space="preserve">(3), 263–300. doi:</w:t>
      </w:r>
      <w:hyperlink r:id="rId227">
        <w:r>
          <w:rPr>
            <w:rStyle w:val="Hyperlink"/>
          </w:rPr>
          <w:t xml:space="preserve">10.1007/s001820050111</w:t>
        </w:r>
      </w:hyperlink>
    </w:p>
    <w:bookmarkEnd w:id="228"/>
    <w:bookmarkStart w:id="229" w:name="ref-BasuSchroeder2019"/>
    <w:p>
      <w:pPr>
        <w:pStyle w:val="Bibliography"/>
      </w:pPr>
      <w:r>
        <w:t xml:space="preserve">Basu, Rima, and Mark Schroeder. (2019). Doxastic wrongings. In Brian Kim &amp; Matthew McGrath (Eds.),</w:t>
      </w:r>
      <w:r>
        <w:t xml:space="preserve"> </w:t>
      </w:r>
      <w:r>
        <w:rPr>
          <w:iCs/>
          <w:i/>
        </w:rPr>
        <w:t xml:space="preserve">Pragmatic encroachment in epistemology</w:t>
      </w:r>
      <w:r>
        <w:t xml:space="preserve"> </w:t>
      </w:r>
      <w:r>
        <w:t xml:space="preserve">(181–205). Routledge.</w:t>
      </w:r>
    </w:p>
    <w:bookmarkEnd w:id="229"/>
    <w:bookmarkStart w:id="230" w:name="ref-Bennett2017"/>
    <w:p>
      <w:pPr>
        <w:pStyle w:val="Bibliography"/>
      </w:pPr>
      <w:r>
        <w:t xml:space="preserve">Bennett, Karen. (2017).</w:t>
      </w:r>
      <w:r>
        <w:t xml:space="preserve"> </w:t>
      </w:r>
      <w:r>
        <w:rPr>
          <w:iCs/>
          <w:i/>
        </w:rPr>
        <w:t xml:space="preserve">Making things up</w:t>
      </w:r>
      <w:r>
        <w:t xml:space="preserve">. Oxford University Press.</w:t>
      </w:r>
    </w:p>
    <w:bookmarkEnd w:id="230"/>
    <w:bookmarkStart w:id="231" w:name="ref-Bhatt1999"/>
    <w:p>
      <w:pPr>
        <w:pStyle w:val="Bibliography"/>
      </w:pPr>
      <w:r>
        <w:t xml:space="preserve">Bhatt, Rajesh. (1999).</w:t>
      </w:r>
      <w:r>
        <w:t xml:space="preserve"> </w:t>
      </w:r>
      <w:r>
        <w:rPr>
          <w:iCs/>
          <w:i/>
        </w:rPr>
        <w:t xml:space="preserve">Covert modality in non-finite contexts</w:t>
      </w:r>
      <w:r>
        <w:t xml:space="preserve"> </w:t>
      </w:r>
      <w:r>
        <w:t xml:space="preserve">(PhD thesis). University of Pennsylvania.</w:t>
      </w:r>
    </w:p>
    <w:bookmarkEnd w:id="231"/>
    <w:bookmarkStart w:id="232" w:name="ref-Binmore2007"/>
    <w:p>
      <w:pPr>
        <w:pStyle w:val="Bibliography"/>
      </w:pPr>
      <w:r>
        <w:t xml:space="preserve">Binmore, Ken. (2007).</w:t>
      </w:r>
      <w:r>
        <w:t xml:space="preserve"> </w:t>
      </w:r>
      <w:r>
        <w:rPr>
          <w:iCs/>
          <w:i/>
        </w:rPr>
        <w:t xml:space="preserve">Playing for real: A text on game theory</w:t>
      </w:r>
      <w:r>
        <w:t xml:space="preserve">. Oxford University Press.</w:t>
      </w:r>
    </w:p>
    <w:bookmarkEnd w:id="232"/>
    <w:bookmarkStart w:id="234" w:name="ref-Bird2004"/>
    <w:p>
      <w:pPr>
        <w:pStyle w:val="Bibliography"/>
      </w:pPr>
      <w:r>
        <w:t xml:space="preserve">Bird, Alexander. (2004). Is evidence non-inferential?</w:t>
      </w:r>
      <w:r>
        <w:t xml:space="preserve"> </w:t>
      </w:r>
      <w:r>
        <w:rPr>
          <w:iCs/>
          <w:i/>
        </w:rPr>
        <w:t xml:space="preserve">Philosophical Quarterly</w:t>
      </w:r>
      <w:r>
        <w:t xml:space="preserve">,</w:t>
      </w:r>
      <w:r>
        <w:t xml:space="preserve"> </w:t>
      </w:r>
      <w:r>
        <w:rPr>
          <w:iCs/>
          <w:i/>
        </w:rPr>
        <w:t xml:space="preserve">54</w:t>
      </w:r>
      <w:r>
        <w:t xml:space="preserve">(215), 252–265. doi:</w:t>
      </w:r>
      <w:hyperlink r:id="rId233">
        <w:r>
          <w:rPr>
            <w:rStyle w:val="Hyperlink"/>
          </w:rPr>
          <w:t xml:space="preserve">10.1111/j.0031-8094.2004.00350.x</w:t>
        </w:r>
      </w:hyperlink>
    </w:p>
    <w:bookmarkEnd w:id="234"/>
    <w:bookmarkStart w:id="236" w:name="ref-BlomeTillmann2009"/>
    <w:p>
      <w:pPr>
        <w:pStyle w:val="Bibliography"/>
      </w:pPr>
      <w:r>
        <w:t xml:space="preserve">Blome-Tillmann, Michael. (2009). 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w:t>
      </w:r>
      <w:r>
        <w:t xml:space="preserve"> </w:t>
      </w:r>
      <w:r>
        <w:rPr>
          <w:iCs/>
          <w:i/>
        </w:rPr>
        <w:t xml:space="preserve">79</w:t>
      </w:r>
      <w:r>
        <w:t xml:space="preserve">(2), 315–331. doi:</w:t>
      </w:r>
      <w:hyperlink r:id="rId235">
        <w:r>
          <w:rPr>
            <w:rStyle w:val="Hyperlink"/>
          </w:rPr>
          <w:t xml:space="preserve">10.1111/j.1933-1592.2009.00280.x</w:t>
        </w:r>
      </w:hyperlink>
    </w:p>
    <w:bookmarkEnd w:id="236"/>
    <w:bookmarkStart w:id="238" w:name="ref-Boyd2015"/>
    <w:p>
      <w:pPr>
        <w:pStyle w:val="Bibliography"/>
      </w:pPr>
      <w:r>
        <w:t xml:space="preserve">Boyd, Kenneth. (2016). Pragmatic encroachment and epistemically responsible action.</w:t>
      </w:r>
      <w:r>
        <w:t xml:space="preserve"> </w:t>
      </w:r>
      <w:r>
        <w:rPr>
          <w:iCs/>
          <w:i/>
        </w:rPr>
        <w:t xml:space="preserve">Synthese</w:t>
      </w:r>
      <w:r>
        <w:t xml:space="preserve">,</w:t>
      </w:r>
      <w:r>
        <w:t xml:space="preserve"> </w:t>
      </w:r>
      <w:r>
        <w:rPr>
          <w:iCs/>
          <w:i/>
        </w:rPr>
        <w:t xml:space="preserve">193</w:t>
      </w:r>
      <w:r>
        <w:t xml:space="preserve">(9), 2721–2745. doi:</w:t>
      </w:r>
      <w:hyperlink r:id="rId237">
        <w:r>
          <w:rPr>
            <w:rStyle w:val="Hyperlink"/>
          </w:rPr>
          <w:t xml:space="preserve">10.1007/s11229-015-0878-y</w:t>
        </w:r>
      </w:hyperlink>
    </w:p>
    <w:bookmarkEnd w:id="238"/>
    <w:bookmarkStart w:id="240" w:name="ref-Brandenburger2008"/>
    <w:p>
      <w:pPr>
        <w:pStyle w:val="Bibliography"/>
      </w:pPr>
      <w:r>
        <w:t xml:space="preserve">Brandenburger, Adam, Amanda Friedenberg, and H. Jerome Keisler. (2008). Admissibility in games.</w:t>
      </w:r>
      <w:r>
        <w:t xml:space="preserve"> </w:t>
      </w:r>
      <w:r>
        <w:rPr>
          <w:iCs/>
          <w:i/>
        </w:rPr>
        <w:t xml:space="preserve">Econometrica</w:t>
      </w:r>
      <w:r>
        <w:t xml:space="preserve">,</w:t>
      </w:r>
      <w:r>
        <w:t xml:space="preserve"> </w:t>
      </w:r>
      <w:r>
        <w:rPr>
          <w:iCs/>
          <w:i/>
        </w:rPr>
        <w:t xml:space="preserve">76</w:t>
      </w:r>
      <w:r>
        <w:t xml:space="preserve">(2), 307–352. doi:</w:t>
      </w:r>
      <w:hyperlink r:id="rId239">
        <w:r>
          <w:rPr>
            <w:rStyle w:val="Hyperlink"/>
          </w:rPr>
          <w:t xml:space="preserve">10.1111/j.1468-0262.2008.00835.x</w:t>
        </w:r>
      </w:hyperlink>
    </w:p>
    <w:bookmarkEnd w:id="240"/>
    <w:bookmarkStart w:id="242" w:name="ref-Brittain2021"/>
    <w:p>
      <w:pPr>
        <w:pStyle w:val="Bibliography"/>
      </w:pPr>
      <w:r>
        <w:t xml:space="preserve">Brittain, Charles, and Peter Osorio. (2021).</w:t>
      </w:r>
      <w:r>
        <w:t xml:space="preserve"> </w:t>
      </w:r>
      <w:r>
        <w:t xml:space="preserve">Philo of Larissa</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ummer 2021).</w:t>
      </w:r>
      <w:r>
        <w:t xml:space="preserve"> </w:t>
      </w:r>
      <w:hyperlink r:id="rId241">
        <w:r>
          <w:rPr>
            <w:rStyle w:val="Hyperlink"/>
          </w:rPr>
          <w:t xml:space="preserve">https://plato.stanford.edu/archives/sum2021/entries/philo-larissa/</w:t>
        </w:r>
      </w:hyperlink>
      <w:r>
        <w:t xml:space="preserve">; Metaphysics Research Lab, Stanford University.</w:t>
      </w:r>
    </w:p>
    <w:bookmarkEnd w:id="242"/>
    <w:bookmarkStart w:id="244" w:name="ref-Brown2008"/>
    <w:p>
      <w:pPr>
        <w:pStyle w:val="Bibliography"/>
      </w:pPr>
      <w:r>
        <w:t xml:space="preserve">Brown, Jessica. (2008). Subject-sensitive invariantism and the knowledge norm for practical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42</w:t>
      </w:r>
      <w:r>
        <w:t xml:space="preserve">(2), 167–189. doi:</w:t>
      </w:r>
      <w:hyperlink r:id="rId243">
        <w:r>
          <w:rPr>
            <w:rStyle w:val="Hyperlink"/>
          </w:rPr>
          <w:t xml:space="preserve">10.1111/j.1468-0068.2008.00677.x</w:t>
        </w:r>
      </w:hyperlink>
    </w:p>
    <w:bookmarkEnd w:id="244"/>
    <w:bookmarkStart w:id="245" w:name="ref-BuchakRisk"/>
    <w:p>
      <w:pPr>
        <w:pStyle w:val="Bibliography"/>
      </w:pPr>
      <w:r>
        <w:t xml:space="preserve">Buchak, Lara. (2013).</w:t>
      </w:r>
      <w:r>
        <w:t xml:space="preserve"> </w:t>
      </w:r>
      <w:r>
        <w:rPr>
          <w:iCs/>
          <w:i/>
        </w:rPr>
        <w:t xml:space="preserve">Risk and rationality</w:t>
      </w:r>
      <w:r>
        <w:t xml:space="preserve">. Oxford University Press.</w:t>
      </w:r>
    </w:p>
    <w:bookmarkEnd w:id="245"/>
    <w:bookmarkStart w:id="247" w:name="ref-Caplin2011"/>
    <w:p>
      <w:pPr>
        <w:pStyle w:val="Bibliography"/>
      </w:pPr>
      <w:r>
        <w:t xml:space="preserve">Caplin, Andrew, Mark Dean, and Daniel Martin. (2011). Search and satisficing.</w:t>
      </w:r>
      <w:r>
        <w:t xml:space="preserve"> </w:t>
      </w:r>
      <w:r>
        <w:rPr>
          <w:iCs/>
          <w:i/>
        </w:rPr>
        <w:t xml:space="preserve">American Economic Review</w:t>
      </w:r>
      <w:r>
        <w:t xml:space="preserve">,</w:t>
      </w:r>
      <w:r>
        <w:t xml:space="preserve"> </w:t>
      </w:r>
      <w:r>
        <w:rPr>
          <w:iCs/>
          <w:i/>
        </w:rPr>
        <w:t xml:space="preserve">101</w:t>
      </w:r>
      <w:r>
        <w:t xml:space="preserve">(7), 2899–2922. doi:</w:t>
      </w:r>
      <w:hyperlink r:id="rId246">
        <w:r>
          <w:rPr>
            <w:rStyle w:val="Hyperlink"/>
          </w:rPr>
          <w:t xml:space="preserve">10.1257/aer.101.7.2899</w:t>
        </w:r>
      </w:hyperlink>
    </w:p>
    <w:bookmarkEnd w:id="247"/>
    <w:bookmarkStart w:id="249" w:name="ref-CarlssonVanDamme1993"/>
    <w:p>
      <w:pPr>
        <w:pStyle w:val="Bibliography"/>
      </w:pPr>
      <w:r>
        <w:t xml:space="preserve">Carlsson, Hans, and Eric van Damme. (1993). Global games and equilibrium selection.</w:t>
      </w:r>
      <w:r>
        <w:t xml:space="preserve"> </w:t>
      </w:r>
      <w:r>
        <w:rPr>
          <w:iCs/>
          <w:i/>
        </w:rPr>
        <w:t xml:space="preserve">Econometrica</w:t>
      </w:r>
      <w:r>
        <w:t xml:space="preserve">,</w:t>
      </w:r>
      <w:r>
        <w:t xml:space="preserve"> </w:t>
      </w:r>
      <w:r>
        <w:rPr>
          <w:iCs/>
          <w:i/>
        </w:rPr>
        <w:t xml:space="preserve">61</w:t>
      </w:r>
      <w:r>
        <w:t xml:space="preserve">(5), 989–1018. doi:</w:t>
      </w:r>
      <w:hyperlink r:id="rId248">
        <w:r>
          <w:rPr>
            <w:rStyle w:val="Hyperlink"/>
          </w:rPr>
          <w:t xml:space="preserve">10.2307/2951491</w:t>
        </w:r>
      </w:hyperlink>
    </w:p>
    <w:bookmarkEnd w:id="249"/>
    <w:bookmarkStart w:id="251" w:name="ref-Chakravarti2017"/>
    <w:p>
      <w:pPr>
        <w:pStyle w:val="Bibliography"/>
      </w:pPr>
      <w:r>
        <w:t xml:space="preserve">Chakravarti, Ashok. (2017). Imperfect information and opportunism.</w:t>
      </w:r>
      <w:r>
        <w:t xml:space="preserve"> </w:t>
      </w:r>
      <w:r>
        <w:rPr>
          <w:iCs/>
          <w:i/>
        </w:rPr>
        <w:t xml:space="preserve">Journal of Economic Issues</w:t>
      </w:r>
      <w:r>
        <w:t xml:space="preserve">,</w:t>
      </w:r>
      <w:r>
        <w:t xml:space="preserve"> </w:t>
      </w:r>
      <w:r>
        <w:rPr>
          <w:iCs/>
          <w:i/>
        </w:rPr>
        <w:t xml:space="preserve">51</w:t>
      </w:r>
      <w:r>
        <w:t xml:space="preserve">(4), 1114–1136. doi:</w:t>
      </w:r>
      <w:hyperlink r:id="rId250">
        <w:r>
          <w:rPr>
            <w:rStyle w:val="Hyperlink"/>
          </w:rPr>
          <w:t xml:space="preserve">10.1080/00213624.2017.1391594</w:t>
        </w:r>
      </w:hyperlink>
    </w:p>
    <w:bookmarkEnd w:id="251"/>
    <w:bookmarkStart w:id="253" w:name="ref-ChernevEtAl2015"/>
    <w:p>
      <w:pPr>
        <w:pStyle w:val="Bibliography"/>
      </w:pPr>
      <w:r>
        <w:t xml:space="preserve">Chernev, Alexander, Ulf Böckenholt, and Joseph Goodman. (2015). Choice overload: A conceptual review and meta-analysis.</w:t>
      </w:r>
      <w:r>
        <w:t xml:space="preserve"> </w:t>
      </w:r>
      <w:r>
        <w:rPr>
          <w:iCs/>
          <w:i/>
        </w:rPr>
        <w:t xml:space="preserve">Journal of Consumer Psychology</w:t>
      </w:r>
      <w:r>
        <w:t xml:space="preserve">,</w:t>
      </w:r>
      <w:r>
        <w:t xml:space="preserve"> </w:t>
      </w:r>
      <w:r>
        <w:rPr>
          <w:iCs/>
          <w:i/>
        </w:rPr>
        <w:t xml:space="preserve">25</w:t>
      </w:r>
      <w:r>
        <w:t xml:space="preserve">(2), 333–358. doi:</w:t>
      </w:r>
      <w:hyperlink r:id="rId252">
        <w:r>
          <w:rPr>
            <w:rStyle w:val="Hyperlink"/>
          </w:rPr>
          <w:t xml:space="preserve">10.1016/j.jcps.2014.08.002</w:t>
        </w:r>
      </w:hyperlink>
    </w:p>
    <w:bookmarkEnd w:id="253"/>
    <w:bookmarkStart w:id="254" w:name="ref-Cherniak1986"/>
    <w:p>
      <w:pPr>
        <w:pStyle w:val="Bibliography"/>
      </w:pPr>
      <w:r>
        <w:t xml:space="preserve">Cherniak, Christopher. (1986).</w:t>
      </w:r>
      <w:r>
        <w:t xml:space="preserve"> </w:t>
      </w:r>
      <w:r>
        <w:rPr>
          <w:iCs/>
          <w:i/>
        </w:rPr>
        <w:t xml:space="preserve">Minimal rationality</w:t>
      </w:r>
      <w:r>
        <w:t xml:space="preserve">. MIT Press.</w:t>
      </w:r>
    </w:p>
    <w:bookmarkEnd w:id="254"/>
    <w:bookmarkStart w:id="255" w:name="ref-Christensen2005"/>
    <w:p>
      <w:pPr>
        <w:pStyle w:val="Bibliography"/>
      </w:pPr>
      <w:r>
        <w:t xml:space="preserve">Christensen, David. (2005).</w:t>
      </w:r>
      <w:r>
        <w:t xml:space="preserve"> </w:t>
      </w:r>
      <w:r>
        <w:rPr>
          <w:iCs/>
          <w:i/>
        </w:rPr>
        <w:t xml:space="preserve">Putting logic in its place</w:t>
      </w:r>
      <w:r>
        <w:t xml:space="preserve">. Oxford University Press.</w:t>
      </w:r>
    </w:p>
    <w:bookmarkEnd w:id="255"/>
    <w:bookmarkStart w:id="256" w:name="ref-Christensen2007"/>
    <w:p>
      <w:pPr>
        <w:pStyle w:val="Bibliography"/>
      </w:pPr>
      <w:r>
        <w:t xml:space="preserve">Christensen, David. (2007). Does murphy’s law apply in epistemology? Self-doubt and rational ideals.</w:t>
      </w:r>
      <w:r>
        <w:t xml:space="preserve"> </w:t>
      </w:r>
      <w:r>
        <w:rPr>
          <w:iCs/>
          <w:i/>
        </w:rPr>
        <w:t xml:space="preserve">Oxford Studies in Epistemology</w:t>
      </w:r>
      <w:r>
        <w:t xml:space="preserve">,</w:t>
      </w:r>
      <w:r>
        <w:t xml:space="preserve"> </w:t>
      </w:r>
      <w:r>
        <w:rPr>
          <w:iCs/>
          <w:i/>
        </w:rPr>
        <w:t xml:space="preserve">2</w:t>
      </w:r>
      <w:r>
        <w:t xml:space="preserve">, 3–31.</w:t>
      </w:r>
    </w:p>
    <w:bookmarkEnd w:id="256"/>
    <w:bookmarkStart w:id="258" w:name="ref-Christensen2011"/>
    <w:p>
      <w:pPr>
        <w:pStyle w:val="Bibliography"/>
      </w:pPr>
      <w:r>
        <w:t xml:space="preserve">Christensen, David. (2011). Disagreement, question-begging and epistemic self-criticism.</w:t>
      </w:r>
      <w:r>
        <w:t xml:space="preserve"> </w:t>
      </w:r>
      <w:r>
        <w:rPr>
          <w:iCs/>
          <w:i/>
        </w:rPr>
        <w:t xml:space="preserve">Philosophers’ Imprint</w:t>
      </w:r>
      <w:r>
        <w:t xml:space="preserve">,</w:t>
      </w:r>
      <w:r>
        <w:t xml:space="preserve"> </w:t>
      </w:r>
      <w:r>
        <w:rPr>
          <w:iCs/>
          <w:i/>
        </w:rPr>
        <w:t xml:space="preserve">11</w:t>
      </w:r>
      <w:r>
        <w:t xml:space="preserve">(6), 1–22. Retrieved from</w:t>
      </w:r>
      <w:r>
        <w:t xml:space="preserve"> </w:t>
      </w:r>
      <w:hyperlink r:id="rId257">
        <w:r>
          <w:rPr>
            <w:rStyle w:val="Hyperlink"/>
          </w:rPr>
          <w:t xml:space="preserve">http://hdl.handle.net/2027/spo.3521354.0011.006</w:t>
        </w:r>
      </w:hyperlink>
    </w:p>
    <w:bookmarkEnd w:id="258"/>
    <w:bookmarkStart w:id="259" w:name="ref-Christensen2019"/>
    <w:p>
      <w:pPr>
        <w:pStyle w:val="Bibliography"/>
      </w:pPr>
      <w:r>
        <w:t xml:space="preserve">Christensen, David. (2019). Formulating independence. In Mattias Skipper &amp; Asbjørn Steglich-Petersen (Eds.),</w:t>
      </w:r>
      <w:r>
        <w:t xml:space="preserve"> </w:t>
      </w:r>
      <w:r>
        <w:rPr>
          <w:iCs/>
          <w:i/>
        </w:rPr>
        <w:t xml:space="preserve">Higher-order evidence: New essays</w:t>
      </w:r>
      <w:r>
        <w:t xml:space="preserve"> </w:t>
      </w:r>
      <w:r>
        <w:t xml:space="preserve">(13–34). Oxford University Press.</w:t>
      </w:r>
    </w:p>
    <w:bookmarkEnd w:id="259"/>
    <w:bookmarkStart w:id="260" w:name="ref-Clark2012"/>
    <w:p>
      <w:pPr>
        <w:pStyle w:val="Bibliography"/>
      </w:pPr>
      <w:r>
        <w:t xml:space="preserve">Clark, Christopher. (2012).</w:t>
      </w:r>
      <w:r>
        <w:t xml:space="preserve"> </w:t>
      </w:r>
      <w:r>
        <w:rPr>
          <w:iCs/>
          <w:i/>
        </w:rPr>
        <w:t xml:space="preserve">The sleepwalkers: How europe went to war in 1914</w:t>
      </w:r>
      <w:r>
        <w:t xml:space="preserve">. Harper Collins.</w:t>
      </w:r>
    </w:p>
    <w:bookmarkEnd w:id="260"/>
    <w:bookmarkStart w:id="262" w:name="ref-Cohen2002"/>
    <w:p>
      <w:pPr>
        <w:pStyle w:val="Bibliography"/>
      </w:pPr>
      <w:r>
        <w:t xml:space="preserve">Cohen, Stewart. (2002). Basic knowledge and the problem of easy knowledge.</w:t>
      </w:r>
      <w:r>
        <w:t xml:space="preserve"> </w:t>
      </w:r>
      <w:r>
        <w:rPr>
          <w:iCs/>
          <w:i/>
        </w:rPr>
        <w:t xml:space="preserve">Philosophy and Phenomenological Research</w:t>
      </w:r>
      <w:r>
        <w:t xml:space="preserve">,</w:t>
      </w:r>
      <w:r>
        <w:t xml:space="preserve"> </w:t>
      </w:r>
      <w:r>
        <w:rPr>
          <w:iCs/>
          <w:i/>
        </w:rPr>
        <w:t xml:space="preserve">65</w:t>
      </w:r>
      <w:r>
        <w:t xml:space="preserve">(2), 309–329. doi:</w:t>
      </w:r>
      <w:hyperlink r:id="rId261">
        <w:r>
          <w:rPr>
            <w:rStyle w:val="Hyperlink"/>
          </w:rPr>
          <w:t xml:space="preserve">10.1111/j.1933-1592.2002.tb00204.x</w:t>
        </w:r>
      </w:hyperlink>
    </w:p>
    <w:bookmarkEnd w:id="262"/>
    <w:bookmarkStart w:id="264" w:name="ref-Cohen2004"/>
    <w:p>
      <w:pPr>
        <w:pStyle w:val="Bibliography"/>
      </w:pPr>
      <w:r>
        <w:t xml:space="preserve">Cohen, Stewart. (2004). Knowledge, assertion, and practical reasoning.</w:t>
      </w:r>
      <w:r>
        <w:t xml:space="preserve"> </w:t>
      </w:r>
      <w:r>
        <w:rPr>
          <w:iCs/>
          <w:i/>
        </w:rPr>
        <w:t xml:space="preserve">Philosophical Issues</w:t>
      </w:r>
      <w:r>
        <w:t xml:space="preserve">,</w:t>
      </w:r>
      <w:r>
        <w:t xml:space="preserve"> </w:t>
      </w:r>
      <w:r>
        <w:rPr>
          <w:iCs/>
          <w:i/>
        </w:rPr>
        <w:t xml:space="preserve">14</w:t>
      </w:r>
      <w:r>
        <w:t xml:space="preserve">(1), 482–491. doi:</w:t>
      </w:r>
      <w:hyperlink r:id="rId263">
        <w:r>
          <w:rPr>
            <w:rStyle w:val="Hyperlink"/>
          </w:rPr>
          <w:t xml:space="preserve">10.1111/j.1533-6077.2004.00040.x</w:t>
        </w:r>
      </w:hyperlink>
    </w:p>
    <w:bookmarkEnd w:id="264"/>
    <w:bookmarkStart w:id="265" w:name="ref-Conlisk1996"/>
    <w:p>
      <w:pPr>
        <w:pStyle w:val="Bibliography"/>
      </w:pPr>
      <w:r>
        <w:t xml:space="preserve">Conlisk, John. (1996). Why bounded rationality?</w:t>
      </w:r>
      <w:r>
        <w:t xml:space="preserve"> </w:t>
      </w:r>
      <w:r>
        <w:rPr>
          <w:iCs/>
          <w:i/>
        </w:rPr>
        <w:t xml:space="preserve">Journal of Economic Literature</w:t>
      </w:r>
      <w:r>
        <w:t xml:space="preserve">,</w:t>
      </w:r>
      <w:r>
        <w:t xml:space="preserve"> </w:t>
      </w:r>
      <w:r>
        <w:rPr>
          <w:iCs/>
          <w:i/>
        </w:rPr>
        <w:t xml:space="preserve">34</w:t>
      </w:r>
      <w:r>
        <w:t xml:space="preserve">(2), 669–700.</w:t>
      </w:r>
    </w:p>
    <w:bookmarkEnd w:id="265"/>
    <w:bookmarkStart w:id="266" w:name="ref-sep-well-being"/>
    <w:p>
      <w:pPr>
        <w:pStyle w:val="Bibliography"/>
      </w:pPr>
      <w:r>
        <w:t xml:space="preserve">Crisp, Roger. (2021).</w:t>
      </w:r>
      <w:r>
        <w:t xml:space="preserve"> </w:t>
      </w:r>
      <w:r>
        <w:t xml:space="preserve">Well-Being</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W</w:t>
      </w:r>
      <w:r>
        <w:t xml:space="preserve">inter 2021). Metaphysics Research Lab, Stanford University.</w:t>
      </w:r>
    </w:p>
    <w:bookmarkEnd w:id="266"/>
    <w:bookmarkStart w:id="268" w:name="ref-sep-questions"/>
    <w:p>
      <w:pPr>
        <w:pStyle w:val="Bibliography"/>
      </w:pPr>
      <w:r>
        <w:t xml:space="preserve">Cross, Charles, and Floris Roelofsen. (2018). Questions. In Edward N. Zalta (Ed.),</w:t>
      </w:r>
      <w:r>
        <w:t xml:space="preserve"> </w:t>
      </w:r>
      <w:r>
        <w:rPr>
          <w:iCs/>
          <w:i/>
        </w:rPr>
        <w:t xml:space="preserve">The stanford encyclopedia of philosophy</w:t>
      </w:r>
      <w:r>
        <w:t xml:space="preserve"> </w:t>
      </w:r>
      <w:r>
        <w:t xml:space="preserve">(Spring 2018).</w:t>
      </w:r>
      <w:r>
        <w:t xml:space="preserve"> </w:t>
      </w:r>
      <w:hyperlink r:id="rId267">
        <w:r>
          <w:rPr>
            <w:rStyle w:val="Hyperlink"/>
          </w:rPr>
          <w:t xml:space="preserve">https://plato.stanford.edu/archives/spr2018/entries/questions/</w:t>
        </w:r>
      </w:hyperlink>
      <w:r>
        <w:t xml:space="preserve">; Metaphysics Research Lab, Stanford University.</w:t>
      </w:r>
    </w:p>
    <w:bookmarkEnd w:id="268"/>
    <w:bookmarkStart w:id="269" w:name="ref-DasThesis"/>
    <w:p>
      <w:pPr>
        <w:pStyle w:val="Bibliography"/>
      </w:pPr>
      <w:r>
        <w:t xml:space="preserve">Das, Nilanjan. (2016).</w:t>
      </w:r>
      <w:r>
        <w:t xml:space="preserve"> </w:t>
      </w:r>
      <w:r>
        <w:rPr>
          <w:iCs/>
          <w:i/>
        </w:rPr>
        <w:t xml:space="preserve">Epistemic stability</w:t>
      </w:r>
      <w:r>
        <w:t xml:space="preserve"> </w:t>
      </w:r>
      <w:r>
        <w:t xml:space="preserve">(PhD thesis).</w:t>
      </w:r>
      <w:r>
        <w:t xml:space="preserve"> </w:t>
      </w:r>
      <w:r>
        <w:t xml:space="preserve">MIT</w:t>
      </w:r>
      <w:r>
        <w:t xml:space="preserve">.</w:t>
      </w:r>
    </w:p>
    <w:bookmarkEnd w:id="269"/>
    <w:bookmarkStart w:id="271" w:name="ref-DeRose2002"/>
    <w:p>
      <w:pPr>
        <w:pStyle w:val="Bibliography"/>
      </w:pPr>
      <w:r>
        <w:t xml:space="preserve">DeRose, Keith. (2002). Assertion, knowledge and context.</w:t>
      </w:r>
      <w:r>
        <w:t xml:space="preserve"> </w:t>
      </w:r>
      <w:r>
        <w:rPr>
          <w:iCs/>
          <w:i/>
        </w:rPr>
        <w:t xml:space="preserve">Philosophical Review</w:t>
      </w:r>
      <w:r>
        <w:t xml:space="preserve">,</w:t>
      </w:r>
      <w:r>
        <w:t xml:space="preserve"> </w:t>
      </w:r>
      <w:r>
        <w:rPr>
          <w:iCs/>
          <w:i/>
        </w:rPr>
        <w:t xml:space="preserve">111</w:t>
      </w:r>
      <w:r>
        <w:t xml:space="preserve">(2), 167–203. doi:</w:t>
      </w:r>
      <w:hyperlink r:id="rId270">
        <w:r>
          <w:rPr>
            <w:rStyle w:val="Hyperlink"/>
          </w:rPr>
          <w:t xml:space="preserve">10.2307/3182618</w:t>
        </w:r>
      </w:hyperlink>
    </w:p>
    <w:bookmarkEnd w:id="271"/>
    <w:bookmarkStart w:id="273" w:name="ref-DiabEtAl2008"/>
    <w:p>
      <w:pPr>
        <w:pStyle w:val="Bibliography"/>
      </w:pPr>
      <w:r>
        <w:t xml:space="preserve">Diab, Dalia L., Michael A. Gillespie, and Scott Highhouse. (2008). Are maximizers really unhappy? The measurement of maximizing tendency.</w:t>
      </w:r>
      <w:r>
        <w:t xml:space="preserve"> </w:t>
      </w:r>
      <w:r>
        <w:rPr>
          <w:iCs/>
          <w:i/>
        </w:rPr>
        <w:t xml:space="preserve">Judgment and Decision Making</w:t>
      </w:r>
      <w:r>
        <w:t xml:space="preserve">,</w:t>
      </w:r>
      <w:r>
        <w:t xml:space="preserve"> </w:t>
      </w:r>
      <w:r>
        <w:rPr>
          <w:iCs/>
          <w:i/>
        </w:rPr>
        <w:t xml:space="preserve">3</w:t>
      </w:r>
      <w:r>
        <w:t xml:space="preserve">(5), 364–370. Retrieved from</w:t>
      </w:r>
      <w:r>
        <w:t xml:space="preserve"> </w:t>
      </w:r>
      <w:hyperlink r:id="rId272">
        <w:r>
          <w:rPr>
            <w:rStyle w:val="Hyperlink"/>
          </w:rPr>
          <w:t xml:space="preserve">http://journal.sjdm.org/8320/jdm8320.pdf</w:t>
        </w:r>
      </w:hyperlink>
    </w:p>
    <w:bookmarkEnd w:id="273"/>
    <w:bookmarkStart w:id="274" w:name="ref-DixitSkeath2004"/>
    <w:p>
      <w:pPr>
        <w:pStyle w:val="Bibliography"/>
      </w:pPr>
      <w:r>
        <w:t xml:space="preserve">Dixit, Avinash K., and Susan Skeath. (2004).</w:t>
      </w:r>
      <w:r>
        <w:t xml:space="preserve"> </w:t>
      </w:r>
      <w:r>
        <w:rPr>
          <w:iCs/>
          <w:i/>
        </w:rPr>
        <w:t xml:space="preserve">Games of strategy</w:t>
      </w:r>
      <w:r>
        <w:t xml:space="preserve"> </w:t>
      </w:r>
      <w:r>
        <w:t xml:space="preserve">(Second). W. W. Norton &amp; Company.</w:t>
      </w:r>
    </w:p>
    <w:bookmarkEnd w:id="274"/>
    <w:bookmarkStart w:id="276" w:name="ref-Dogramaci2015"/>
    <w:p>
      <w:pPr>
        <w:pStyle w:val="Bibliography"/>
      </w:pPr>
      <w:r>
        <w:t xml:space="preserve">Dogramaci, Sinan. (2015). Forget and forgive: A practical approach to forgotten evidence.</w:t>
      </w:r>
      <w:r>
        <w:t xml:space="preserve"> </w:t>
      </w:r>
      <w:r>
        <w:rPr>
          <w:iCs/>
          <w:i/>
        </w:rPr>
        <w:t xml:space="preserve">Ergo</w:t>
      </w:r>
      <w:r>
        <w:t xml:space="preserve">,</w:t>
      </w:r>
      <w:r>
        <w:t xml:space="preserve"> </w:t>
      </w:r>
      <w:r>
        <w:rPr>
          <w:iCs/>
          <w:i/>
        </w:rPr>
        <w:t xml:space="preserve">2</w:t>
      </w:r>
      <w:r>
        <w:t xml:space="preserve">(26), 645–677. doi:</w:t>
      </w:r>
      <w:hyperlink r:id="rId275">
        <w:r>
          <w:rPr>
            <w:rStyle w:val="Hyperlink"/>
          </w:rPr>
          <w:t xml:space="preserve">10.3998/ergo.12405314.0002.026</w:t>
        </w:r>
      </w:hyperlink>
    </w:p>
    <w:bookmarkEnd w:id="276"/>
    <w:bookmarkStart w:id="277" w:name="ref-Dylan2016"/>
    <w:p>
      <w:pPr>
        <w:pStyle w:val="Bibliography"/>
      </w:pPr>
      <w:r>
        <w:t xml:space="preserve">Dylan, Bob. (2016).</w:t>
      </w:r>
      <w:r>
        <w:t xml:space="preserve"> </w:t>
      </w:r>
      <w:r>
        <w:rPr>
          <w:iCs/>
          <w:i/>
        </w:rPr>
        <w:t xml:space="preserve">The lyrics: 1961-2012</w:t>
      </w:r>
      <w:r>
        <w:t xml:space="preserve">. Simon &amp; Schuster.</w:t>
      </w:r>
    </w:p>
    <w:bookmarkEnd w:id="277"/>
    <w:bookmarkStart w:id="279" w:name="ref-EatonPickavance2015"/>
    <w:p>
      <w:pPr>
        <w:pStyle w:val="Bibliography"/>
      </w:pPr>
      <w:r>
        <w:t xml:space="preserve">Eaton, Daniel, and Timothy Pickavance. (2015). Evidence against pragmatic encroachment.</w:t>
      </w:r>
      <w:r>
        <w:t xml:space="preserve"> </w:t>
      </w:r>
      <w:r>
        <w:rPr>
          <w:iCs/>
          <w:i/>
        </w:rPr>
        <w:t xml:space="preserve">Philosophical Studies</w:t>
      </w:r>
      <w:r>
        <w:t xml:space="preserve">,</w:t>
      </w:r>
      <w:r>
        <w:t xml:space="preserve"> </w:t>
      </w:r>
      <w:r>
        <w:rPr>
          <w:iCs/>
          <w:i/>
        </w:rPr>
        <w:t xml:space="preserve">172</w:t>
      </w:r>
      <w:r>
        <w:t xml:space="preserve">, 3135–3143. doi:</w:t>
      </w:r>
      <w:hyperlink r:id="rId278">
        <w:r>
          <w:rPr>
            <w:rStyle w:val="Hyperlink"/>
          </w:rPr>
          <w:t xml:space="preserve">10.1007/s11098-015-0461-x</w:t>
        </w:r>
      </w:hyperlink>
    </w:p>
    <w:bookmarkEnd w:id="279"/>
    <w:bookmarkStart w:id="281" w:name="ref-Egan2008"/>
    <w:p>
      <w:pPr>
        <w:pStyle w:val="Bibliography"/>
      </w:pPr>
      <w:r>
        <w:t xml:space="preserve">Egan, Andy. (2008).</w:t>
      </w:r>
      <w:r>
        <w:t xml:space="preserve"> </w:t>
      </w:r>
      <w:r>
        <w:t xml:space="preserve">Seeing and Believing: Perception, Belief Formation and the Divided Mind</w:t>
      </w:r>
      <w:r>
        <w:t xml:space="preserve">.</w:t>
      </w:r>
      <w:r>
        <w:t xml:space="preserve"> </w:t>
      </w:r>
      <w:r>
        <w:rPr>
          <w:iCs/>
          <w:i/>
        </w:rPr>
        <w:t xml:space="preserve">Philosophical Studies</w:t>
      </w:r>
      <w:r>
        <w:t xml:space="preserve">,</w:t>
      </w:r>
      <w:r>
        <w:t xml:space="preserve"> </w:t>
      </w:r>
      <w:r>
        <w:rPr>
          <w:iCs/>
          <w:i/>
        </w:rPr>
        <w:t xml:space="preserve">140</w:t>
      </w:r>
      <w:r>
        <w:t xml:space="preserve">(1), 47–63. doi:</w:t>
      </w:r>
      <w:hyperlink r:id="rId280">
        <w:r>
          <w:rPr>
            <w:rStyle w:val="Hyperlink"/>
          </w:rPr>
          <w:t xml:space="preserve">10.1007/s11098-008-9225-1</w:t>
        </w:r>
      </w:hyperlink>
    </w:p>
    <w:bookmarkEnd w:id="281"/>
    <w:bookmarkStart w:id="282" w:name="ref-Elster1979"/>
    <w:p>
      <w:pPr>
        <w:pStyle w:val="Bibliography"/>
      </w:pPr>
      <w:r>
        <w:t xml:space="preserve">Elster, Jon. (1979).</w:t>
      </w:r>
      <w:r>
        <w:t xml:space="preserve"> </w:t>
      </w:r>
      <w:r>
        <w:rPr>
          <w:iCs/>
          <w:i/>
        </w:rPr>
        <w:t xml:space="preserve">Ulysses and the sirens: Studies in rationality and irrationality</w:t>
      </w:r>
      <w:r>
        <w:t xml:space="preserve">. Cambridge University Press.</w:t>
      </w:r>
    </w:p>
    <w:bookmarkEnd w:id="282"/>
    <w:bookmarkStart w:id="283" w:name="ref-Falbo2021"/>
    <w:p>
      <w:pPr>
        <w:pStyle w:val="Bibliography"/>
      </w:pPr>
      <w:r>
        <w:t xml:space="preserve">Falbo, Arianna. (2021). Inquiry and confirmation.</w:t>
      </w:r>
      <w:r>
        <w:t xml:space="preserve"> </w:t>
      </w:r>
      <w:r>
        <w:rPr>
          <w:iCs/>
          <w:i/>
        </w:rPr>
        <w:t xml:space="preserve">Analysis</w:t>
      </w:r>
      <w:r>
        <w:t xml:space="preserve">,</w:t>
      </w:r>
      <w:r>
        <w:t xml:space="preserve"> </w:t>
      </w:r>
      <w:r>
        <w:rPr>
          <w:iCs/>
          <w:i/>
        </w:rPr>
        <w:t xml:space="preserve">forthcoming</w:t>
      </w:r>
      <w:r>
        <w:t xml:space="preserve">.</w:t>
      </w:r>
    </w:p>
    <w:bookmarkEnd w:id="283"/>
    <w:bookmarkStart w:id="285" w:name="ref-FantlMcGrath2002"/>
    <w:p>
      <w:pPr>
        <w:pStyle w:val="Bibliography"/>
      </w:pPr>
      <w:r>
        <w:t xml:space="preserve">Fantl, Jeremy, and Matthew McGrath. (2002). Evidence, pragmatics, and justification.</w:t>
      </w:r>
      <w:r>
        <w:t xml:space="preserve"> </w:t>
      </w:r>
      <w:r>
        <w:rPr>
          <w:iCs/>
          <w:i/>
        </w:rPr>
        <w:t xml:space="preserve">Philosophical Review</w:t>
      </w:r>
      <w:r>
        <w:t xml:space="preserve">,</w:t>
      </w:r>
      <w:r>
        <w:t xml:space="preserve"> </w:t>
      </w:r>
      <w:r>
        <w:rPr>
          <w:iCs/>
          <w:i/>
        </w:rPr>
        <w:t xml:space="preserve">111</w:t>
      </w:r>
      <w:r>
        <w:t xml:space="preserve">(1), 67–94. doi:</w:t>
      </w:r>
      <w:hyperlink r:id="rId284">
        <w:r>
          <w:rPr>
            <w:rStyle w:val="Hyperlink"/>
          </w:rPr>
          <w:t xml:space="preserve">10.2307/3182570</w:t>
        </w:r>
      </w:hyperlink>
    </w:p>
    <w:bookmarkEnd w:id="285"/>
    <w:bookmarkStart w:id="286" w:name="ref-FantlMcGrath2009"/>
    <w:p>
      <w:pPr>
        <w:pStyle w:val="Bibliography"/>
      </w:pPr>
      <w:r>
        <w:t xml:space="preserve">Fantl, Jeremy, and Matthew McGrath. (2009).</w:t>
      </w:r>
      <w:r>
        <w:t xml:space="preserve"> </w:t>
      </w:r>
      <w:r>
        <w:rPr>
          <w:iCs/>
          <w:i/>
        </w:rPr>
        <w:t xml:space="preserve">Knowledge in an uncertain world</w:t>
      </w:r>
      <w:r>
        <w:t xml:space="preserve">. Oxford University Press.</w:t>
      </w:r>
    </w:p>
    <w:bookmarkEnd w:id="286"/>
    <w:bookmarkStart w:id="287" w:name="ref-Foley1993"/>
    <w:p>
      <w:pPr>
        <w:pStyle w:val="Bibliography"/>
      </w:pPr>
      <w:r>
        <w:t xml:space="preserve">Foley, Richard. (1993).</w:t>
      </w:r>
      <w:r>
        <w:t xml:space="preserve"> </w:t>
      </w:r>
      <w:r>
        <w:rPr>
          <w:iCs/>
          <w:i/>
        </w:rPr>
        <w:t xml:space="preserve">Working without a net</w:t>
      </w:r>
      <w:r>
        <w:t xml:space="preserve">. Oxford University Press.</w:t>
      </w:r>
    </w:p>
    <w:bookmarkEnd w:id="287"/>
    <w:bookmarkStart w:id="289" w:name="ref-Friedman2017"/>
    <w:p>
      <w:pPr>
        <w:pStyle w:val="Bibliography"/>
      </w:pPr>
      <w:r>
        <w:t xml:space="preserve">Friedman, Jane. (2017). Why suspend judging?</w:t>
      </w:r>
      <w:r>
        <w:t xml:space="preserve"> </w:t>
      </w:r>
      <w:r>
        <w:rPr>
          <w:iCs/>
          <w:i/>
        </w:rPr>
        <w:t xml:space="preserve">No</w:t>
      </w:r>
      <w:r>
        <w:rPr>
          <w:iCs/>
          <w:i/>
        </w:rPr>
        <w:t xml:space="preserve">û</w:t>
      </w:r>
      <w:r>
        <w:rPr>
          <w:iCs/>
          <w:i/>
        </w:rPr>
        <w:t xml:space="preserve">s</w:t>
      </w:r>
      <w:r>
        <w:t xml:space="preserve">,</w:t>
      </w:r>
      <w:r>
        <w:t xml:space="preserve"> </w:t>
      </w:r>
      <w:r>
        <w:rPr>
          <w:iCs/>
          <w:i/>
        </w:rPr>
        <w:t xml:space="preserve">51</w:t>
      </w:r>
      <w:r>
        <w:t xml:space="preserve">(2), 302–326. doi:</w:t>
      </w:r>
      <w:hyperlink r:id="rId288">
        <w:r>
          <w:rPr>
            <w:rStyle w:val="Hyperlink"/>
          </w:rPr>
          <w:t xml:space="preserve">10.1111/nous.12137</w:t>
        </w:r>
      </w:hyperlink>
    </w:p>
    <w:bookmarkEnd w:id="289"/>
    <w:bookmarkStart w:id="291" w:name="ref-Friedman2019b"/>
    <w:p>
      <w:pPr>
        <w:pStyle w:val="Bibliography"/>
      </w:pPr>
      <w:r>
        <w:t xml:space="preserve">Friedman, Jane. (2019a). Checking again.</w:t>
      </w:r>
      <w:r>
        <w:t xml:space="preserve"> </w:t>
      </w:r>
      <w:r>
        <w:rPr>
          <w:iCs/>
          <w:i/>
        </w:rPr>
        <w:t xml:space="preserve">Philosophical Issues</w:t>
      </w:r>
      <w:r>
        <w:t xml:space="preserve">,</w:t>
      </w:r>
      <w:r>
        <w:t xml:space="preserve"> </w:t>
      </w:r>
      <w:r>
        <w:rPr>
          <w:iCs/>
          <w:i/>
        </w:rPr>
        <w:t xml:space="preserve">29</w:t>
      </w:r>
      <w:r>
        <w:t xml:space="preserve">(1), 84–96. doi:</w:t>
      </w:r>
      <w:hyperlink r:id="rId290">
        <w:r>
          <w:rPr>
            <w:rStyle w:val="Hyperlink"/>
          </w:rPr>
          <w:t xml:space="preserve">10.1111/phis.12141</w:t>
        </w:r>
      </w:hyperlink>
    </w:p>
    <w:bookmarkEnd w:id="291"/>
    <w:bookmarkStart w:id="293" w:name="ref-Friedman2019a"/>
    <w:p>
      <w:pPr>
        <w:pStyle w:val="Bibliography"/>
      </w:pPr>
      <w:r>
        <w:t xml:space="preserve">Friedman, Jane. (2019b). Inquiry and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(2), 296–315. doi:</w:t>
      </w:r>
      <w:hyperlink r:id="rId292">
        <w:r>
          <w:rPr>
            <w:rStyle w:val="Hyperlink"/>
          </w:rPr>
          <w:t xml:space="preserve">10.1111/nous.12222</w:t>
        </w:r>
      </w:hyperlink>
    </w:p>
    <w:bookmarkEnd w:id="293"/>
    <w:bookmarkStart w:id="295" w:name="ref-Friedman2020"/>
    <w:p>
      <w:pPr>
        <w:pStyle w:val="Bibliography"/>
      </w:pPr>
      <w:r>
        <w:t xml:space="preserve">Friedman, Jane. (2020). The epistemic and the zetetic.</w:t>
      </w:r>
      <w:r>
        <w:t xml:space="preserve"> </w:t>
      </w:r>
      <w:r>
        <w:rPr>
          <w:iCs/>
          <w:i/>
        </w:rPr>
        <w:t xml:space="preserve">Philosophical Review</w:t>
      </w:r>
      <w:r>
        <w:t xml:space="preserve">,</w:t>
      </w:r>
      <w:r>
        <w:t xml:space="preserve"> </w:t>
      </w:r>
      <w:r>
        <w:rPr>
          <w:iCs/>
          <w:i/>
        </w:rPr>
        <w:t xml:space="preserve">129</w:t>
      </w:r>
      <w:r>
        <w:t xml:space="preserve">(4), 501–536. doi:</w:t>
      </w:r>
      <w:hyperlink r:id="rId294">
        <w:r>
          <w:rPr>
            <w:rStyle w:val="Hyperlink"/>
          </w:rPr>
          <w:t xml:space="preserve">10.1215/00318108-8540918</w:t>
        </w:r>
      </w:hyperlink>
    </w:p>
    <w:bookmarkEnd w:id="295"/>
    <w:bookmarkStart w:id="297" w:name="ref-Ganson2008"/>
    <w:p>
      <w:pPr>
        <w:pStyle w:val="Bibliography"/>
      </w:pPr>
      <w:r>
        <w:t xml:space="preserve">Ganson, Dorit. (2008). Evidentialism and pragmatic constraints on outright belief.</w:t>
      </w:r>
      <w:r>
        <w:t xml:space="preserve"> </w:t>
      </w:r>
      <w:r>
        <w:rPr>
          <w:iCs/>
          <w:i/>
        </w:rPr>
        <w:t xml:space="preserve">Philosophical Studies</w:t>
      </w:r>
      <w:r>
        <w:t xml:space="preserve">,</w:t>
      </w:r>
      <w:r>
        <w:t xml:space="preserve"> </w:t>
      </w:r>
      <w:r>
        <w:rPr>
          <w:iCs/>
          <w:i/>
        </w:rPr>
        <w:t xml:space="preserve">139</w:t>
      </w:r>
      <w:r>
        <w:t xml:space="preserve">(3), 441–458. doi:</w:t>
      </w:r>
      <w:hyperlink r:id="rId296">
        <w:r>
          <w:rPr>
            <w:rStyle w:val="Hyperlink"/>
          </w:rPr>
          <w:t xml:space="preserve">10.1007/s11098-007-9133-9</w:t>
        </w:r>
      </w:hyperlink>
    </w:p>
    <w:bookmarkEnd w:id="297"/>
    <w:bookmarkStart w:id="298" w:name="ref-Ganson2019"/>
    <w:p>
      <w:pPr>
        <w:pStyle w:val="Bibliography"/>
      </w:pPr>
      <w:r>
        <w:t xml:space="preserve">Ganson, Dorit. (2019). Great expectations: Belief and the case for pragmatic encroachment. In Brian Kim &amp; Matthew McGrath (Eds.),</w:t>
      </w:r>
      <w:r>
        <w:t xml:space="preserve"> </w:t>
      </w:r>
      <w:r>
        <w:rPr>
          <w:iCs/>
          <w:i/>
        </w:rPr>
        <w:t xml:space="preserve">Pragmatic encroachment in epistemology</w:t>
      </w:r>
      <w:r>
        <w:t xml:space="preserve">. Routledge.</w:t>
      </w:r>
    </w:p>
    <w:bookmarkEnd w:id="298"/>
    <w:bookmarkStart w:id="300" w:name="ref-Gao2023"/>
    <w:p>
      <w:pPr>
        <w:pStyle w:val="Bibliography"/>
      </w:pPr>
      <w:r>
        <w:t xml:space="preserve">Gao, Jie. (2023). Should credence be sensitive to practical factors? A cost-benefit analysis.</w:t>
      </w:r>
      <w:r>
        <w:t xml:space="preserve"> </w:t>
      </w:r>
      <w:r>
        <w:rPr>
          <w:iCs/>
          <w:i/>
        </w:rPr>
        <w:t xml:space="preserve">Mind and Language</w:t>
      </w:r>
      <w:r>
        <w:t xml:space="preserve">,</w:t>
      </w:r>
      <w:r>
        <w:t xml:space="preserve"> </w:t>
      </w:r>
      <w:r>
        <w:rPr>
          <w:iCs/>
          <w:i/>
        </w:rPr>
        <w:t xml:space="preserve">38</w:t>
      </w:r>
      <w:r>
        <w:t xml:space="preserve">(5), 1238–1257. doi:</w:t>
      </w:r>
      <w:hyperlink r:id="rId299">
        <w:r>
          <w:rPr>
            <w:rStyle w:val="Hyperlink"/>
          </w:rPr>
          <w:t xml:space="preserve">10.1111/mila.12451</w:t>
        </w:r>
      </w:hyperlink>
    </w:p>
    <w:bookmarkEnd w:id="300"/>
    <w:bookmarkStart w:id="302" w:name="ref-Gendler2005"/>
    <w:p>
      <w:pPr>
        <w:pStyle w:val="Bibliography"/>
      </w:pPr>
      <w:r>
        <w:t xml:space="preserve">Gendler, Tamar Szabó, and John Hawthorne. (2005). The real guide to fake barns: A catalogue of gifts for your epistemic enemies.</w:t>
      </w:r>
      <w:r>
        <w:t xml:space="preserve"> </w:t>
      </w:r>
      <w:r>
        <w:rPr>
          <w:iCs/>
          <w:i/>
        </w:rPr>
        <w:t xml:space="preserve">Philosophical Studies</w:t>
      </w:r>
      <w:r>
        <w:t xml:space="preserve">,</w:t>
      </w:r>
      <w:r>
        <w:t xml:space="preserve"> </w:t>
      </w:r>
      <w:r>
        <w:rPr>
          <w:iCs/>
          <w:i/>
        </w:rPr>
        <w:t xml:space="preserve">124</w:t>
      </w:r>
      <w:r>
        <w:t xml:space="preserve">(3), 331–352. doi:</w:t>
      </w:r>
      <w:hyperlink r:id="rId301">
        <w:r>
          <w:rPr>
            <w:rStyle w:val="Hyperlink"/>
          </w:rPr>
          <w:t xml:space="preserve">10.1007/s11098-005-7779-8</w:t>
        </w:r>
      </w:hyperlink>
    </w:p>
    <w:bookmarkEnd w:id="302"/>
    <w:bookmarkStart w:id="304" w:name="ref-Gettier1963"/>
    <w:p>
      <w:pPr>
        <w:pStyle w:val="Bibliography"/>
      </w:pPr>
      <w:r>
        <w:t xml:space="preserve">Gettier, Edmund L. (1963). Is justified true belief knowledge?</w:t>
      </w:r>
      <w:r>
        <w:t xml:space="preserve"> </w:t>
      </w:r>
      <w:r>
        <w:rPr>
          <w:iCs/>
          <w:i/>
        </w:rPr>
        <w:t xml:space="preserve">Analysis</w:t>
      </w:r>
      <w:r>
        <w:t xml:space="preserve">,</w:t>
      </w:r>
      <w:r>
        <w:t xml:space="preserve"> </w:t>
      </w:r>
      <w:r>
        <w:rPr>
          <w:iCs/>
          <w:i/>
        </w:rPr>
        <w:t xml:space="preserve">23</w:t>
      </w:r>
      <w:r>
        <w:t xml:space="preserve">(6), 121–123. doi:</w:t>
      </w:r>
      <w:hyperlink r:id="rId303">
        <w:r>
          <w:rPr>
            <w:rStyle w:val="Hyperlink"/>
          </w:rPr>
          <w:t xml:space="preserve">10.2307/3326922</w:t>
        </w:r>
      </w:hyperlink>
    </w:p>
    <w:bookmarkEnd w:id="304"/>
    <w:bookmarkStart w:id="305" w:name="ref-GigerenzerSelton2001"/>
    <w:p>
      <w:pPr>
        <w:pStyle w:val="Bibliography"/>
      </w:pPr>
      <w:r>
        <w:t xml:space="preserve">Gigerenzer, Gerd, and Reinhard Selten. (2001).</w:t>
      </w:r>
      <w:r>
        <w:t xml:space="preserve"> </w:t>
      </w:r>
      <w:r>
        <w:rPr>
          <w:iCs/>
          <w:i/>
        </w:rPr>
        <w:t xml:space="preserve">Bounded rationality: The adaptive toolbox</w:t>
      </w:r>
      <w:r>
        <w:t xml:space="preserve">. MIT Press.</w:t>
      </w:r>
    </w:p>
    <w:bookmarkEnd w:id="305"/>
    <w:bookmarkStart w:id="307" w:name="ref-Gillies2010"/>
    <w:p>
      <w:pPr>
        <w:pStyle w:val="Bibliography"/>
      </w:pPr>
      <w:r>
        <w:t xml:space="preserve">Gillies, Anthony S. (2010). Iffiness.</w:t>
      </w:r>
      <w:r>
        <w:t xml:space="preserve"> </w:t>
      </w:r>
      <w:r>
        <w:rPr>
          <w:iCs/>
          <w:i/>
        </w:rPr>
        <w:t xml:space="preserve">Semantics and Pragmatics</w:t>
      </w:r>
      <w:r>
        <w:t xml:space="preserve">,</w:t>
      </w:r>
      <w:r>
        <w:t xml:space="preserve"> </w:t>
      </w:r>
      <w:r>
        <w:rPr>
          <w:iCs/>
          <w:i/>
        </w:rPr>
        <w:t xml:space="preserve">3</w:t>
      </w:r>
      <w:r>
        <w:t xml:space="preserve">(4), 1–42. doi:</w:t>
      </w:r>
      <w:hyperlink r:id="rId306">
        <w:r>
          <w:rPr>
            <w:rStyle w:val="Hyperlink"/>
          </w:rPr>
          <w:t xml:space="preserve">10.3765/sp.3.4</w:t>
        </w:r>
      </w:hyperlink>
    </w:p>
    <w:bookmarkEnd w:id="307"/>
    <w:bookmarkStart w:id="308" w:name="ref-Goldman2009"/>
    <w:p>
      <w:pPr>
        <w:pStyle w:val="Bibliography"/>
      </w:pPr>
      <w:r>
        <w:t xml:space="preserve">Goldman, Alvin. (2009). Williamson on knowledge and evidence. In</w:t>
      </w:r>
      <w:r>
        <w:t xml:space="preserve"> </w:t>
      </w:r>
      <w:r>
        <w:rPr>
          <w:iCs/>
          <w:i/>
        </w:rPr>
        <w:t xml:space="preserve">Williamson on Knowledge</w:t>
      </w:r>
      <w:r>
        <w:t xml:space="preserve"> </w:t>
      </w:r>
      <w:r>
        <w:t xml:space="preserve">(73–91).</w:t>
      </w:r>
    </w:p>
    <w:bookmarkEnd w:id="308"/>
    <w:bookmarkStart w:id="309" w:name="ref-Harman1973"/>
    <w:p>
      <w:pPr>
        <w:pStyle w:val="Bibliography"/>
      </w:pPr>
      <w:r>
        <w:t xml:space="preserve">Harman, Gilbert. (1973).</w:t>
      </w:r>
      <w:r>
        <w:t xml:space="preserve"> </w:t>
      </w:r>
      <w:r>
        <w:rPr>
          <w:iCs/>
          <w:i/>
        </w:rPr>
        <w:t xml:space="preserve">Thought</w:t>
      </w:r>
      <w:r>
        <w:t xml:space="preserve">. Princeton University Press.</w:t>
      </w:r>
    </w:p>
    <w:bookmarkEnd w:id="309"/>
    <w:bookmarkStart w:id="310" w:name="ref-Harman1986"/>
    <w:p>
      <w:pPr>
        <w:pStyle w:val="Bibliography"/>
      </w:pPr>
      <w:r>
        <w:t xml:space="preserve">Harman, Gilbert. (1986).</w:t>
      </w:r>
      <w:r>
        <w:t xml:space="preserve"> </w:t>
      </w:r>
      <w:r>
        <w:rPr>
          <w:iCs/>
          <w:i/>
        </w:rPr>
        <w:t xml:space="preserve">Change in view</w:t>
      </w:r>
      <w:r>
        <w:t xml:space="preserve">.</w:t>
      </w:r>
      <w:r>
        <w:t xml:space="preserve"> </w:t>
      </w:r>
      <w:r>
        <w:t xml:space="preserve">MIT</w:t>
      </w:r>
      <w:r>
        <w:t xml:space="preserve"> </w:t>
      </w:r>
      <w:r>
        <w:t xml:space="preserve">Press.</w:t>
      </w:r>
    </w:p>
    <w:bookmarkEnd w:id="310"/>
    <w:bookmarkStart w:id="312" w:name="ref-Harper1986"/>
    <w:p>
      <w:pPr>
        <w:pStyle w:val="Bibliography"/>
      </w:pPr>
      <w:r>
        <w:t xml:space="preserve">Harper, William. (1986). Mixed strategies and ratifiability in causal decision theory.</w:t>
      </w:r>
      <w:r>
        <w:t xml:space="preserve"> </w:t>
      </w:r>
      <w:r>
        <w:rPr>
          <w:iCs/>
          <w:i/>
        </w:rPr>
        <w:t xml:space="preserve">Erkenntnis</w:t>
      </w:r>
      <w:r>
        <w:t xml:space="preserve">,</w:t>
      </w:r>
      <w:r>
        <w:t xml:space="preserve"> </w:t>
      </w:r>
      <w:r>
        <w:rPr>
          <w:iCs/>
          <w:i/>
        </w:rPr>
        <w:t xml:space="preserve">24</w:t>
      </w:r>
      <w:r>
        <w:t xml:space="preserve">(1), 25–36. doi:</w:t>
      </w:r>
      <w:hyperlink r:id="rId311">
        <w:r>
          <w:rPr>
            <w:rStyle w:val="Hyperlink"/>
          </w:rPr>
          <w:t xml:space="preserve">10.1007/BF00183199</w:t>
        </w:r>
      </w:hyperlink>
    </w:p>
    <w:bookmarkEnd w:id="312"/>
    <w:bookmarkStart w:id="313" w:name="ref-Hawthorne2004"/>
    <w:p>
      <w:pPr>
        <w:pStyle w:val="Bibliography"/>
      </w:pPr>
      <w:r>
        <w:t xml:space="preserve">Hawthorne, John. (2004).</w:t>
      </w:r>
      <w:r>
        <w:t xml:space="preserve"> </w:t>
      </w:r>
      <w:r>
        <w:rPr>
          <w:iCs/>
          <w:i/>
        </w:rPr>
        <w:t xml:space="preserve">Knowledge and lotteries</w:t>
      </w:r>
      <w:r>
        <w:t xml:space="preserve">. Oxford University Press.</w:t>
      </w:r>
    </w:p>
    <w:bookmarkEnd w:id="313"/>
    <w:bookmarkStart w:id="315" w:name="ref-Hawthorne2005"/>
    <w:p>
      <w:pPr>
        <w:pStyle w:val="Bibliography"/>
      </w:pPr>
      <w:r>
        <w:t xml:space="preserve">Hawthorne, John. (2005). Knowledge and evidence.</w:t>
      </w:r>
      <w:r>
        <w:t xml:space="preserve"> </w:t>
      </w:r>
      <w:r>
        <w:rPr>
          <w:iCs/>
          <w:i/>
        </w:rPr>
        <w:t xml:space="preserve">Philosophy and Phenomenological Research</w:t>
      </w:r>
      <w:r>
        <w:t xml:space="preserve">,</w:t>
      </w:r>
      <w:r>
        <w:t xml:space="preserve"> </w:t>
      </w:r>
      <w:r>
        <w:rPr>
          <w:iCs/>
          <w:i/>
        </w:rPr>
        <w:t xml:space="preserve">70</w:t>
      </w:r>
      <w:r>
        <w:t xml:space="preserve">(2), 452–458. doi:</w:t>
      </w:r>
      <w:hyperlink r:id="rId314">
        <w:r>
          <w:rPr>
            <w:rStyle w:val="Hyperlink"/>
          </w:rPr>
          <w:t xml:space="preserve">10.1111/j.1933-1592.2005.tb00540.x</w:t>
        </w:r>
      </w:hyperlink>
    </w:p>
    <w:bookmarkEnd w:id="315"/>
    <w:bookmarkStart w:id="317" w:name="ref-HawthorneEtAl2015"/>
    <w:p>
      <w:pPr>
        <w:pStyle w:val="Bibliography"/>
      </w:pPr>
      <w:r>
        <w:t xml:space="preserve">Hawthorne, John, Daniel Rothschild, and Levi Spectre. (2016). Belief is weak.</w:t>
      </w:r>
      <w:r>
        <w:t xml:space="preserve"> </w:t>
      </w:r>
      <w:r>
        <w:rPr>
          <w:iCs/>
          <w:i/>
        </w:rPr>
        <w:t xml:space="preserve">Philosophical Studies</w:t>
      </w:r>
      <w:r>
        <w:t xml:space="preserve">,</w:t>
      </w:r>
      <w:r>
        <w:t xml:space="preserve"> </w:t>
      </w:r>
      <w:r>
        <w:rPr>
          <w:iCs/>
          <w:i/>
        </w:rPr>
        <w:t xml:space="preserve">173</w:t>
      </w:r>
      <w:r>
        <w:t xml:space="preserve">, 1393–1404. doi:</w:t>
      </w:r>
      <w:hyperlink r:id="rId316">
        <w:r>
          <w:rPr>
            <w:rStyle w:val="Hyperlink"/>
          </w:rPr>
          <w:t xml:space="preserve">10.1007/s11098-015-0553-7</w:t>
        </w:r>
      </w:hyperlink>
    </w:p>
    <w:bookmarkEnd w:id="317"/>
    <w:bookmarkStart w:id="318" w:name="ref-HawthorneSrinivasan2013"/>
    <w:p>
      <w:pPr>
        <w:pStyle w:val="Bibliography"/>
      </w:pPr>
      <w:r>
        <w:t xml:space="preserve">Hawthorne, John, and Amia Srinivasan. (2013). Disagreement without transparency: Some bleak thoughts. In David Christensen &amp; Jennifer Lackey (Eds.),</w:t>
      </w:r>
      <w:r>
        <w:t xml:space="preserve"> </w:t>
      </w:r>
      <w:r>
        <w:rPr>
          <w:iCs/>
          <w:i/>
        </w:rPr>
        <w:t xml:space="preserve">The epistemology of disagreement: New essays</w:t>
      </w:r>
      <w:r>
        <w:t xml:space="preserve"> </w:t>
      </w:r>
      <w:r>
        <w:t xml:space="preserve">(9–30). Oxford University Press.</w:t>
      </w:r>
    </w:p>
    <w:bookmarkEnd w:id="318"/>
    <w:bookmarkStart w:id="320" w:name="ref-HawthorneStanley2008"/>
    <w:p>
      <w:pPr>
        <w:pStyle w:val="Bibliography"/>
      </w:pPr>
      <w:r>
        <w:t xml:space="preserve">Hawthorne, John, and Jason Stanley. (2008).</w:t>
      </w:r>
      <w:r>
        <w:t xml:space="preserve"> </w:t>
      </w:r>
      <w:r>
        <w:t xml:space="preserve">Knowledge and Action</w:t>
      </w:r>
      <w:r>
        <w:t xml:space="preserve">.</w:t>
      </w:r>
      <w:r>
        <w:t xml:space="preserve"> </w:t>
      </w:r>
      <w:r>
        <w:rPr>
          <w:iCs/>
          <w:i/>
        </w:rPr>
        <w:t xml:space="preserve">Journal of Philosophy</w:t>
      </w:r>
      <w:r>
        <w:t xml:space="preserve">,</w:t>
      </w:r>
      <w:r>
        <w:t xml:space="preserve"> </w:t>
      </w:r>
      <w:r>
        <w:rPr>
          <w:iCs/>
          <w:i/>
        </w:rPr>
        <w:t xml:space="preserve">105</w:t>
      </w:r>
      <w:r>
        <w:t xml:space="preserve">(10), 571–590. doi:</w:t>
      </w:r>
      <w:hyperlink r:id="rId319">
        <w:r>
          <w:rPr>
            <w:rStyle w:val="Hyperlink"/>
          </w:rPr>
          <w:t xml:space="preserve">10.5840/jphil20081051022</w:t>
        </w:r>
      </w:hyperlink>
    </w:p>
    <w:bookmarkEnd w:id="320"/>
    <w:bookmarkStart w:id="322" w:name="ref-Hedden2012"/>
    <w:p>
      <w:pPr>
        <w:pStyle w:val="Bibliography"/>
      </w:pPr>
      <w:r>
        <w:t xml:space="preserve">Hedden, Brian. (2012). Options and the subjective ought.</w:t>
      </w:r>
      <w:r>
        <w:t xml:space="preserve"> </w:t>
      </w:r>
      <w:r>
        <w:rPr>
          <w:iCs/>
          <w:i/>
        </w:rPr>
        <w:t xml:space="preserve">Philosophical Studies</w:t>
      </w:r>
      <w:r>
        <w:t xml:space="preserve">,</w:t>
      </w:r>
      <w:r>
        <w:t xml:space="preserve"> </w:t>
      </w:r>
      <w:r>
        <w:rPr>
          <w:iCs/>
          <w:i/>
        </w:rPr>
        <w:t xml:space="preserve">158</w:t>
      </w:r>
      <w:r>
        <w:t xml:space="preserve">(2), 343–360. doi:</w:t>
      </w:r>
      <w:hyperlink r:id="rId321">
        <w:r>
          <w:rPr>
            <w:rStyle w:val="Hyperlink"/>
          </w:rPr>
          <w:t xml:space="preserve">10.1007/s11098-012-9880-0</w:t>
        </w:r>
      </w:hyperlink>
    </w:p>
    <w:bookmarkEnd w:id="322"/>
    <w:bookmarkStart w:id="324" w:name="ref-Hieronymi2013"/>
    <w:p>
      <w:pPr>
        <w:pStyle w:val="Bibliography"/>
      </w:pPr>
      <w:r>
        <w:t xml:space="preserve">Hieronymi, Pamela. (2013). The use of reasons in thought (and the use of earmarks in arguments).</w:t>
      </w:r>
      <w:r>
        <w:t xml:space="preserve"> </w:t>
      </w:r>
      <w:r>
        <w:rPr>
          <w:iCs/>
          <w:i/>
        </w:rPr>
        <w:t xml:space="preserve">Ethics</w:t>
      </w:r>
      <w:r>
        <w:t xml:space="preserve">,</w:t>
      </w:r>
      <w:r>
        <w:t xml:space="preserve"> </w:t>
      </w:r>
      <w:r>
        <w:rPr>
          <w:iCs/>
          <w:i/>
        </w:rPr>
        <w:t xml:space="preserve">124</w:t>
      </w:r>
      <w:r>
        <w:t xml:space="preserve">(1), 114–127. doi:</w:t>
      </w:r>
      <w:hyperlink r:id="rId323">
        <w:r>
          <w:rPr>
            <w:rStyle w:val="Hyperlink"/>
          </w:rPr>
          <w:t xml:space="preserve">10.1086/671402</w:t>
        </w:r>
      </w:hyperlink>
    </w:p>
    <w:bookmarkEnd w:id="324"/>
    <w:bookmarkStart w:id="326" w:name="ref-Hills2009"/>
    <w:p>
      <w:pPr>
        <w:pStyle w:val="Bibliography"/>
      </w:pPr>
      <w:r>
        <w:t xml:space="preserve">Hills, Alison. (2009). Moral testimony and moral epistemology.</w:t>
      </w:r>
      <w:r>
        <w:t xml:space="preserve"> </w:t>
      </w:r>
      <w:r>
        <w:rPr>
          <w:iCs/>
          <w:i/>
        </w:rPr>
        <w:t xml:space="preserve">Ethics</w:t>
      </w:r>
      <w:r>
        <w:t xml:space="preserve">,</w:t>
      </w:r>
      <w:r>
        <w:t xml:space="preserve"> </w:t>
      </w:r>
      <w:r>
        <w:rPr>
          <w:iCs/>
          <w:i/>
        </w:rPr>
        <w:t xml:space="preserve">120</w:t>
      </w:r>
      <w:r>
        <w:t xml:space="preserve">(1), 94–127. doi:</w:t>
      </w:r>
      <w:hyperlink r:id="rId325">
        <w:r>
          <w:rPr>
            <w:rStyle w:val="Hyperlink"/>
          </w:rPr>
          <w:t xml:space="preserve">10.1086/648610</w:t>
        </w:r>
      </w:hyperlink>
    </w:p>
    <w:bookmarkEnd w:id="326"/>
    <w:bookmarkStart w:id="328" w:name="ref-Hotelling1929"/>
    <w:p>
      <w:pPr>
        <w:pStyle w:val="Bibliography"/>
      </w:pPr>
      <w:r>
        <w:t xml:space="preserve">Hotelling, Harold. (1929). Stability in competition.</w:t>
      </w:r>
      <w:r>
        <w:t xml:space="preserve"> </w:t>
      </w:r>
      <w:r>
        <w:rPr>
          <w:iCs/>
          <w:i/>
        </w:rPr>
        <w:t xml:space="preserve">The Economic Journal</w:t>
      </w:r>
      <w:r>
        <w:t xml:space="preserve">,</w:t>
      </w:r>
      <w:r>
        <w:t xml:space="preserve"> </w:t>
      </w:r>
      <w:r>
        <w:rPr>
          <w:iCs/>
          <w:i/>
        </w:rPr>
        <w:t xml:space="preserve">39</w:t>
      </w:r>
      <w:r>
        <w:t xml:space="preserve">(153), 41–57. doi:</w:t>
      </w:r>
      <w:hyperlink r:id="rId327">
        <w:r>
          <w:rPr>
            <w:rStyle w:val="Hyperlink"/>
          </w:rPr>
          <w:t xml:space="preserve">10.2307/2224214</w:t>
        </w:r>
      </w:hyperlink>
    </w:p>
    <w:bookmarkEnd w:id="328"/>
    <w:bookmarkStart w:id="330" w:name="ref-Humberstone1981"/>
    <w:p>
      <w:pPr>
        <w:pStyle w:val="Bibliography"/>
      </w:pPr>
      <w:r>
        <w:t xml:space="preserve">Humberstone, I. L. (1981). From worlds to possibilities.</w:t>
      </w:r>
      <w:r>
        <w:t xml:space="preserve"> </w:t>
      </w:r>
      <w:r>
        <w:rPr>
          <w:iCs/>
          <w:i/>
        </w:rPr>
        <w:t xml:space="preserve">Journal of Philosophical Logic</w:t>
      </w:r>
      <w:r>
        <w:t xml:space="preserve">,</w:t>
      </w:r>
      <w:r>
        <w:t xml:space="preserve"> </w:t>
      </w:r>
      <w:r>
        <w:rPr>
          <w:iCs/>
          <w:i/>
        </w:rPr>
        <w:t xml:space="preserve">10</w:t>
      </w:r>
      <w:r>
        <w:t xml:space="preserve">(3), 313–339. doi:</w:t>
      </w:r>
      <w:hyperlink r:id="rId329">
        <w:r>
          <w:rPr>
            <w:rStyle w:val="Hyperlink"/>
          </w:rPr>
          <w:t xml:space="preserve">10.1007/BF00293423</w:t>
        </w:r>
      </w:hyperlink>
    </w:p>
    <w:bookmarkEnd w:id="330"/>
    <w:bookmarkStart w:id="332" w:name="ref-Hunter1996"/>
    <w:p>
      <w:pPr>
        <w:pStyle w:val="Bibliography"/>
      </w:pPr>
      <w:r>
        <w:t xml:space="preserve">Hunter, Daniel. (1996). On the relation between categorical and probabilistic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30</w:t>
      </w:r>
      <w:r>
        <w:t xml:space="preserve">, 75–98. doi:</w:t>
      </w:r>
      <w:hyperlink r:id="rId331">
        <w:r>
          <w:rPr>
            <w:rStyle w:val="Hyperlink"/>
          </w:rPr>
          <w:t xml:space="preserve">10.2307/2216304</w:t>
        </w:r>
      </w:hyperlink>
    </w:p>
    <w:bookmarkEnd w:id="332"/>
    <w:bookmarkStart w:id="334" w:name="ref-IyengarEtAl2006"/>
    <w:p>
      <w:pPr>
        <w:pStyle w:val="Bibliography"/>
      </w:pPr>
      <w:r>
        <w:t xml:space="preserve">Iyengar, Sheena S., Rachael E. Wells, and Barry Schwartz. (2006). 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w:t>
      </w:r>
      <w:r>
        <w:t xml:space="preserve"> </w:t>
      </w:r>
      <w:r>
        <w:rPr>
          <w:iCs/>
          <w:i/>
        </w:rPr>
        <w:t xml:space="preserve">17</w:t>
      </w:r>
      <w:r>
        <w:t xml:space="preserve">(2), 143–150. doi:</w:t>
      </w:r>
      <w:hyperlink r:id="rId333">
        <w:r>
          <w:rPr>
            <w:rStyle w:val="Hyperlink"/>
          </w:rPr>
          <w:t xml:space="preserve">10.1111/j.1467-9280.2006.01677.x</w:t>
        </w:r>
      </w:hyperlink>
    </w:p>
    <w:bookmarkEnd w:id="334"/>
    <w:bookmarkStart w:id="335" w:name="ref-Jackson1987"/>
    <w:p>
      <w:pPr>
        <w:pStyle w:val="Bibliography"/>
      </w:pPr>
      <w:r>
        <w:t xml:space="preserve">Jackson, Frank. (1987).</w:t>
      </w:r>
      <w:r>
        <w:t xml:space="preserve"> </w:t>
      </w:r>
      <w:r>
        <w:rPr>
          <w:iCs/>
          <w:i/>
        </w:rPr>
        <w:t xml:space="preserve">Conditionals</w:t>
      </w:r>
      <w:r>
        <w:t xml:space="preserve">. Oxford.</w:t>
      </w:r>
    </w:p>
    <w:bookmarkEnd w:id="335"/>
    <w:bookmarkStart w:id="336" w:name="ref-Joyce2018"/>
    <w:p>
      <w:pPr>
        <w:pStyle w:val="Bibliography"/>
      </w:pPr>
      <w:r>
        <w:t xml:space="preserve">Joyce, James. (n.d.).</w:t>
      </w:r>
      <w:r>
        <w:t xml:space="preserve"> </w:t>
      </w:r>
      <w:r>
        <w:rPr>
          <w:iCs/>
          <w:i/>
        </w:rPr>
        <w:t xml:space="preserve">Deliberation and stability in newcomb problems and pseudo-newcomb problems</w:t>
      </w:r>
      <w:r>
        <w:t xml:space="preserve">.</w:t>
      </w:r>
    </w:p>
    <w:bookmarkEnd w:id="336"/>
    <w:bookmarkStart w:id="337" w:name="ref-Joyce1999"/>
    <w:p>
      <w:pPr>
        <w:pStyle w:val="Bibliography"/>
      </w:pPr>
      <w:r>
        <w:t xml:space="preserve">Joyce, James M. (1999).</w:t>
      </w:r>
      <w:r>
        <w:t xml:space="preserve"> </w:t>
      </w:r>
      <w:r>
        <w:rPr>
          <w:iCs/>
          <w:i/>
        </w:rPr>
        <w:t xml:space="preserve">The foundations of causal decision theory</w:t>
      </w:r>
      <w:r>
        <w:t xml:space="preserve">. Cambridge University Press.</w:t>
      </w:r>
    </w:p>
    <w:bookmarkEnd w:id="337"/>
    <w:bookmarkStart w:id="338" w:name="ref-Kelly2010-KELPDA"/>
    <w:p>
      <w:pPr>
        <w:pStyle w:val="Bibliography"/>
      </w:pPr>
      <w:r>
        <w:t xml:space="preserve">Kelly, Thomas. (2010). Peer disagreement and higher order evidence. In Ted Warfield &amp; Richard Feldman (Eds.),</w:t>
      </w:r>
      <w:r>
        <w:t xml:space="preserve"> </w:t>
      </w:r>
      <w:r>
        <w:rPr>
          <w:iCs/>
          <w:i/>
        </w:rPr>
        <w:t xml:space="preserve">Disagreement</w:t>
      </w:r>
      <w:r>
        <w:t xml:space="preserve"> </w:t>
      </w:r>
      <w:r>
        <w:t xml:space="preserve">(111–174). Oxford University Press.</w:t>
      </w:r>
    </w:p>
    <w:bookmarkEnd w:id="338"/>
    <w:bookmarkStart w:id="340" w:name="ref-Keynes1936Foxwell"/>
    <w:p>
      <w:pPr>
        <w:pStyle w:val="Bibliography"/>
      </w:pPr>
      <w:r>
        <w:t xml:space="preserve">Keynes, John Maynard. (1936). Herbert somerton foxwell.</w:t>
      </w:r>
      <w:r>
        <w:t xml:space="preserve"> </w:t>
      </w:r>
      <w:r>
        <w:rPr>
          <w:iCs/>
          <w:i/>
        </w:rPr>
        <w:t xml:space="preserve">The Economic Journal</w:t>
      </w:r>
      <w:r>
        <w:t xml:space="preserve">,</w:t>
      </w:r>
      <w:r>
        <w:t xml:space="preserve"> </w:t>
      </w:r>
      <w:r>
        <w:rPr>
          <w:iCs/>
          <w:i/>
        </w:rPr>
        <w:t xml:space="preserve">46</w:t>
      </w:r>
      <w:r>
        <w:t xml:space="preserve">(184), 589–619. doi:</w:t>
      </w:r>
      <w:hyperlink r:id="rId339">
        <w:r>
          <w:rPr>
            <w:rStyle w:val="Hyperlink"/>
          </w:rPr>
          <w:t xml:space="preserve">10.2307/2224674</w:t>
        </w:r>
      </w:hyperlink>
    </w:p>
    <w:bookmarkEnd w:id="340"/>
    <w:bookmarkStart w:id="341" w:name="ref-Keynes1937"/>
    <w:p>
      <w:pPr>
        <w:pStyle w:val="Bibliography"/>
      </w:pPr>
      <w:r>
        <w:t xml:space="preserve">Keynes, John Maynard. (1937). The general theory of employment.</w:t>
      </w:r>
      <w:r>
        <w:t xml:space="preserve"> </w:t>
      </w:r>
      <w:r>
        <w:rPr>
          <w:iCs/>
          <w:i/>
        </w:rPr>
        <w:t xml:space="preserve">Quarterly Journal of Economics</w:t>
      </w:r>
      <w:r>
        <w:t xml:space="preserve">,</w:t>
      </w:r>
      <w:r>
        <w:t xml:space="preserve"> </w:t>
      </w:r>
      <w:r>
        <w:rPr>
          <w:iCs/>
          <w:i/>
        </w:rPr>
        <w:t xml:space="preserve">51</w:t>
      </w:r>
      <w:r>
        <w:t xml:space="preserve">(2), 209–223.</w:t>
      </w:r>
    </w:p>
    <w:bookmarkEnd w:id="341"/>
    <w:bookmarkStart w:id="343" w:name="ref-Kim2023"/>
    <w:p>
      <w:pPr>
        <w:pStyle w:val="Bibliography"/>
      </w:pPr>
      <w:r>
        <w:t xml:space="preserve">Kim, Brian. (2023). Pragmatic infallibilism.</w:t>
      </w:r>
      <w:r>
        <w:t xml:space="preserve"> </w:t>
      </w:r>
      <w:r>
        <w:rPr>
          <w:iCs/>
          <w:i/>
        </w:rPr>
        <w:t xml:space="preserve">Asian Journal of Philosophy</w:t>
      </w:r>
      <w:r>
        <w:t xml:space="preserve">,</w:t>
      </w:r>
      <w:r>
        <w:t xml:space="preserve"> </w:t>
      </w:r>
      <w:r>
        <w:rPr>
          <w:iCs/>
          <w:i/>
        </w:rPr>
        <w:t xml:space="preserve">2</w:t>
      </w:r>
      <w:r>
        <w:t xml:space="preserve">(2), 1–22. doi:</w:t>
      </w:r>
      <w:hyperlink r:id="rId342">
        <w:r>
          <w:rPr>
            <w:rStyle w:val="Hyperlink"/>
          </w:rPr>
          <w:t xml:space="preserve">10.1007/s44204-023-00097-9</w:t>
        </w:r>
      </w:hyperlink>
    </w:p>
    <w:bookmarkEnd w:id="343"/>
    <w:bookmarkStart w:id="345" w:name="ref-Kimball2015"/>
    <w:p>
      <w:pPr>
        <w:pStyle w:val="Bibliography"/>
      </w:pPr>
      <w:r>
        <w:t xml:space="preserve">Kimball, Miles. (2015). Cognitive economics.</w:t>
      </w:r>
      <w:r>
        <w:t xml:space="preserve"> </w:t>
      </w:r>
      <w:r>
        <w:rPr>
          <w:iCs/>
          <w:i/>
        </w:rPr>
        <w:t xml:space="preserve">The Japanese Economic Review</w:t>
      </w:r>
      <w:r>
        <w:t xml:space="preserve">,</w:t>
      </w:r>
      <w:r>
        <w:t xml:space="preserve"> </w:t>
      </w:r>
      <w:r>
        <w:rPr>
          <w:iCs/>
          <w:i/>
        </w:rPr>
        <w:t xml:space="preserve">66</w:t>
      </w:r>
      <w:r>
        <w:t xml:space="preserve">(2), 167–181. doi:</w:t>
      </w:r>
      <w:hyperlink r:id="rId344">
        <w:r>
          <w:rPr>
            <w:rStyle w:val="Hyperlink"/>
          </w:rPr>
          <w:t xml:space="preserve">10.1111/jere.12070</w:t>
        </w:r>
      </w:hyperlink>
    </w:p>
    <w:bookmarkEnd w:id="345"/>
    <w:bookmarkStart w:id="346" w:name="ref-Knight1921"/>
    <w:p>
      <w:pPr>
        <w:pStyle w:val="Bibliography"/>
      </w:pPr>
      <w:r>
        <w:t xml:space="preserve">Knight, Frank. (1921).</w:t>
      </w:r>
      <w:r>
        <w:t xml:space="preserve"> </w:t>
      </w:r>
      <w:r>
        <w:rPr>
          <w:iCs/>
          <w:i/>
        </w:rPr>
        <w:t xml:space="preserve">Risk, uncertainty and profit</w:t>
      </w:r>
      <w:r>
        <w:t xml:space="preserve">. University of Chicago Press.</w:t>
      </w:r>
    </w:p>
    <w:bookmarkEnd w:id="346"/>
    <w:bookmarkStart w:id="348" w:name="ref-KohlbergMertens1986"/>
    <w:p>
      <w:pPr>
        <w:pStyle w:val="Bibliography"/>
      </w:pPr>
      <w:r>
        <w:t xml:space="preserve">Kohlberg, Elon, and Jean-Francois Mertens. (1986). On the strategic stability of equilibria.</w:t>
      </w:r>
      <w:r>
        <w:t xml:space="preserve"> </w:t>
      </w:r>
      <w:r>
        <w:rPr>
          <w:iCs/>
          <w:i/>
        </w:rPr>
        <w:t xml:space="preserve">Econometrica</w:t>
      </w:r>
      <w:r>
        <w:t xml:space="preserve">,</w:t>
      </w:r>
      <w:r>
        <w:t xml:space="preserve"> </w:t>
      </w:r>
      <w:r>
        <w:rPr>
          <w:iCs/>
          <w:i/>
        </w:rPr>
        <w:t xml:space="preserve">54</w:t>
      </w:r>
      <w:r>
        <w:t xml:space="preserve">(5), 1003–1037. doi:</w:t>
      </w:r>
      <w:hyperlink r:id="rId347">
        <w:r>
          <w:rPr>
            <w:rStyle w:val="Hyperlink"/>
          </w:rPr>
          <w:t xml:space="preserve">10.2307/1912320</w:t>
        </w:r>
      </w:hyperlink>
    </w:p>
    <w:bookmarkEnd w:id="348"/>
    <w:bookmarkStart w:id="349" w:name="ref-Kratzer2012"/>
    <w:p>
      <w:pPr>
        <w:pStyle w:val="Bibliography"/>
      </w:pPr>
      <w:r>
        <w:t xml:space="preserve">Kratzer, Angelika. (2012).</w:t>
      </w:r>
      <w:r>
        <w:t xml:space="preserve"> </w:t>
      </w:r>
      <w:r>
        <w:rPr>
          <w:iCs/>
          <w:i/>
        </w:rPr>
        <w:t xml:space="preserve">Modals and conditionals</w:t>
      </w:r>
      <w:r>
        <w:t xml:space="preserve">. Oxford University Press.</w:t>
      </w:r>
    </w:p>
    <w:bookmarkEnd w:id="349"/>
    <w:bookmarkStart w:id="350" w:name="ref-KripkeNozick"/>
    <w:p>
      <w:pPr>
        <w:pStyle w:val="Bibliography"/>
      </w:pPr>
      <w:r>
        <w:t xml:space="preserve">Kripke, Saul. (2011). Nozick on knowledge. In</w:t>
      </w:r>
      <w:r>
        <w:t xml:space="preserve"> </w:t>
      </w:r>
      <w:r>
        <w:rPr>
          <w:iCs/>
          <w:i/>
        </w:rPr>
        <w:t xml:space="preserve">Philosophical troubles: Collected papers, volume 1</w:t>
      </w:r>
      <w:r>
        <w:t xml:space="preserve"> </w:t>
      </w:r>
      <w:r>
        <w:t xml:space="preserve">(161–224).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50"/>
    <w:bookmarkStart w:id="352" w:name="ref-Kroedel2012"/>
    <w:p>
      <w:pPr>
        <w:pStyle w:val="Bibliography"/>
      </w:pPr>
      <w:r>
        <w:t xml:space="preserve">Kroedel, Thomas. (2012). The lottery paradox, epistemic justification and permissibility.</w:t>
      </w:r>
      <w:r>
        <w:t xml:space="preserve"> </w:t>
      </w:r>
      <w:r>
        <w:rPr>
          <w:iCs/>
          <w:i/>
        </w:rPr>
        <w:t xml:space="preserve">Analysis</w:t>
      </w:r>
      <w:r>
        <w:t xml:space="preserve">,</w:t>
      </w:r>
      <w:r>
        <w:t xml:space="preserve"> </w:t>
      </w:r>
      <w:r>
        <w:rPr>
          <w:iCs/>
          <w:i/>
        </w:rPr>
        <w:t xml:space="preserve">72</w:t>
      </w:r>
      <w:r>
        <w:t xml:space="preserve">(1), 57–60. doi:</w:t>
      </w:r>
      <w:hyperlink r:id="rId351">
        <w:r>
          <w:rPr>
            <w:rStyle w:val="Hyperlink"/>
          </w:rPr>
          <w:t xml:space="preserve">10.1093/analys/anr129</w:t>
        </w:r>
      </w:hyperlink>
    </w:p>
    <w:bookmarkEnd w:id="352"/>
    <w:bookmarkStart w:id="354" w:name="ref-Lasonen-Aarnio2010b"/>
    <w:p>
      <w:pPr>
        <w:pStyle w:val="Bibliography"/>
      </w:pPr>
      <w:r>
        <w:t xml:space="preserve">Lasonen-Aarnio, Maria. (2010). Unreasonable knowledge.</w:t>
      </w:r>
      <w:r>
        <w:t xml:space="preserve"> </w:t>
      </w:r>
      <w:r>
        <w:rPr>
          <w:iCs/>
          <w:i/>
        </w:rPr>
        <w:t xml:space="preserve">Philosophical Perspectives</w:t>
      </w:r>
      <w:r>
        <w:t xml:space="preserve">,</w:t>
      </w:r>
      <w:r>
        <w:t xml:space="preserve"> </w:t>
      </w:r>
      <w:r>
        <w:rPr>
          <w:iCs/>
          <w:i/>
        </w:rPr>
        <w:t xml:space="preserve">24</w:t>
      </w:r>
      <w:r>
        <w:t xml:space="preserve">, 1–21. doi:</w:t>
      </w:r>
      <w:hyperlink r:id="rId353">
        <w:r>
          <w:rPr>
            <w:rStyle w:val="Hyperlink"/>
          </w:rPr>
          <w:t xml:space="preserve">10.1111/j.1520-8583.2010.00183.x</w:t>
        </w:r>
      </w:hyperlink>
    </w:p>
    <w:bookmarkEnd w:id="354"/>
    <w:bookmarkStart w:id="356" w:name="ref-Lasonen-Aarnio2014"/>
    <w:p>
      <w:pPr>
        <w:pStyle w:val="Bibliography"/>
      </w:pPr>
      <w:r>
        <w:t xml:space="preserve">Lasonen-Aarnio, Maria. (2014). Higher-order evidence and the limits of defeat.</w:t>
      </w:r>
      <w:r>
        <w:t xml:space="preserve"> </w:t>
      </w:r>
      <w:r>
        <w:rPr>
          <w:iCs/>
          <w:i/>
        </w:rPr>
        <w:t xml:space="preserve">Philosophy and Phenomenological Research</w:t>
      </w:r>
      <w:r>
        <w:t xml:space="preserve">,</w:t>
      </w:r>
      <w:r>
        <w:t xml:space="preserve"> </w:t>
      </w:r>
      <w:r>
        <w:rPr>
          <w:iCs/>
          <w:i/>
        </w:rPr>
        <w:t xml:space="preserve">88</w:t>
      </w:r>
      <w:r>
        <w:t xml:space="preserve">(2), 314–345. doi:</w:t>
      </w:r>
      <w:hyperlink r:id="rId355">
        <w:r>
          <w:rPr>
            <w:rStyle w:val="Hyperlink"/>
          </w:rPr>
          <w:t xml:space="preserve">10.1111/phpr.12090</w:t>
        </w:r>
      </w:hyperlink>
    </w:p>
    <w:bookmarkEnd w:id="356"/>
    <w:bookmarkStart w:id="358" w:name="ref-Lederman2018"/>
    <w:p>
      <w:pPr>
        <w:pStyle w:val="Bibliography"/>
      </w:pPr>
      <w:r>
        <w:t xml:space="preserve">Lederman, Harvey. (2018). Two paradoxes of common knowledge: Coordinated attack and electronic mail.</w:t>
      </w:r>
      <w:r>
        <w:t xml:space="preserve"> </w:t>
      </w:r>
      <w:r>
        <w:rPr>
          <w:iCs/>
          <w:i/>
        </w:rPr>
        <w:t xml:space="preserve">No</w:t>
      </w:r>
      <w:r>
        <w:rPr>
          <w:iCs/>
          <w:i/>
        </w:rPr>
        <w:t xml:space="preserve">û</w:t>
      </w:r>
      <w:r>
        <w:rPr>
          <w:iCs/>
          <w:i/>
        </w:rPr>
        <w:t xml:space="preserve">s</w:t>
      </w:r>
      <w:r>
        <w:t xml:space="preserve">,</w:t>
      </w:r>
      <w:r>
        <w:t xml:space="preserve"> </w:t>
      </w:r>
      <w:r>
        <w:rPr>
          <w:iCs/>
          <w:i/>
        </w:rPr>
        <w:t xml:space="preserve">52</w:t>
      </w:r>
      <w:r>
        <w:t xml:space="preserve">(4), 921–945. doi:</w:t>
      </w:r>
      <w:hyperlink r:id="rId357">
        <w:r>
          <w:rPr>
            <w:rStyle w:val="Hyperlink"/>
          </w:rPr>
          <w:t xml:space="preserve">10.1111/nous.12186</w:t>
        </w:r>
      </w:hyperlink>
    </w:p>
    <w:bookmarkEnd w:id="358"/>
    <w:bookmarkStart w:id="360" w:name="ref-Lee2017b"/>
    <w:p>
      <w:pPr>
        <w:pStyle w:val="Bibliography"/>
      </w:pPr>
      <w:r>
        <w:t xml:space="preserve">Lee, Matthew. (2017). On the arbitrariness objection to the threshold view.</w:t>
      </w:r>
      <w:r>
        <w:t xml:space="preserve"> </w:t>
      </w:r>
      <w:r>
        <w:rPr>
          <w:iCs/>
          <w:i/>
        </w:rPr>
        <w:t xml:space="preserve">Dialogue</w:t>
      </w:r>
      <w:r>
        <w:t xml:space="preserve">,</w:t>
      </w:r>
      <w:r>
        <w:t xml:space="preserve"> </w:t>
      </w:r>
      <w:r>
        <w:rPr>
          <w:iCs/>
          <w:i/>
        </w:rPr>
        <w:t xml:space="preserve">56</w:t>
      </w:r>
      <w:r>
        <w:t xml:space="preserve">(1), 143–158. doi:</w:t>
      </w:r>
      <w:hyperlink r:id="rId359">
        <w:r>
          <w:rPr>
            <w:rStyle w:val="Hyperlink"/>
          </w:rPr>
          <w:t xml:space="preserve">10.1017/S0012217317000154</w:t>
        </w:r>
      </w:hyperlink>
    </w:p>
    <w:bookmarkEnd w:id="360"/>
    <w:bookmarkStart w:id="362" w:name="ref-Lee2017a"/>
    <w:p>
      <w:pPr>
        <w:pStyle w:val="Bibliography"/>
      </w:pPr>
      <w:r>
        <w:t xml:space="preserve">Lee, Matthew Brandon. (2017). Credence and correctness: In defense of credal reductivism.</w:t>
      </w:r>
      <w:r>
        <w:t xml:space="preserve"> </w:t>
      </w:r>
      <w:r>
        <w:rPr>
          <w:iCs/>
          <w:i/>
        </w:rPr>
        <w:t xml:space="preserve">Philosophical Papers</w:t>
      </w:r>
      <w:r>
        <w:t xml:space="preserve">,</w:t>
      </w:r>
      <w:r>
        <w:t xml:space="preserve"> </w:t>
      </w:r>
      <w:r>
        <w:rPr>
          <w:iCs/>
          <w:i/>
        </w:rPr>
        <w:t xml:space="preserve">46</w:t>
      </w:r>
      <w:r>
        <w:t xml:space="preserve">(2), 273–296. doi:</w:t>
      </w:r>
      <w:hyperlink r:id="rId361">
        <w:r>
          <w:rPr>
            <w:rStyle w:val="Hyperlink"/>
          </w:rPr>
          <w:t xml:space="preserve">10.1080/05568641.2017.1364142</w:t>
        </w:r>
      </w:hyperlink>
    </w:p>
    <w:bookmarkEnd w:id="362"/>
    <w:bookmarkStart w:id="363" w:name="ref-Lewis1969a"/>
    <w:p>
      <w:pPr>
        <w:pStyle w:val="Bibliography"/>
      </w:pPr>
      <w:r>
        <w:t xml:space="preserve">Lewis, David. (1969).</w:t>
      </w:r>
      <w:r>
        <w:t xml:space="preserve"> </w:t>
      </w:r>
      <w:r>
        <w:rPr>
          <w:iCs/>
          <w:i/>
        </w:rPr>
        <w:t xml:space="preserve">Convention: A philosophical study</w:t>
      </w:r>
      <w:r>
        <w:t xml:space="preserve">. Harvard University Press.</w:t>
      </w:r>
    </w:p>
    <w:bookmarkEnd w:id="363"/>
    <w:bookmarkStart w:id="365" w:name="ref-Lewis1976b"/>
    <w:p>
      <w:pPr>
        <w:pStyle w:val="Bibliography"/>
      </w:pPr>
      <w:r>
        <w:t xml:space="preserve">Lewis, David. (1976). Probabilities of conditionals and conditional probabilities.</w:t>
      </w:r>
      <w:r>
        <w:t xml:space="preserve"> </w:t>
      </w:r>
      <w:r>
        <w:rPr>
          <w:iCs/>
          <w:i/>
        </w:rPr>
        <w:t xml:space="preserve">Philosophical Review</w:t>
      </w:r>
      <w:r>
        <w:t xml:space="preserve">,</w:t>
      </w:r>
      <w:r>
        <w:t xml:space="preserve"> </w:t>
      </w:r>
      <w:r>
        <w:rPr>
          <w:iCs/>
          <w:i/>
        </w:rPr>
        <w:t xml:space="preserve">85</w:t>
      </w:r>
      <w:r>
        <w:t xml:space="preserve">(3), 297–315. doi:</w:t>
      </w:r>
      <w:hyperlink r:id="rId364">
        <w:r>
          <w:rPr>
            <w:rStyle w:val="Hyperlink"/>
          </w:rPr>
          <w:t xml:space="preserve">10.2307/2184045</w:t>
        </w:r>
      </w:hyperlink>
    </w:p>
    <w:bookmarkEnd w:id="365"/>
    <w:bookmarkStart w:id="367" w:name="ref-Lewis1982c"/>
    <w:p>
      <w:pPr>
        <w:pStyle w:val="Bibliography"/>
      </w:pPr>
      <w:r>
        <w:t xml:space="preserve">Lewis, David. (1982). Logic for equivocators.</w:t>
      </w:r>
      <w:r>
        <w:t xml:space="preserve"> </w:t>
      </w:r>
      <w:r>
        <w:rPr>
          <w:iCs/>
          <w:i/>
        </w:rPr>
        <w:t xml:space="preserve">No</w:t>
      </w:r>
      <w:r>
        <w:rPr>
          <w:iCs/>
          <w:i/>
        </w:rPr>
        <w:t xml:space="preserve">û</w:t>
      </w:r>
      <w:r>
        <w:rPr>
          <w:iCs/>
          <w:i/>
        </w:rPr>
        <w:t xml:space="preserve">s</w:t>
      </w:r>
      <w:r>
        <w:t xml:space="preserve">,</w:t>
      </w:r>
      <w:r>
        <w:t xml:space="preserve"> </w:t>
      </w:r>
      <w:r>
        <w:rPr>
          <w:iCs/>
          <w:i/>
        </w:rPr>
        <w:t xml:space="preserve">16</w:t>
      </w:r>
      <w:r>
        <w:t xml:space="preserve">(3), 431–441. doi:</w:t>
      </w:r>
      <w:hyperlink r:id="rId366">
        <w:r>
          <w:rPr>
            <w:rStyle w:val="Hyperlink"/>
          </w:rPr>
          <w:t xml:space="preserve">10.1017/cbo9780511625237.009</w:t>
        </w:r>
      </w:hyperlink>
    </w:p>
    <w:bookmarkEnd w:id="367"/>
    <w:bookmarkStart w:id="369" w:name="ref-Lewis1986h"/>
    <w:p>
      <w:pPr>
        <w:pStyle w:val="Bibliography"/>
      </w:pPr>
      <w:r>
        <w:t xml:space="preserve">Lewis, David. (1986). Probabilities of conditionals and conditional probabilities</w:t>
      </w:r>
      <w:r>
        <w:t xml:space="preserve"> </w:t>
      </w:r>
      <w:r>
        <w:t xml:space="preserve">II</w:t>
      </w:r>
      <w:r>
        <w:t xml:space="preserve">.</w:t>
      </w:r>
      <w:r>
        <w:t xml:space="preserve"> </w:t>
      </w:r>
      <w:r>
        <w:rPr>
          <w:iCs/>
          <w:i/>
        </w:rPr>
        <w:t xml:space="preserve">Philosophical Review</w:t>
      </w:r>
      <w:r>
        <w:t xml:space="preserve">,</w:t>
      </w:r>
      <w:r>
        <w:t xml:space="preserve"> </w:t>
      </w:r>
      <w:r>
        <w:rPr>
          <w:iCs/>
          <w:i/>
        </w:rPr>
        <w:t xml:space="preserve">95</w:t>
      </w:r>
      <w:r>
        <w:t xml:space="preserve">(4), 581–589. doi:</w:t>
      </w:r>
      <w:hyperlink r:id="rId368">
        <w:r>
          <w:rPr>
            <w:rStyle w:val="Hyperlink"/>
          </w:rPr>
          <w:t xml:space="preserve">10.2307/2185051</w:t>
        </w:r>
      </w:hyperlink>
    </w:p>
    <w:bookmarkEnd w:id="369"/>
    <w:bookmarkStart w:id="371" w:name="ref-Lewis1988"/>
    <w:p>
      <w:pPr>
        <w:pStyle w:val="Bibliography"/>
      </w:pPr>
      <w:r>
        <w:t xml:space="preserve">Lewis, David. (1988). Desire as belief.</w:t>
      </w:r>
      <w:r>
        <w:t xml:space="preserve"> </w:t>
      </w:r>
      <w:r>
        <w:rPr>
          <w:iCs/>
          <w:i/>
        </w:rPr>
        <w:t xml:space="preserve">Mind</w:t>
      </w:r>
      <w:r>
        <w:t xml:space="preserve">,</w:t>
      </w:r>
      <w:r>
        <w:t xml:space="preserve"> </w:t>
      </w:r>
      <w:r>
        <w:rPr>
          <w:iCs/>
          <w:i/>
        </w:rPr>
        <w:t xml:space="preserve">97</w:t>
      </w:r>
      <w:r>
        <w:t xml:space="preserve">(387), 323–332. doi:</w:t>
      </w:r>
      <w:hyperlink r:id="rId370">
        <w:r>
          <w:rPr>
            <w:rStyle w:val="Hyperlink"/>
          </w:rPr>
          <w:t xml:space="preserve">10.1093/mind/xcvii.387.323</w:t>
        </w:r>
      </w:hyperlink>
    </w:p>
    <w:bookmarkEnd w:id="371"/>
    <w:bookmarkStart w:id="373" w:name="ref-Lewis1996"/>
    <w:p>
      <w:pPr>
        <w:pStyle w:val="Bibliography"/>
      </w:pPr>
      <w:r>
        <w:t xml:space="preserve">Lewis, David. (1996). Desire as belief</w:t>
      </w:r>
      <w:r>
        <w:t xml:space="preserve"> </w:t>
      </w:r>
      <w:r>
        <w:t xml:space="preserve">II</w:t>
      </w:r>
      <w:r>
        <w:t xml:space="preserve">.</w:t>
      </w:r>
      <w:r>
        <w:t xml:space="preserve"> </w:t>
      </w:r>
      <w:r>
        <w:rPr>
          <w:iCs/>
          <w:i/>
        </w:rPr>
        <w:t xml:space="preserve">Mind</w:t>
      </w:r>
      <w:r>
        <w:t xml:space="preserve">,</w:t>
      </w:r>
      <w:r>
        <w:t xml:space="preserve"> </w:t>
      </w:r>
      <w:r>
        <w:rPr>
          <w:iCs/>
          <w:i/>
        </w:rPr>
        <w:t xml:space="preserve">105</w:t>
      </w:r>
      <w:r>
        <w:t xml:space="preserve">(418), 303–313. doi:</w:t>
      </w:r>
      <w:hyperlink r:id="rId372">
        <w:r>
          <w:rPr>
            <w:rStyle w:val="Hyperlink"/>
          </w:rPr>
          <w:t xml:space="preserve">10.1093/mind/105.418.303</w:t>
        </w:r>
      </w:hyperlink>
    </w:p>
    <w:bookmarkEnd w:id="373"/>
    <w:bookmarkStart w:id="374" w:name="ref-Lewis2004a"/>
    <w:p>
      <w:pPr>
        <w:pStyle w:val="Bibliography"/>
      </w:pPr>
      <w:r>
        <w:t xml:space="preserve">Lewis, David. (2004). Causation as influence. In John Collins, Ned Hall, &amp; L. A. Paul (Eds.),</w:t>
      </w:r>
      <w:r>
        <w:t xml:space="preserve"> </w:t>
      </w:r>
      <w:r>
        <w:rPr>
          <w:iCs/>
          <w:i/>
        </w:rPr>
        <w:t xml:space="preserve">Causation and counterfactuals</w:t>
      </w:r>
      <w:r>
        <w:t xml:space="preserve"> </w:t>
      </w:r>
      <w:r>
        <w:t xml:space="preserve">(75–106).</w:t>
      </w:r>
      <w:r>
        <w:t xml:space="preserve"> </w:t>
      </w:r>
      <w:r>
        <w:t xml:space="preserve">MIT</w:t>
      </w:r>
      <w:r>
        <w:t xml:space="preserve"> </w:t>
      </w:r>
      <w:r>
        <w:t xml:space="preserve">Press.</w:t>
      </w:r>
    </w:p>
    <w:bookmarkEnd w:id="374"/>
    <w:bookmarkStart w:id="376" w:name="ref-LipseyLancaster"/>
    <w:p>
      <w:pPr>
        <w:pStyle w:val="Bibliography"/>
      </w:pPr>
      <w:r>
        <w:t xml:space="preserve">Lipsey, R. G., and Kelvin Lancaster. (1956-1957). The general theory of second best.</w:t>
      </w:r>
      <w:r>
        <w:t xml:space="preserve"> </w:t>
      </w:r>
      <w:r>
        <w:rPr>
          <w:iCs/>
          <w:i/>
        </w:rPr>
        <w:t xml:space="preserve">Review of Economic Studies</w:t>
      </w:r>
      <w:r>
        <w:t xml:space="preserve">,</w:t>
      </w:r>
      <w:r>
        <w:t xml:space="preserve"> </w:t>
      </w:r>
      <w:r>
        <w:rPr>
          <w:iCs/>
          <w:i/>
        </w:rPr>
        <w:t xml:space="preserve">24</w:t>
      </w:r>
      <w:r>
        <w:t xml:space="preserve">(1), 11–32. doi:</w:t>
      </w:r>
      <w:hyperlink r:id="rId375">
        <w:r>
          <w:rPr>
            <w:rStyle w:val="Hyperlink"/>
          </w:rPr>
          <w:t xml:space="preserve">10.2307/2296233</w:t>
        </w:r>
      </w:hyperlink>
    </w:p>
    <w:bookmarkEnd w:id="376"/>
    <w:bookmarkStart w:id="378" w:name="ref-Littlejohn2015"/>
    <w:p>
      <w:pPr>
        <w:pStyle w:val="Bibliography"/>
      </w:pPr>
      <w:r>
        <w:t xml:space="preserve">Littlejohn, Clayton. (2018). Stop making sense? On a puzzle about rationality.</w:t>
      </w:r>
      <w:r>
        <w:t xml:space="preserve"> </w:t>
      </w:r>
      <w:r>
        <w:rPr>
          <w:iCs/>
          <w:i/>
        </w:rPr>
        <w:t xml:space="preserve">Philosophy and Phenomenological Research</w:t>
      </w:r>
      <w:r>
        <w:t xml:space="preserve">,</w:t>
      </w:r>
      <w:r>
        <w:t xml:space="preserve"> </w:t>
      </w:r>
      <w:r>
        <w:rPr>
          <w:iCs/>
          <w:i/>
        </w:rPr>
        <w:t xml:space="preserve">96</w:t>
      </w:r>
      <w:r>
        <w:t xml:space="preserve">(2), 257–272. doi:</w:t>
      </w:r>
      <w:hyperlink r:id="rId377">
        <w:r>
          <w:rPr>
            <w:rStyle w:val="Hyperlink"/>
          </w:rPr>
          <w:t xml:space="preserve">10.1111/phpr.12271</w:t>
        </w:r>
      </w:hyperlink>
    </w:p>
    <w:bookmarkEnd w:id="378"/>
    <w:bookmarkStart w:id="379" w:name="ref-MacFarlane2005-Knowledge"/>
    <w:p>
      <w:pPr>
        <w:pStyle w:val="Bibliography"/>
      </w:pPr>
      <w:r>
        <w:t xml:space="preserve">MacFarlane, John. (2005). The assessment sensitivity of knowledge attributions.</w:t>
      </w:r>
      <w:r>
        <w:t xml:space="preserve"> </w:t>
      </w:r>
      <w:r>
        <w:rPr>
          <w:iCs/>
          <w:i/>
        </w:rPr>
        <w:t xml:space="preserve">Oxford Studies in Epistemology</w:t>
      </w:r>
      <w:r>
        <w:t xml:space="preserve">,</w:t>
      </w:r>
      <w:r>
        <w:t xml:space="preserve"> </w:t>
      </w:r>
      <w:r>
        <w:rPr>
          <w:iCs/>
          <w:i/>
        </w:rPr>
        <w:t xml:space="preserve">1</w:t>
      </w:r>
      <w:r>
        <w:t xml:space="preserve">, 197–233.</w:t>
      </w:r>
    </w:p>
    <w:bookmarkEnd w:id="379"/>
    <w:bookmarkStart w:id="381" w:name="ref-MachamerEtAl2000"/>
    <w:p>
      <w:pPr>
        <w:pStyle w:val="Bibliography"/>
      </w:pPr>
      <w:r>
        <w:t xml:space="preserve">Machamer, Peter, Lindley Darden, and Carl F. Craver. (2000). Thinking about mechanisms.</w:t>
      </w:r>
      <w:r>
        <w:t xml:space="preserve"> </w:t>
      </w:r>
      <w:r>
        <w:rPr>
          <w:iCs/>
          <w:i/>
        </w:rPr>
        <w:t xml:space="preserve">Philosophy of Science</w:t>
      </w:r>
      <w:r>
        <w:t xml:space="preserve">,</w:t>
      </w:r>
      <w:r>
        <w:t xml:space="preserve"> </w:t>
      </w:r>
      <w:r>
        <w:rPr>
          <w:iCs/>
          <w:i/>
        </w:rPr>
        <w:t xml:space="preserve">67</w:t>
      </w:r>
      <w:r>
        <w:t xml:space="preserve">(1), 1–25. doi:</w:t>
      </w:r>
      <w:hyperlink r:id="rId380">
        <w:r>
          <w:rPr>
            <w:rStyle w:val="Hyperlink"/>
          </w:rPr>
          <w:t xml:space="preserve">10.1086/392759</w:t>
        </w:r>
      </w:hyperlink>
    </w:p>
    <w:bookmarkEnd w:id="381"/>
    <w:bookmarkStart w:id="383" w:name="ref-Maher1996"/>
    <w:p>
      <w:pPr>
        <w:pStyle w:val="Bibliography"/>
      </w:pPr>
      <w:r>
        <w:t xml:space="preserve">Maher, Patrick. (1996). Subjective and objective confirmation.</w:t>
      </w:r>
      <w:r>
        <w:t xml:space="preserve"> </w:t>
      </w:r>
      <w:r>
        <w:rPr>
          <w:iCs/>
          <w:i/>
        </w:rPr>
        <w:t xml:space="preserve">Philosophy of Science</w:t>
      </w:r>
      <w:r>
        <w:t xml:space="preserve">,</w:t>
      </w:r>
      <w:r>
        <w:t xml:space="preserve"> </w:t>
      </w:r>
      <w:r>
        <w:rPr>
          <w:iCs/>
          <w:i/>
        </w:rPr>
        <w:t xml:space="preserve">63</w:t>
      </w:r>
      <w:r>
        <w:t xml:space="preserve">(2), 149–174. doi:</w:t>
      </w:r>
      <w:hyperlink r:id="rId382">
        <w:r>
          <w:rPr>
            <w:rStyle w:val="Hyperlink"/>
          </w:rPr>
          <w:t xml:space="preserve">10.1086/289906</w:t>
        </w:r>
      </w:hyperlink>
    </w:p>
    <w:bookmarkEnd w:id="383"/>
    <w:bookmarkStart w:id="384" w:name="ref-sep-abilities"/>
    <w:p>
      <w:pPr>
        <w:pStyle w:val="Bibliography"/>
      </w:pPr>
      <w:r>
        <w:t xml:space="preserve">Maier, John. (2022).</w:t>
      </w:r>
      <w:r>
        <w:t xml:space="preserve"> </w:t>
      </w:r>
      <w:r>
        <w:t xml:space="preserve">Abilities</w:t>
      </w:r>
      <w:r>
        <w:t xml:space="preserve">. In Edward N. Zalta &amp; Uri Nodelman (Eds.),</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F</w:t>
      </w:r>
      <w:r>
        <w:t xml:space="preserve">all 2022). Metaphysics Research Lab, Stanford University.</w:t>
      </w:r>
    </w:p>
    <w:bookmarkEnd w:id="384"/>
    <w:bookmarkStart w:id="386" w:name="ref-MaitraWeatherson2010"/>
    <w:p>
      <w:pPr>
        <w:pStyle w:val="Bibliography"/>
      </w:pPr>
      <w:r>
        <w:t xml:space="preserve">Maitra, Ishani, and Brian Weatherson. (2010). Assertion, knowledge and action.</w:t>
      </w:r>
      <w:r>
        <w:t xml:space="preserve"> </w:t>
      </w:r>
      <w:r>
        <w:rPr>
          <w:iCs/>
          <w:i/>
        </w:rPr>
        <w:t xml:space="preserve">Philosophical Studies</w:t>
      </w:r>
      <w:r>
        <w:t xml:space="preserve">,</w:t>
      </w:r>
      <w:r>
        <w:t xml:space="preserve"> </w:t>
      </w:r>
      <w:r>
        <w:rPr>
          <w:iCs/>
          <w:i/>
        </w:rPr>
        <w:t xml:space="preserve">149</w:t>
      </w:r>
      <w:r>
        <w:t xml:space="preserve">(1), 99–118. doi:</w:t>
      </w:r>
      <w:hyperlink r:id="rId385">
        <w:r>
          <w:rPr>
            <w:rStyle w:val="Hyperlink"/>
          </w:rPr>
          <w:t xml:space="preserve">10.1007/s11098-010-9542-z</w:t>
        </w:r>
      </w:hyperlink>
    </w:p>
    <w:bookmarkEnd w:id="386"/>
    <w:bookmarkStart w:id="388" w:name="ref-MandelkernEtAl2017"/>
    <w:p>
      <w:pPr>
        <w:pStyle w:val="Bibliography"/>
      </w:pPr>
      <w:r>
        <w:t xml:space="preserve">Mandelkern, Matthew, Ginger Schultheis, and David Boylan. (2017). Agentive modals.</w:t>
      </w:r>
      <w:r>
        <w:t xml:space="preserve"> </w:t>
      </w:r>
      <w:r>
        <w:rPr>
          <w:iCs/>
          <w:i/>
        </w:rPr>
        <w:t xml:space="preserve">Philosophical Review</w:t>
      </w:r>
      <w:r>
        <w:t xml:space="preserve">,</w:t>
      </w:r>
      <w:r>
        <w:t xml:space="preserve"> </w:t>
      </w:r>
      <w:r>
        <w:rPr>
          <w:iCs/>
          <w:i/>
        </w:rPr>
        <w:t xml:space="preserve">126</w:t>
      </w:r>
      <w:r>
        <w:t xml:space="preserve">(3), 301–343. doi:</w:t>
      </w:r>
      <w:hyperlink r:id="rId387">
        <w:r>
          <w:rPr>
            <w:rStyle w:val="Hyperlink"/>
          </w:rPr>
          <w:t xml:space="preserve">10.1215/00318108-3878483</w:t>
        </w:r>
      </w:hyperlink>
    </w:p>
    <w:bookmarkEnd w:id="388"/>
    <w:bookmarkStart w:id="390" w:name="ref-ManganEtAl2010"/>
    <w:p>
      <w:pPr>
        <w:pStyle w:val="Bibliography"/>
      </w:pPr>
      <w:r>
        <w:t xml:space="preserve">Mangan, Jean, Amanda Hughes, and Kim Slack. (2010). Student finance, information and decision making.</w:t>
      </w:r>
      <w:r>
        <w:t xml:space="preserve"> </w:t>
      </w:r>
      <w:r>
        <w:rPr>
          <w:iCs/>
          <w:i/>
        </w:rPr>
        <w:t xml:space="preserve">Higher Education</w:t>
      </w:r>
      <w:r>
        <w:t xml:space="preserve">,</w:t>
      </w:r>
      <w:r>
        <w:t xml:space="preserve"> </w:t>
      </w:r>
      <w:r>
        <w:rPr>
          <w:iCs/>
          <w:i/>
        </w:rPr>
        <w:t xml:space="preserve">60</w:t>
      </w:r>
      <w:r>
        <w:t xml:space="preserve">(5), 459–472. doi:</w:t>
      </w:r>
      <w:hyperlink r:id="rId389">
        <w:r>
          <w:rPr>
            <w:rStyle w:val="Hyperlink"/>
          </w:rPr>
          <w:t xml:space="preserve">10.1007/s10734-010-9309-7</w:t>
        </w:r>
      </w:hyperlink>
    </w:p>
    <w:bookmarkEnd w:id="390"/>
    <w:bookmarkStart w:id="392" w:name="ref-Manski2017"/>
    <w:p>
      <w:pPr>
        <w:pStyle w:val="Bibliography"/>
      </w:pPr>
      <w:r>
        <w:t xml:space="preserve">Manski, Charles F. (2017). Optimize, satisfice, or choose without deliberation? A simple minimax-regret assessment.</w:t>
      </w:r>
      <w:r>
        <w:t xml:space="preserve"> </w:t>
      </w:r>
      <w:r>
        <w:rPr>
          <w:iCs/>
          <w:i/>
        </w:rPr>
        <w:t xml:space="preserve">Theory and Decision</w:t>
      </w:r>
      <w:r>
        <w:t xml:space="preserve">,</w:t>
      </w:r>
      <w:r>
        <w:t xml:space="preserve"> </w:t>
      </w:r>
      <w:r>
        <w:rPr>
          <w:iCs/>
          <w:i/>
        </w:rPr>
        <w:t xml:space="preserve">83</w:t>
      </w:r>
      <w:r>
        <w:t xml:space="preserve">(2), 155–173. doi:</w:t>
      </w:r>
      <w:hyperlink r:id="rId391">
        <w:r>
          <w:rPr>
            <w:rStyle w:val="Hyperlink"/>
          </w:rPr>
          <w:t xml:space="preserve">10.1007/s11238-017-9592-1</w:t>
        </w:r>
      </w:hyperlink>
    </w:p>
    <w:bookmarkEnd w:id="392"/>
    <w:bookmarkStart w:id="394" w:name="ref-McGrath2021"/>
    <w:p>
      <w:pPr>
        <w:pStyle w:val="Bibliography"/>
      </w:pPr>
      <w:r>
        <w:t xml:space="preserve">McGrath, Matthew. (2021). Being neutral: Agnosticism, inquiry and the suspension of judgment.</w:t>
      </w:r>
      <w:r>
        <w:t xml:space="preserve"> </w:t>
      </w:r>
      <w:r>
        <w:rPr>
          <w:iCs/>
          <w:i/>
        </w:rPr>
        <w:t xml:space="preserve">No</w:t>
      </w:r>
      <w:r>
        <w:rPr>
          <w:iCs/>
          <w:i/>
        </w:rPr>
        <w:t xml:space="preserve">û</w:t>
      </w:r>
      <w:r>
        <w:rPr>
          <w:iCs/>
          <w:i/>
        </w:rPr>
        <w:t xml:space="preserve">s</w:t>
      </w:r>
      <w:r>
        <w:t xml:space="preserve">,</w:t>
      </w:r>
      <w:r>
        <w:t xml:space="preserve"> </w:t>
      </w:r>
      <w:r>
        <w:rPr>
          <w:iCs/>
          <w:i/>
        </w:rPr>
        <w:t xml:space="preserve">55</w:t>
      </w:r>
      <w:r>
        <w:t xml:space="preserve">(2), 463–484. doi:</w:t>
      </w:r>
      <w:hyperlink r:id="rId393">
        <w:r>
          <w:rPr>
            <w:rStyle w:val="Hyperlink"/>
          </w:rPr>
          <w:t xml:space="preserve">10.1111/nous.12323</w:t>
        </w:r>
      </w:hyperlink>
    </w:p>
    <w:bookmarkEnd w:id="394"/>
    <w:bookmarkStart w:id="395" w:name="ref-McGrathKim2019"/>
    <w:p>
      <w:pPr>
        <w:pStyle w:val="Bibliography"/>
      </w:pPr>
      <w:r>
        <w:t xml:space="preserve">McGrath, Matthew, and Brian Kim. (2019). Introduction. In Brian Kim &amp; Matthew McGrath (Eds.),</w:t>
      </w:r>
      <w:r>
        <w:t xml:space="preserve"> </w:t>
      </w:r>
      <w:r>
        <w:rPr>
          <w:iCs/>
          <w:i/>
        </w:rPr>
        <w:t xml:space="preserve">Pragmatic encroachment in epistemology</w:t>
      </w:r>
      <w:r>
        <w:t xml:space="preserve"> </w:t>
      </w:r>
      <w:r>
        <w:t xml:space="preserve">(1–9). Routledge.</w:t>
      </w:r>
    </w:p>
    <w:bookmarkEnd w:id="395"/>
    <w:bookmarkStart w:id="396" w:name="ref-McKenna2024"/>
    <w:p>
      <w:pPr>
        <w:pStyle w:val="Bibliography"/>
      </w:pPr>
      <w:r>
        <w:t xml:space="preserve">McKenna, Robin. (forthcoming). Pragmatic encroachment and feminist epistemology. In Natalie Alana Ashton, Martin Kusch, Robin McKenna, &amp; Katharina Sodoma (Eds.),</w:t>
      </w:r>
      <w:r>
        <w:t xml:space="preserve"> </w:t>
      </w:r>
      <w:r>
        <w:rPr>
          <w:iCs/>
          <w:i/>
        </w:rPr>
        <w:t xml:space="preserve">Social epistemology and epistemic relativism</w:t>
      </w:r>
      <w:r>
        <w:t xml:space="preserve">. Routledge.</w:t>
      </w:r>
    </w:p>
    <w:bookmarkEnd w:id="396"/>
    <w:bookmarkStart w:id="397" w:name="ref-Melchior2019"/>
    <w:p>
      <w:pPr>
        <w:pStyle w:val="Bibliography"/>
      </w:pPr>
      <w:r>
        <w:t xml:space="preserve">Melchior, Guido. (2019).</w:t>
      </w:r>
      <w:r>
        <w:t xml:space="preserve"> </w:t>
      </w:r>
      <w:r>
        <w:rPr>
          <w:iCs/>
          <w:i/>
        </w:rPr>
        <w:t xml:space="preserve">Knowing and checking: An epistemological investigation</w:t>
      </w:r>
      <w:r>
        <w:t xml:space="preserve">. Routledge.</w:t>
      </w:r>
    </w:p>
    <w:bookmarkEnd w:id="397"/>
    <w:bookmarkStart w:id="398" w:name="ref-Mercier2020"/>
    <w:p>
      <w:pPr>
        <w:pStyle w:val="Bibliography"/>
      </w:pPr>
      <w:r>
        <w:t xml:space="preserve">Mercier, Hugo. (2020).</w:t>
      </w:r>
      <w:r>
        <w:t xml:space="preserve"> </w:t>
      </w:r>
      <w:r>
        <w:rPr>
          <w:iCs/>
          <w:i/>
        </w:rPr>
        <w:t xml:space="preserve">Not born yesterday: The science of who we trust and what we believe</w:t>
      </w:r>
      <w:r>
        <w:t xml:space="preserve">. Princeton University Press.</w:t>
      </w:r>
    </w:p>
    <w:bookmarkEnd w:id="398"/>
    <w:bookmarkStart w:id="400" w:name="ref-Nagel2010"/>
    <w:p>
      <w:pPr>
        <w:pStyle w:val="Bibliography"/>
      </w:pPr>
      <w:r>
        <w:t xml:space="preserve">Nagel, Jennifer. (2010). Epistemic anxiety and adaptive invariantism.</w:t>
      </w:r>
      <w:r>
        <w:t xml:space="preserve"> </w:t>
      </w:r>
      <w:r>
        <w:rPr>
          <w:iCs/>
          <w:i/>
        </w:rPr>
        <w:t xml:space="preserve">Philosophical Perspectives</w:t>
      </w:r>
      <w:r>
        <w:t xml:space="preserve">,</w:t>
      </w:r>
      <w:r>
        <w:t xml:space="preserve"> </w:t>
      </w:r>
      <w:r>
        <w:rPr>
          <w:iCs/>
          <w:i/>
        </w:rPr>
        <w:t xml:space="preserve">24</w:t>
      </w:r>
      <w:r>
        <w:t xml:space="preserve">(1), 407–435. doi:</w:t>
      </w:r>
      <w:hyperlink r:id="rId399">
        <w:r>
          <w:rPr>
            <w:rStyle w:val="Hyperlink"/>
          </w:rPr>
          <w:t xml:space="preserve">10.1111/j.1520-8583.2010.00198.x</w:t>
        </w:r>
      </w:hyperlink>
    </w:p>
    <w:bookmarkEnd w:id="400"/>
    <w:bookmarkStart w:id="402" w:name="ref-Nagel2013-Williamson"/>
    <w:p>
      <w:pPr>
        <w:pStyle w:val="Bibliography"/>
      </w:pPr>
      <w:r>
        <w:t xml:space="preserve">Nagel, Jennifer. (2013). Motivating williamson’s model gettier cases.</w:t>
      </w:r>
      <w:r>
        <w:t xml:space="preserve"> </w:t>
      </w:r>
      <w:r>
        <w:rPr>
          <w:iCs/>
          <w:i/>
        </w:rPr>
        <w:t xml:space="preserve">Inquiry</w:t>
      </w:r>
      <w:r>
        <w:t xml:space="preserve">,</w:t>
      </w:r>
      <w:r>
        <w:t xml:space="preserve"> </w:t>
      </w:r>
      <w:r>
        <w:rPr>
          <w:iCs/>
          <w:i/>
        </w:rPr>
        <w:t xml:space="preserve">56</w:t>
      </w:r>
      <w:r>
        <w:t xml:space="preserve">(1), 54–62. doi:</w:t>
      </w:r>
      <w:hyperlink r:id="rId401">
        <w:r>
          <w:rPr>
            <w:rStyle w:val="Hyperlink"/>
          </w:rPr>
          <w:t xml:space="preserve">10.1080/0020174X.2013.775014</w:t>
        </w:r>
      </w:hyperlink>
    </w:p>
    <w:bookmarkEnd w:id="402"/>
    <w:bookmarkStart w:id="403" w:name="ref-Nagel2014"/>
    <w:p>
      <w:pPr>
        <w:pStyle w:val="Bibliography"/>
      </w:pPr>
      <w:r>
        <w:t xml:space="preserve">Nagel, Jennifer. (2014).</w:t>
      </w:r>
      <w:r>
        <w:t xml:space="preserve"> </w:t>
      </w:r>
      <w:r>
        <w:rPr>
          <w:iCs/>
          <w:i/>
        </w:rPr>
        <w:t xml:space="preserve">Knowledge: A very short introduction</w:t>
      </w:r>
      <w:r>
        <w:t xml:space="preserve">. Oxford University Press.</w:t>
      </w:r>
    </w:p>
    <w:bookmarkEnd w:id="403"/>
    <w:bookmarkStart w:id="405" w:name="ref-Nair2019"/>
    <w:p>
      <w:pPr>
        <w:pStyle w:val="Bibliography"/>
      </w:pPr>
      <w:r>
        <w:t xml:space="preserve">Nair, Shyam. (2019). Must good reasoning satisfy cumulative transitivity?</w:t>
      </w:r>
      <w:r>
        <w:t xml:space="preserve"> </w:t>
      </w:r>
      <w:r>
        <w:rPr>
          <w:iCs/>
          <w:i/>
        </w:rPr>
        <w:t xml:space="preserve">Philosophy and Phenomenological Research</w:t>
      </w:r>
      <w:r>
        <w:t xml:space="preserve">,</w:t>
      </w:r>
      <w:r>
        <w:t xml:space="preserve"> </w:t>
      </w:r>
      <w:r>
        <w:rPr>
          <w:iCs/>
          <w:i/>
        </w:rPr>
        <w:t xml:space="preserve">98</w:t>
      </w:r>
      <w:r>
        <w:t xml:space="preserve">(1), 123–146. doi:</w:t>
      </w:r>
      <w:hyperlink r:id="rId404">
        <w:r>
          <w:rPr>
            <w:rStyle w:val="Hyperlink"/>
          </w:rPr>
          <w:t xml:space="preserve">10.1111/phpr.12431</w:t>
        </w:r>
      </w:hyperlink>
    </w:p>
    <w:bookmarkEnd w:id="405"/>
    <w:bookmarkStart w:id="407" w:name="ref-Neta2007"/>
    <w:p>
      <w:pPr>
        <w:pStyle w:val="Bibliography"/>
      </w:pPr>
      <w:r>
        <w:t xml:space="preserve">Neta, Ram. (2007). Anti-intellectualism and the knowledge-action principle.</w:t>
      </w:r>
      <w:r>
        <w:t xml:space="preserve"> </w:t>
      </w:r>
      <w:r>
        <w:rPr>
          <w:iCs/>
          <w:i/>
        </w:rPr>
        <w:t xml:space="preserve">Philosophy and Phenomenological Research</w:t>
      </w:r>
      <w:r>
        <w:t xml:space="preserve">,</w:t>
      </w:r>
      <w:r>
        <w:t xml:space="preserve"> </w:t>
      </w:r>
      <w:r>
        <w:rPr>
          <w:iCs/>
          <w:i/>
        </w:rPr>
        <w:t xml:space="preserve">75</w:t>
      </w:r>
      <w:r>
        <w:t xml:space="preserve">(1), 180–187. doi:</w:t>
      </w:r>
      <w:hyperlink r:id="rId406">
        <w:r>
          <w:rPr>
            <w:rStyle w:val="Hyperlink"/>
          </w:rPr>
          <w:t xml:space="preserve">10.1111/j.1933-1592.2007.00069.x</w:t>
        </w:r>
      </w:hyperlink>
    </w:p>
    <w:bookmarkEnd w:id="407"/>
    <w:bookmarkStart w:id="409" w:name="ref-NewmanEtAl2018"/>
    <w:p>
      <w:pPr>
        <w:pStyle w:val="Bibliography"/>
      </w:pPr>
      <w:r>
        <w:t xml:space="preserve">Newman, David B., Joanna Schug, Masaki Yuki, Junko Yamada, and John B. Nezlek. (2018). The negative consequences of maximizing in friendship selection.</w:t>
      </w:r>
      <w:r>
        <w:t xml:space="preserve"> </w:t>
      </w:r>
      <w:r>
        <w:rPr>
          <w:iCs/>
          <w:i/>
        </w:rPr>
        <w:t xml:space="preserve">Journal of Personality and Social Psychology</w:t>
      </w:r>
      <w:r>
        <w:t xml:space="preserve">,</w:t>
      </w:r>
      <w:r>
        <w:t xml:space="preserve"> </w:t>
      </w:r>
      <w:r>
        <w:rPr>
          <w:iCs/>
          <w:i/>
        </w:rPr>
        <w:t xml:space="preserve">114</w:t>
      </w:r>
      <w:r>
        <w:t xml:space="preserve">(5), 804–824. doi:</w:t>
      </w:r>
      <w:hyperlink r:id="rId408">
        <w:r>
          <w:rPr>
            <w:rStyle w:val="Hyperlink"/>
          </w:rPr>
          <w:t xml:space="preserve">10.1037/pspp0000141</w:t>
        </w:r>
      </w:hyperlink>
    </w:p>
    <w:bookmarkEnd w:id="409"/>
    <w:bookmarkStart w:id="411" w:name="ref-North2010"/>
    <w:p>
      <w:pPr>
        <w:pStyle w:val="Bibliography"/>
      </w:pPr>
      <w:r>
        <w:t xml:space="preserve">North, Jill. (2010). An empirical approach to symmetry and probability.</w:t>
      </w:r>
      <w:r>
        <w:t xml:space="preserve"> </w:t>
      </w:r>
      <w:r>
        <w:rPr>
          <w:iCs/>
          <w:i/>
        </w:rPr>
        <w:t xml:space="preserve">Studies In History and Philosophy of Science Part B: Studies In History and Philosophy of Modern Physics</w:t>
      </w:r>
      <w:r>
        <w:t xml:space="preserve">,</w:t>
      </w:r>
      <w:r>
        <w:t xml:space="preserve"> </w:t>
      </w:r>
      <w:r>
        <w:rPr>
          <w:iCs/>
          <w:i/>
        </w:rPr>
        <w:t xml:space="preserve">41</w:t>
      </w:r>
      <w:r>
        <w:t xml:space="preserve">(1), 27–40. doi:</w:t>
      </w:r>
      <w:hyperlink r:id="rId410">
        <w:r>
          <w:rPr>
            <w:rStyle w:val="Hyperlink"/>
          </w:rPr>
          <w:t xml:space="preserve">10.1016/j.shpsb.2009.08.008</w:t>
        </w:r>
      </w:hyperlink>
    </w:p>
    <w:bookmarkEnd w:id="411"/>
    <w:bookmarkStart w:id="412" w:name="ref-Nozick1981"/>
    <w:p>
      <w:pPr>
        <w:pStyle w:val="Bibliography"/>
      </w:pPr>
      <w:r>
        <w:t xml:space="preserve">Nozick, Robert. (1981).</w:t>
      </w:r>
      <w:r>
        <w:t xml:space="preserve"> </w:t>
      </w:r>
      <w:r>
        <w:rPr>
          <w:iCs/>
          <w:i/>
        </w:rPr>
        <w:t xml:space="preserve">Philosophical explorations</w:t>
      </w:r>
      <w:r>
        <w:t xml:space="preserve">. Harvard University Press.</w:t>
      </w:r>
    </w:p>
    <w:bookmarkEnd w:id="412"/>
    <w:bookmarkStart w:id="413" w:name="ref-Odell2002"/>
    <w:p>
      <w:pPr>
        <w:pStyle w:val="Bibliography"/>
      </w:pPr>
      <w:r>
        <w:t xml:space="preserve">Odell, John S. (2002). Bounded rationality and world political economy. In David M. Andrews, C. Randall Henning, &amp; Louis W. Pauly (Eds.),</w:t>
      </w:r>
      <w:r>
        <w:t xml:space="preserve"> </w:t>
      </w:r>
      <w:r>
        <w:rPr>
          <w:iCs/>
          <w:i/>
        </w:rPr>
        <w:t xml:space="preserve">Governing the world’s money</w:t>
      </w:r>
      <w:r>
        <w:t xml:space="preserve"> </w:t>
      </w:r>
      <w:r>
        <w:t xml:space="preserve">(168–193). Cornell University Press.</w:t>
      </w:r>
    </w:p>
    <w:bookmarkEnd w:id="413"/>
    <w:bookmarkStart w:id="414"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Springer.</w:t>
      </w:r>
    </w:p>
    <w:bookmarkEnd w:id="414"/>
    <w:bookmarkStart w:id="416" w:name="ref-Papi2013"/>
    <w:p>
      <w:pPr>
        <w:pStyle w:val="Bibliography"/>
      </w:pPr>
      <w:r>
        <w:t xml:space="preserve">Papi, Mario. (2013). Satisficing and maximizing consumers in a monopolistic screening model.</w:t>
      </w:r>
      <w:r>
        <w:t xml:space="preserve"> </w:t>
      </w:r>
      <w:r>
        <w:rPr>
          <w:iCs/>
          <w:i/>
        </w:rPr>
        <w:t xml:space="preserve">Mathematical Social Sciences</w:t>
      </w:r>
      <w:r>
        <w:t xml:space="preserve">,</w:t>
      </w:r>
      <w:r>
        <w:t xml:space="preserve"> </w:t>
      </w:r>
      <w:r>
        <w:rPr>
          <w:iCs/>
          <w:i/>
        </w:rPr>
        <w:t xml:space="preserve">66</w:t>
      </w:r>
      <w:r>
        <w:t xml:space="preserve">(3), 385–389. doi:</w:t>
      </w:r>
      <w:hyperlink r:id="rId415">
        <w:r>
          <w:rPr>
            <w:rStyle w:val="Hyperlink"/>
          </w:rPr>
          <w:t xml:space="preserve">10.1016/j.mathsocsci.2013.08.005</w:t>
        </w:r>
      </w:hyperlink>
    </w:p>
    <w:bookmarkEnd w:id="416"/>
    <w:bookmarkStart w:id="417" w:name="ref-Pasnau2017"/>
    <w:p>
      <w:pPr>
        <w:pStyle w:val="Bibliography"/>
      </w:pPr>
      <w:r>
        <w:t xml:space="preserve">Pasnau, Robert. (2017).</w:t>
      </w:r>
      <w:r>
        <w:t xml:space="preserve"> </w:t>
      </w:r>
      <w:r>
        <w:rPr>
          <w:iCs/>
          <w:i/>
        </w:rPr>
        <w:t xml:space="preserve">After certainty: A history of our epistemic ideals and illusions</w:t>
      </w:r>
      <w:r>
        <w:t xml:space="preserve">. Oxford University Press.</w:t>
      </w:r>
    </w:p>
    <w:bookmarkEnd w:id="417"/>
    <w:bookmarkStart w:id="419" w:name="ref-Pearce1983"/>
    <w:p>
      <w:pPr>
        <w:pStyle w:val="Bibliography"/>
      </w:pPr>
      <w:r>
        <w:t xml:space="preserve">Pearce, David G. (1983). A problem with single valued solution concepts. Retrieved from</w:t>
      </w:r>
      <w:r>
        <w:t xml:space="preserve"> </w:t>
      </w:r>
      <w:hyperlink r:id="rId418">
        <w:r>
          <w:rPr>
            <w:rStyle w:val="Hyperlink"/>
          </w:rPr>
          <w:t xml:space="preserve">https://sites.google.com/a/nyu.edu/davidpearce/</w:t>
        </w:r>
      </w:hyperlink>
    </w:p>
    <w:bookmarkEnd w:id="419"/>
    <w:bookmarkStart w:id="420" w:name="ref-Pingle2006"/>
    <w:p>
      <w:pPr>
        <w:pStyle w:val="Bibliography"/>
      </w:pPr>
      <w:r>
        <w:t xml:space="preserve">Pingle, Mark. (2006). Deliberation cost as a foundation for behavioral economics. In Morris Altman (Ed.),</w:t>
      </w:r>
      <w:r>
        <w:t xml:space="preserve"> </w:t>
      </w:r>
      <w:r>
        <w:rPr>
          <w:iCs/>
          <w:i/>
        </w:rPr>
        <w:t xml:space="preserve">In handbook of contemporary behavioral economics: Foundations and developments</w:t>
      </w:r>
      <w:r>
        <w:t xml:space="preserve"> </w:t>
      </w:r>
      <w:r>
        <w:t xml:space="preserve">(340–355). Routledge.</w:t>
      </w:r>
    </w:p>
    <w:bookmarkEnd w:id="420"/>
    <w:bookmarkStart w:id="422" w:name="ref-Pryor2004"/>
    <w:p>
      <w:pPr>
        <w:pStyle w:val="Bibliography"/>
      </w:pPr>
      <w:r>
        <w:t xml:space="preserve">Pryor, James. (2004). What’s wrong with moore’s argument?</w:t>
      </w:r>
      <w:r>
        <w:t xml:space="preserve"> </w:t>
      </w:r>
      <w:r>
        <w:rPr>
          <w:iCs/>
          <w:i/>
        </w:rPr>
        <w:t xml:space="preserve">Philosophical Issues</w:t>
      </w:r>
      <w:r>
        <w:t xml:space="preserve">,</w:t>
      </w:r>
      <w:r>
        <w:t xml:space="preserve"> </w:t>
      </w:r>
      <w:r>
        <w:rPr>
          <w:iCs/>
          <w:i/>
        </w:rPr>
        <w:t xml:space="preserve">14</w:t>
      </w:r>
      <w:r>
        <w:t xml:space="preserve">(1), 349–378. doi:</w:t>
      </w:r>
      <w:hyperlink r:id="rId421">
        <w:r>
          <w:rPr>
            <w:rStyle w:val="Hyperlink"/>
          </w:rPr>
          <w:t xml:space="preserve">10.1111/j.1533-6077.2004.00034.x</w:t>
        </w:r>
      </w:hyperlink>
    </w:p>
    <w:bookmarkEnd w:id="422"/>
    <w:bookmarkStart w:id="424" w:name="ref-Quiggin1982"/>
    <w:p>
      <w:pPr>
        <w:pStyle w:val="Bibliography"/>
      </w:pPr>
      <w:r>
        <w:t xml:space="preserve">Quiggin, John. (1982). A theory of anticipated utility.</w:t>
      </w:r>
      <w:r>
        <w:t xml:space="preserve"> </w:t>
      </w:r>
      <w:r>
        <w:rPr>
          <w:iCs/>
          <w:i/>
        </w:rPr>
        <w:t xml:space="preserve">Journal of Economic Behavior &amp; Organization</w:t>
      </w:r>
      <w:r>
        <w:t xml:space="preserve">,</w:t>
      </w:r>
      <w:r>
        <w:t xml:space="preserve"> </w:t>
      </w:r>
      <w:r>
        <w:rPr>
          <w:iCs/>
          <w:i/>
        </w:rPr>
        <w:t xml:space="preserve">3</w:t>
      </w:r>
      <w:r>
        <w:t xml:space="preserve">(4), 323–343. doi:</w:t>
      </w:r>
      <w:hyperlink r:id="rId423">
        <w:r>
          <w:rPr>
            <w:rStyle w:val="Hyperlink"/>
          </w:rPr>
          <w:t xml:space="preserve">10.1016/0167-2681(82)90008-7</w:t>
        </w:r>
      </w:hyperlink>
    </w:p>
    <w:bookmarkEnd w:id="424"/>
    <w:bookmarkStart w:id="426" w:name="ref-Quong2017"/>
    <w:p>
      <w:pPr>
        <w:pStyle w:val="Bibliography"/>
      </w:pPr>
      <w:r>
        <w:t xml:space="preserve">Quong, Jonathan. (2018).</w:t>
      </w:r>
      <w:r>
        <w:t xml:space="preserve"> </w:t>
      </w:r>
      <w:r>
        <w:t xml:space="preserve">Public Reason</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pring 2018).</w:t>
      </w:r>
      <w:r>
        <w:t xml:space="preserve"> </w:t>
      </w:r>
      <w:hyperlink r:id="rId425">
        <w:r>
          <w:rPr>
            <w:rStyle w:val="Hyperlink"/>
          </w:rPr>
          <w:t xml:space="preserve">https://plato.stanford.edu/archives/spr2018/entries/public-reason/</w:t>
        </w:r>
      </w:hyperlink>
      <w:r>
        <w:t xml:space="preserve">; Metaphysics Research Lab, Stanford University.</w:t>
      </w:r>
    </w:p>
    <w:bookmarkEnd w:id="426"/>
    <w:bookmarkStart w:id="427" w:name="ref-Railton1984"/>
    <w:p>
      <w:pPr>
        <w:pStyle w:val="Bibliography"/>
      </w:pPr>
      <w:r>
        <w:t xml:space="preserve">Railton, Peter. (1984). Alienation, consequentialism and the demands of morality.</w:t>
      </w:r>
      <w:r>
        <w:t xml:space="preserve"> </w:t>
      </w:r>
      <w:r>
        <w:rPr>
          <w:iCs/>
          <w:i/>
        </w:rPr>
        <w:t xml:space="preserve">Philosophy and Public Affairs</w:t>
      </w:r>
      <w:r>
        <w:t xml:space="preserve">,</w:t>
      </w:r>
      <w:r>
        <w:t xml:space="preserve"> </w:t>
      </w:r>
      <w:r>
        <w:rPr>
          <w:iCs/>
          <w:i/>
        </w:rPr>
        <w:t xml:space="preserve">13</w:t>
      </w:r>
      <w:r>
        <w:t xml:space="preserve">(2), 134–171.</w:t>
      </w:r>
    </w:p>
    <w:bookmarkEnd w:id="427"/>
    <w:bookmarkStart w:id="428" w:name="ref-RamseyGeneralProp"/>
    <w:p>
      <w:pPr>
        <w:pStyle w:val="Bibliography"/>
      </w:pPr>
      <w:r>
        <w:t xml:space="preserve">Ramsey, Frank. (1990). General propositions and causality. In D. H. Mellor (Ed.),</w:t>
      </w:r>
      <w:r>
        <w:t xml:space="preserve"> </w:t>
      </w:r>
      <w:r>
        <w:rPr>
          <w:iCs/>
          <w:i/>
        </w:rPr>
        <w:t xml:space="preserve">Philosophical papers</w:t>
      </w:r>
      <w:r>
        <w:t xml:space="preserve"> </w:t>
      </w:r>
      <w:r>
        <w:t xml:space="preserve">(145–163). Cambridge University Press.</w:t>
      </w:r>
    </w:p>
    <w:bookmarkEnd w:id="428"/>
    <w:bookmarkStart w:id="430" w:name="ref-Reutskaja2011"/>
    <w:p>
      <w:pPr>
        <w:pStyle w:val="Bibliography"/>
      </w:pPr>
      <w:r>
        <w:t xml:space="preserve">Reutskaja, Elena, Rosemarie Nagel, Colin F. Camerer, and Antonio Rangel. (2011). Search dynamics in consumer choice under time pressure: An eye-tracking study.</w:t>
      </w:r>
      <w:r>
        <w:t xml:space="preserve"> </w:t>
      </w:r>
      <w:r>
        <w:rPr>
          <w:iCs/>
          <w:i/>
        </w:rPr>
        <w:t xml:space="preserve">American Economic Review</w:t>
      </w:r>
      <w:r>
        <w:t xml:space="preserve">,</w:t>
      </w:r>
      <w:r>
        <w:t xml:space="preserve"> </w:t>
      </w:r>
      <w:r>
        <w:rPr>
          <w:iCs/>
          <w:i/>
        </w:rPr>
        <w:t xml:space="preserve">101</w:t>
      </w:r>
      <w:r>
        <w:t xml:space="preserve">(2), 900–926. doi:</w:t>
      </w:r>
      <w:hyperlink r:id="rId429">
        <w:r>
          <w:rPr>
            <w:rStyle w:val="Hyperlink"/>
          </w:rPr>
          <w:t xml:space="preserve">10.1257/aer.101.2.900</w:t>
        </w:r>
      </w:hyperlink>
    </w:p>
    <w:bookmarkEnd w:id="430"/>
    <w:bookmarkStart w:id="432" w:name="ref-Richter1984"/>
    <w:p>
      <w:pPr>
        <w:pStyle w:val="Bibliography"/>
      </w:pPr>
      <w:r>
        <w:t xml:space="preserve">Richter, Reed. (1984). Rationality revisited.</w:t>
      </w:r>
      <w:r>
        <w:t xml:space="preserve"> </w:t>
      </w:r>
      <w:r>
        <w:rPr>
          <w:iCs/>
          <w:i/>
        </w:rPr>
        <w:t xml:space="preserve">Australasian Journal of Philosophy</w:t>
      </w:r>
      <w:r>
        <w:t xml:space="preserve">,</w:t>
      </w:r>
      <w:r>
        <w:t xml:space="preserve"> </w:t>
      </w:r>
      <w:r>
        <w:rPr>
          <w:iCs/>
          <w:i/>
        </w:rPr>
        <w:t xml:space="preserve">62</w:t>
      </w:r>
      <w:r>
        <w:t xml:space="preserve">(4), 393–404. doi:</w:t>
      </w:r>
      <w:hyperlink r:id="rId431">
        <w:r>
          <w:rPr>
            <w:rStyle w:val="Hyperlink"/>
          </w:rPr>
          <w:t xml:space="preserve">10.1080/00048408412341601</w:t>
        </w:r>
      </w:hyperlink>
    </w:p>
    <w:bookmarkEnd w:id="432"/>
    <w:bookmarkStart w:id="434" w:name="ref-Roberts2012"/>
    <w:p>
      <w:pPr>
        <w:pStyle w:val="Bibliography"/>
      </w:pPr>
      <w:r>
        <w:t xml:space="preserve">Roberts, Craige. (2012). Information structure in discourse: Towards an integrated formal theory of pragmatics.</w:t>
      </w:r>
      <w:r>
        <w:t xml:space="preserve"> </w:t>
      </w:r>
      <w:r>
        <w:rPr>
          <w:iCs/>
          <w:i/>
        </w:rPr>
        <w:t xml:space="preserve">Semantics and Pragmatics</w:t>
      </w:r>
      <w:r>
        <w:t xml:space="preserve">,</w:t>
      </w:r>
      <w:r>
        <w:t xml:space="preserve"> </w:t>
      </w:r>
      <w:r>
        <w:rPr>
          <w:iCs/>
          <w:i/>
        </w:rPr>
        <w:t xml:space="preserve">5</w:t>
      </w:r>
      <w:r>
        <w:t xml:space="preserve">(6), 1–69. doi:</w:t>
      </w:r>
      <w:hyperlink r:id="rId433">
        <w:r>
          <w:rPr>
            <w:rStyle w:val="Hyperlink"/>
          </w:rPr>
          <w:t xml:space="preserve">10.3765/sp.5.6</w:t>
        </w:r>
      </w:hyperlink>
    </w:p>
    <w:bookmarkEnd w:id="434"/>
    <w:bookmarkStart w:id="436" w:name="ref-RossSchroeder2014"/>
    <w:p>
      <w:pPr>
        <w:pStyle w:val="Bibliography"/>
      </w:pPr>
      <w:r>
        <w:t xml:space="preserve">Ross, Jacob, and Mark Schroeder. (2014). Belief, credence, and pragmatic encroachment.</w:t>
      </w:r>
      <w:r>
        <w:t xml:space="preserve"> </w:t>
      </w:r>
      <w:r>
        <w:rPr>
          <w:iCs/>
          <w:i/>
        </w:rPr>
        <w:t xml:space="preserve">Philosophy and Phenomenological Research</w:t>
      </w:r>
      <w:r>
        <w:t xml:space="preserve">,</w:t>
      </w:r>
      <w:r>
        <w:t xml:space="preserve"> </w:t>
      </w:r>
      <w:r>
        <w:rPr>
          <w:iCs/>
          <w:i/>
        </w:rPr>
        <w:t xml:space="preserve">88</w:t>
      </w:r>
      <w:r>
        <w:t xml:space="preserve">(2), 259–288. doi:</w:t>
      </w:r>
      <w:hyperlink r:id="rId435">
        <w:r>
          <w:rPr>
            <w:rStyle w:val="Hyperlink"/>
          </w:rPr>
          <w:t xml:space="preserve">10.1111/j.1933-1592.2011.00552.x</w:t>
        </w:r>
      </w:hyperlink>
    </w:p>
    <w:bookmarkEnd w:id="436"/>
    <w:bookmarkStart w:id="437" w:name="ref-Rousseau1913"/>
    <w:p>
      <w:pPr>
        <w:pStyle w:val="Bibliography"/>
      </w:pPr>
      <w:r>
        <w:t xml:space="preserve">Rousseau, Jean-Jacques. (1913).</w:t>
      </w:r>
      <w:r>
        <w:t xml:space="preserve"> </w:t>
      </w:r>
      <w:r>
        <w:rPr>
          <w:iCs/>
          <w:i/>
        </w:rPr>
        <w:t xml:space="preserve">Social contract &amp; discourses</w:t>
      </w:r>
      <w:r>
        <w:t xml:space="preserve"> </w:t>
      </w:r>
      <w:r>
        <w:t xml:space="preserve">(G. D. H. Cole, Trans.). J. M. Dent &amp; Sons.</w:t>
      </w:r>
    </w:p>
    <w:bookmarkEnd w:id="437"/>
    <w:bookmarkStart w:id="439" w:name="ref-RussellDoris2008"/>
    <w:p>
      <w:pPr>
        <w:pStyle w:val="Bibliography"/>
      </w:pPr>
      <w:r>
        <w:t xml:space="preserve">Russell, Gillian, and John M. Doris. (2009). Knowledge by indifference.</w:t>
      </w:r>
      <w:r>
        <w:t xml:space="preserve"> </w:t>
      </w:r>
      <w:r>
        <w:rPr>
          <w:iCs/>
          <w:i/>
        </w:rPr>
        <w:t xml:space="preserve">Australasian Journal of Philosophy</w:t>
      </w:r>
      <w:r>
        <w:t xml:space="preserve">,</w:t>
      </w:r>
      <w:r>
        <w:t xml:space="preserve"> </w:t>
      </w:r>
      <w:r>
        <w:rPr>
          <w:iCs/>
          <w:i/>
        </w:rPr>
        <w:t xml:space="preserve">86</w:t>
      </w:r>
      <w:r>
        <w:t xml:space="preserve">(3), 429–437. doi:</w:t>
      </w:r>
      <w:hyperlink r:id="rId438">
        <w:r>
          <w:rPr>
            <w:rStyle w:val="Hyperlink"/>
          </w:rPr>
          <w:t xml:space="preserve">10.1080/00048400802001996</w:t>
        </w:r>
      </w:hyperlink>
    </w:p>
    <w:bookmarkEnd w:id="439"/>
    <w:bookmarkStart w:id="441" w:name="ref-Russell1997"/>
    <w:p>
      <w:pPr>
        <w:pStyle w:val="Bibliography"/>
      </w:pPr>
      <w:r>
        <w:t xml:space="preserve">Russell, Stuart J. (1997). Rationality and intelligence.</w:t>
      </w:r>
      <w:r>
        <w:t xml:space="preserve"> </w:t>
      </w:r>
      <w:r>
        <w:rPr>
          <w:iCs/>
          <w:i/>
        </w:rPr>
        <w:t xml:space="preserve">Artificial Intelligence</w:t>
      </w:r>
      <w:r>
        <w:t xml:space="preserve">,</w:t>
      </w:r>
      <w:r>
        <w:t xml:space="preserve"> </w:t>
      </w:r>
      <w:r>
        <w:rPr>
          <w:iCs/>
          <w:i/>
        </w:rPr>
        <w:t xml:space="preserve">94</w:t>
      </w:r>
      <w:r>
        <w:t xml:space="preserve">(1-2), 57–77. doi:</w:t>
      </w:r>
      <w:hyperlink r:id="rId440">
        <w:r>
          <w:rPr>
            <w:rStyle w:val="Hyperlink"/>
          </w:rPr>
          <w:t xml:space="preserve">10.1016/S0004-3702(97)00026-X</w:t>
        </w:r>
      </w:hyperlink>
    </w:p>
    <w:bookmarkEnd w:id="441"/>
    <w:bookmarkStart w:id="443" w:name="ref-Savage1967"/>
    <w:p>
      <w:pPr>
        <w:pStyle w:val="Bibliography"/>
      </w:pPr>
      <w:r>
        <w:t xml:space="preserve">Savage, Leonard. (1967). Difficulties in the theory of personal probability.</w:t>
      </w:r>
      <w:r>
        <w:t xml:space="preserve"> </w:t>
      </w:r>
      <w:r>
        <w:rPr>
          <w:iCs/>
          <w:i/>
        </w:rPr>
        <w:t xml:space="preserve">Philosophy of Science</w:t>
      </w:r>
      <w:r>
        <w:t xml:space="preserve">,</w:t>
      </w:r>
      <w:r>
        <w:t xml:space="preserve"> </w:t>
      </w:r>
      <w:r>
        <w:rPr>
          <w:iCs/>
          <w:i/>
        </w:rPr>
        <w:t xml:space="preserve">34</w:t>
      </w:r>
      <w:r>
        <w:t xml:space="preserve">(4), 305–310. doi:</w:t>
      </w:r>
      <w:hyperlink r:id="rId442">
        <w:r>
          <w:rPr>
            <w:rStyle w:val="Hyperlink"/>
          </w:rPr>
          <w:t xml:space="preserve">10.1086/288168</w:t>
        </w:r>
      </w:hyperlink>
    </w:p>
    <w:bookmarkEnd w:id="443"/>
    <w:bookmarkStart w:id="445" w:name="ref-ScheibehenneEtAl2010"/>
    <w:p>
      <w:pPr>
        <w:pStyle w:val="Bibliography"/>
      </w:pPr>
      <w:r>
        <w:t xml:space="preserve">Scheibehenne, Benjamin, Rainer Greifeneder, and Peter M. Todd. (2010). Can there ever be too many options? A meta-analytic review of choice overload.</w:t>
      </w:r>
      <w:r>
        <w:t xml:space="preserve"> </w:t>
      </w:r>
      <w:r>
        <w:rPr>
          <w:iCs/>
          <w:i/>
        </w:rPr>
        <w:t xml:space="preserve">Journal of Consumer Research</w:t>
      </w:r>
      <w:r>
        <w:t xml:space="preserve">,</w:t>
      </w:r>
      <w:r>
        <w:t xml:space="preserve"> </w:t>
      </w:r>
      <w:r>
        <w:rPr>
          <w:iCs/>
          <w:i/>
        </w:rPr>
        <w:t xml:space="preserve">37</w:t>
      </w:r>
      <w:r>
        <w:t xml:space="preserve">(3), 409–425. doi:</w:t>
      </w:r>
      <w:hyperlink r:id="rId444">
        <w:r>
          <w:rPr>
            <w:rStyle w:val="Hyperlink"/>
          </w:rPr>
          <w:t xml:space="preserve">10.1086/651235</w:t>
        </w:r>
      </w:hyperlink>
    </w:p>
    <w:bookmarkEnd w:id="445"/>
    <w:bookmarkStart w:id="447" w:name="ref-Schmidt2024"/>
    <w:p>
      <w:pPr>
        <w:pStyle w:val="Bibliography"/>
      </w:pPr>
      <w:r>
        <w:t xml:space="preserve">Schmidt, Eva. (forthcoming). Reasons, attenuators, and virtue: A novel account of pragmatic encroachment.</w:t>
      </w:r>
      <w:r>
        <w:t xml:space="preserve"> </w:t>
      </w:r>
      <w:r>
        <w:rPr>
          <w:iCs/>
          <w:i/>
        </w:rPr>
        <w:t xml:space="preserve">Analytic Philosophy</w:t>
      </w:r>
      <w:r>
        <w:t xml:space="preserve">, 1–22. doi:</w:t>
      </w:r>
      <w:hyperlink r:id="rId446">
        <w:r>
          <w:rPr>
            <w:rStyle w:val="Hyperlink"/>
          </w:rPr>
          <w:t xml:space="preserve">10.1111/phib.12314</w:t>
        </w:r>
      </w:hyperlink>
    </w:p>
    <w:bookmarkEnd w:id="447"/>
    <w:bookmarkStart w:id="449" w:name="ref-Schoenfield2013"/>
    <w:p>
      <w:pPr>
        <w:pStyle w:val="Bibliography"/>
      </w:pPr>
      <w:r>
        <w:t xml:space="preserve">Schoenfield, Miriam. (2013). 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47</w:t>
      </w:r>
      <w:r>
        <w:t xml:space="preserve">(1), 193–218. doi:</w:t>
      </w:r>
      <w:hyperlink r:id="rId448">
        <w:r>
          <w:rPr>
            <w:rStyle w:val="Hyperlink"/>
          </w:rPr>
          <w:t xml:space="preserve">10.1111/nous.12006</w:t>
        </w:r>
      </w:hyperlink>
    </w:p>
    <w:bookmarkEnd w:id="449"/>
    <w:bookmarkStart w:id="451" w:name="ref-Schroeder2009"/>
    <w:p>
      <w:pPr>
        <w:pStyle w:val="Bibliography"/>
      </w:pPr>
      <w:r>
        <w:t xml:space="preserve">Schroeder, Mark. (2009). Means-end coherence, stringency, and subjective reasons.</w:t>
      </w:r>
      <w:r>
        <w:t xml:space="preserve"> </w:t>
      </w:r>
      <w:r>
        <w:rPr>
          <w:iCs/>
          <w:i/>
        </w:rPr>
        <w:t xml:space="preserve">Philosophical Studies</w:t>
      </w:r>
      <w:r>
        <w:t xml:space="preserve">,</w:t>
      </w:r>
      <w:r>
        <w:t xml:space="preserve"> </w:t>
      </w:r>
      <w:r>
        <w:rPr>
          <w:iCs/>
          <w:i/>
        </w:rPr>
        <w:t xml:space="preserve">143</w:t>
      </w:r>
      <w:r>
        <w:t xml:space="preserve">(2), 223–248. doi:</w:t>
      </w:r>
      <w:hyperlink r:id="rId450">
        <w:r>
          <w:rPr>
            <w:rStyle w:val="Hyperlink"/>
          </w:rPr>
          <w:t xml:space="preserve">10.1007/s11098-008-9200-x</w:t>
        </w:r>
      </w:hyperlink>
    </w:p>
    <w:bookmarkEnd w:id="451"/>
    <w:bookmarkStart w:id="452" w:name="ref-Schwartz2004"/>
    <w:p>
      <w:pPr>
        <w:pStyle w:val="Bibliography"/>
      </w:pPr>
      <w:r>
        <w:t xml:space="preserve">Schwartz, Barry. (2004).</w:t>
      </w:r>
      <w:r>
        <w:t xml:space="preserve"> </w:t>
      </w:r>
      <w:r>
        <w:rPr>
          <w:iCs/>
          <w:i/>
        </w:rPr>
        <w:t xml:space="preserve">The paradox of choice: Why more is less</w:t>
      </w:r>
      <w:r>
        <w:t xml:space="preserve">. Harper Collins.</w:t>
      </w:r>
    </w:p>
    <w:bookmarkEnd w:id="452"/>
    <w:bookmarkStart w:id="454" w:name="ref-SchwartzEtAl2002"/>
    <w:p>
      <w:pPr>
        <w:pStyle w:val="Bibliography"/>
      </w:pPr>
      <w:r>
        <w:t xml:space="preserve">Schwartz, Barry, Andrew Ward, John Monterosso, Sonja Lyubomirsky, Katherin White, and Darrin R. Lehman. (2002). Maximizing versus satisficing: Happiness is a matter of choice.</w:t>
      </w:r>
      <w:r>
        <w:t xml:space="preserve"> </w:t>
      </w:r>
      <w:r>
        <w:rPr>
          <w:iCs/>
          <w:i/>
        </w:rPr>
        <w:t xml:space="preserve">Journal of Personality and Social Psychology</w:t>
      </w:r>
      <w:r>
        <w:t xml:space="preserve">,</w:t>
      </w:r>
      <w:r>
        <w:t xml:space="preserve"> </w:t>
      </w:r>
      <w:r>
        <w:rPr>
          <w:iCs/>
          <w:i/>
        </w:rPr>
        <w:t xml:space="preserve">83</w:t>
      </w:r>
      <w:r>
        <w:t xml:space="preserve">(5), 1178–1197. doi:</w:t>
      </w:r>
      <w:hyperlink r:id="rId453">
        <w:r>
          <w:rPr>
            <w:rStyle w:val="Hyperlink"/>
          </w:rPr>
          <w:t xml:space="preserve">10.1037/0022-3514.83.5.1178</w:t>
        </w:r>
      </w:hyperlink>
    </w:p>
    <w:bookmarkEnd w:id="454"/>
    <w:bookmarkStart w:id="456" w:name="ref-Schwitzgebel2008"/>
    <w:p>
      <w:pPr>
        <w:pStyle w:val="Bibliography"/>
      </w:pPr>
      <w:r>
        <w:t xml:space="preserve">Schwitzgebel, Eric. (2008). The unreliability of naive introspection.</w:t>
      </w:r>
      <w:r>
        <w:t xml:space="preserve"> </w:t>
      </w:r>
      <w:r>
        <w:rPr>
          <w:iCs/>
          <w:i/>
        </w:rPr>
        <w:t xml:space="preserve">Philosophical Review</w:t>
      </w:r>
      <w:r>
        <w:t xml:space="preserve">,</w:t>
      </w:r>
      <w:r>
        <w:t xml:space="preserve"> </w:t>
      </w:r>
      <w:r>
        <w:rPr>
          <w:iCs/>
          <w:i/>
        </w:rPr>
        <w:t xml:space="preserve">117</w:t>
      </w:r>
      <w:r>
        <w:t xml:space="preserve">(2), 245–273. doi:</w:t>
      </w:r>
      <w:hyperlink r:id="rId455">
        <w:r>
          <w:rPr>
            <w:rStyle w:val="Hyperlink"/>
          </w:rPr>
          <w:t xml:space="preserve">10.1215/00318108-2007-037</w:t>
        </w:r>
      </w:hyperlink>
    </w:p>
    <w:bookmarkEnd w:id="456"/>
    <w:bookmarkStart w:id="458" w:name="ref-Skyrms2001"/>
    <w:p>
      <w:pPr>
        <w:pStyle w:val="Bibliography"/>
      </w:pPr>
      <w:r>
        <w:t xml:space="preserve">Skyrms, Brian. (2001). The stag hunt.</w:t>
      </w:r>
      <w:r>
        <w:t xml:space="preserve"> </w:t>
      </w:r>
      <w:r>
        <w:rPr>
          <w:iCs/>
          <w:i/>
        </w:rPr>
        <w:t xml:space="preserve">Proceedings and Addresses of the American Philosophical Association</w:t>
      </w:r>
      <w:r>
        <w:t xml:space="preserve">,</w:t>
      </w:r>
      <w:r>
        <w:t xml:space="preserve"> </w:t>
      </w:r>
      <w:r>
        <w:rPr>
          <w:iCs/>
          <w:i/>
        </w:rPr>
        <w:t xml:space="preserve">75</w:t>
      </w:r>
      <w:r>
        <w:t xml:space="preserve">(2), 31–41. doi:</w:t>
      </w:r>
      <w:hyperlink r:id="rId457">
        <w:r>
          <w:rPr>
            <w:rStyle w:val="Hyperlink"/>
          </w:rPr>
          <w:t xml:space="preserve">10.2307/3218711</w:t>
        </w:r>
      </w:hyperlink>
    </w:p>
    <w:bookmarkEnd w:id="458"/>
    <w:bookmarkStart w:id="460" w:name="ref-Sosa1999"/>
    <w:p>
      <w:pPr>
        <w:pStyle w:val="Bibliography"/>
      </w:pPr>
      <w:r>
        <w:t xml:space="preserve">Sosa, Ernest. (1999). How to defeat opposition to moore.</w:t>
      </w:r>
      <w:r>
        <w:t xml:space="preserve"> </w:t>
      </w:r>
      <w:r>
        <w:rPr>
          <w:iCs/>
          <w:i/>
        </w:rPr>
        <w:t xml:space="preserve">Philosophical Perspectives</w:t>
      </w:r>
      <w:r>
        <w:t xml:space="preserve">,</w:t>
      </w:r>
      <w:r>
        <w:t xml:space="preserve"> </w:t>
      </w:r>
      <w:r>
        <w:rPr>
          <w:iCs/>
          <w:i/>
        </w:rPr>
        <w:t xml:space="preserve">13</w:t>
      </w:r>
      <w:r>
        <w:t xml:space="preserve">, 141–153. doi:</w:t>
      </w:r>
      <w:hyperlink r:id="rId459">
        <w:r>
          <w:rPr>
            <w:rStyle w:val="Hyperlink"/>
          </w:rPr>
          <w:t xml:space="preserve">10.1111/0029-4624.33.s13.7</w:t>
        </w:r>
      </w:hyperlink>
    </w:p>
    <w:bookmarkEnd w:id="460"/>
    <w:bookmarkStart w:id="462" w:name="ref-SperberEtAl2010"/>
    <w:p>
      <w:pPr>
        <w:pStyle w:val="Bibliography"/>
      </w:pPr>
      <w:r>
        <w:t xml:space="preserve">Sperber, Dan, Fabrice Clément, Christophe Heintz, Olivier Mascaro, Hugo Mercier, Gloria Origgi, and Deirdre Wilson. (2010). Epistemic vigilance.</w:t>
      </w:r>
      <w:r>
        <w:t xml:space="preserve"> </w:t>
      </w:r>
      <w:r>
        <w:rPr>
          <w:iCs/>
          <w:i/>
        </w:rPr>
        <w:t xml:space="preserve">Mind and Language</w:t>
      </w:r>
      <w:r>
        <w:t xml:space="preserve">,</w:t>
      </w:r>
      <w:r>
        <w:t xml:space="preserve"> </w:t>
      </w:r>
      <w:r>
        <w:rPr>
          <w:iCs/>
          <w:i/>
        </w:rPr>
        <w:t xml:space="preserve">25</w:t>
      </w:r>
      <w:r>
        <w:t xml:space="preserve">(4), 359–393. doi:</w:t>
      </w:r>
      <w:hyperlink r:id="rId461">
        <w:r>
          <w:rPr>
            <w:rStyle w:val="Hyperlink"/>
          </w:rPr>
          <w:t xml:space="preserve">10.1111/j.1468-0017.2010.01394.x</w:t>
        </w:r>
      </w:hyperlink>
    </w:p>
    <w:bookmarkEnd w:id="462"/>
    <w:bookmarkStart w:id="464" w:name="ref-Staffel2019"/>
    <w:p>
      <w:pPr>
        <w:pStyle w:val="Bibliography"/>
      </w:pPr>
      <w:r>
        <w:t xml:space="preserve">Staffel, Julia. (2019). How do beliefs simplify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(4), 937–962. doi:</w:t>
      </w:r>
      <w:hyperlink r:id="rId463">
        <w:r>
          <w:rPr>
            <w:rStyle w:val="Hyperlink"/>
          </w:rPr>
          <w:t xml:space="preserve">10.1111/nous.12254</w:t>
        </w:r>
      </w:hyperlink>
    </w:p>
    <w:bookmarkEnd w:id="464"/>
    <w:bookmarkStart w:id="466" w:name="ref-Stalnaker1975"/>
    <w:p>
      <w:pPr>
        <w:pStyle w:val="Bibliography"/>
      </w:pPr>
      <w:r>
        <w:t xml:space="preserve">Stalnaker, Robert. (1975). Indicative conditionals.</w:t>
      </w:r>
      <w:r>
        <w:t xml:space="preserve"> </w:t>
      </w:r>
      <w:r>
        <w:rPr>
          <w:iCs/>
          <w:i/>
        </w:rPr>
        <w:t xml:space="preserve">Philosophica</w:t>
      </w:r>
      <w:r>
        <w:t xml:space="preserve">,</w:t>
      </w:r>
      <w:r>
        <w:t xml:space="preserve"> </w:t>
      </w:r>
      <w:r>
        <w:rPr>
          <w:iCs/>
          <w:i/>
        </w:rPr>
        <w:t xml:space="preserve">5</w:t>
      </w:r>
      <w:r>
        <w:t xml:space="preserve">(3), 269–289. doi:</w:t>
      </w:r>
      <w:hyperlink r:id="rId465">
        <w:r>
          <w:rPr>
            <w:rStyle w:val="Hyperlink"/>
          </w:rPr>
          <w:t xml:space="preserve">10.1007/bf02379021</w:t>
        </w:r>
      </w:hyperlink>
    </w:p>
    <w:bookmarkEnd w:id="466"/>
    <w:bookmarkStart w:id="467" w:name="ref-Stalnaker1984"/>
    <w:p>
      <w:pPr>
        <w:pStyle w:val="Bibliography"/>
      </w:pPr>
      <w:r>
        <w:t xml:space="preserve">Stalnaker, Robert. (1984).</w:t>
      </w:r>
      <w:r>
        <w:t xml:space="preserve"> </w:t>
      </w:r>
      <w:r>
        <w:rPr>
          <w:iCs/>
          <w:i/>
        </w:rPr>
        <w:t xml:space="preserve">Inquiry</w:t>
      </w:r>
      <w:r>
        <w:t xml:space="preserve">. MIT Press.</w:t>
      </w:r>
    </w:p>
    <w:bookmarkEnd w:id="467"/>
    <w:bookmarkStart w:id="469" w:name="ref-Stalnaker1994"/>
    <w:p>
      <w:pPr>
        <w:pStyle w:val="Bibliography"/>
      </w:pPr>
      <w:r>
        <w:t xml:space="preserve">Stalnaker, Robert. (1994). On the evaluation of solution concepts.</w:t>
      </w:r>
      <w:r>
        <w:t xml:space="preserve"> </w:t>
      </w:r>
      <w:r>
        <w:rPr>
          <w:iCs/>
          <w:i/>
        </w:rPr>
        <w:t xml:space="preserve">Theory and Decision</w:t>
      </w:r>
      <w:r>
        <w:t xml:space="preserve">,</w:t>
      </w:r>
      <w:r>
        <w:t xml:space="preserve"> </w:t>
      </w:r>
      <w:r>
        <w:rPr>
          <w:iCs/>
          <w:i/>
        </w:rPr>
        <w:t xml:space="preserve">37</w:t>
      </w:r>
      <w:r>
        <w:t xml:space="preserve">(1), 49–73. doi:</w:t>
      </w:r>
      <w:hyperlink r:id="rId468">
        <w:r>
          <w:rPr>
            <w:rStyle w:val="Hyperlink"/>
          </w:rPr>
          <w:t xml:space="preserve">10.1007/BF01079205</w:t>
        </w:r>
      </w:hyperlink>
    </w:p>
    <w:bookmarkEnd w:id="469"/>
    <w:bookmarkStart w:id="471" w:name="ref-Stalnaker1996"/>
    <w:p>
      <w:pPr>
        <w:pStyle w:val="Bibliography"/>
      </w:pPr>
      <w:r>
        <w:t xml:space="preserve">Stalnaker, Robert. (1996). Knowledge, belief and counterfactual reasoning in games.</w:t>
      </w:r>
      <w:r>
        <w:t xml:space="preserve"> </w:t>
      </w:r>
      <w:r>
        <w:rPr>
          <w:iCs/>
          <w:i/>
        </w:rPr>
        <w:t xml:space="preserve">Economics and Philosophy</w:t>
      </w:r>
      <w:r>
        <w:t xml:space="preserve">,</w:t>
      </w:r>
      <w:r>
        <w:t xml:space="preserve"> </w:t>
      </w:r>
      <w:r>
        <w:rPr>
          <w:iCs/>
          <w:i/>
        </w:rPr>
        <w:t xml:space="preserve">12</w:t>
      </w:r>
      <w:r>
        <w:t xml:space="preserve">, 133–163. doi:</w:t>
      </w:r>
      <w:hyperlink r:id="rId470">
        <w:r>
          <w:rPr>
            <w:rStyle w:val="Hyperlink"/>
          </w:rPr>
          <w:t xml:space="preserve">10.1017/S0266267100004132</w:t>
        </w:r>
      </w:hyperlink>
    </w:p>
    <w:bookmarkEnd w:id="471"/>
    <w:bookmarkStart w:id="473" w:name="ref-Stalnaker1998"/>
    <w:p>
      <w:pPr>
        <w:pStyle w:val="Bibliography"/>
      </w:pPr>
      <w:r>
        <w:t xml:space="preserve">Stalnaker, Robert. (1998). Belief revision in games: Forward and backward induction.</w:t>
      </w:r>
      <w:r>
        <w:t xml:space="preserve"> </w:t>
      </w:r>
      <w:r>
        <w:rPr>
          <w:iCs/>
          <w:i/>
        </w:rPr>
        <w:t xml:space="preserve">Mathematical Social Sciences</w:t>
      </w:r>
      <w:r>
        <w:t xml:space="preserve">,</w:t>
      </w:r>
      <w:r>
        <w:t xml:space="preserve"> </w:t>
      </w:r>
      <w:r>
        <w:rPr>
          <w:iCs/>
          <w:i/>
        </w:rPr>
        <w:t xml:space="preserve">36</w:t>
      </w:r>
      <w:r>
        <w:t xml:space="preserve">(1), 31–56. doi:</w:t>
      </w:r>
      <w:hyperlink r:id="rId472">
        <w:r>
          <w:rPr>
            <w:rStyle w:val="Hyperlink"/>
          </w:rPr>
          <w:t xml:space="preserve">10.1016/S0165-4896(98)00007-9</w:t>
        </w:r>
      </w:hyperlink>
    </w:p>
    <w:bookmarkEnd w:id="473"/>
    <w:bookmarkStart w:id="475" w:name="ref-Stalnaker1999"/>
    <w:p>
      <w:pPr>
        <w:pStyle w:val="Bibliography"/>
      </w:pPr>
      <w:r>
        <w:t xml:space="preserve">Stalnaker, Robert. (1999). Extensive and strategic forms: Games and models for games.</w:t>
      </w:r>
      <w:r>
        <w:t xml:space="preserve"> </w:t>
      </w:r>
      <w:r>
        <w:rPr>
          <w:iCs/>
          <w:i/>
        </w:rPr>
        <w:t xml:space="preserve">Research in Economics</w:t>
      </w:r>
      <w:r>
        <w:t xml:space="preserve">,</w:t>
      </w:r>
      <w:r>
        <w:t xml:space="preserve"> </w:t>
      </w:r>
      <w:r>
        <w:rPr>
          <w:iCs/>
          <w:i/>
        </w:rPr>
        <w:t xml:space="preserve">53</w:t>
      </w:r>
      <w:r>
        <w:t xml:space="preserve">(3), 293–319. doi:</w:t>
      </w:r>
      <w:hyperlink r:id="rId474">
        <w:r>
          <w:rPr>
            <w:rStyle w:val="Hyperlink"/>
          </w:rPr>
          <w:t xml:space="preserve">10.1006/reec.1999.0200</w:t>
        </w:r>
      </w:hyperlink>
    </w:p>
    <w:bookmarkEnd w:id="475"/>
    <w:bookmarkStart w:id="476"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76"/>
    <w:bookmarkStart w:id="477" w:name="ref-Stanley2011"/>
    <w:p>
      <w:pPr>
        <w:pStyle w:val="Bibliography"/>
      </w:pPr>
      <w:r>
        <w:t xml:space="preserve">Stanley, Jason. (2011).</w:t>
      </w:r>
      <w:r>
        <w:t xml:space="preserve"> </w:t>
      </w:r>
      <w:r>
        <w:rPr>
          <w:iCs/>
          <w:i/>
        </w:rPr>
        <w:t xml:space="preserve">Know how</w:t>
      </w:r>
      <w:r>
        <w:t xml:space="preserve">. Oxford University Press.</w:t>
      </w:r>
    </w:p>
    <w:bookmarkEnd w:id="477"/>
    <w:bookmarkStart w:id="479" w:name="ref-Steglich-Petersen2024"/>
    <w:p>
      <w:pPr>
        <w:pStyle w:val="Bibliography"/>
      </w:pPr>
      <w:r>
        <w:t xml:space="preserve">Steglich-Petersen, Asbjørn. (forthcoming). An instrumentalist explanation of pragmatic encroachment.</w:t>
      </w:r>
      <w:r>
        <w:t xml:space="preserve"> </w:t>
      </w:r>
      <w:r>
        <w:rPr>
          <w:iCs/>
          <w:i/>
        </w:rPr>
        <w:t xml:space="preserve">Analytic Philosophy</w:t>
      </w:r>
      <w:r>
        <w:t xml:space="preserve">. Forthcoming. doi:</w:t>
      </w:r>
      <w:hyperlink r:id="rId478">
        <w:r>
          <w:rPr>
            <w:rStyle w:val="Hyperlink"/>
          </w:rPr>
          <w:t xml:space="preserve">10.1111/phib.12283</w:t>
        </w:r>
      </w:hyperlink>
    </w:p>
    <w:bookmarkEnd w:id="479"/>
    <w:bookmarkStart w:id="480" w:name="ref-Strevens2020"/>
    <w:p>
      <w:pPr>
        <w:pStyle w:val="Bibliography"/>
      </w:pPr>
      <w:r>
        <w:t xml:space="preserve">Strevens, Michael. (2020).</w:t>
      </w:r>
      <w:r>
        <w:t xml:space="preserve"> </w:t>
      </w:r>
      <w:r>
        <w:rPr>
          <w:iCs/>
          <w:i/>
        </w:rPr>
        <w:t xml:space="preserve">The knowledge machine: How irrationality created modern science</w:t>
      </w:r>
      <w:r>
        <w:t xml:space="preserve">. Liveright.</w:t>
      </w:r>
    </w:p>
    <w:bookmarkEnd w:id="480"/>
    <w:bookmarkStart w:id="482" w:name="ref-Tucker2016"/>
    <w:p>
      <w:pPr>
        <w:pStyle w:val="Bibliography"/>
      </w:pPr>
      <w:r>
        <w:t xml:space="preserve">Tucker, Chris. (2016). Satisficing and motivated submaximization (in the philosophy of religion).</w:t>
      </w:r>
      <w:r>
        <w:t xml:space="preserve"> </w:t>
      </w:r>
      <w:r>
        <w:rPr>
          <w:iCs/>
          <w:i/>
        </w:rPr>
        <w:t xml:space="preserve">Philosophy and Phenomenological Research</w:t>
      </w:r>
      <w:r>
        <w:t xml:space="preserve">,</w:t>
      </w:r>
      <w:r>
        <w:t xml:space="preserve"> </w:t>
      </w:r>
      <w:r>
        <w:rPr>
          <w:iCs/>
          <w:i/>
        </w:rPr>
        <w:t xml:space="preserve">93</w:t>
      </w:r>
      <w:r>
        <w:t xml:space="preserve">(1), 127–143. doi:</w:t>
      </w:r>
      <w:hyperlink r:id="rId481">
        <w:r>
          <w:rPr>
            <w:rStyle w:val="Hyperlink"/>
          </w:rPr>
          <w:t xml:space="preserve">10.1111/phpr.12191</w:t>
        </w:r>
      </w:hyperlink>
    </w:p>
    <w:bookmarkEnd w:id="482"/>
    <w:bookmarkStart w:id="483" w:name="ref-Unger1975"/>
    <w:p>
      <w:pPr>
        <w:pStyle w:val="Bibliography"/>
      </w:pPr>
      <w:r>
        <w:t xml:space="preserve">Unger, Peter. (1975).</w:t>
      </w:r>
      <w:r>
        <w:t xml:space="preserve"> </w:t>
      </w:r>
      <w:r>
        <w:rPr>
          <w:iCs/>
          <w:i/>
        </w:rPr>
        <w:t xml:space="preserve">Ignorance: A case for scepticism</w:t>
      </w:r>
      <w:r>
        <w:t xml:space="preserve">. Oxford University Press.</w:t>
      </w:r>
    </w:p>
    <w:bookmarkEnd w:id="483"/>
    <w:bookmarkStart w:id="485" w:name="ref-Weatherson2005-WEACWD"/>
    <w:p>
      <w:pPr>
        <w:pStyle w:val="Bibliography"/>
      </w:pPr>
      <w:r>
        <w:t xml:space="preserve">Weatherson, Brian. (2005a).</w:t>
      </w:r>
      <w:r>
        <w:t xml:space="preserve"> </w:t>
      </w:r>
      <w:r>
        <w:t xml:space="preserve">Can We Do Without Pragmatic Encroachment?</w:t>
      </w:r>
      <w:r>
        <w:t xml:space="preserve"> </w:t>
      </w:r>
      <w:r>
        <w:rPr>
          <w:iCs/>
          <w:i/>
        </w:rPr>
        <w:t xml:space="preserve">Philosophical Perspectives</w:t>
      </w:r>
      <w:r>
        <w:t xml:space="preserve">,</w:t>
      </w:r>
      <w:r>
        <w:t xml:space="preserve"> </w:t>
      </w:r>
      <w:r>
        <w:rPr>
          <w:iCs/>
          <w:i/>
        </w:rPr>
        <w:t xml:space="preserve">19</w:t>
      </w:r>
      <w:r>
        <w:t xml:space="preserve">(1), 417–443. doi:</w:t>
      </w:r>
      <w:hyperlink r:id="rId484">
        <w:r>
          <w:rPr>
            <w:rStyle w:val="Hyperlink"/>
          </w:rPr>
          <w:t xml:space="preserve">10.1111/j.1520-8583.2005.00068.x</w:t>
        </w:r>
      </w:hyperlink>
    </w:p>
    <w:bookmarkEnd w:id="485"/>
    <w:bookmarkStart w:id="487" w:name="ref-Weatherson2005b"/>
    <w:p>
      <w:pPr>
        <w:pStyle w:val="Bibliography"/>
      </w:pPr>
      <w:r>
        <w:t xml:space="preserve">Weatherson, Brian. (2005b). True, truer, truest.</w:t>
      </w:r>
      <w:r>
        <w:t xml:space="preserve"> </w:t>
      </w:r>
      <w:r>
        <w:rPr>
          <w:iCs/>
          <w:i/>
        </w:rPr>
        <w:t xml:space="preserve">Philosophical Studies</w:t>
      </w:r>
      <w:r>
        <w:t xml:space="preserve">,</w:t>
      </w:r>
      <w:r>
        <w:t xml:space="preserve"> </w:t>
      </w:r>
      <w:r>
        <w:rPr>
          <w:iCs/>
          <w:i/>
        </w:rPr>
        <w:t xml:space="preserve">123</w:t>
      </w:r>
      <w:r>
        <w:t xml:space="preserve">(1-2), 47–70. doi:</w:t>
      </w:r>
      <w:hyperlink r:id="rId486">
        <w:r>
          <w:rPr>
            <w:rStyle w:val="Hyperlink"/>
          </w:rPr>
          <w:t xml:space="preserve">10.1007/s11098-004-5218-x</w:t>
        </w:r>
      </w:hyperlink>
    </w:p>
    <w:bookmarkEnd w:id="487"/>
    <w:bookmarkStart w:id="489" w:name="ref-Weatherson2011-WEADIR"/>
    <w:p>
      <w:pPr>
        <w:pStyle w:val="Bibliography"/>
      </w:pPr>
      <w:r>
        <w:t xml:space="preserve">Weatherson, Brian. (2011). Defending interest-relative invariantism.</w:t>
      </w:r>
      <w:r>
        <w:t xml:space="preserve"> </w:t>
      </w:r>
      <w:r>
        <w:rPr>
          <w:iCs/>
          <w:i/>
        </w:rPr>
        <w:t xml:space="preserve">Logos &amp; Episteme</w:t>
      </w:r>
      <w:r>
        <w:t xml:space="preserve">,</w:t>
      </w:r>
      <w:r>
        <w:t xml:space="preserve"> </w:t>
      </w:r>
      <w:r>
        <w:rPr>
          <w:iCs/>
          <w:i/>
        </w:rPr>
        <w:t xml:space="preserve">2</w:t>
      </w:r>
      <w:r>
        <w:t xml:space="preserve">(4), 591–609. doi:</w:t>
      </w:r>
      <w:hyperlink r:id="rId488">
        <w:r>
          <w:rPr>
            <w:rStyle w:val="Hyperlink"/>
          </w:rPr>
          <w:t xml:space="preserve">10.5840/logos-episteme2011248</w:t>
        </w:r>
      </w:hyperlink>
    </w:p>
    <w:bookmarkEnd w:id="489"/>
    <w:bookmarkStart w:id="490" w:name="ref-Weatherson2012"/>
    <w:p>
      <w:pPr>
        <w:pStyle w:val="Bibliography"/>
      </w:pPr>
      <w:r>
        <w:t xml:space="preserve">Weatherson, Brian. (2012). Knowledge, bets and interests. In Jessica Brown &amp; Mikkel Gerken (Eds.),</w:t>
      </w:r>
      <w:r>
        <w:t xml:space="preserve"> </w:t>
      </w:r>
      <w:r>
        <w:rPr>
          <w:iCs/>
          <w:i/>
        </w:rPr>
        <w:t xml:space="preserve">Knowledge ascriptions</w:t>
      </w:r>
      <w:r>
        <w:t xml:space="preserve"> </w:t>
      </w:r>
      <w:r>
        <w:t xml:space="preserve">(75–103). Oxford University Press.</w:t>
      </w:r>
    </w:p>
    <w:bookmarkEnd w:id="490"/>
    <w:bookmarkStart w:id="492" w:name="ref-Weatherson2015"/>
    <w:p>
      <w:pPr>
        <w:pStyle w:val="Bibliography"/>
      </w:pPr>
      <w:r>
        <w:t xml:space="preserve">Weatherson, Brian. (2015). Memory, belief and time.</w:t>
      </w:r>
      <w:r>
        <w:t xml:space="preserve"> </w:t>
      </w:r>
      <w:r>
        <w:rPr>
          <w:iCs/>
          <w:i/>
        </w:rPr>
        <w:t xml:space="preserve">Canadian Journal of Philosophy</w:t>
      </w:r>
      <w:r>
        <w:t xml:space="preserve">,</w:t>
      </w:r>
      <w:r>
        <w:t xml:space="preserve"> </w:t>
      </w:r>
      <w:r>
        <w:rPr>
          <w:iCs/>
          <w:i/>
        </w:rPr>
        <w:t xml:space="preserve">45</w:t>
      </w:r>
      <w:r>
        <w:t xml:space="preserve">(5-6), 692–715. doi:</w:t>
      </w:r>
      <w:hyperlink r:id="rId491">
        <w:r>
          <w:rPr>
            <w:rStyle w:val="Hyperlink"/>
          </w:rPr>
          <w:t xml:space="preserve">10.1080/00455091.2015.1125250</w:t>
        </w:r>
      </w:hyperlink>
    </w:p>
    <w:bookmarkEnd w:id="492"/>
    <w:bookmarkStart w:id="494" w:name="ref-Weatherson2016"/>
    <w:p>
      <w:pPr>
        <w:pStyle w:val="Bibliography"/>
      </w:pPr>
      <w:r>
        <w:t xml:space="preserve">Weatherson, Brian. (2016a). Games, beliefs and credences.</w:t>
      </w:r>
      <w:r>
        <w:t xml:space="preserve"> </w:t>
      </w:r>
      <w:r>
        <w:rPr>
          <w:iCs/>
          <w:i/>
        </w:rPr>
        <w:t xml:space="preserve">Philosophy and Phenomenological Research</w:t>
      </w:r>
      <w:r>
        <w:t xml:space="preserve">,</w:t>
      </w:r>
      <w:r>
        <w:t xml:space="preserve"> </w:t>
      </w:r>
      <w:r>
        <w:rPr>
          <w:iCs/>
          <w:i/>
        </w:rPr>
        <w:t xml:space="preserve">92</w:t>
      </w:r>
      <w:r>
        <w:t xml:space="preserve">(2), 209–236. doi:</w:t>
      </w:r>
      <w:hyperlink r:id="rId493">
        <w:r>
          <w:rPr>
            <w:rStyle w:val="Hyperlink"/>
          </w:rPr>
          <w:t xml:space="preserve">10.1111/phpr.12088</w:t>
        </w:r>
      </w:hyperlink>
    </w:p>
    <w:bookmarkEnd w:id="494"/>
    <w:bookmarkStart w:id="495" w:name="ref-Weatherson2016-WEARTE"/>
    <w:p>
      <w:pPr>
        <w:pStyle w:val="Bibliography"/>
      </w:pPr>
      <w:r>
        <w:t xml:space="preserve">Weatherson, Brian. (2016b). Reply to eaton and pickavance.</w:t>
      </w:r>
      <w:r>
        <w:t xml:space="preserve"> </w:t>
      </w:r>
      <w:r>
        <w:rPr>
          <w:iCs/>
          <w:i/>
        </w:rPr>
        <w:t xml:space="preserve">Philosophical Studies</w:t>
      </w:r>
      <w:r>
        <w:t xml:space="preserve">,</w:t>
      </w:r>
      <w:r>
        <w:t xml:space="preserve"> </w:t>
      </w:r>
      <w:r>
        <w:rPr>
          <w:iCs/>
          <w:i/>
        </w:rPr>
        <w:t xml:space="preserve">173</w:t>
      </w:r>
      <w:r>
        <w:t xml:space="preserve">(12), 3231–3233.</w:t>
      </w:r>
    </w:p>
    <w:bookmarkEnd w:id="495"/>
    <w:bookmarkStart w:id="496" w:name="ref-Weatherson2017-WEAII"/>
    <w:p>
      <w:pPr>
        <w:pStyle w:val="Bibliography"/>
      </w:pPr>
      <w:r>
        <w:t xml:space="preserve">Weatherson, Brian. (2017). Interest-relative invariantism. In Jonathan Ichikawa (Ed.),</w:t>
      </w:r>
      <w:r>
        <w:t xml:space="preserve"> </w:t>
      </w:r>
      <w:r>
        <w:rPr>
          <w:iCs/>
          <w:i/>
        </w:rPr>
        <w:t xml:space="preserve">The routledge handbook of epistemic contextualism</w:t>
      </w:r>
      <w:r>
        <w:t xml:space="preserve"> </w:t>
      </w:r>
      <w:r>
        <w:t xml:space="preserve">(240–253). Routledge.</w:t>
      </w:r>
    </w:p>
    <w:bookmarkEnd w:id="496"/>
    <w:bookmarkStart w:id="497" w:name="ref-Weatherson2018-WEAIEA-2"/>
    <w:p>
      <w:pPr>
        <w:pStyle w:val="Bibliography"/>
      </w:pPr>
      <w:r>
        <w:t xml:space="preserve">Weatherson, Brian. (2018). Interests, evidence and games.</w:t>
      </w:r>
      <w:r>
        <w:t xml:space="preserve"> </w:t>
      </w:r>
      <w:r>
        <w:rPr>
          <w:iCs/>
          <w:i/>
        </w:rPr>
        <w:t xml:space="preserve">Episteme</w:t>
      </w:r>
      <w:r>
        <w:t xml:space="preserve">,</w:t>
      </w:r>
      <w:r>
        <w:t xml:space="preserve"> </w:t>
      </w:r>
      <w:r>
        <w:rPr>
          <w:iCs/>
          <w:i/>
        </w:rPr>
        <w:t xml:space="preserve">15</w:t>
      </w:r>
      <w:r>
        <w:t xml:space="preserve">(3), 329–344.</w:t>
      </w:r>
    </w:p>
    <w:bookmarkEnd w:id="497"/>
    <w:bookmarkStart w:id="498" w:name="ref-Weatherson2019"/>
    <w:p>
      <w:pPr>
        <w:pStyle w:val="Bibliography"/>
      </w:pPr>
      <w:r>
        <w:t xml:space="preserve">Weatherson, Brian. (2019).</w:t>
      </w:r>
      <w:r>
        <w:t xml:space="preserve"> </w:t>
      </w:r>
      <w:r>
        <w:rPr>
          <w:iCs/>
          <w:i/>
        </w:rPr>
        <w:t xml:space="preserve">Normative externalism</w:t>
      </w:r>
      <w:r>
        <w:t xml:space="preserve">. Oxford University Press.</w:t>
      </w:r>
    </w:p>
    <w:bookmarkEnd w:id="498"/>
    <w:bookmarkStart w:id="500" w:name="ref-Weisberg2010"/>
    <w:p>
      <w:pPr>
        <w:pStyle w:val="Bibliography"/>
      </w:pPr>
      <w:r>
        <w:t xml:space="preserve">Weisberg, Jonathan. (2010). Bootstrapping in general.</w:t>
      </w:r>
      <w:r>
        <w:t xml:space="preserve"> </w:t>
      </w:r>
      <w:r>
        <w:rPr>
          <w:iCs/>
          <w:i/>
        </w:rPr>
        <w:t xml:space="preserve">Philosophy and Phenomenological Research</w:t>
      </w:r>
      <w:r>
        <w:t xml:space="preserve">,</w:t>
      </w:r>
      <w:r>
        <w:t xml:space="preserve"> </w:t>
      </w:r>
      <w:r>
        <w:rPr>
          <w:iCs/>
          <w:i/>
        </w:rPr>
        <w:t xml:space="preserve">81</w:t>
      </w:r>
      <w:r>
        <w:t xml:space="preserve">(3), 525–548. doi:</w:t>
      </w:r>
      <w:hyperlink r:id="rId499">
        <w:r>
          <w:rPr>
            <w:rStyle w:val="Hyperlink"/>
          </w:rPr>
          <w:t xml:space="preserve">10.1111/j.1933-1592.2010.00448.x</w:t>
        </w:r>
      </w:hyperlink>
    </w:p>
    <w:bookmarkEnd w:id="500"/>
    <w:bookmarkStart w:id="502" w:name="ref-Weisberg2013"/>
    <w:p>
      <w:pPr>
        <w:pStyle w:val="Bibliography"/>
      </w:pPr>
      <w:r>
        <w:t xml:space="preserve">Weisberg, Jonathan. (2013). Knowledge in action.</w:t>
      </w:r>
      <w:r>
        <w:t xml:space="preserve"> </w:t>
      </w:r>
      <w:r>
        <w:rPr>
          <w:iCs/>
          <w:i/>
        </w:rPr>
        <w:t xml:space="preserve">Philosophers’ Imprint</w:t>
      </w:r>
      <w:r>
        <w:t xml:space="preserve">,</w:t>
      </w:r>
      <w:r>
        <w:t xml:space="preserve"> </w:t>
      </w:r>
      <w:r>
        <w:rPr>
          <w:iCs/>
          <w:i/>
        </w:rPr>
        <w:t xml:space="preserve">13</w:t>
      </w:r>
      <w:r>
        <w:t xml:space="preserve">(22), 1–23. doi:</w:t>
      </w:r>
      <w:hyperlink r:id="rId501">
        <w:r>
          <w:rPr>
            <w:rStyle w:val="Hyperlink"/>
          </w:rPr>
          <w:t xml:space="preserve">2027/spo.3521354.0013.022</w:t>
        </w:r>
      </w:hyperlink>
    </w:p>
    <w:bookmarkEnd w:id="502"/>
    <w:bookmarkStart w:id="503" w:name="ref-Weisberg2020"/>
    <w:p>
      <w:pPr>
        <w:pStyle w:val="Bibliography"/>
      </w:pPr>
      <w:r>
        <w:t xml:space="preserve">Weisberg, Jonathan. (2020). Belief in psyontology.</w:t>
      </w:r>
      <w:r>
        <w:t xml:space="preserve"> </w:t>
      </w:r>
      <w:r>
        <w:rPr>
          <w:iCs/>
          <w:i/>
        </w:rPr>
        <w:t xml:space="preserve">Philosophers’ Imprint</w:t>
      </w:r>
      <w:r>
        <w:t xml:space="preserve">, xx–xx.</w:t>
      </w:r>
    </w:p>
    <w:bookmarkEnd w:id="503"/>
    <w:bookmarkStart w:id="505" w:name="ref-White2005-WHIEP"/>
    <w:p>
      <w:pPr>
        <w:pStyle w:val="Bibliography"/>
      </w:pPr>
      <w:r>
        <w:t xml:space="preserve">White, Roger. (2005). Epistemic permissiveness.</w:t>
      </w:r>
      <w:r>
        <w:t xml:space="preserve"> </w:t>
      </w:r>
      <w:r>
        <w:rPr>
          <w:iCs/>
          <w:i/>
        </w:rPr>
        <w:t xml:space="preserve">Philosophical Perspectives</w:t>
      </w:r>
      <w:r>
        <w:t xml:space="preserve">,</w:t>
      </w:r>
      <w:r>
        <w:t xml:space="preserve"> </w:t>
      </w:r>
      <w:r>
        <w:rPr>
          <w:iCs/>
          <w:i/>
        </w:rPr>
        <w:t xml:space="preserve">19</w:t>
      </w:r>
      <w:r>
        <w:t xml:space="preserve">, 445–459. doi:</w:t>
      </w:r>
      <w:hyperlink r:id="rId504">
        <w:r>
          <w:rPr>
            <w:rStyle w:val="Hyperlink"/>
          </w:rPr>
          <w:t xml:space="preserve">10.1111/j.1520-8583.2005.00069.x</w:t>
        </w:r>
      </w:hyperlink>
    </w:p>
    <w:bookmarkEnd w:id="505"/>
    <w:bookmarkStart w:id="506" w:name="ref-Williams1976"/>
    <w:p>
      <w:pPr>
        <w:pStyle w:val="Bibliography"/>
      </w:pPr>
      <w:r>
        <w:t xml:space="preserve">Williams, Peter. (1976). Indeterminate probabilities. In M. Przelecki, K. Szaniawski, &amp; R. Wojcicki (Eds.),</w:t>
      </w:r>
      <w:r>
        <w:t xml:space="preserve"> </w:t>
      </w:r>
      <w:r>
        <w:rPr>
          <w:iCs/>
          <w:i/>
        </w:rPr>
        <w:t xml:space="preserve">Formal methods in the methodology of the empriccal sciences</w:t>
      </w:r>
      <w:r>
        <w:t xml:space="preserve"> </w:t>
      </w:r>
      <w:r>
        <w:t xml:space="preserve">(229–246). Reidel.</w:t>
      </w:r>
    </w:p>
    <w:bookmarkEnd w:id="506"/>
    <w:bookmarkStart w:id="507" w:name="ref-Williamson1994"/>
    <w:p>
      <w:pPr>
        <w:pStyle w:val="Bibliography"/>
      </w:pPr>
      <w:r>
        <w:t xml:space="preserve">Williamson, Timothy. (1994).</w:t>
      </w:r>
      <w:r>
        <w:t xml:space="preserve"> </w:t>
      </w:r>
      <w:r>
        <w:rPr>
          <w:iCs/>
          <w:i/>
        </w:rPr>
        <w:t xml:space="preserve">Vagueness</w:t>
      </w:r>
      <w:r>
        <w:t xml:space="preserve">. Routledge.</w:t>
      </w:r>
    </w:p>
    <w:bookmarkEnd w:id="507"/>
    <w:bookmarkStart w:id="508" w:name="ref-Williamson2000"/>
    <w:p>
      <w:pPr>
        <w:pStyle w:val="Bibliography"/>
      </w:pPr>
      <w:r>
        <w:t xml:space="preserve">Williamson, Timothy. (2000).</w:t>
      </w:r>
      <w:r>
        <w:t xml:space="preserve"> </w:t>
      </w:r>
      <w:r>
        <w:rPr>
          <w:iCs/>
          <w:i/>
        </w:rPr>
        <w:t xml:space="preserve">Knowledge and its Limits</w:t>
      </w:r>
      <w:r>
        <w:t xml:space="preserve">. Oxford University Press.</w:t>
      </w:r>
    </w:p>
    <w:bookmarkEnd w:id="508"/>
    <w:bookmarkStart w:id="510" w:name="ref-Williamson2005"/>
    <w:p>
      <w:pPr>
        <w:pStyle w:val="Bibliography"/>
      </w:pPr>
      <w:r>
        <w:t xml:space="preserve">Williamson, Timothy. (2005).</w:t>
      </w:r>
      <w:r>
        <w:t xml:space="preserve"> </w:t>
      </w:r>
      <w:r>
        <w:t xml:space="preserve">Contextualism, Subject-Sensitive Invariantism and Knowledge of Knowledge</w:t>
      </w:r>
      <w:r>
        <w:t xml:space="preserve">.</w:t>
      </w:r>
      <w:r>
        <w:t xml:space="preserve"> </w:t>
      </w:r>
      <w:r>
        <w:rPr>
          <w:iCs/>
          <w:i/>
        </w:rPr>
        <w:t xml:space="preserve">The Philosophical Quarterly</w:t>
      </w:r>
      <w:r>
        <w:t xml:space="preserve">,</w:t>
      </w:r>
      <w:r>
        <w:t xml:space="preserve"> </w:t>
      </w:r>
      <w:r>
        <w:rPr>
          <w:iCs/>
          <w:i/>
        </w:rPr>
        <w:t xml:space="preserve">55</w:t>
      </w:r>
      <w:r>
        <w:t xml:space="preserve">(219), 213–235. doi:</w:t>
      </w:r>
      <w:hyperlink r:id="rId509">
        <w:r>
          <w:rPr>
            <w:rStyle w:val="Hyperlink"/>
          </w:rPr>
          <w:t xml:space="preserve">10.1111/j.0031-8094.2005.00396.x</w:t>
        </w:r>
      </w:hyperlink>
    </w:p>
    <w:bookmarkEnd w:id="510"/>
    <w:bookmarkStart w:id="512" w:name="ref-Williamson2007"/>
    <w:p>
      <w:pPr>
        <w:pStyle w:val="Bibliography"/>
      </w:pPr>
      <w:r>
        <w:t xml:space="preserve">Williamson, Timothy. (2007). How probable is an infinite sequence of heads?</w:t>
      </w:r>
      <w:r>
        <w:t xml:space="preserve"> </w:t>
      </w:r>
      <w:r>
        <w:rPr>
          <w:iCs/>
          <w:i/>
        </w:rPr>
        <w:t xml:space="preserve">Analysis</w:t>
      </w:r>
      <w:r>
        <w:t xml:space="preserve">,</w:t>
      </w:r>
      <w:r>
        <w:t xml:space="preserve"> </w:t>
      </w:r>
      <w:r>
        <w:rPr>
          <w:iCs/>
          <w:i/>
        </w:rPr>
        <w:t xml:space="preserve">67</w:t>
      </w:r>
      <w:r>
        <w:t xml:space="preserve">(295), 173–180. doi:</w:t>
      </w:r>
      <w:hyperlink r:id="rId511">
        <w:r>
          <w:rPr>
            <w:rStyle w:val="Hyperlink"/>
          </w:rPr>
          <w:t xml:space="preserve">10.1111/j.1467-8284.2007.00671.x</w:t>
        </w:r>
      </w:hyperlink>
    </w:p>
    <w:bookmarkEnd w:id="512"/>
    <w:bookmarkStart w:id="514" w:name="ref-WilliamsonLofoten"/>
    <w:p>
      <w:pPr>
        <w:pStyle w:val="Bibliography"/>
      </w:pPr>
      <w:r>
        <w:t xml:space="preserve">Williamson, Timothy. (2013). Gettier cases in epistemic logic.</w:t>
      </w:r>
      <w:r>
        <w:t xml:space="preserve"> </w:t>
      </w:r>
      <w:r>
        <w:rPr>
          <w:iCs/>
          <w:i/>
        </w:rPr>
        <w:t xml:space="preserve">Inquiry</w:t>
      </w:r>
      <w:r>
        <w:t xml:space="preserve">,</w:t>
      </w:r>
      <w:r>
        <w:t xml:space="preserve"> </w:t>
      </w:r>
      <w:r>
        <w:rPr>
          <w:iCs/>
          <w:i/>
        </w:rPr>
        <w:t xml:space="preserve">56</w:t>
      </w:r>
      <w:r>
        <w:t xml:space="preserve">(1), 1–14. doi:</w:t>
      </w:r>
      <w:hyperlink r:id="rId513">
        <w:r>
          <w:rPr>
            <w:rStyle w:val="Hyperlink"/>
          </w:rPr>
          <w:t xml:space="preserve">10.1080/0020174X.2013.775010</w:t>
        </w:r>
      </w:hyperlink>
    </w:p>
    <w:bookmarkEnd w:id="514"/>
    <w:bookmarkStart w:id="515" w:name="ref-Williamson2022"/>
    <w:p>
      <w:pPr>
        <w:pStyle w:val="Bibliography"/>
      </w:pPr>
      <w:r>
        <w:t xml:space="preserve">Williamson, Timothy. (2022). Knowledge, credence, and the strength of belief. In Amy Flowerree &amp; Baron Reed (Eds.),</w:t>
      </w:r>
      <w:r>
        <w:t xml:space="preserve"> </w:t>
      </w:r>
      <w:r>
        <w:rPr>
          <w:iCs/>
          <w:i/>
        </w:rPr>
        <w:t xml:space="preserve">Expansive epistemology: Norms, action, and the social world</w:t>
      </w:r>
      <w:r>
        <w:t xml:space="preserve"> </w:t>
      </w:r>
      <w:r>
        <w:t xml:space="preserve">(xx–xx). Routledge.</w:t>
      </w:r>
    </w:p>
    <w:bookmarkEnd w:id="515"/>
    <w:bookmarkStart w:id="516" w:name="ref-Wittgenstein1953"/>
    <w:p>
      <w:pPr>
        <w:pStyle w:val="Bibliography"/>
      </w:pPr>
      <w:r>
        <w:t xml:space="preserve">Wittgenstein, Ludwig. (1953).</w:t>
      </w:r>
      <w:r>
        <w:t xml:space="preserve"> </w:t>
      </w:r>
      <w:r>
        <w:rPr>
          <w:iCs/>
          <w:i/>
        </w:rPr>
        <w:t xml:space="preserve">Philosophical investigations</w:t>
      </w:r>
      <w:r>
        <w:t xml:space="preserve">. Macmillan.</w:t>
      </w:r>
    </w:p>
    <w:bookmarkEnd w:id="516"/>
    <w:bookmarkStart w:id="517" w:name="ref-Woodard2021"/>
    <w:p>
      <w:pPr>
        <w:pStyle w:val="Bibliography"/>
      </w:pPr>
      <w:r>
        <w:t xml:space="preserve">Woodard, Elise. (2020).</w:t>
      </w:r>
      <w:r>
        <w:t xml:space="preserve"> </w:t>
      </w:r>
      <w:r>
        <w:rPr>
          <w:iCs/>
          <w:i/>
        </w:rPr>
        <w:t xml:space="preserve">Why double-check</w:t>
      </w:r>
      <w:r>
        <w:t xml:space="preserve">.</w:t>
      </w:r>
    </w:p>
    <w:bookmarkEnd w:id="517"/>
    <w:bookmarkStart w:id="519" w:name="ref-Wright2002"/>
    <w:p>
      <w:pPr>
        <w:pStyle w:val="Bibliography"/>
      </w:pPr>
      <w:r>
        <w:t xml:space="preserve">Wright, Crispin. (2002). (Anti-)sceptics simple and subtle: G.e. Moore and john McDowell.</w:t>
      </w:r>
      <w:r>
        <w:t xml:space="preserve"> </w:t>
      </w:r>
      <w:r>
        <w:rPr>
          <w:iCs/>
          <w:i/>
        </w:rPr>
        <w:t xml:space="preserve">Philosophy and Phenomenological Research</w:t>
      </w:r>
      <w:r>
        <w:t xml:space="preserve">,</w:t>
      </w:r>
      <w:r>
        <w:t xml:space="preserve"> </w:t>
      </w:r>
      <w:r>
        <w:rPr>
          <w:iCs/>
          <w:i/>
        </w:rPr>
        <w:t xml:space="preserve">65</w:t>
      </w:r>
      <w:r>
        <w:t xml:space="preserve">(2), 330–348. doi:</w:t>
      </w:r>
      <w:hyperlink r:id="rId518">
        <w:r>
          <w:rPr>
            <w:rStyle w:val="Hyperlink"/>
          </w:rPr>
          <w:t xml:space="preserve">10.1111/j.1933-1592.2002.tb00205.x</w:t>
        </w:r>
      </w:hyperlink>
    </w:p>
    <w:bookmarkEnd w:id="519"/>
    <w:bookmarkStart w:id="520" w:name="ref-Wright2018"/>
    <w:p>
      <w:pPr>
        <w:pStyle w:val="Bibliography"/>
      </w:pPr>
      <w:r>
        <w:t xml:space="preserve">Wright, Crispin. (2018).</w:t>
      </w:r>
      <w:r>
        <w:t xml:space="preserve"> </w:t>
      </w:r>
      <w:r>
        <w:rPr>
          <w:iCs/>
          <w:i/>
        </w:rPr>
        <w:t xml:space="preserve">A plague on all your houses: Some reflections on the variable behaviour of "knows"</w:t>
      </w:r>
      <w:r>
        <w:t xml:space="preserve"> </w:t>
      </w:r>
      <w:r>
        <w:t xml:space="preserve">(A. Coliva, P. Leonardi, &amp; S. Moruzzi, Eds.). Palgrave Macmillan.</w:t>
      </w:r>
    </w:p>
    <w:bookmarkEnd w:id="520"/>
    <w:bookmarkStart w:id="522" w:name="ref-Wu2024"/>
    <w:p>
      <w:pPr>
        <w:pStyle w:val="Bibliography"/>
      </w:pPr>
      <w:r>
        <w:t xml:space="preserve">Wu, Jenny Yi-Chen. (forthcoming). A defense of impurist permissivism (1st edition).</w:t>
      </w:r>
      <w:r>
        <w:t xml:space="preserve"> </w:t>
      </w:r>
      <w:r>
        <w:rPr>
          <w:iCs/>
          <w:i/>
        </w:rPr>
        <w:t xml:space="preserve">Episteme</w:t>
      </w:r>
      <w:r>
        <w:t xml:space="preserve">, (N/A), 1–21. doi:</w:t>
      </w:r>
      <w:hyperlink r:id="rId521">
        <w:r>
          <w:rPr>
            <w:rStyle w:val="Hyperlink"/>
          </w:rPr>
          <w:t xml:space="preserve">10.1017/epi.2023.22</w:t>
        </w:r>
      </w:hyperlink>
    </w:p>
    <w:bookmarkEnd w:id="522"/>
    <w:bookmarkStart w:id="524" w:name="ref-Yalcin2018"/>
    <w:p>
      <w:pPr>
        <w:pStyle w:val="Bibliography"/>
      </w:pPr>
      <w:r>
        <w:t xml:space="preserve">Yalcin, Seth. (2018). Belief as question-sensitive.</w:t>
      </w:r>
      <w:r>
        <w:t xml:space="preserve"> </w:t>
      </w:r>
      <w:r>
        <w:rPr>
          <w:iCs/>
          <w:i/>
        </w:rPr>
        <w:t xml:space="preserve">Philosophy and Phenomenological Research</w:t>
      </w:r>
      <w:r>
        <w:t xml:space="preserve">,</w:t>
      </w:r>
      <w:r>
        <w:t xml:space="preserve"> </w:t>
      </w:r>
      <w:r>
        <w:rPr>
          <w:iCs/>
          <w:i/>
        </w:rPr>
        <w:t xml:space="preserve">97</w:t>
      </w:r>
      <w:r>
        <w:t xml:space="preserve">(1), 23–47. doi:</w:t>
      </w:r>
      <w:hyperlink r:id="rId523">
        <w:r>
          <w:rPr>
            <w:rStyle w:val="Hyperlink"/>
          </w:rPr>
          <w:t xml:space="preserve">10.1111/phpr.12330</w:t>
        </w:r>
      </w:hyperlink>
    </w:p>
    <w:bookmarkEnd w:id="524"/>
    <w:bookmarkStart w:id="525" w:name="ref-Yalcin2021"/>
    <w:p>
      <w:pPr>
        <w:pStyle w:val="Bibliography"/>
      </w:pPr>
      <w:r>
        <w:t xml:space="preserve">Yalcin, Seth. (2021). Fragmented but rational. In Christina Borgoni, Dirk Kindermann, &amp; Andrea Onofori (Eds.),</w:t>
      </w:r>
      <w:r>
        <w:t xml:space="preserve"> </w:t>
      </w:r>
      <w:r>
        <w:rPr>
          <w:iCs/>
          <w:i/>
        </w:rPr>
        <w:t xml:space="preserve">The fragmented mind</w:t>
      </w:r>
      <w:r>
        <w:t xml:space="preserve"> </w:t>
      </w:r>
      <w:r>
        <w:t xml:space="preserve">(156–179). Oxford University Press.</w:t>
      </w:r>
    </w:p>
    <w:bookmarkEnd w:id="525"/>
    <w:bookmarkStart w:id="527" w:name="ref-Ye2024"/>
    <w:p>
      <w:pPr>
        <w:pStyle w:val="Bibliography"/>
      </w:pPr>
      <w:r>
        <w:t xml:space="preserve">Ye, Ru. (forthcoming). Knowledge-action principles and threshold-impurism.</w:t>
      </w:r>
      <w:r>
        <w:t xml:space="preserve"> </w:t>
      </w:r>
      <w:r>
        <w:rPr>
          <w:iCs/>
          <w:i/>
        </w:rPr>
        <w:t xml:space="preserve">Erkenntnis</w:t>
      </w:r>
      <w:r>
        <w:t xml:space="preserve">, 1–18. doi:</w:t>
      </w:r>
      <w:hyperlink r:id="rId526">
        <w:r>
          <w:rPr>
            <w:rStyle w:val="Hyperlink"/>
          </w:rPr>
          <w:t xml:space="preserve">10.1007/s10670-022-00626-7</w:t>
        </w:r>
      </w:hyperlink>
    </w:p>
    <w:bookmarkEnd w:id="527"/>
    <w:bookmarkStart w:id="529" w:name="ref-Zweber2016"/>
    <w:p>
      <w:pPr>
        <w:pStyle w:val="Bibliography"/>
      </w:pPr>
      <w:r>
        <w:t xml:space="preserve">Zweber, Adam. (2016). Fallibilism, closure, and pragmatic encroachment.</w:t>
      </w:r>
      <w:r>
        <w:t xml:space="preserve"> </w:t>
      </w:r>
      <w:r>
        <w:rPr>
          <w:iCs/>
          <w:i/>
        </w:rPr>
        <w:t xml:space="preserve">Philosophical Studies</w:t>
      </w:r>
      <w:r>
        <w:t xml:space="preserve">,</w:t>
      </w:r>
      <w:r>
        <w:t xml:space="preserve"> </w:t>
      </w:r>
      <w:r>
        <w:rPr>
          <w:iCs/>
          <w:i/>
        </w:rPr>
        <w:t xml:space="preserve">173</w:t>
      </w:r>
      <w:r>
        <w:t xml:space="preserve">(10), 2745–2757. doi:</w:t>
      </w:r>
      <w:hyperlink r:id="rId528">
        <w:r>
          <w:rPr>
            <w:rStyle w:val="Hyperlink"/>
          </w:rPr>
          <w:t xml:space="preserve">10.1007/s11098-016-0631-5</w:t>
        </w:r>
      </w:hyperlink>
    </w:p>
    <w:bookmarkEnd w:id="529"/>
    <w:bookmarkEnd w:id="530"/>
    <w:bookmarkEnd w:id="531"/>
    <w:sectPr w:rsidR="00431377" w:rsidSect="00630C6E">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altName w:val="Cambria"/>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instance:</w:t>
      </w:r>
      <w:r>
        <w:t xml:space="preserve"> </w:t>
      </w:r>
      <w:r>
        <w:t xml:space="preserve">Kim (2023)</w:t>
      </w:r>
      <w:r>
        <w:t xml:space="preserve">,</w:t>
      </w:r>
      <w:r>
        <w:t xml:space="preserve"> </w:t>
      </w:r>
      <w:r>
        <w:t xml:space="preserve">Gao (2023)</w:t>
      </w:r>
      <w:r>
        <w:t xml:space="preserve">,</w:t>
      </w:r>
      <w:r>
        <w:t xml:space="preserve"> </w:t>
      </w:r>
      <w:r>
        <w:t xml:space="preserve">McKenna (forthcoming)</w:t>
      </w:r>
      <w:r>
        <w:t xml:space="preserve">,</w:t>
      </w:r>
      <w:r>
        <w:t xml:space="preserve"> </w:t>
      </w:r>
      <w:r>
        <w:t xml:space="preserve">Schmidt (forthcoming)</w:t>
      </w:r>
      <w:r>
        <w:t xml:space="preserve">,</w:t>
      </w:r>
      <w:r>
        <w:t xml:space="preserve"> </w:t>
      </w:r>
      <w:r>
        <w:t xml:space="preserve">Steglich-Petersen (forthcoming)</w:t>
      </w:r>
      <w:r>
        <w:t xml:space="preserve">,</w:t>
      </w:r>
      <w:r>
        <w:t xml:space="preserve"> </w:t>
      </w:r>
      <w:r>
        <w:t xml:space="preserve">Wu (forthcoming)</w:t>
      </w:r>
      <w:r>
        <w:t xml:space="preserve">, and</w:t>
      </w:r>
      <w:r>
        <w:t xml:space="preserve"> </w:t>
      </w:r>
      <w:r>
        <w:t xml:space="preserve">Ye (forthcoming)</w:t>
      </w:r>
      <w:r>
        <w:t xml:space="preserve">. That’s about as many people defending interest-relative theories in one year as defended them for the first 15 years since they were introduced in</w:t>
      </w:r>
      <w:r>
        <w:t xml:space="preserve"> </w:t>
      </w:r>
      <w:r>
        <w:t xml:space="preserve">Fantl &amp; McGrath (2002)</w:t>
      </w:r>
      <w:r>
        <w:t xml:space="preserve">.</w:t>
      </w:r>
    </w:p>
  </w:footnote>
  <w:footnote w:id="22">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3">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4">
    <w:p>
      <w:pPr>
        <w:pStyle w:val="FootnoteText"/>
      </w:pPr>
      <w:r>
        <w:rPr>
          <w:rStyle w:val="FootnoteReference"/>
        </w:rPr>
        <w:footnoteRef/>
      </w:r>
      <w:r>
        <w:t xml:space="preserve"> </w:t>
      </w:r>
      <w:r>
        <w:t xml:space="preserve">My main sources here are the Stanford Encyclopedia of Philosophy entry on Philo</w:t>
      </w:r>
      <w:r>
        <w:t xml:space="preserve"> </w:t>
      </w:r>
      <w:r>
        <w:t xml:space="preserve">(Brittain &amp;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5">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&amp; Ganeri, 2020)</w:t>
      </w:r>
      <w:r>
        <w:t xml:space="preserve">.</w:t>
      </w:r>
    </w:p>
  </w:footnote>
  <w:footnote w:id="26">
    <w:p>
      <w:pPr>
        <w:pStyle w:val="FootnoteText"/>
      </w:pPr>
      <w:r>
        <w:rPr>
          <w:rStyle w:val="FootnoteReference"/>
        </w:rPr>
        <w:footnoteRef/>
      </w:r>
      <w:r>
        <w:t xml:space="preserve"> </w:t>
      </w:r>
      <w:r>
        <w:t xml:space="preserve">This is one of the biggest changes between the theory of this book and the theory of my earlier papers. In that earlier work I’d based my arguments for interest-relative theories in pictures of inquiry that ruled out these kinds of inquiry. This was a mistake, and I’ll say more in</w:t>
      </w:r>
      <w:r>
        <w:t xml:space="preserve"> </w:t>
      </w:r>
      <w:hyperlink w:anchor="sec-inquiry">
        <w:r>
          <w:rPr>
            <w:rStyle w:val="Hyperlink"/>
          </w:rPr>
          <w:t xml:space="preserve">Chapter 5</w:t>
        </w:r>
      </w:hyperlink>
      <w:r>
        <w:t xml:space="preserve"> </w:t>
      </w:r>
      <w:r>
        <w:t xml:space="preserve">about the picture of inquiry that endorses 1, rejects 2 and 3, and validates the interest-relative picture.</w:t>
      </w:r>
    </w:p>
  </w:footnote>
  <w:footnote w:id="27">
    <w:p>
      <w:pPr>
        <w:pStyle w:val="FootnoteText"/>
      </w:pPr>
      <w:r>
        <w:rPr>
          <w:rStyle w:val="FootnoteReference"/>
        </w:rPr>
        <w:footnoteRef/>
      </w:r>
      <w:r>
        <w:t xml:space="preserve"> </w:t>
      </w:r>
      <w:r>
        <w:t xml:space="preserve">When I first worked on interest-relativity in epistemology, that was my primary motivation. And while I still think it is a good reason to expect some interest-relativity, it isn’t as central to this book as it was to my earlier work.</w:t>
      </w:r>
    </w:p>
  </w:footnote>
  <w:footnote w:id="28">
    <w:p>
      <w:pPr>
        <w:pStyle w:val="FootnoteText"/>
      </w:pPr>
      <w:r>
        <w:rPr>
          <w:rStyle w:val="FootnoteReference"/>
        </w:rPr>
        <w:footnoteRef/>
      </w:r>
      <w:r>
        <w:t xml:space="preserve"> </w:t>
      </w:r>
      <w:r>
        <w:t xml:space="preserve">This paragraph and the previous one set out features of my version of an interest-relative theory of knowledge which are somewhat idiosyncratic, but which I’ve endorsed for as long as I’ve been writing about interest-relativity. The next two paragraphs describe two idiosyncrasies that reflect changes of mind in response to convincing objections to my previous views.</w:t>
      </w:r>
    </w:p>
  </w:footnote>
  <w:footnote w:id="29">
    <w:p>
      <w:pPr>
        <w:pStyle w:val="FootnoteText"/>
      </w:pPr>
      <w:r>
        <w:rPr>
          <w:rStyle w:val="FootnoteReference"/>
        </w:rPr>
        <w:footnoteRef/>
      </w:r>
      <w:r>
        <w:t xml:space="preserve"> </w:t>
      </w:r>
      <w:r>
        <w:t xml:space="preserve">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30">
    <w:p>
      <w:pPr>
        <w:pStyle w:val="FootnoteText"/>
      </w:pPr>
      <w:r>
        <w:rPr>
          <w:rStyle w:val="FootnoteReference"/>
        </w:rPr>
        <w:footnoteRef/>
      </w:r>
      <w:r>
        <w:t xml:space="preserve"> </w:t>
      </w:r>
      <w:r>
        <w:t xml:space="preserve">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32">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And wouldn’t this extra knowledge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4">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124–5)</w:t>
      </w:r>
      <w:r>
        <w:t xml:space="preserve">. The best form of epistemicism, I’m suggesting, says that Anisa and Blaise are rational but unwise. This isn’t Lasonen-Aarnio’s terminology, but otherwise I’m just coopting her ideas.</w:t>
      </w:r>
    </w:p>
  </w:footnote>
  <w:footnote w:id="35">
    <w:p>
      <w:pPr>
        <w:pStyle w:val="FootnoteText"/>
      </w:pPr>
      <w:r>
        <w:rPr>
          <w:rStyle w:val="FootnoteReference"/>
        </w:rPr>
        <w:footnoteRef/>
      </w:r>
      <w:r>
        <w:t xml:space="preserve"> </w:t>
      </w:r>
      <w:r>
        <w:t xml:space="preserve">I used to say at points like this that the decision only maximised expected utility if the probability of</w:t>
      </w:r>
      <w:r>
        <w:t xml:space="preserve"> </w:t>
      </w:r>
      <w:r>
        <w:rPr>
          <w:iCs/>
          <w:i/>
        </w:rPr>
        <w:t xml:space="preserve">p</w:t>
      </w:r>
      <w:r>
        <w:t xml:space="preserve"> </w:t>
      </w:r>
      <w:r>
        <w:t xml:space="preserve">was incredibly close to one. I no longer think we should be so quick to equate rational choice with choice that maximises expected utility, and this will become important in</w:t>
      </w:r>
      <w:r>
        <w:t xml:space="preserve"> </w:t>
      </w:r>
      <w:hyperlink w:anchor="sec-ties">
        <w:r>
          <w:rPr>
            <w:rStyle w:val="Hyperlink"/>
          </w:rPr>
          <w:t xml:space="preserve">Chapter 6</w:t>
        </w:r>
      </w:hyperlink>
      <w:r>
        <w:t xml:space="preserve">.</w:t>
      </w:r>
    </w:p>
  </w:footnote>
  <w:footnote w:id="39">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41">
    <w:p>
      <w:pPr>
        <w:pStyle w:val="FootnoteText"/>
      </w:pPr>
      <w:r>
        <w:rPr>
          <w:rStyle w:val="FootnoteReference"/>
        </w:rPr>
        <w:footnoteRef/>
      </w:r>
      <w:r>
        <w:t xml:space="preserve"> </w:t>
      </w:r>
      <w:r>
        <w:t xml:space="preserve">This subsection is based on §2 of my</w:t>
      </w:r>
      <w:r>
        <w:t xml:space="preserve"> </w:t>
      </w:r>
      <w:r>
        <w:t xml:space="preserve">(2018)</w:t>
      </w:r>
      <w:r>
        <w:t xml:space="preserve">.</w:t>
      </w:r>
    </w:p>
  </w:footnote>
  <w:footnote w:id="44">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45">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8">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50">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52">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53">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58">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60">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61">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63">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6">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68">
    <w:p>
      <w:pPr>
        <w:pStyle w:val="FootnoteText"/>
      </w:pPr>
      <w:r>
        <w:rPr>
          <w:rStyle w:val="FootnoteReference"/>
        </w:rPr>
        <w:footnoteRef/>
      </w:r>
      <w:r>
        <w:t xml:space="preserve"> </w:t>
      </w:r>
      <w:r>
        <w:t xml:space="preserve">See Lewis</w:t>
      </w:r>
      <w:r>
        <w:t xml:space="preserve"> </w:t>
      </w:r>
      <w:r>
        <w:t xml:space="preserve">(1976, 1986)</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9">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71">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&amp;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72">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73">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4">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5">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w:t>
      </w:r>
    </w:p>
  </w:footnote>
  <w:footnote w:id="77">
    <w:p>
      <w:pPr>
        <w:pStyle w:val="FootnoteText"/>
      </w:pPr>
      <w:r>
        <w:rPr>
          <w:rStyle w:val="FootnoteReference"/>
        </w:rPr>
        <w:footnoteRef/>
      </w:r>
      <w:r>
        <w:t xml:space="preserve"> </w:t>
      </w:r>
      <w:r>
        <w:t xml:space="preserve">Fantl &amp;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Section 8.4.2</w:t>
        </w:r>
      </w:hyperlink>
      <w:r>
        <w:t xml:space="preserve">.</w:t>
      </w:r>
    </w:p>
  </w:footnote>
  <w:footnote w:id="82">
    <w:p>
      <w:pPr>
        <w:pStyle w:val="FootnoteText"/>
      </w:pPr>
      <w:r>
        <w:rPr>
          <w:rStyle w:val="FootnoteReference"/>
        </w:rPr>
        <w:footnoteRef/>
      </w:r>
      <w:r>
        <w:t xml:space="preserve"> </w:t>
      </w:r>
      <w:r>
        <w:t xml:space="preserve">This subsection is based on material from §1 of my</w:t>
      </w:r>
      <w:r>
        <w:t xml:space="preserve"> </w:t>
      </w:r>
      <w:r>
        <w:t xml:space="preserve">(2016a)</w:t>
      </w:r>
      <w:r>
        <w:t xml:space="preserve">.</w:t>
      </w:r>
    </w:p>
  </w:footnote>
  <w:footnote w:id="85">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88">
    <w:p>
      <w:pPr>
        <w:pStyle w:val="FootnoteText"/>
      </w:pPr>
      <w:r>
        <w:rPr>
          <w:rStyle w:val="FootnoteReference"/>
        </w:rPr>
        <w:footnoteRef/>
      </w:r>
      <w:r>
        <w:t xml:space="preserve"> </w:t>
      </w:r>
      <w:r>
        <w:t xml:space="preserve">This section is loosely based on §1.1 of my</w:t>
      </w:r>
      <w:r>
        <w:t xml:space="preserve"> </w:t>
      </w:r>
      <w:r>
        <w:t xml:space="preserve">(2012)</w:t>
      </w:r>
      <w:r>
        <w:t xml:space="preserve">.</w:t>
      </w:r>
    </w:p>
  </w:footnote>
  <w:footnote w:id="90">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91">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92">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Humberstone (1981)</w:t>
      </w:r>
      <w:r>
        <w:t xml:space="preserve">.</w:t>
      </w:r>
    </w:p>
  </w:footnote>
  <w:footnote w:id="93">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5">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8">
    <w:p>
      <w:pPr>
        <w:pStyle w:val="FootnoteText"/>
      </w:pPr>
      <w:r>
        <w:rPr>
          <w:rStyle w:val="FootnoteReference"/>
        </w:rPr>
        <w:footnoteRef/>
      </w:r>
      <w:r>
        <w:t xml:space="preserve"> </w:t>
      </w:r>
      <w:r>
        <w:t xml:space="preserve">I’m indebted here to conversations with Eric Swanson.</w:t>
      </w:r>
    </w:p>
  </w:footnote>
  <w:footnote w:id="100">
    <w:p>
      <w:pPr>
        <w:pStyle w:val="FootnoteText"/>
      </w:pPr>
      <w:r>
        <w:rPr>
          <w:rStyle w:val="FootnoteReference"/>
        </w:rPr>
        <w:footnoteRef/>
      </w:r>
      <w:r>
        <w:t xml:space="preserve"> </w:t>
      </w:r>
      <w:r>
        <w:t xml:space="preserve">This section draws heavily on §1.1 of</w:t>
      </w:r>
      <w:r>
        <w:t xml:space="preserve"> </w:t>
      </w:r>
      <w:r>
        <w:t xml:space="preserve">Weatherson (2012)</w:t>
      </w:r>
      <w:r>
        <w:t xml:space="preserve">.</w:t>
      </w:r>
    </w:p>
  </w:footnote>
  <w:footnote w:id="108">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10">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12">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113">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8">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119">
    <w:p>
      <w:pPr>
        <w:pStyle w:val="FootnoteText"/>
      </w:pPr>
      <w:r>
        <w:rPr>
          <w:rStyle w:val="FootnoteReference"/>
        </w:rPr>
        <w:footnoteRef/>
      </w:r>
      <w:r>
        <w:t xml:space="preserve"> </w:t>
      </w:r>
      <w:r>
        <w:t xml:space="preserve">These quotes were compiled by Elise Woodard</w:t>
      </w:r>
      <w:r>
        <w:t xml:space="preserve"> </w:t>
      </w:r>
      <w:r>
        <w:t xml:space="preserve">(2020)</w:t>
      </w:r>
      <w:r>
        <w:t xml:space="preserve">.</w:t>
      </w:r>
    </w:p>
  </w:footnote>
  <w:footnote w:id="120">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4">
    <w:p>
      <w:pPr>
        <w:pStyle w:val="FootnoteText"/>
      </w:pPr>
      <w:r>
        <w:rPr>
          <w:rStyle w:val="FootnoteReference"/>
        </w:rPr>
        <w:footnoteRef/>
      </w:r>
      <w:r>
        <w:t xml:space="preserve"> </w:t>
      </w:r>
      <w:r>
        <w:t xml:space="preserve">The point here is related to the discussion in</w:t>
      </w:r>
      <w:r>
        <w:t xml:space="preserve"> </w:t>
      </w:r>
      <w:hyperlink w:anchor="sec-neutrality-contextualism">
        <w:r>
          <w:rPr>
            <w:rStyle w:val="Hyperlink"/>
          </w:rPr>
          <w:t xml:space="preserve">Section 2.7.1</w:t>
        </w:r>
      </w:hyperlink>
      <w:r>
        <w:t xml:space="preserve"> </w:t>
      </w:r>
      <w:r>
        <w:t xml:space="preserve">about how sometimes</w:t>
      </w:r>
      <w:r>
        <w:t xml:space="preserve"> </w:t>
      </w:r>
      <w:r>
        <w:rPr>
          <w:iCs/>
          <w:i/>
        </w:rPr>
        <w:t xml:space="preserve">knows</w:t>
      </w:r>
      <w:r>
        <w:t xml:space="preserve"> </w:t>
      </w:r>
      <w:r>
        <w:t xml:space="preserve">seems to just mean</w:t>
      </w:r>
      <w:r>
        <w:t xml:space="preserve"> </w:t>
      </w:r>
      <w:r>
        <w:rPr>
          <w:iCs/>
          <w:i/>
        </w:rPr>
        <w:t xml:space="preserve">possesses the information</w:t>
      </w:r>
      <w:r>
        <w:t xml:space="preserve">.</w:t>
      </w:r>
    </w:p>
  </w:footnote>
  <w:footnote w:id="131">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33">
    <w:p>
      <w:pPr>
        <w:pStyle w:val="FootnoteText"/>
      </w:pPr>
      <w:r>
        <w:rPr>
          <w:rStyle w:val="FootnoteReference"/>
        </w:rPr>
        <w:footnoteRef/>
      </w:r>
      <w:r>
        <w:t xml:space="preserve"> </w:t>
      </w:r>
      <w:r>
        <w:t xml:space="preserve">In</w:t>
      </w:r>
      <w:r>
        <w:t xml:space="preserve"> </w:t>
      </w:r>
      <w:r>
        <w:t xml:space="preserve">Weatherson (2015)</w:t>
      </w:r>
      <w:r>
        <w:t xml:space="preserve"> </w:t>
      </w:r>
      <w:r>
        <w:t xml:space="preserve">I argue that someone whose memory is working has knowledge by memory, even if they are phenomenologically indistinguishable from someone whose memories have been altered, and even if there are salient people whose memories have been tampered with, and who are phenomenologically indistinguishable from them. I don’t mean to argue that there is something wrong with such a person if they double-check the things they know by memory.</w:t>
      </w:r>
    </w:p>
  </w:footnote>
  <w:footnote w:id="134">
    <w:p>
      <w:pPr>
        <w:pStyle w:val="FootnoteText"/>
      </w:pPr>
      <w:r>
        <w:rPr>
          <w:rStyle w:val="FootnoteReference"/>
        </w:rPr>
        <w:footnoteRef/>
      </w:r>
      <w:r>
        <w:t xml:space="preserve"> </w:t>
      </w:r>
      <w:r>
        <w:t xml:space="preserve">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136">
    <w:p>
      <w:pPr>
        <w:pStyle w:val="FootnoteText"/>
      </w:pPr>
      <w:r>
        <w:rPr>
          <w:rStyle w:val="FootnoteReference"/>
        </w:rPr>
        <w:footnoteRef/>
      </w:r>
      <w:r>
        <w:t xml:space="preserve"> </w:t>
      </w:r>
      <w:r>
        <w:t xml:space="preserve">I discussed a famous example from Basu and Schroeder’s paper back in</w:t>
      </w:r>
      <w:r>
        <w:t xml:space="preserve"> </w:t>
      </w:r>
      <w:hyperlink w:anchor="sec-theoreticalknowledge">
        <w:r>
          <w:rPr>
            <w:rStyle w:val="Hyperlink"/>
          </w:rPr>
          <w:t xml:space="preserve">Section 4.5</w:t>
        </w:r>
      </w:hyperlink>
      <w:r>
        <w:t xml:space="preserve">.</w:t>
      </w:r>
    </w:p>
  </w:footnote>
  <w:footnote w:id="138">
    <w:p>
      <w:pPr>
        <w:pStyle w:val="FootnoteText"/>
      </w:pPr>
      <w:r>
        <w:rPr>
          <w:rStyle w:val="FootnoteReference"/>
        </w:rPr>
        <w:footnoteRef/>
      </w:r>
      <w:r>
        <w:t xml:space="preserve"> </w:t>
      </w:r>
      <w:r>
        <w:t xml:space="preserve">More precisely, as I said in</w:t>
      </w:r>
      <w:r>
        <w:t xml:space="preserve"> </w:t>
      </w:r>
      <w:hyperlink w:anchor="sec-theoreticalknowledge">
        <w:r>
          <w:rPr>
            <w:rStyle w:val="Hyperlink"/>
          </w:rPr>
          <w:t xml:space="preserve">Section 4.5</w:t>
        </w:r>
      </w:hyperlink>
      <w:r>
        <w:t xml:space="preserve">, if they use</w:t>
      </w:r>
      <w:r>
        <w:t xml:space="preserve"> </w:t>
      </w:r>
      <w:r>
        <w:rPr>
          <w:iCs/>
          <w:i/>
        </w:rPr>
        <w:t xml:space="preserve">p</w:t>
      </w:r>
      <w:r>
        <w:t xml:space="preserve"> </w:t>
      </w:r>
      <w:r>
        <w:t xml:space="preserve">in</w:t>
      </w:r>
      <w:r>
        <w:t xml:space="preserve"> </w:t>
      </w:r>
      <w:r>
        <w:rPr>
          <w:iCs/>
          <w:i/>
        </w:rPr>
        <w:t xml:space="preserve">i</w:t>
      </w:r>
      <w:r>
        <w:t xml:space="preserve">, that won’t be a mistake because</w:t>
      </w:r>
      <w:r>
        <w:t xml:space="preserve"> </w:t>
      </w:r>
      <w:r>
        <w:rPr>
          <w:iCs/>
          <w:i/>
        </w:rPr>
        <w:t xml:space="preserve">p</w:t>
      </w:r>
      <w:r>
        <w:t xml:space="preserve"> </w:t>
      </w:r>
      <w:r>
        <w:t xml:space="preserve">might be false. I’ll use the more informal version in the text in what follows to increase readability.</w:t>
      </w:r>
    </w:p>
  </w:footnote>
  <w:footnote w:id="139">
    <w:p>
      <w:pPr>
        <w:pStyle w:val="FootnoteText"/>
      </w:pPr>
      <w:r>
        <w:rPr>
          <w:rStyle w:val="FootnoteReference"/>
        </w:rPr>
        <w:footnoteRef/>
      </w:r>
      <w:r>
        <w:t xml:space="preserve"> </w:t>
      </w:r>
      <w:r>
        <w:t xml:space="preserve">I’ll have much more to say about the notion of</w:t>
      </w:r>
      <w:r>
        <w:t xml:space="preserve"> </w:t>
      </w:r>
      <w:r>
        <w:t xml:space="preserve">‘</w:t>
      </w:r>
      <w:r>
        <w:t xml:space="preserve">traditional</w:t>
      </w:r>
      <w:r>
        <w:t xml:space="preserve">’</w:t>
      </w:r>
      <w:r>
        <w:t xml:space="preserve"> </w:t>
      </w:r>
      <w:r>
        <w:t xml:space="preserve">factors in</w:t>
      </w:r>
      <w:r>
        <w:t xml:space="preserve"> </w:t>
      </w:r>
      <w:hyperlink w:anchor="sec-gettier">
        <w:r>
          <w:rPr>
            <w:rStyle w:val="Hyperlink"/>
          </w:rPr>
          <w:t xml:space="preserve">Section 7.2</w:t>
        </w:r>
      </w:hyperlink>
      <w:r>
        <w:t xml:space="preserve">.</w:t>
      </w:r>
    </w:p>
  </w:footnote>
  <w:footnote w:id="144">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Caribbean dollars.</w:t>
      </w:r>
    </w:p>
  </w:footnote>
  <w:footnote w:id="145">
    <w:p>
      <w:pPr>
        <w:pStyle w:val="FootnoteText"/>
      </w:pPr>
      <w:r>
        <w:rPr>
          <w:rStyle w:val="FootnoteReference"/>
        </w:rPr>
        <w:footnoteRef/>
      </w:r>
      <w:r>
        <w:t xml:space="preserve"> </w:t>
      </w:r>
      <w:r>
        <w:t xml:space="preserve">This kind of labeling is common for milk in Australian supermarkets, but not, typically, in American supermarkets.</w:t>
      </w:r>
    </w:p>
  </w:footnote>
  <w:footnote w:id="147">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50">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51">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53">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56">
    <w:p>
      <w:pPr>
        <w:pStyle w:val="FootnoteText"/>
      </w:pPr>
      <w:r>
        <w:rPr>
          <w:rStyle w:val="FootnoteReference"/>
        </w:rPr>
        <w:footnoteRef/>
      </w:r>
      <w:r>
        <w:t xml:space="preserve"> </w:t>
      </w:r>
      <w:r>
        <w:t xml:space="preserve">This reply was first made in my</w:t>
      </w:r>
      <w:r>
        <w:t xml:space="preserve"> </w:t>
      </w:r>
      <w:r>
        <w:t xml:space="preserve">(2016b)</w:t>
      </w:r>
      <w:r>
        <w:t xml:space="preserve">, and earlier replies to Russell and Doris, as well as Blome-Tillman, were made in my</w:t>
      </w:r>
      <w:r>
        <w:t xml:space="preserve"> </w:t>
      </w:r>
      <w:r>
        <w:t xml:space="preserve">(2011)</w:t>
      </w:r>
      <w:r>
        <w:t xml:space="preserve">, although I now believe that those replies did not quite get to the heart of the matter.</w:t>
      </w:r>
    </w:p>
  </w:footnote>
  <w:footnote w:id="158">
    <w:p>
      <w:pPr>
        <w:pStyle w:val="FootnoteText"/>
      </w:pPr>
      <w:r>
        <w:rPr>
          <w:rStyle w:val="FootnoteReference"/>
        </w:rPr>
        <w:footnoteRef/>
      </w:r>
      <w:r>
        <w:t xml:space="preserve"> </w:t>
      </w:r>
      <w:r>
        <w:t xml:space="preserve">I discussed issues about belief more back in</w:t>
      </w:r>
      <w:r>
        <w:t xml:space="preserve"> </w:t>
      </w:r>
      <w:hyperlink w:anchor="sec-belief">
        <w:r>
          <w:rPr>
            <w:rStyle w:val="Hyperlink"/>
          </w:rPr>
          <w:t xml:space="preserve">Chapter 3</w:t>
        </w:r>
      </w:hyperlink>
      <w:r>
        <w:t xml:space="preserve">.</w:t>
      </w:r>
    </w:p>
  </w:footnote>
  <w:footnote w:id="160">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61">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63">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66">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67">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70">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71">
    <w:p>
      <w:pPr>
        <w:pStyle w:val="FootnoteText"/>
      </w:pPr>
      <w:r>
        <w:rPr>
          <w:rStyle w:val="FootnoteReference"/>
        </w:rPr>
        <w:footnoteRef/>
      </w:r>
      <w:r>
        <w:t xml:space="preserve"> </w:t>
      </w:r>
      <w:r>
        <w:t xml:space="preserve">At least, I used to get these points all wrong, and that’s got to be evidence they are easy to get confused about, right?</w:t>
      </w:r>
    </w:p>
  </w:footnote>
  <w:footnote w:id="172">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75">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77">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78">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84">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93">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96">
    <w:p>
      <w:pPr>
        <w:pStyle w:val="FootnoteText"/>
      </w:pPr>
      <w:r>
        <w:rPr>
          <w:rStyle w:val="FootnoteReference"/>
        </w:rPr>
        <w:footnoteRef/>
      </w:r>
      <w:r>
        <w:t xml:space="preserve"> </w:t>
      </w:r>
      <w:r>
        <w:t xml:space="preserve">The idea of writing Newcomb’s problem as this kind of game is due to William</w:t>
      </w:r>
      <w:r>
        <w:t xml:space="preserve"> </w:t>
      </w:r>
      <w:r>
        <w:t xml:space="preserve">Harper (1986)</w:t>
      </w:r>
      <w:r>
        <w:t xml:space="preserve">.</w:t>
      </w:r>
    </w:p>
  </w:footnote>
  <w:footnote w:id="203">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204">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 and this rules out typical Stag Hunt games having a unique solution.</w:t>
      </w:r>
    </w:p>
  </w:footnote>
  <w:footnote w:id="212">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216">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&amp; Boylan, 2017)</w:t>
      </w:r>
      <w:r>
        <w:t xml:space="preserve">. To say Lupin can unlock the phone is not to say he might unlock the phone - anyone might unlock it hitting random numbers - it’s to say he has a method that would unlock the phone if deployed.</w:t>
      </w:r>
    </w:p>
  </w:footnote>
  <w:footnote w:id="217">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18">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9"/>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41841"/>
    <w:pPr>
      <w:snapToGrid w:val="0"/>
      <w:spacing w:after="120" w:before="120" w:line="312" w:lineRule="auto"/>
    </w:pPr>
    <w:rPr>
      <w:rFonts w:ascii="EB Garamond" w:cs="Times New Roman (Body CS)" w:hAnsi="EB Garamond"/>
      <w:sz w:val="22"/>
      <w:szCs w:val="22"/>
    </w:rPr>
  </w:style>
  <w:style w:styleId="Heading1" w:type="paragraph">
    <w:name w:val="heading 1"/>
    <w:basedOn w:val="Normal"/>
    <w:next w:val="BodyText"/>
    <w:uiPriority w:val="9"/>
    <w:rsid w:val="00FA3569"/>
    <w:pPr>
      <w:keepNext/>
      <w:keepLines/>
      <w:pageBreakBefore/>
      <w:spacing w:after="0" w:before="0"/>
      <w:outlineLvl w:val="0"/>
    </w:pPr>
    <w:rPr>
      <w:rFonts w:cs="Times New Roman (Headings CS)" w:eastAsiaTheme="majorEastAsia"/>
      <w:b/>
      <w:bCs/>
      <w:smallCaps/>
      <w:color w:themeColor="text1" w:val="000000"/>
      <w:sz w:val="28"/>
      <w:szCs w:val="32"/>
    </w:rPr>
  </w:style>
  <w:style w:styleId="Heading2" w:type="paragraph">
    <w:name w:val="heading 2"/>
    <w:basedOn w:val="Heading1"/>
    <w:next w:val="BodyText"/>
    <w:uiPriority w:val="9"/>
    <w:unhideWhenUsed/>
    <w:rsid w:val="00FA3569"/>
    <w:pPr>
      <w:pageBreakBefore w:val="0"/>
      <w:spacing w:before="200"/>
      <w:outlineLvl w:val="1"/>
    </w:pPr>
    <w:rPr>
      <w:i/>
      <w:smallCaps w:val="0"/>
      <w:sz w:val="24"/>
      <w:szCs w:val="24"/>
    </w:rPr>
  </w:style>
  <w:style w:styleId="Heading3" w:type="paragraph">
    <w:name w:val="heading 3"/>
    <w:basedOn w:val="Heading2"/>
    <w:next w:val="BodyText"/>
    <w:uiPriority w:val="9"/>
    <w:unhideWhenUsed/>
    <w:rsid w:val="00FA3569"/>
    <w:pPr>
      <w:outlineLvl w:val="2"/>
    </w:pPr>
    <w:rPr>
      <w:b w:val="0"/>
      <w:bCs w:val="0"/>
      <w:i w:val="0"/>
      <w:sz w:val="22"/>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Title"/>
    <w:next w:val="BodyText"/>
    <w:rsid w:val="00EB2974"/>
    <w:pPr>
      <w:spacing w:before="240"/>
    </w:pPr>
    <w:rPr>
      <w:sz w:val="36"/>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next w:val="BodyText"/>
    <w:rsid w:val="00FA3569"/>
    <w:pPr>
      <w:keepNext/>
      <w:keepLines/>
    </w:pPr>
    <w:rPr>
      <w:rFonts w:ascii="EB Garamond" w:hAnsi="EB Garamond"/>
      <w:b/>
      <w:bCs/>
      <w:sz w:val="28"/>
    </w:rPr>
  </w:style>
  <w:style w:customStyle="1" w:styleId="Abstract" w:type="paragraph">
    <w:name w:val="Abstract"/>
    <w:basedOn w:val="Normal"/>
    <w:next w:val="BodyText"/>
    <w:autoRedefine/>
    <w:qForma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4F7B53"/>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61450A"/>
    <w:pPr>
      <w:keepNext/>
      <w:keepLines/>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7" Target="http://hdl.handle.net/2027/spo.3521354.0011.006" TargetMode="External" /><Relationship Type="http://schemas.openxmlformats.org/officeDocument/2006/relationships/hyperlink" Id="rId272"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50" Target="https://doi.org/10.1007/s11098-008-9200-x" TargetMode="External" /><Relationship Type="http://schemas.openxmlformats.org/officeDocument/2006/relationships/hyperlink" Id="rId280"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321" Target="https://doi.org/10.1007/s11098-012-9880-0" TargetMode="External" /><Relationship Type="http://schemas.openxmlformats.org/officeDocument/2006/relationships/hyperlink" Id="rId278"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7"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3" Target="https://doi.org/10.1016/0167-2681(82)90008-7" TargetMode="External" /><Relationship Type="http://schemas.openxmlformats.org/officeDocument/2006/relationships/hyperlink" Id="rId440"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52" Target="https://doi.org/10.1016/j.jcps.2014.08.002" TargetMode="External" /><Relationship Type="http://schemas.openxmlformats.org/officeDocument/2006/relationships/hyperlink" Id="rId415" Target="https://doi.org/10.1016/j.mathsocsci.2013.08.005" TargetMode="External" /><Relationship Type="http://schemas.openxmlformats.org/officeDocument/2006/relationships/hyperlink" Id="rId410"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8" Target="https://doi.org/10.1037/pspp0000141" TargetMode="External" /><Relationship Type="http://schemas.openxmlformats.org/officeDocument/2006/relationships/hyperlink" Id="rId438" Target="https://doi.org/10.1080/00048400802001996" TargetMode="External" /><Relationship Type="http://schemas.openxmlformats.org/officeDocument/2006/relationships/hyperlink" Id="rId431"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401" Target="https://doi.org/10.1080/0020174X.2013.775014" TargetMode="External" /><Relationship Type="http://schemas.openxmlformats.org/officeDocument/2006/relationships/hyperlink" Id="rId250"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2"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4"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25"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33"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43" Target="https://doi.org/10.1111/j.1468-0068.2008.00677.x" TargetMode="External" /><Relationship Type="http://schemas.openxmlformats.org/officeDocument/2006/relationships/hyperlink" Id="rId239"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9" Target="https://doi.org/10.1111/j.1520-8583.2010.00198.x" TargetMode="External" /><Relationship Type="http://schemas.openxmlformats.org/officeDocument/2006/relationships/hyperlink" Id="rId421" Target="https://doi.org/10.1111/j.1533-6077.2004.00034.x" TargetMode="External" /><Relationship Type="http://schemas.openxmlformats.org/officeDocument/2006/relationships/hyperlink" Id="rId263" Target="https://doi.org/10.1111/j.1533-6077.2004.00040.x" TargetMode="External" /><Relationship Type="http://schemas.openxmlformats.org/officeDocument/2006/relationships/hyperlink" Id="rId261"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6" Target="https://doi.org/10.1111/j.1933-1592.2007.00069.x" TargetMode="External" /><Relationship Type="http://schemas.openxmlformats.org/officeDocument/2006/relationships/hyperlink" Id="rId235"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5"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8" Target="https://doi.org/10.1111/nous.12006" TargetMode="External" /><Relationship Type="http://schemas.openxmlformats.org/officeDocument/2006/relationships/hyperlink" Id="rId288"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2"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6" Target="https://doi.org/10.1111/phib.12314" TargetMode="External" /><Relationship Type="http://schemas.openxmlformats.org/officeDocument/2006/relationships/hyperlink" Id="rId290"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4" Target="https://doi.org/10.1111/phpr.12431" TargetMode="External" /><Relationship Type="http://schemas.openxmlformats.org/officeDocument/2006/relationships/hyperlink" Id="rId455"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4" Target="https://doi.org/10.1215/00318108-8540918" TargetMode="External" /><Relationship Type="http://schemas.openxmlformats.org/officeDocument/2006/relationships/hyperlink" Id="rId429" Target="https://doi.org/10.1257/aer.101.2.900" TargetMode="External" /><Relationship Type="http://schemas.openxmlformats.org/officeDocument/2006/relationships/hyperlink" Id="rId246"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8" Target="https://doi.org/10.2307/2951491" TargetMode="External" /><Relationship Type="http://schemas.openxmlformats.org/officeDocument/2006/relationships/hyperlink" Id="rId284" Target="https://doi.org/10.2307/3182570" TargetMode="External" /><Relationship Type="http://schemas.openxmlformats.org/officeDocument/2006/relationships/hyperlink" Id="rId270"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3" Target="https://doi.org/10.3765/sp.5.6" TargetMode="External" /><Relationship Type="http://schemas.openxmlformats.org/officeDocument/2006/relationships/hyperlink" Id="rId275"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5" Target="https://plato.stanford.edu/archives/spr2018/entries/public-reason/" TargetMode="External" /><Relationship Type="http://schemas.openxmlformats.org/officeDocument/2006/relationships/hyperlink" Id="rId267" Target="https://plato.stanford.edu/archives/spr2018/entries/questions/" TargetMode="External" /><Relationship Type="http://schemas.openxmlformats.org/officeDocument/2006/relationships/hyperlink" Id="rId241" Target="https://plato.stanford.edu/archives/sum2021/entries/philo-larissa/" TargetMode="External" /><Relationship Type="http://schemas.openxmlformats.org/officeDocument/2006/relationships/hyperlink" Id="rId418"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57" Target="http://hdl.handle.net/2027/spo.3521354.0011.006" TargetMode="External" /><Relationship Type="http://schemas.openxmlformats.org/officeDocument/2006/relationships/hyperlink" Id="rId272"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50" Target="https://doi.org/10.1007/s11098-008-9200-x" TargetMode="External" /><Relationship Type="http://schemas.openxmlformats.org/officeDocument/2006/relationships/hyperlink" Id="rId280"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321" Target="https://doi.org/10.1007/s11098-012-9880-0" TargetMode="External" /><Relationship Type="http://schemas.openxmlformats.org/officeDocument/2006/relationships/hyperlink" Id="rId278"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7"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3" Target="https://doi.org/10.1016/0167-2681(82)90008-7" TargetMode="External" /><Relationship Type="http://schemas.openxmlformats.org/officeDocument/2006/relationships/hyperlink" Id="rId440"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52" Target="https://doi.org/10.1016/j.jcps.2014.08.002" TargetMode="External" /><Relationship Type="http://schemas.openxmlformats.org/officeDocument/2006/relationships/hyperlink" Id="rId415" Target="https://doi.org/10.1016/j.mathsocsci.2013.08.005" TargetMode="External" /><Relationship Type="http://schemas.openxmlformats.org/officeDocument/2006/relationships/hyperlink" Id="rId410"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8" Target="https://doi.org/10.1037/pspp0000141" TargetMode="External" /><Relationship Type="http://schemas.openxmlformats.org/officeDocument/2006/relationships/hyperlink" Id="rId438" Target="https://doi.org/10.1080/00048400802001996" TargetMode="External" /><Relationship Type="http://schemas.openxmlformats.org/officeDocument/2006/relationships/hyperlink" Id="rId431"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401" Target="https://doi.org/10.1080/0020174X.2013.775014" TargetMode="External" /><Relationship Type="http://schemas.openxmlformats.org/officeDocument/2006/relationships/hyperlink" Id="rId250"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2"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4"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25"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33"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43" Target="https://doi.org/10.1111/j.1468-0068.2008.00677.x" TargetMode="External" /><Relationship Type="http://schemas.openxmlformats.org/officeDocument/2006/relationships/hyperlink" Id="rId239"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9" Target="https://doi.org/10.1111/j.1520-8583.2010.00198.x" TargetMode="External" /><Relationship Type="http://schemas.openxmlformats.org/officeDocument/2006/relationships/hyperlink" Id="rId421" Target="https://doi.org/10.1111/j.1533-6077.2004.00034.x" TargetMode="External" /><Relationship Type="http://schemas.openxmlformats.org/officeDocument/2006/relationships/hyperlink" Id="rId263" Target="https://doi.org/10.1111/j.1533-6077.2004.00040.x" TargetMode="External" /><Relationship Type="http://schemas.openxmlformats.org/officeDocument/2006/relationships/hyperlink" Id="rId261"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6" Target="https://doi.org/10.1111/j.1933-1592.2007.00069.x" TargetMode="External" /><Relationship Type="http://schemas.openxmlformats.org/officeDocument/2006/relationships/hyperlink" Id="rId235"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5"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8" Target="https://doi.org/10.1111/nous.12006" TargetMode="External" /><Relationship Type="http://schemas.openxmlformats.org/officeDocument/2006/relationships/hyperlink" Id="rId288"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2"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6" Target="https://doi.org/10.1111/phib.12314" TargetMode="External" /><Relationship Type="http://schemas.openxmlformats.org/officeDocument/2006/relationships/hyperlink" Id="rId290"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4" Target="https://doi.org/10.1111/phpr.12431" TargetMode="External" /><Relationship Type="http://schemas.openxmlformats.org/officeDocument/2006/relationships/hyperlink" Id="rId455"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4" Target="https://doi.org/10.1215/00318108-8540918" TargetMode="External" /><Relationship Type="http://schemas.openxmlformats.org/officeDocument/2006/relationships/hyperlink" Id="rId429" Target="https://doi.org/10.1257/aer.101.2.900" TargetMode="External" /><Relationship Type="http://schemas.openxmlformats.org/officeDocument/2006/relationships/hyperlink" Id="rId246"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8" Target="https://doi.org/10.2307/2951491" TargetMode="External" /><Relationship Type="http://schemas.openxmlformats.org/officeDocument/2006/relationships/hyperlink" Id="rId284" Target="https://doi.org/10.2307/3182570" TargetMode="External" /><Relationship Type="http://schemas.openxmlformats.org/officeDocument/2006/relationships/hyperlink" Id="rId270"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3" Target="https://doi.org/10.3765/sp.5.6" TargetMode="External" /><Relationship Type="http://schemas.openxmlformats.org/officeDocument/2006/relationships/hyperlink" Id="rId275"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5" Target="https://plato.stanford.edu/archives/spr2018/entries/public-reason/" TargetMode="External" /><Relationship Type="http://schemas.openxmlformats.org/officeDocument/2006/relationships/hyperlink" Id="rId267" Target="https://plato.stanford.edu/archives/spr2018/entries/questions/" TargetMode="External" /><Relationship Type="http://schemas.openxmlformats.org/officeDocument/2006/relationships/hyperlink" Id="rId241" Target="https://plato.stanford.edu/archives/sum2021/entries/philo-larissa/" TargetMode="External" /><Relationship Type="http://schemas.openxmlformats.org/officeDocument/2006/relationships/hyperlink" Id="rId418"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109</Words>
  <Characters>602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2024-03-23T18:16:09Z</dcterms:created>
  <dcterms:modified xsi:type="dcterms:W3CDTF">2024-03-23T18:16:09Z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csl">
    <vt:lpwstr>ergo.csl</vt:lpwstr>
  </property>
  <property fmtid="{D5CDD505-2E9C-101B-9397-08002B2CF9AE}" pid="10" name="date">
    <vt:lpwstr>2024-03-23</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Human Interest Story</vt:lpwstr>
  </property>
  <property fmtid="{D5CDD505-2E9C-101B-9397-08002B2CF9AE}" pid="17" name="toc-title">
    <vt:lpwstr>Table of contents</vt:lpwstr>
  </property>
</Properties>
</file>