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2024-08-30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theoretical reasons from game theory that raise doubts about expected utility maximisation being the full theory of rational choice. Weak dominance reasoning is part of our theory of rational choice, and can’t be modelled as expected utility maximisation. Perhaps some kinds of equilibrium seeking are parts of practical inquiry, and can’t be modelled as expected utility maximisation.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28"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w:t>
      </w:r>
    </w:p>
    <w:p>
      <w:pPr>
        <w:pStyle w:val="BodyText"/>
      </w:pPr>
      <w:r>
        <w:t xml:space="preserve">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w:t>
      </w:r>
    </w:p>
    <w:p>
      <w:pPr>
        <w:pStyle w:val="BodyText"/>
      </w:pPr>
      <w:r>
        <w:t xml:space="preserve">The solution is to identify knowledge with a level of certainty which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had a ratio of discussion to endorsement that philosophy hadn’t seen since Lewis put concrete modal realism on the agenda.</w:t>
      </w:r>
    </w:p>
    <w:p>
      <w:pPr>
        <w:pStyle w:val="BodyText"/>
      </w:pPr>
      <w:r>
        <w:t xml:space="preserve">The terminology that is used to describe the debate about interest-relativity is striking. The interest-relative view is usually opposed to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This is a particularly curious choice of word, and I think its curiosity is related to the strange shape of the literature around interest-relativity.</w:t>
      </w:r>
    </w:p>
    <w:p>
      <w:pPr>
        <w:pStyle w:val="BodyText"/>
      </w:pPr>
      <w:r>
        <w:t xml:space="preserve">The recent literature on interest-relativity was kick-started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The difference between the misdeeds,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Buridan isn’tthe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Friedman (2024b)</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w:t>
      </w:r>
      <w:r>
        <w:rPr>
          <w:rStyle w:val="FootnoteReference"/>
        </w:rPr>
        <w:footnoteReference w:id="26"/>
      </w:r>
      <w:r>
        <w:t xml:space="preserve"> </w:t>
      </w:r>
      <w:r>
        <w:t xml:space="preserve">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p>
    <w:p>
      <w:pPr>
        <w:pStyle w:val="BodyText"/>
      </w:pPr>
      <w:r>
        <w:t xml:space="preserve">The next chapter presents a straightforward argument for interest-relative epistemology.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He also wants to be able to act in the world. Action requires a picture of what reality is like. So we need some mental state that aims to fit the world, and which can guide action.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Still, you should expect that the norms of a practical state are typically practical. So you should expect that epistemology, the study of norms for belief, will be shot through with practical considerations. That’s what the interest-relative theorist says is in fact the case.</w:t>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This defence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Nevertheless,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That’s not because it makes the lexicography important. Rather, it’s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Those patterns are, usually, best explained in terms of what those humans know.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w:t>
      </w:r>
    </w:p>
    <w:p>
      <w:pPr>
        <w:pStyle w:val="BodyText"/>
      </w:pPr>
      <w:r>
        <w:t xml:space="preserve">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It can’t be that the trigger is stated in terms of what is absolutely certain because no one can be absolutely certain of contingent things like the price that a supplier is charging for a good. Nor can the trigger be stated in terms of high probability. No matter how probable I think it is that supplier B is cheaper than supplier A, it might still be rational to buy from supplier A if the rest of the probability goes to possibilities where B is much much more expensive.</w:t>
      </w:r>
    </w:p>
    <w:p>
      <w:pPr>
        <w:pStyle w:val="BodyText"/>
      </w:pPr>
      <w:r>
        <w:t xml:space="preserve">Knowledge alone seems to do the trick. The generalisation that people buy from suppliers they know to be cheaper seems both true, and to rationalise their purchasing behavior.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Alternatively, one could hold that knowledge is primitively natural, not natural in virtue of its analysis or parts.</w:t>
      </w:r>
      <w:r>
        <w:rPr>
          <w:rStyle w:val="FootnoteReference"/>
        </w:rPr>
        <w:footnoteReference w:id="27"/>
      </w:r>
      <w:r>
        <w:t xml:space="preserve"> </w:t>
      </w:r>
      <w:r>
        <w:t xml:space="preserve">That’s not completely implausible; it isn’t obvious that the naturalness of social kinds has to be explained in virtue of what metaphysically makes it the case that things satisfy those kinds. Still, it would be nice to have a better explanation of why knowledge is natural.</w:t>
      </w:r>
    </w:p>
    <w:p>
      <w:pPr>
        <w:pStyle w:val="BodyText"/>
      </w:pPr>
      <w:r>
        <w:t xml:space="preserve">On the view defended here, a person knows a proposition if and only if they properly take it to be settled.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While these are motivations, neither of them is strictly speaking an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Accepting 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Ultimately though,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primarily focussed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Knowledge is often lost in these cases. There is somewhat less discussion, however, about how knowledge is also lost in</w:t>
      </w:r>
      <w:r>
        <w:t xml:space="preserve"> </w:t>
      </w:r>
      <w:r>
        <w:t xml:space="preserve">‘</w:t>
      </w:r>
      <w:r>
        <w:t xml:space="preserve">easy checking</w:t>
      </w:r>
      <w:r>
        <w:t xml:space="preserve">’</w:t>
      </w:r>
      <w:r>
        <w:t xml:space="preserve"> </w:t>
      </w:r>
      <w:r>
        <w:t xml:space="preserve">cases, or about how (as Mark</w:t>
      </w:r>
      <w:r>
        <w:t xml:space="preserve"> </w:t>
      </w:r>
      <w:r>
        <w:t xml:space="preserve">Schroeder (2012)</w:t>
      </w:r>
      <w:r>
        <w:t xml:space="preserve"> </w:t>
      </w:r>
      <w:r>
        <w:t xml:space="preserve">notes), knowledge might not be lost in cases where the stakes are high but checking is impossible.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 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 Unfortunately,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I’ve come to see that this isn’t right; depending on what one wants to do in an inquiry one may want to deliberately set aside some premises.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It turns out that the reason the theory of that paper respects closure is that it has absurdly sceptical consequences in cases where there are similar objects to choose between. That’s hardly better than a closure failure. In this chapter I aim to do better.</w:t>
      </w:r>
    </w:p>
    <w:p>
      <w:pPr>
        <w:pStyle w:val="BodyText"/>
      </w:pPr>
      <w:r>
        <w:t xml:space="preserve">I show that the objection relies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In some cases, this means we end up playing a kind of coordination game with the radical interpreter. What our evidence is turns on what the right solution to that game.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We shouldn’t concede that; the saying is true, and interest-relative epistemology explains why it is true.</w:t>
      </w:r>
    </w:p>
    <w:bookmarkEnd w:id="28"/>
    <w:bookmarkStart w:id="53" w:name="sec-interests"/>
    <w:p>
      <w:pPr>
        <w:pStyle w:val="Heading1"/>
      </w:pPr>
      <w:r>
        <w:t xml:space="preserve">2. Interests</w:t>
      </w:r>
    </w:p>
    <w:bookmarkStart w:id="30"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took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These beliefs were correct; the book was reliable and accurate on this point.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29"/>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plausible interest-invariant explanations of the intuitions about Blaise’s case exist. Because these competing explanations exist, it’s hard to argue that interest-relativity is the best explanation of why Blaise’s action is wrong.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This puts a limit on how we can argue. At least one instance of the argument</w:t>
      </w:r>
      <w:r>
        <w:t xml:space="preserve"> </w:t>
      </w:r>
      <w:r>
        <w:rPr>
          <w:iCs/>
          <w:i/>
        </w:rPr>
        <w:t xml:space="preserve">this is counterintuitive, so it is false</w:t>
      </w:r>
      <w:r>
        <w:t xml:space="preserve"> </w:t>
      </w:r>
      <w:r>
        <w:t xml:space="preserve">must fail.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0"/>
    <w:bookmarkStart w:id="32"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1"/>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Our hero, called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Still,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2"/>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3"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Chamari’s position sounds much worse than it should if contextualism is right.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3"/>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they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w:t>
      </w:r>
      <w:r>
        <w:rPr>
          <w:rStyle w:val="FootnoteReference"/>
        </w:rPr>
        <w:footnoteReference w:id="34"/>
      </w:r>
      <w:r>
        <w:t xml:space="preserve"> </w:t>
      </w:r>
      <w:r>
        <w:t xml:space="preserve">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If the super-knowledge based explanation of why she should play Red-True worked, there should be some sense of super-knowledge where 1 is true and 2 is false. There isn’t, so the explanation doesn’t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which means she doesn’t super-know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Assume also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even though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actually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4"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They also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If the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w:r>
        <w:rPr>
          <w:iCs/>
          <w:i/>
        </w:rPr>
        <w:t xml:space="preserve">G</w:t>
      </w:r>
      <w:r>
        <w:t xml:space="preserve">, another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G</w:t>
      </w:r>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3"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3"/>
          <w:p/>
        </w:tc>
      </w:tr>
    </w:tbl>
    <w:p>
      <w:pPr>
        <w:pStyle w:val="BodyText"/>
      </w:pPr>
      <w:r>
        <w:t xml:space="preserve">If Darja has her phone near her, and has cheap easy access to Google, then ε might be really low. In that case she should take the safe option; it’s the one that maximises expected utility.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4"/>
    <w:bookmarkStart w:id="46"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5"/>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6"/>
    <w:bookmarkStart w:id="48"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7"/>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w:t>
      </w:r>
    </w:p>
    <w:bookmarkEnd w:id="48"/>
    <w:bookmarkStart w:id="52" w:name="sec-neutrality"/>
    <w:p>
      <w:pPr>
        <w:pStyle w:val="Heading2"/>
      </w:pPr>
      <w:r>
        <w:t xml:space="preserve">2.7 Neutrality</w:t>
      </w:r>
    </w:p>
    <w:p>
      <w:pPr>
        <w:pStyle w:val="FirstParagraph"/>
      </w:pPr>
      <w:r>
        <w:t xml:space="preserve">This book defends, at some length, the idea that knowledge is interest-relative. I am, however, staying neutral on a number of other topics in the vicinity.</w:t>
      </w:r>
    </w:p>
    <w:bookmarkStart w:id="50"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Finally,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0"/>
    <w:bookmarkStart w:id="51"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just defending a particular necessary condition on knowledge. That condition entails that knowledge is interest-relative given some common-sense assumptions about how widespread knowledge is.</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1"/>
    <w:bookmarkEnd w:id="52"/>
    <w:bookmarkEnd w:id="53"/>
    <w:bookmarkStart w:id="83" w:name="sec-belief"/>
    <w:p>
      <w:pPr>
        <w:pStyle w:val="Heading1"/>
      </w:pPr>
      <w:r>
        <w:t xml:space="preserve">3. Belief</w:t>
      </w:r>
    </w:p>
    <w:bookmarkStart w:id="55"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4"/>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Note though that in the circumstances of the TV show, they could say</w:t>
      </w:r>
      <w:r>
        <w:t xml:space="preserve"> </w:t>
      </w:r>
      <w:r>
        <w:t xml:space="preserve">“</w:t>
      </w:r>
      <w:r>
        <w:t xml:space="preserve">I think Tranmere will win</w:t>
      </w:r>
      <w:r>
        <w:t xml:space="preserve">”</w:t>
      </w:r>
      <w:r>
        <w:t xml:space="preserve"> </w:t>
      </w:r>
      <w:r>
        <w:t xml:space="preserve">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For now though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If the</w:t>
      </w:r>
      <w:r>
        <w:t xml:space="preserve"> </w:t>
      </w:r>
      <w:r>
        <w:t xml:space="preserve">‘</w:t>
      </w:r>
      <w:r>
        <w:t xml:space="preserve">belief is weak</w:t>
      </w:r>
      <w:r>
        <w:t xml:space="preserve">’</w:t>
      </w:r>
      <w:r>
        <w:t xml:space="preserve"> </w:t>
      </w:r>
      <w:r>
        <w:t xml:space="preserve">thesis is correct, however,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5"/>
    <w:bookmarkStart w:id="58"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6"/>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Still, I won’t always do that. For example, I won’t do it when thinking about changes in the minimum wage, because systematic changes like that push simple models beyond their breaking point.</w:t>
      </w:r>
      <w:r>
        <w:rPr>
          <w:rStyle w:val="FootnoteReference"/>
        </w:rPr>
        <w:footnoteReference w:id="57"/>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8"/>
    <w:bookmarkStart w:id="60"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9"/>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0"/>
    <w:bookmarkStart w:id="63"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1"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1"/>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2"/>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3"/>
    <w:bookmarkStart w:id="66"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4"/>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5"/>
      </w:r>
      <w:r>
        <w:t xml:space="preserve"> </w:t>
      </w:r>
      <w:r>
        <w:t xml:space="preserve">But they could be part of a theory of belief, and the theory they are part of is helpful for seeing how beliefs and interests fit together.</w:t>
      </w:r>
    </w:p>
    <w:bookmarkEnd w:id="66"/>
    <w:bookmarkStart w:id="72"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7"/>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8"/>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for another day to work out when they occur.)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9"/>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0"/>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I can accept that by simply buying the eggs. There were many other answers I could equally well have accepted, since there were many other cartons I could buy.</w:t>
      </w:r>
      <w:r>
        <w:rPr>
          <w:rStyle w:val="FootnoteReference"/>
        </w:rPr>
        <w:footnoteReference w:id="7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2"/>
    <w:bookmarkStart w:id="80"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Even without those complications, I’ve said enough that you can see the basic view, and perhaps see its problems.</w:t>
      </w:r>
    </w:p>
    <w:p>
      <w:pPr>
        <w:pStyle w:val="BodyText"/>
      </w:pPr>
      <w:r>
        <w:t xml:space="preserve">The biggest change from that view to the one I’m defending here concerns propositions that are not relevant to any question S is considering. I used to say in that case belief required credence above 0.5; I now say that S must be willing, at least sometimes, to take</w:t>
      </w:r>
      <w:r>
        <w:t xml:space="preserve"> </w:t>
      </w:r>
      <w:r>
        <w:rPr>
          <w:iCs/>
          <w:i/>
        </w:rPr>
        <w:t xml:space="preserve">p</w:t>
      </w:r>
      <w:r>
        <w:t xml:space="preserve"> </w:t>
      </w:r>
      <w:r>
        <w:t xml:space="preserve">for granted.</w:t>
      </w:r>
    </w:p>
    <w:p>
      <w:pPr>
        <w:pStyle w:val="BodyText"/>
      </w:pPr>
      <w:r>
        <w:t xml:space="preserve">There are other changes too.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4"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3"/>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Not all mental states are like this. Hoping for something that doesn’t turn out to happen is unfortunate, but not incorrect. To say that a false belief is incorrect is not to just make the trivial point that it is false. It is also to say that the belief failed to meet one important standard of evaluation for beliefs - correctly representing the world. Credences do not have these correctness conditions, so the relatively simple reduction I proposed of belief to credence must be mistaken.</w:t>
      </w:r>
    </w:p>
    <w:p>
      <w:pPr>
        <w:pStyle w:val="BodyText"/>
      </w:pPr>
      <w:r>
        <w:t xml:space="preserve">The new theory does not have this problem. Doing dominance reasoning where all of the situations one considers are non-actual is a mistake. It’s not a mistake because it will inevitably lead to an irrational decision. Rather, it’s a mistake because one draws a conclusion that is not supported by the premises it is based on. Those premises only say that one option is better than another conditional on one or other condition obtaining.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One can make the same mistake by treating a situation that doesn’t obtain, but might, as one that could not obtain. Believing something one doesn’t know will (typically) lead to doing that.</w:t>
      </w:r>
    </w:p>
    <w:bookmarkEnd w:id="74"/>
    <w:bookmarkStart w:id="75"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which I do not.</w:t>
      </w:r>
    </w:p>
    <w:p>
      <w:pPr>
        <w:pStyle w:val="BodyText"/>
      </w:pPr>
      <w:r>
        <w:t xml:space="preserve">I added clause 2 to the theory to try in order to fix this problem, but it turned out only to fix a special case. Here’s a case it doesn’t fix.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That’s absurd, since I know it is just 2/3 likely.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It does seem plausible to say that whether such a choice ever feels like a dominating choice correlates with whether we could ever straight up believe that the remainder is not precisely 537 on purely probabilistic grounds.</w:t>
      </w:r>
    </w:p>
    <w:bookmarkEnd w:id="75"/>
    <w:bookmarkStart w:id="76"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Moreover, she has a stable disposition to choose Red-True over Blue-True; I think that stable disposition is a strict preference.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This now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That distinction matters, and the hybrid pragmatic theory handles it better than my old theory.</w:t>
      </w:r>
    </w:p>
    <w:bookmarkEnd w:id="76"/>
    <w:bookmarkStart w:id="77"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7"/>
    <w:bookmarkStart w:id="79"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8"/>
      </w:r>
      <w:r>
        <w:t xml:space="preserve"> </w:t>
      </w:r>
      <w:r>
        <w:t xml:space="preserve">That’s something that it has in common with everything I’ve written about IRT.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Still, it is a useful enough heuristic to work with.</w:t>
      </w:r>
    </w:p>
    <w:p>
      <w:pPr>
        <w:pStyle w:val="BodyText"/>
      </w:pPr>
      <w:r>
        <w:t xml:space="preserve">What wasn’t originally obvious to me was that there are counterexamples to principle 2 as well.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All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9"/>
    <w:bookmarkEnd w:id="80"/>
    <w:bookmarkStart w:id="82"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1"/>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2"/>
    <w:bookmarkEnd w:id="83"/>
    <w:bookmarkStart w:id="115"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Further,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Finally, with the argument complete, I’ll look at two possible objections to the argument. One objection is that it has implausible consequences about the role of logical reasoning in extending knowledge, and the other is that it leads to implausible results when a source provides both relevant and irrelevant information.</w:t>
      </w:r>
    </w:p>
    <w:bookmarkStart w:id="90"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4"/>
      </w:r>
      <w:r>
        <w:t xml:space="preserve"> </w:t>
      </w:r>
      <w:hyperlink w:anchor="tbl-walkbus">
        <w:r>
          <w:rPr>
            <w:rStyle w:val="Hyperlink"/>
          </w:rPr>
          <w:t xml:space="preserve">Table 4.1</w:t>
        </w:r>
      </w:hyperlink>
      <w:r>
        <w:t xml:space="preserv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5"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5"/>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The key point is that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expected utility calculation.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6"/>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7"/>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and here we have less philosophical work to draw on. Brian Hedden</w:t>
      </w:r>
      <w:r>
        <w:t xml:space="preserve"> </w:t>
      </w:r>
      <w:r>
        <w:t xml:space="preserve">(2012)</w:t>
      </w:r>
      <w:r>
        <w:t xml:space="preserve"> </w:t>
      </w:r>
      <w:r>
        <w:t xml:space="preserve">has a paper arguing that the options should all be decisions, rather than actions. So the first row should say</w:t>
      </w:r>
      <w:r>
        <w:t xml:space="preserve"> </w:t>
      </w:r>
      <w:r>
        <w:t xml:space="preserve">“</w:t>
      </w:r>
      <w:r>
        <w:t xml:space="preserve">Ragnar decides to walk</w:t>
      </w:r>
      <w:r>
        <w:t xml:space="preserve">”</w:t>
      </w:r>
      <w:r>
        <w:t xml:space="preserve"> </w:t>
      </w:r>
      <w:r>
        <w:t xml:space="preserve">rather than</w:t>
      </w:r>
      <w:r>
        <w:t xml:space="preserve"> </w:t>
      </w:r>
      <w:r>
        <w:t xml:space="preserve">“</w:t>
      </w:r>
      <w:r>
        <w:t xml:space="preserve">Ragnar walks</w:t>
      </w:r>
      <w:r>
        <w:t xml:space="preserve">”</w:t>
      </w:r>
      <w:r>
        <w:t xml:space="preserve">. This would be a fairly radical change from practice in decision theory,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88"/>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89"/>
      </w:r>
      <w:r>
        <w:t xml:space="preserve"> </w:t>
      </w:r>
      <w:r>
        <w:t xml:space="preserve">In any case, the conditional will be enough.</w:t>
      </w:r>
    </w:p>
    <w:bookmarkEnd w:id="90"/>
    <w:bookmarkStart w:id="95"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and instead provide the very same product. Hotelling’s observation is that if both parties could differentiate,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Subsequent work revealed that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1"/>
      </w:r>
      <w:r>
        <w:t xml:space="preserve"> </w:t>
      </w:r>
      <w:r>
        <w:t xml:space="preserve">Imagine that two ice cream trucks have to choose (simultaneously) where they will be located on a beach. The beach has seven locations, numbered 1 to 5.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5, so 10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w:t>
      </w:r>
      <w:r>
        <w:t xml:space="preserve"> </w:t>
      </w:r>
      <w:hyperlink w:anchor="tbl-hotelling">
        <w:r>
          <w:rPr>
            <w:rStyle w:val="Hyperlink"/>
          </w:rPr>
          <w:t xml:space="preserve">Table 4.2</w:t>
        </w:r>
      </w:hyperlink>
      <w:r>
        <w:t xml:space="preserve"> </w:t>
      </w:r>
      <w:r>
        <w:t xml:space="preserve">shows 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2"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2"/>
          <w:p/>
        </w:tc>
      </w:tr>
    </w:tbl>
    <w:p>
      <w:pPr>
        <w:pStyle w:val="BodyText"/>
      </w:pPr>
      <w:r>
        <w:t xml:space="preserve">Assume that it is common knowledge, in the sense of</w:t>
      </w:r>
      <w:r>
        <w:t xml:space="preserve"> </w:t>
      </w:r>
      <w:r>
        <w:t xml:space="preserve">Lewis (1969)</w:t>
      </w:r>
      <w:r>
        <w:t xml:space="preserve">, that</w:t>
      </w:r>
      <w:r>
        <w:t xml:space="preserve"> </w:t>
      </w:r>
      <w:hyperlink w:anchor="tbl-hotelling">
        <w:r>
          <w:rPr>
            <w:rStyle w:val="Hyperlink"/>
          </w:rPr>
          <w:t xml:space="preserve">Table 4.2</w:t>
        </w:r>
      </w:hyperlink>
      <w:r>
        <w:t xml:space="preserve"> </w:t>
      </w:r>
      <w:r>
        <w:t xml:space="preserve">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Since the game is symmetric, the same goes for Column’s options 1 and 5. By the common knowledge assumption, this means we can delete those rows, and columns, from the table. The result is</w:t>
      </w:r>
      <w:r>
        <w:t xml:space="preserve"> </w:t>
      </w:r>
      <w:hyperlink w:anchor="tbl-hotelling-iterated">
        <w:r>
          <w:rPr>
            <w:rStyle w:val="Hyperlink"/>
          </w:rPr>
          <w:t xml:space="preserve">Table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3"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3"/>
          <w:p/>
        </w:tc>
      </w:tr>
    </w:tbl>
    <w:p>
      <w:pPr>
        <w:pStyle w:val="BodyText"/>
      </w:pPr>
      <w:r>
        <w:t xml:space="preserve">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That is all we’ll assume. Since knowledge is factive, we can still rule out the extreme options, i.e., 1 and 5.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4"/>
      </w:r>
      <w:r>
        <w:t xml:space="preserve"> </w:t>
      </w:r>
      <w:r>
        <w:t xml:space="preserve">First, it is meant to show that we theorists can deduce what the players will in fact do, given their evidence, and the assumptions about rationality. Second,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The players themselves will not go to any of those 4 spots, given our assumptions, but we can’t know more about their actions without more knowledge of their mental states.</w:t>
      </w:r>
    </w:p>
    <w:p>
      <w:pPr>
        <w:pStyle w:val="BodyText"/>
      </w:pPr>
      <w:r>
        <w:t xml:space="preserve">But wait a minute! Without KAE, the last two paragraphs consist of one fallacious step after another. The player knows that the other player will not play an extreme option. Also,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5"/>
    <w:bookmarkStart w:id="100" w:name="sec-other-answers"/>
    <w:p>
      <w:pPr>
        <w:pStyle w:val="Heading2"/>
      </w:pPr>
      <w:r>
        <w:t xml:space="preserve">4.3 Other Answers</w:t>
      </w:r>
    </w:p>
    <w:p>
      <w:pPr>
        <w:pStyle w:val="FirstParagraph"/>
      </w:pPr>
      <w:r>
        <w:t xml:space="preserve">If KAE is false, what should go in its place? What could be the state which does allow exclusion?</w:t>
      </w:r>
    </w:p>
    <w:bookmarkStart w:id="96"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I suspect, however, that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The best stories about how probabilities change all involve some kind of interest-relativity.</w:t>
      </w:r>
    </w:p>
    <w:bookmarkEnd w:id="96"/>
    <w:bookmarkStart w:id="97"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Since I’m going to argue in</w:t>
      </w:r>
      <w:r>
        <w:t xml:space="preserve"> </w:t>
      </w:r>
      <w:hyperlink w:anchor="sec-evidence">
        <w:r>
          <w:rPr>
            <w:rStyle w:val="Hyperlink"/>
          </w:rPr>
          <w:t xml:space="preserve">Chapter 9</w:t>
        </w:r>
      </w:hyperlink>
      <w:r>
        <w:t xml:space="preserve"> </w:t>
      </w:r>
      <w:r>
        <w:t xml:space="preserve">that Williamson is wrong about this, I’m committed to EAE and KAE being distinct. So I need an argument against EAE.</w:t>
      </w:r>
    </w:p>
    <w:p>
      <w:pPr>
        <w:pStyle w:val="BodyText"/>
      </w:pPr>
      <w:r>
        <w:t xml:space="preserve">My argument will be by cases.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97"/>
    <w:bookmarkStart w:id="98"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500 chance of being true. When planning what to do a fine sunny day with a clear weather forecast, I simply ignore the chance that there will be a passing shower, even though that still has a 1 in 500 chance. On the other hand, it’s absurd to ignore one in 500 chances when deciding what insurance to buy. About one house in 500 has a fire in a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Since I’ll go over those objections in detail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I won’t double them up here, but assume that they work against PAE.</w:t>
      </w:r>
    </w:p>
    <w:bookmarkEnd w:id="98"/>
    <w:bookmarkStart w:id="99"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99"/>
    <w:bookmarkEnd w:id="100"/>
    <w:bookmarkStart w:id="102" w:name="sec-from-kae-to-irt"/>
    <w:p>
      <w:pPr>
        <w:pStyle w:val="Heading2"/>
      </w:pPr>
      <w:r>
        <w:t xml:space="preserve">4.4 From KAE to Interest-Relativity</w:t>
      </w:r>
    </w:p>
    <w:p>
      <w:pPr>
        <w:pStyle w:val="FirstParagraph"/>
      </w:pPr>
      <w:r>
        <w:t xml:space="preserve">If KAE. Knowledge Allows Exclusion, is true then there is a simple argument that Anisa loses knowledge when playing the Red-Blue game.</w:t>
      </w:r>
      <w:r>
        <w:t xml:space="preserve"> </w:t>
      </w:r>
      <w:hyperlink w:anchor="tbl-assume-agincourt">
        <w:r>
          <w:rPr>
            <w:rStyle w:val="Hyperlink"/>
          </w:rPr>
          <w:t xml:space="preserve">Table 4.4</w:t>
        </w:r>
      </w:hyperlink>
      <w:r>
        <w:t xml:space="preserve"> </w:t>
      </w:r>
      <w:r>
        <w:t xml:space="preserve">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1"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1"/>
          <w:p/>
        </w:tc>
      </w:tr>
    </w:tbl>
    <w:p>
      <w:pPr>
        <w:pStyle w:val="BodyText"/>
      </w:pPr>
      <w:r>
        <w:t xml:space="preserve">If she used that table, then it would look like Blue-True is the weakly dominant option. That would mean that Blue-True is at least a rational choice, and perhaps the rational choice. Since Blue-True is not a rational choice, this table must be wrong.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2"/>
    <w:bookmarkStart w:id="107" w:name="sec-theoreticalknowledge"/>
    <w:p>
      <w:pPr>
        <w:pStyle w:val="Heading2"/>
      </w:pPr>
      <w:r>
        <w:t xml:space="preserve">4.5 Theoretical Knowledge</w:t>
      </w:r>
    </w:p>
    <w:p>
      <w:pPr>
        <w:pStyle w:val="FirstParagraph"/>
      </w:pPr>
      <w:r>
        <w:t xml:space="preserve">Knowledge structures proper practical deliberation.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It also suggests that they should do so in more or less the same way. So it would be good to have a story that assigns to knowledge the role of structuring theoretical deliberation, in just the way that it structures practical deliberation.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The mistake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Again,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moveable type printing press and so records from 1415 might be less reliable, and so on. None of these things are things that she knows with Cartesian certainty. Indeed, some of them are probably all-things-considered less likely than that the Battle of Agincourt was in 1415.</w:t>
      </w:r>
      <w:r>
        <w:rPr>
          <w:rStyle w:val="FootnoteReference"/>
        </w:rPr>
        <w:footnoteReference w:id="103"/>
      </w:r>
      <w:r>
        <w:t xml:space="preserve"> </w:t>
      </w:r>
      <w:r>
        <w:t xml:space="preserve">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Is there a true claim that’s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That criticism can be sustained even if my mathematical reasoning is impeccable, and I get the correct answer.</w:t>
      </w:r>
      <w:r>
        <w:rPr>
          <w:rStyle w:val="FootnoteReference"/>
        </w:rPr>
        <w:footnoteReference w:id="104"/>
      </w:r>
    </w:p>
    <w:p>
      <w:pPr>
        <w:pStyle w:val="BodyText"/>
      </w:pPr>
      <w:r>
        <w:t xml:space="preserve">Some facts are irrelevant to an inquiry. Others are relevant, but not part of the best path to resolving the inquiry. This can be a ground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Furthermore, this moral prohibition plausibly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w:t>
      </w:r>
    </w:p>
    <w:p>
      <w:pPr>
        <w:pStyle w:val="BodyText"/>
      </w:pPr>
      <w:r>
        <w:t xml:space="preserve">Even if all those things are not true, it might be that Casey can get knowledge this way; the inquiry might be morally wrong without having any epistemic flaws that prevent it generating knowledge. 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5"/>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This doesn’t intuitively undermine her claim to know both 2 and 3.</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The hope was that eventually a full list of such exceptions could be found. This project turned out to be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All of those seemed like legitimate criticisms even though the premise was one she knew before starting the inquiry. That criticism does not seem appropriate in the moral encroachment case, or the transmission failure case, or other cases like them that may be discovered.</w:t>
      </w:r>
    </w:p>
    <w:p>
      <w:pPr>
        <w:pStyle w:val="BodyText"/>
      </w:pPr>
      <w:r>
        <w:t xml:space="preserve">I am assuming here that there is no trivial connection between</w:t>
      </w:r>
      <w:r>
        <w:t xml:space="preserve"> </w:t>
      </w:r>
      <w:r>
        <w:rPr>
          <w:iCs/>
          <w:i/>
        </w:rPr>
        <w:t xml:space="preserve">It might be that not-p</w:t>
      </w:r>
      <w:r>
        <w:t xml:space="preserve">, and</w:t>
      </w:r>
      <w:r>
        <w:t xml:space="preserve"> </w:t>
      </w:r>
      <w:r>
        <w:rPr>
          <w:iCs/>
          <w:i/>
        </w:rPr>
        <w:t xml:space="preserve">The inquirer does not know that p</w:t>
      </w:r>
      <w:r>
        <w:t xml:space="preserve">. If these claims express the same thing, at least in the particular context of evaluating the inquirer, then it would be trivial to say that knowledge provides immunity to criticism on the grounds that one’s premises might not be true. The recent literature on epistemic modals, however, does not inspire confidence that any such trivial connection exists.</w:t>
      </w:r>
      <w:r>
        <w:rPr>
          <w:rStyle w:val="FootnoteReference"/>
        </w:rPr>
        <w:footnoteReference w:id="106"/>
      </w:r>
      <w:r>
        <w:t xml:space="preserve"> </w:t>
      </w:r>
      <w:r>
        <w:t xml:space="preserve">So this immunity seems like a non-trivial claim.</w:t>
      </w:r>
    </w:p>
    <w:p>
      <w:pPr>
        <w:pStyle w:val="BodyText"/>
      </w:pPr>
      <w:r>
        <w:t xml:space="preserve">So the key principle I’ll be working with is that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I’ll spend the rest of this chapter talking about how this principle relates to the idea that knowledge is closed under competent deduction. There are interesting examples that seem to show that the principle leads to several distinct kinds of violations of that principle.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7"/>
    <w:bookmarkStart w:id="113"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9"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8"/>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Now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Hence she will take either option, Red-True or Blue-True, as being equivalent to just taking $50, which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9"/>
    <w:bookmarkStart w:id="112" w:name="sec-andintro"/>
    <w:p>
      <w:pPr>
        <w:pStyle w:val="Heading3"/>
      </w:pPr>
      <w:r>
        <w:t xml:space="preserve">4.6.2 Multiple Premise Closure</w:t>
      </w:r>
    </w:p>
    <w:p>
      <w:pPr>
        <w:pStyle w:val="FirstParagraph"/>
      </w:pPr>
      <w:r>
        <w:t xml:space="preserve">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It’s a harmless enough idealisation, however,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The argument for that is basically that there isn’t much more to the theory. So I think the argument is sound.</w:t>
      </w:r>
    </w:p>
    <w:p>
      <w:pPr>
        <w:pStyle w:val="BodyText"/>
      </w:pPr>
      <w:r>
        <w:t xml:space="preserve">Still,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This time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0"/>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1"/>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These are minor points of difference though; I’m still basically relying on Kroedel’s ideas.</w:t>
      </w:r>
    </w:p>
    <w:p>
      <w:pPr>
        <w:pStyle w:val="BodyText"/>
      </w:pPr>
      <w:r>
        <w:t xml:space="preserve">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Inquiring into the first question is incompatible with knowing the second conjunct, while inquiring into the second question is incompatible with knowing the first conjunct. This was a fun way out the problem, but it was also overkill. Player loses one bit of knowledge, not two, so my earlier view must be wrong.</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typically the third option is correct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That can be true even if it is different models in different cases.</w:t>
      </w:r>
    </w:p>
    <w:bookmarkEnd w:id="112"/>
    <w:bookmarkEnd w:id="113"/>
    <w:bookmarkStart w:id="114"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4"/>
    <w:bookmarkEnd w:id="115"/>
    <w:bookmarkStart w:id="138"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At first glance,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Unfortunately, neither of these options was particularly successful.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What I’m going to argue is that the problem their cases raise is not due to IRT, which is correct, but to the background assumption that choosers should maximise expected utility.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8"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 2024b)</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6"/>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This looks like a pretty strong argument for a conclusion that a number of people have reached via different routes.</w:t>
      </w:r>
      <w:r>
        <w:rPr>
          <w:rStyle w:val="FootnoteReference"/>
        </w:rPr>
        <w:footnoteReference w:id="117"/>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9"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w:t>
      </w:r>
    </w:p>
    <w:p>
      <w:pPr>
        <w:pStyle w:val="BodyText"/>
      </w:pPr>
      <w:r>
        <w:t xml:space="preserve">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8"/>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the newspaper reports the truth. This insensitivity is is removed by proper checking. So checking aims for sensitivity that goes beyond belief, and beyond knowledge. Given that checking, i.e., chasing this kind of sensitivity, is rational, so is inquiring into what one knows.</w:t>
      </w:r>
    </w:p>
    <w:bookmarkEnd w:id="119"/>
    <w:bookmarkStart w:id="120"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0"/>
    <w:bookmarkStart w:id="121"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This inquiry is justified by the aim of coming to understand the wrongness of meat eating.</w:t>
      </w:r>
    </w:p>
    <w:bookmarkEnd w:id="121"/>
    <w:bookmarkStart w:id="123"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2"/>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treat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3"/>
    <w:bookmarkStart w:id="124"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As I suggested in the previous subsection, the way to find reasons for a moral claim is generally to inquire into whether that claim is true. Or, at least, to act like that’s what one is doing.</w:t>
      </w:r>
    </w:p>
    <w:bookmarkEnd w:id="124"/>
    <w:bookmarkStart w:id="125"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5"/>
    <w:bookmarkStart w:id="127"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w:t>
      </w:r>
      <w:r>
        <w:rPr>
          <w:rStyle w:val="FootnoteReference"/>
        </w:rPr>
        <w:footnoteReference w:id="126"/>
      </w:r>
      <w:r>
        <w:t xml:space="preserve"> </w:t>
      </w:r>
      <w:r>
        <w:t xml:space="preserve">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7"/>
    <w:bookmarkEnd w:id="128"/>
    <w:bookmarkStart w:id="129"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9"/>
    <w:bookmarkStart w:id="131"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Still, it seems plausible that something like this should be right. In</w:t>
      </w:r>
      <w:r>
        <w:t xml:space="preserve"> </w:t>
      </w:r>
      <w:r>
        <w:rPr>
          <w:iCs/>
          <w:i/>
        </w:rPr>
        <w:t xml:space="preserve">Normative Externalism</w:t>
      </w:r>
      <w:r>
        <w:t xml:space="preserve"> </w:t>
      </w:r>
      <w:r>
        <w:t xml:space="preserve">I hinted at an inquiry-theoretic proposal about what that similar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0"/>
      </w:r>
    </w:p>
    <w:p>
      <w:pPr>
        <w:pStyle w:val="BodyText"/>
      </w:pPr>
      <w:r>
        <w:t xml:space="preserve">Peer disagreement, or really any other kind of higher order evidence, gives a thinker a reason to conduct an inquiry into whether their earlier thinking was correct. Further,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can be very useful. Getting stuck in a bad epistemic picture can have devastating consequences; it’s good to step back from time to time to look if that’s happening to us.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As I’ve been stressing all chapter, one can double-check one’s beliefs, and even one’s knowledge.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1"/>
    <w:bookmarkStart w:id="134"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w:t>
      </w:r>
      <w:r>
        <w:rPr>
          <w:rStyle w:val="FootnoteReference"/>
        </w:rPr>
        <w:footnoteReference w:id="132"/>
      </w:r>
      <w:r>
        <w:t xml:space="preserve"> </w:t>
      </w:r>
      <w:r>
        <w:t xml:space="preserve">This is one reason why it is so easy to come up with medical counterexamples to act utilitarianism for intro ethics classes. Instead, intuitions about appropriate actions here are more likely to track with rule utilitarianism.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3"/>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Either way,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4"/>
    <w:bookmarkStart w:id="135"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highlighting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 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5"/>
    <w:bookmarkStart w:id="137"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6"/>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 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Further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In normal cases, however, where one knows at least something about one’s audience, one should calibrate one’s assertions to the projects of one’s audience.</w:t>
      </w:r>
    </w:p>
    <w:p>
      <w:pPr>
        <w:pStyle w:val="BodyText"/>
      </w:pPr>
      <w:r>
        <w:t xml:space="preserve">This picture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scientific journal, and all of a sudden it’s possible to assert things with no knowledge of what is at take for one’s audience. How should one react, especially given the usefulness of the scientific journalfor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future research.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7"/>
    <w:bookmarkEnd w:id="138"/>
    <w:bookmarkStart w:id="152"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interest-relative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 know</w:t>
      </w:r>
      <w:r>
        <w:t xml:space="preserve"> </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39"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Since</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result.</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So if</w:t>
      </w:r>
      <w:r>
        <w:t xml:space="preserve"> </w:t>
      </w:r>
      <w:r>
        <w:rPr>
          <w:iCs/>
          <w:i/>
        </w:rPr>
        <w:t xml:space="preserve">i</w:t>
      </w:r>
      <w:r>
        <w:t xml:space="preserve"> ≥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more carefully, it’s good news for some version of IRT. This case is some evidence that the problem is not with the very idea of interest-relativity, but with the implementation of it. We’ll see more such evidence as the chapter goes along.</w:t>
      </w:r>
    </w:p>
    <w:bookmarkEnd w:id="139"/>
    <w:bookmarkStart w:id="140"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does not help with the sceptical problem. To solve that problem we need to rethink our theory of decision. I added, almost as an aside, an assumption in the earlier discussion that Frankie Lee was trying to maximise expected utility. That’s a mistake;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0"/>
    <w:bookmarkStart w:id="143" w:name="sec-backearth"/>
    <w:p>
      <w:pPr>
        <w:pStyle w:val="Heading2"/>
      </w:pPr>
      <w:r>
        <w:t xml:space="preserve">6.3 Back to Earth</w:t>
      </w:r>
    </w:p>
    <w:p>
      <w:pPr>
        <w:pStyle w:val="FirstParagraph"/>
      </w:pPr>
      <w:r>
        <w:t xml:space="preserve">The Frankie Lee and Judas Priest case is weird. Who offers someone money, then asks them to pick which note to take?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1"/>
      </w:r>
      <w:r>
        <w:t xml:space="preserve"> </w:t>
      </w:r>
      <w:r>
        <w:t xml:space="preserve">None of these purchases is entirely risk free. Canned goods are pretty safe, but sometimes they go bad. Milk is normally removed from sale when it goes bad,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w:t>
      </w:r>
    </w:p>
    <w:p>
      <w:pPr>
        <w:pStyle w:val="BodyText"/>
      </w:pPr>
      <w:r>
        <w:t xml:space="preserve">First he gets the chickpeas. That’s simple; he grabs the nearest can, and unless it is badly dented, or leaking, he puts in in his basket.</w:t>
      </w:r>
    </w:p>
    <w:p>
      <w:pPr>
        <w:pStyle w:val="BodyText"/>
      </w:pPr>
      <w:r>
        <w:t xml:space="preserve">Next he goes onto the milk. The milk bottles have sell-by dates printed in big letters on the front.</w:t>
      </w:r>
      <w:r>
        <w:t xml:space="preserve"> </w:t>
      </w:r>
      <w:r>
        <w:rPr>
          <w:rStyle w:val="FootnoteReference"/>
        </w:rPr>
        <w:footnoteReference w:id="142"/>
      </w:r>
      <w:r>
        <w:t xml:space="preserve"> </w:t>
      </w:r>
      <w:r>
        <w:t xml:space="preserve">David checks that he isn’t picking up one that is about to expire. His store has been known to have adjacent bottles of milk with sell-by dates 10 days apart, so it’s worth checking. But as long as the date is far enough in the future, he takes it and moves on.</w:t>
      </w:r>
    </w:p>
    <w:p>
      <w:pPr>
        <w:pStyle w:val="BodyText"/>
      </w:pPr>
      <w:r>
        <w:t xml:space="preserve">Finally, he comes to the eggs. (Nothing so alike as eggs, he always thinks to himself, a little anachronistically.)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Ignore this complication for now and focus on the ways in which David’s options in the supermarket are like Frankie Lee’s.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3"/>
    <w:bookmarkStart w:id="145"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4"/>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treating the questions as equivalent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5"/>
    <w:bookmarkStart w:id="146"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(roughly equidistant)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effortless skill alone; it will take effort.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in those works I just cited that maximizing is bad at what it sets out to achieve. But there are both empirical and theoretical reasons to be cautious about accepting these results at face value.</w:t>
      </w:r>
    </w:p>
    <w:p>
      <w:pPr>
        <w:pStyle w:val="BodyText"/>
      </w:pPr>
      <w:r>
        <w:t xml:space="preserve">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tells against this explanation of what is happening, but not nearly enough to rule it out conclusively.</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This will be the key to our resolution of the puzzles about closure.</w:t>
      </w:r>
    </w:p>
    <w:bookmarkEnd w:id="146"/>
    <w:bookmarkStart w:id="149"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his paper in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 appeals now typically come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In their preferred models,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7"/>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48"/>
      </w:r>
    </w:p>
    <w:p>
      <w:pPr>
        <w:pStyle w:val="BodyText"/>
      </w:pPr>
      <w:r>
        <w:t xml:space="preserve">Orthodox defenders of (human versions of) rational choice theory have to think this is a bad argument.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That’s obviously relevant to David in the supermarket. He could, in principle, spend one Saturday afternoon thinking about how carefully to check each of the items in the supermarket before putting it in his shopping cart.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49"/>
    <w:bookmarkStart w:id="151"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the contents of undamaged cans are safe to eat. This model is defeasible, but typically not defeated. (In Joyce’s terms, the small worlds are all ones in which the undamaged cans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In those cases, but only those cases, IRT does have sceptical consequences.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container of milk, far from its expiration date,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0"/>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1"/>
    <w:bookmarkEnd w:id="152"/>
    <w:bookmarkStart w:id="161" w:name="sec-changes"/>
    <w:p>
      <w:pPr>
        <w:pStyle w:val="Heading1"/>
      </w:pPr>
      <w:r>
        <w:t xml:space="preserve">7. Changes</w:t>
      </w:r>
    </w:p>
    <w:p>
      <w:pPr>
        <w:pStyle w:val="FirstParagraph"/>
      </w:pPr>
      <w:r>
        <w:t xml:space="preserve">My version of IRT version shares defects with more familiar versions of IRT. For instance, it is subject to the criticism that Crispin Wright makes here.</w:t>
      </w:r>
    </w:p>
    <w:p>
      <w:pPr>
        <w:pStyle w:val="BlockText"/>
      </w:pPr>
      <w:r>
        <w:t xml:space="preserve">[A] situation may arise … 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3"/>
      </w:r>
    </w:p>
    <w:bookmarkStart w:id="154"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IRT.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$2.90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IRT, it will be very hard to state the objection. Consider a version of IRT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such a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I’ll end in</w:t>
      </w:r>
      <w:r>
        <w:t xml:space="preserve"> </w:t>
      </w:r>
      <w:hyperlink w:anchor="sec-das">
        <w:r>
          <w:rPr>
            <w:rStyle w:val="Hyperlink"/>
          </w:rPr>
          <w:t xml:space="preserve">Section 7.4</w:t>
        </w:r>
      </w:hyperlink>
      <w:r>
        <w:t xml:space="preserve"> </w:t>
      </w:r>
      <w:r>
        <w:t xml:space="preserve">by spelling out this response.</w:t>
      </w:r>
    </w:p>
    <w:bookmarkEnd w:id="154"/>
    <w:bookmarkStart w:id="155" w:name="sec-gettier"/>
    <w:p>
      <w:pPr>
        <w:pStyle w:val="Heading2"/>
      </w:pPr>
      <w:r>
        <w:t xml:space="preserve">7.2 So Long JTB</w:t>
      </w:r>
    </w:p>
    <w:p>
      <w:pPr>
        <w:pStyle w:val="FirstParagraph"/>
      </w:pPr>
      <w:r>
        <w:t xml:space="preserve">The story of investigations into knowledge over the last sixty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murderers.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Plausibly, Charlotte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one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including one or other kind of sensitivity.) They just think this one new kind of sensitivity is a bridge too far. It is a bit of a puzzle to me why we should think sensitivity to interests is more philosophically problematic than the other kinds of sensitivity we’ve seen so far.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5"/>
    <w:bookmarkStart w:id="158"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6"/>
      </w:r>
      <w:r>
        <w:t xml:space="preserve"> </w:t>
      </w:r>
      <w:r>
        <w:t xml:space="preserve">It isn’t extensional adequacy; Dharmottara refuted that 1300 years ago. But it can be expressed using the modern</w:t>
      </w:r>
      <w:r>
        <w:rPr>
          <w:rStyle w:val="FootnoteReference"/>
        </w:rPr>
        <w:footnoteReference w:id="157"/>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w:t>
      </w:r>
    </w:p>
    <w:p>
      <w:pPr>
        <w:pStyle w:val="BodyText"/>
      </w:pPr>
      <w:r>
        <w:t xml:space="preserve">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perhaps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58"/>
    <w:bookmarkStart w:id="160"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59"/>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0"/>
    <w:bookmarkEnd w:id="161"/>
    <w:bookmarkStart w:id="188"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4"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2"/>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Since that’s when the battle took place,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Alternatively,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and his collaborators show, we need some notion of vigilance to explain a lot of different aspects of epistemic evaluation. I think that notion can be usefully pressed into service here.</w:t>
      </w:r>
      <w:r>
        <w:rPr>
          <w:rStyle w:val="FootnoteReference"/>
        </w:rPr>
        <w:footnoteReference w:id="163"/>
      </w:r>
    </w:p>
    <w:p>
      <w:pPr>
        <w:pStyle w:val="BodyText"/>
      </w:pPr>
      <w:r>
        <w:t xml:space="preserve">If you need something like vigilance in your theory of belief, then you have to allow that vigilance might fail.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4"/>
    <w:bookmarkStart w:id="165"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i.e., belief is high credence, or a normative claim, i.e.,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it’s physically possible that someone has that belief.)</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5"/>
    <w:bookmarkStart w:id="175"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6"/>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7"/>
      </w:r>
      <w:r>
        <w:t xml:space="preserve"> </w:t>
      </w:r>
      <w:r>
        <w:t xml:space="preserve">So I’ll set the basic points slowly, and then circle back to the puzzle for the Lockeans.</w:t>
      </w:r>
      <w:r>
        <w:rPr>
          <w:rStyle w:val="FootnoteReference"/>
        </w:rPr>
        <w:footnoteReference w:id="168"/>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w:t>
      </w:r>
      <w:r>
        <w:t xml:space="preserve"> </w:t>
      </w:r>
      <w:hyperlink w:anchor="tbl-underspecified">
        <w:r>
          <w:rPr>
            <w:rStyle w:val="Hyperlink"/>
          </w:rPr>
          <w:t xml:space="preserve">Table 8.1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9"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69"/>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w:t>
      </w:r>
    </w:p>
    <w:p>
      <w:pPr>
        <w:pStyle w:val="BodyText"/>
      </w:pPr>
      <w:r>
        <w:t xml:space="preserve">Now compare that to a simple game. The players are Row and Column; Row will choose a row, Column will choose a column, and then the payouts will be given by the cell at the row and column’s intersection.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w:t>
      </w:r>
      <w:r>
        <w:t xml:space="preserve"> </w:t>
      </w:r>
      <w:hyperlink w:anchor="tbl-simple-game">
        <w:r>
          <w:rPr>
            <w:rStyle w:val="Hyperlink"/>
          </w:rPr>
          <w:t xml:space="preserve">Table 8.2</w:t>
        </w:r>
      </w:hyperlink>
      <w:r>
        <w:t xml:space="preserv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0"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0"/>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The game in</w:t>
      </w:r>
      <w:r>
        <w:t xml:space="preserve"> </w:t>
      </w:r>
      <w:hyperlink w:anchor="tbl-simple-game">
        <w:r>
          <w:rPr>
            <w:rStyle w:val="Hyperlink"/>
          </w:rPr>
          <w:t xml:space="preserve">Table 8.2</w:t>
        </w:r>
      </w:hyperlink>
      <w:r>
        <w:t xml:space="preserve"> </w:t>
      </w:r>
      <w:r>
        <w:t xml:space="preserve">is just a variant on the decision problem in</w:t>
      </w:r>
      <w:r>
        <w:t xml:space="preserve"> </w:t>
      </w:r>
      <w:hyperlink w:anchor="tbl-underspecified">
        <w:r>
          <w:rPr>
            <w:rStyle w:val="Hyperlink"/>
          </w:rPr>
          <w:t xml:space="preserve">Table 8.1</w:t>
        </w:r>
      </w:hyperlink>
      <w:r>
        <w:t xml:space="preserve">. The relevant states of the world are choices of Column. Unlike the decision problem, there is a determinate answer to what Row should do in the game. More importantly for present purposes, the game can be solved without explicitly saying anything about probabilities. This is because we deduce all we need to know about probabilities from the assumption that Column is rational. Since Column is rational, they will play</w:t>
      </w:r>
      <w:r>
        <w:t xml:space="preserve"> </w:t>
      </w:r>
      <w:r>
        <w:rPr>
          <w:iCs/>
          <w:i/>
        </w:rPr>
        <w:t xml:space="preserve">S</w:t>
      </w:r>
      <w:r>
        <w:rPr>
          <w:vertAlign w:val="subscript"/>
        </w:rPr>
        <w:t xml:space="preserve">2</w:t>
      </w:r>
      <w:r>
        <w:t xml:space="preserve">. Since Column will play</w:t>
      </w:r>
      <w:r>
        <w:t xml:space="preserve"> </w:t>
      </w:r>
      <w:r>
        <w:rPr>
          <w:iCs/>
          <w:i/>
        </w:rPr>
        <w:t xml:space="preserve">S</w:t>
      </w:r>
      <w:r>
        <w:rPr>
          <w:vertAlign w:val="subscript"/>
        </w:rPr>
        <w:t xml:space="preserve">2</w:t>
      </w:r>
      <w:r>
        <w:t xml:space="preserve">, Row should play</w:t>
      </w:r>
      <w:r>
        <w:t xml:space="preserve"> </w:t>
      </w:r>
      <w:r>
        <w:rPr>
          <w:iCs/>
          <w:i/>
        </w:rPr>
        <w:t xml:space="preserve">A</w:t>
      </w:r>
      <w:r>
        <w:rPr>
          <w:vertAlign w:val="subscript"/>
        </w:rPr>
        <w:t xml:space="preserve">2</w:t>
      </w:r>
      <w:r>
        <w:t xml:space="preserve">.</w:t>
      </w:r>
    </w:p>
    <w:p>
      <w:pPr>
        <w:pStyle w:val="BodyText"/>
      </w:pPr>
      <w:r>
        <w:t xml:space="preserve">Looking at games this way helps understand why theorists sometimes think of game theory as</w:t>
      </w:r>
      <w:r>
        <w:t xml:space="preserve"> </w:t>
      </w:r>
      <w:r>
        <w:t xml:space="preserve">‘</w:t>
      </w:r>
      <w:r>
        <w:t xml:space="preserve">interactive epistemology</w:t>
      </w:r>
      <w:r>
        <w:t xml:space="preserve">’</w:t>
      </w:r>
      <w:r>
        <w:t xml:space="preserve"> </w:t>
      </w:r>
      <w:r>
        <w:t xml:space="preserve">(Aumann, 1999)</w:t>
      </w:r>
      <w:r>
        <w:t xml:space="preserve">. The theorist’s work is to solve for what a rational agent should think other rational agents in the game should do. This is why game theory makes heavy use of equilibrium concepts. As theorists, we adopt a theory of rational choice, and see what happens if that theory is common ground amongst the players. In effect, we treat</w:t>
      </w:r>
      <w:r>
        <w:t xml:space="preserve"> </w:t>
      </w:r>
      <w:r>
        <w:rPr>
          <w:iCs/>
          <w:i/>
        </w:rPr>
        <w:t xml:space="preserve">rationality</w:t>
      </w:r>
      <w:r>
        <w:t xml:space="preserve"> </w:t>
      </w:r>
      <w:r>
        <w:t xml:space="preserve">as an unknown variable that we solve for given premises about which choices are rational in which games.</w:t>
      </w:r>
      <w:r>
        <w:rPr>
          <w:rStyle w:val="FootnoteReference"/>
        </w:rPr>
        <w:footnoteReference w:id="171"/>
      </w:r>
      <w:r>
        <w:t xml:space="preserve"> </w:t>
      </w:r>
      <w:r>
        <w:t xml:space="preserve">Not surprisingly, there are going to be multiple solutions to the puzzles we face.</w:t>
      </w:r>
    </w:p>
    <w:p>
      <w:pPr>
        <w:pStyle w:val="BodyText"/>
      </w:pPr>
      <w:r>
        <w:t xml:space="preserve">This way of thinking naturally leads to the epistemological interpretation of mixed strategies.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w:t>
      </w:r>
      <w:r>
        <w:t xml:space="preserve"> </w:t>
      </w:r>
      <w:hyperlink w:anchor="tbl-death-damascus">
        <w:r>
          <w:rPr>
            <w:rStyle w:val="Hyperlink"/>
          </w:rPr>
          <w:t xml:space="preserve">Table 8.3</w:t>
        </w:r>
      </w:hyperlink>
      <w:r>
        <w:t xml:space="preserve"> </w:t>
      </w:r>
      <w:r>
        <w:t xml:space="preserve">is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2"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2"/>
          <w:p/>
        </w:tc>
      </w:tr>
    </w:tbl>
    <w:p>
      <w:pPr>
        <w:pStyle w:val="BodyText"/>
      </w:pPr>
      <w:r>
        <w:t xml:space="preserve">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The</w:t>
      </w:r>
      <w:r>
        <w:t xml:space="preserve"> </w:t>
      </w:r>
      <w:r>
        <w:rPr>
          <w:iCs/>
          <w:i/>
        </w:rPr>
        <w:t xml:space="preserve">metaphysical</w:t>
      </w:r>
      <w:r>
        <w:t xml:space="preserve"> </w:t>
      </w:r>
      <w:r>
        <w:t xml:space="preserve">interpretation of mixed strategies is that players use some randomising device to pick what to do. This interpretation is often implicit in the way many textbooks introduce mixed strategies.</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 as Stalnaker argues.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For our purposes, the important thing about the epistemological interpretation of mixed strategies is that it allows us to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game I’ll call Up-Down.</w:t>
      </w:r>
      <w:r>
        <w:rPr>
          <w:rStyle w:val="FootnoteReference"/>
        </w:rPr>
        <w:footnoteReference w:id="173"/>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the payouts are given in</w:t>
      </w:r>
      <w:r>
        <w:t xml:space="preserve"> </w:t>
      </w:r>
      <w:hyperlink w:anchor="tbl-up-down">
        <w:r>
          <w:rPr>
            <w:rStyle w:val="Hyperlink"/>
          </w:rPr>
          <w:t xml:space="preserve">Table 8.4</w:t>
        </w:r>
      </w:hyperlink>
      <w:r>
        <w:t xml:space="preserv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4"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4"/>
          <w:p/>
        </w:tc>
      </w:tr>
    </w:tbl>
    <w:p>
      <w:pPr>
        <w:pStyle w:val="BodyText"/>
      </w:pPr>
      <w:r>
        <w:t xml:space="preserve">I’ll first work through Up-Down assuming Uniqueness: the epistemological theory that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I’ll assume it for now because it’s easiest to understand the analysis I’ll offer with this assumption in place; later we’ll relax the assumption.</w:t>
      </w:r>
    </w:p>
    <w:p>
      <w:pPr>
        <w:pStyle w:val="BodyText"/>
      </w:pPr>
      <w:r>
        <w:t xml:space="preserve">Up-Down is symmetric. So given Uniqueness,</w:t>
      </w:r>
      <w:r>
        <w:t xml:space="preserve"> </w:t>
      </w:r>
      <w:r>
        <w:rPr>
          <w:iCs/>
          <w:i/>
        </w:rPr>
        <w:t xml:space="preserve">A</w:t>
      </w:r>
      <w:r>
        <w:t xml:space="preserve"> </w:t>
      </w:r>
      <w:r>
        <w:t xml:space="preserve">and</w:t>
      </w:r>
      <w:r>
        <w:t xml:space="preserve"> </w:t>
      </w:r>
      <w:r>
        <w:rPr>
          <w:iCs/>
          <w:i/>
        </w:rPr>
        <w:t xml:space="preserve">B</w:t>
      </w:r>
      <w:r>
        <w:t xml:space="preserve"> </w:t>
      </w:r>
      <w:r>
        <w:t xml:space="preserve">should have the same probability of playing UP/</w:t>
      </w:r>
      <w:r>
        <w:rPr>
          <w:iCs/>
          <w:i/>
        </w:rPr>
        <w:t xml:space="preserve">up</w:t>
      </w:r>
      <w:r>
        <w:t xml:space="preserve">. Call this common probability</w:t>
      </w:r>
      <w:r>
        <w:t xml:space="preserve"> </w:t>
      </w:r>
      <w:r>
        <w:rPr>
          <w:iCs/>
          <w:i/>
        </w:rPr>
        <w:t xml:space="preserve">x</w:t>
      </w:r>
      <w:r>
        <w:t xml:space="preserve">. It cannot be that x</w:t>
      </w:r>
      <w:r>
        <w:rPr>
          <w:iCs/>
          <w:i/>
        </w:rPr>
        <w:t xml:space="preserve"> &lt; 1.</w:t>
      </w:r>
      <w:r>
        <w:rPr>
          <w:iCs/>
          <w:i/>
        </w:rPr>
        <w:t xml:space="preserve"> </w:t>
      </w:r>
      <w:r>
        <w:t xml:space="preserve">A</w:t>
      </w:r>
      <w:r>
        <w:rPr>
          <w:iCs/>
          <w:i/>
        </w:rPr>
        <w:t xml:space="preserve">’s expected return from UP is 1, while the expected return from DOWN is</w:t>
      </w:r>
      <w:r>
        <w:rPr>
          <w:iCs/>
          <w:i/>
        </w:rPr>
        <w:t xml:space="preserve"> </w:t>
      </w:r>
      <w:r>
        <w:t xml:space="preserve">x</w:t>
      </w:r>
      <w:r>
        <w:rPr>
          <w:iCs/>
          <w:i/>
        </w:rPr>
        <w:t xml:space="preserve">. If</w:t>
      </w:r>
      <w:r>
        <w:rPr>
          <w:iCs/>
          <w:i/>
        </w:rPr>
        <w:t xml:space="preserve"> </w:t>
      </w:r>
      <w:r>
        <w:t xml:space="preserve">x* &lt; 1 and</w:t>
      </w:r>
      <w:r>
        <w:t xml:space="preserve"> </w:t>
      </w:r>
      <w:r>
        <w:rPr>
          <w:iCs/>
          <w:i/>
        </w:rPr>
        <w:t xml:space="preserve">A</w:t>
      </w:r>
      <w:r>
        <w:t xml:space="preserve"> </w:t>
      </w:r>
      <w:r>
        <w:t xml:space="preserve">is rational, they’ll definitely play UP. If</w:t>
      </w:r>
      <w:r>
        <w:t xml:space="preserve"> </w:t>
      </w:r>
      <w:r>
        <w:rPr>
          <w:iCs/>
          <w:i/>
        </w:rPr>
        <w:t xml:space="preserve">A</w:t>
      </w:r>
      <w:r>
        <w:t xml:space="preserve"> </w:t>
      </w:r>
      <w:r>
        <w:t xml:space="preserve">will definitely play UP, the probability they’ll play UP is 1, contradicting the assumption that</w:t>
      </w:r>
      <w:r>
        <w:t xml:space="preserve"> </w:t>
      </w:r>
      <w:r>
        <w:rPr>
          <w:iCs/>
          <w:i/>
        </w:rPr>
        <w:t xml:space="preserve">x</w:t>
      </w:r>
      <w:r>
        <w:t xml:space="preserve"> &lt; 1.</w:t>
      </w:r>
    </w:p>
    <w:p>
      <w:pPr>
        <w:pStyle w:val="BodyText"/>
      </w:pPr>
      <w:r>
        <w:t xml:space="preserve">So we know</w:t>
      </w:r>
      <w:r>
        <w:t xml:space="preserve"> </w:t>
      </w:r>
      <w:r>
        <w:rPr>
          <w:iCs/>
          <w:i/>
        </w:rPr>
        <w:t xml:space="preserve">x</w:t>
      </w:r>
      <w:r>
        <w:t xml:space="preserve"> = 1. Arguably, we don’t know that</w:t>
      </w:r>
      <w:r>
        <w:t xml:space="preserve"> </w:t>
      </w:r>
      <w:r>
        <w:rPr>
          <w:iCs/>
          <w:i/>
        </w:rPr>
        <w:t xml:space="preserve">A</w:t>
      </w:r>
      <w:r>
        <w:t xml:space="preserve"> </w:t>
      </w:r>
      <w:r>
        <w:t xml:space="preserve">will play UP. Assume we could know this. Whatever reason we would have for concluding that would be a reason for any rational person to conclude that</w:t>
      </w:r>
      <w:r>
        <w:t xml:space="preserve"> </w:t>
      </w:r>
      <w:r>
        <w:rPr>
          <w:iCs/>
          <w:i/>
        </w:rPr>
        <w:t xml:space="preserve">B</w:t>
      </w:r>
      <w:r>
        <w:t xml:space="preserve"> </w:t>
      </w:r>
      <w:r>
        <w:t xml:space="preserve">will play</w:t>
      </w:r>
      <w:r>
        <w:t xml:space="preserve"> </w:t>
      </w:r>
      <w:r>
        <w:rPr>
          <w:iCs/>
          <w:i/>
        </w:rPr>
        <w:t xml:space="preserve">up</w:t>
      </w:r>
      <w:r>
        <w:t xml:space="preserve">.</w:t>
      </w:r>
      <w:r>
        <w:t xml:space="preserve"> </w:t>
      </w:r>
      <w:r>
        <w:rPr>
          <w:iCs/>
          <w:i/>
        </w:rPr>
        <w:t xml:space="preserve">A</w:t>
      </w:r>
      <w:r>
        <w:t xml:space="preserve"> </w:t>
      </w:r>
      <w:r>
        <w:t xml:space="preserve">is rational, so</w:t>
      </w:r>
      <w:r>
        <w:t xml:space="preserve"> </w:t>
      </w:r>
      <w:r>
        <w:rPr>
          <w:iCs/>
          <w:i/>
        </w:rPr>
        <w:t xml:space="preserve">A</w:t>
      </w:r>
      <w:r>
        <w:t xml:space="preserve"> </w:t>
      </w:r>
      <w:r>
        <w:t xml:space="preserve">will conclude this. So</w:t>
      </w:r>
      <w:r>
        <w:t xml:space="preserve"> </w:t>
      </w:r>
      <w:r>
        <w:rPr>
          <w:iCs/>
          <w:i/>
        </w:rPr>
        <w:t xml:space="preserve">A</w:t>
      </w:r>
      <w:r>
        <w:t xml:space="preserve">’s expected return from either strategy is 1. So</w:t>
      </w:r>
      <w:r>
        <w:t xml:space="preserve"> </w:t>
      </w:r>
      <w:r>
        <w:rPr>
          <w:iCs/>
          <w:i/>
        </w:rPr>
        <w:t xml:space="preserve">A</w:t>
      </w:r>
      <w:r>
        <w:t xml:space="preserve"> </w:t>
      </w:r>
      <w:r>
        <w:t xml:space="preserve">should be indifferent between UP and DOWN. Since all we know about</w:t>
      </w:r>
      <w:r>
        <w:t xml:space="preserve"> </w:t>
      </w:r>
      <w:r>
        <w:rPr>
          <w:iCs/>
          <w:i/>
        </w:rPr>
        <w:t xml:space="preserve">A</w:t>
      </w:r>
      <w:r>
        <w:t xml:space="preserve"> </w:t>
      </w:r>
      <w:r>
        <w:t xml:space="preserve">is that they are rational, and we know they are indifferent between UP and DOWN, we can’t conclude, i.e., can’t know, they will play UP.</w:t>
      </w:r>
    </w:p>
    <w:p>
      <w:pPr>
        <w:pStyle w:val="BodyText"/>
      </w:pPr>
      <w:r>
        <w:t xml:space="preserve">There is an obvious objection to this argument. At one point I moved from the claim that</w:t>
      </w:r>
      <w:r>
        <w:t xml:space="preserve"> </w:t>
      </w:r>
      <w:r>
        <w:rPr>
          <w:iCs/>
          <w:i/>
        </w:rPr>
        <w:t xml:space="preserve">A</w:t>
      </w:r>
      <w:r>
        <w:t xml:space="preserve">’s expected return from UP and DOWN is the same, to the conclusion that</w:t>
      </w:r>
      <w:r>
        <w:t xml:space="preserve"> </w:t>
      </w:r>
      <w:r>
        <w:rPr>
          <w:iCs/>
          <w:i/>
        </w:rPr>
        <w:t xml:space="preserve">A</w:t>
      </w:r>
      <w:r>
        <w:t xml:space="preserve"> </w:t>
      </w:r>
      <w:r>
        <w:t xml:space="preserve">has just as much reason to play UP and DOWN. That looks like it is assuming that expected utility maximisation is the full theory of rationality. That, in turn, is something we might want to question.</w:t>
      </w:r>
    </w:p>
    <w:p>
      <w:pPr>
        <w:pStyle w:val="BodyText"/>
      </w:pPr>
      <w:r>
        <w:t xml:space="preserve">In</w:t>
      </w:r>
      <w:r>
        <w:t xml:space="preserve"> </w:t>
      </w:r>
      <w:hyperlink w:anchor="sec-ties">
        <w:r>
          <w:rPr>
            <w:rStyle w:val="Hyperlink"/>
          </w:rPr>
          <w:t xml:space="preserve">Chapter 6</w:t>
        </w:r>
      </w:hyperlink>
      <w:r>
        <w:t xml:space="preserve"> </w:t>
      </w:r>
      <w:r>
        <w:t xml:space="preserve">I said that expected utility maximisation can’t be the right theory of decision for agents who face non-trivial comptutational costs. This shouldn’t be relevant here.</w:t>
      </w:r>
      <w:r>
        <w:t xml:space="preserve"> </w:t>
      </w:r>
      <w:r>
        <w:rPr>
          <w:iCs/>
          <w:i/>
        </w:rPr>
        <w:t xml:space="preserve">A</w:t>
      </w:r>
      <w:r>
        <w:t xml:space="preserve"> </w:t>
      </w:r>
      <w:r>
        <w:t xml:space="preserve">and</w:t>
      </w:r>
      <w:r>
        <w:t xml:space="preserve"> </w:t>
      </w:r>
      <w:r>
        <w:rPr>
          <w:iCs/>
          <w:i/>
        </w:rPr>
        <w:t xml:space="preserve">B</w:t>
      </w:r>
      <w:r>
        <w:t xml:space="preserve"> </w:t>
      </w:r>
      <w:r>
        <w:t xml:space="preserve">face pretty simple computations, and we can assume that the cost of those computations is negligible for each of them.</w:t>
      </w:r>
    </w:p>
    <w:p>
      <w:pPr>
        <w:pStyle w:val="BodyText"/>
      </w:pPr>
      <w:r>
        <w:t xml:space="preserve">A more serious objection is that</w:t>
      </w:r>
      <w:r>
        <w:t xml:space="preserve"> </w:t>
      </w:r>
      <w:r>
        <w:rPr>
          <w:iCs/>
          <w:i/>
        </w:rPr>
        <w:t xml:space="preserve">A</w:t>
      </w:r>
      <w:r>
        <w:t xml:space="preserve"> </w:t>
      </w:r>
      <w:r>
        <w:t xml:space="preserve">has a reason beyond utility maximisation to play UP, namely that UP weakly dominates DOWN. After all, there’s one possibility on the table where UP does better than DOWN, and none where RED does better. So perhaps even if UP and DOWN have the same expected utility, there is a reason to play UP.</w:t>
      </w:r>
    </w:p>
    <w:p>
      <w:pPr>
        <w:pStyle w:val="BodyText"/>
      </w:pPr>
      <w:r>
        <w:t xml:space="preserve">At least as I’ve set up this game, this isn’t an extra reason</w:t>
      </w:r>
      <w:r>
        <w:t xml:space="preserve"> </w:t>
      </w:r>
      <w:r>
        <w:rPr>
          <w:iCs/>
          <w:i/>
        </w:rPr>
        <w:t xml:space="preserve">A</w:t>
      </w:r>
      <w:r>
        <w:t xml:space="preserve"> </w:t>
      </w:r>
      <w:r>
        <w:t xml:space="preserve">has. To see this, it helps to compare the case to the kinds of games where Stalnaker (in the papers cited above) thinks that weak dominance does provide a distinct reason to make a choice. He is talking about games where the agents’ attitude towards the possible payouts is different to their attitude towards each other. For example, the players may have common knowledge of the payouts, but only common belief in the rationality of each other. Or perhaps they even have rational, true belief in the rationality of each other, but crucially not knowledge. If that’s right, but only if that’s right, then it makes sense to use weak dominance reasoning.</w:t>
      </w:r>
    </w:p>
    <w:p>
      <w:pPr>
        <w:pStyle w:val="BodyText"/>
      </w:pPr>
      <w:r>
        <w:t xml:space="preserve">The key motivation behind weak dominance reasoning is that taking a weakly dominated option is a needless risk. If UP will definitely return 1, while DOWN may return 0, then DOWN is risky in a way that UP is not. The notion of</w:t>
      </w:r>
      <w:r>
        <w:t xml:space="preserve"> </w:t>
      </w:r>
      <w:r>
        <w:rPr>
          <w:iCs/>
          <w:i/>
        </w:rPr>
        <w:t xml:space="preserve">risk</w:t>
      </w:r>
      <w:r>
        <w:t xml:space="preserve"> </w:t>
      </w:r>
      <w:r>
        <w:t xml:space="preserve">here need not be understood probabilistically. Even if it the probability that DOWN will return 1 is 1, there is still that payout of 0 sitting on the table, and so there is a risk.</w:t>
      </w:r>
    </w:p>
    <w:p>
      <w:pPr>
        <w:pStyle w:val="BodyText"/>
      </w:pPr>
      <w:r>
        <w:t xml:space="preserve">Here we need to slow down. There is no outcome on the table where UP returns 1. But if the table is wrong, then UP might return 0. It might return anything at all. The only way that DOWN is risky while UP is not is if there is no risk that the table is mistaken.</w:t>
      </w:r>
    </w:p>
    <w:p>
      <w:pPr>
        <w:pStyle w:val="BodyText"/>
      </w:pPr>
      <w:r>
        <w:t xml:space="preserve">Now one might object, we stipulated that</w:t>
      </w:r>
      <w:r>
        <w:t xml:space="preserve"> </w:t>
      </w:r>
      <w:r>
        <w:rPr>
          <w:iCs/>
          <w:i/>
        </w:rPr>
        <w:t xml:space="preserve">A</w:t>
      </w:r>
      <w:r>
        <w:t xml:space="preserve"> </w:t>
      </w:r>
      <w:r>
        <w:t xml:space="preserve">knows the table is correct, there is no way it can be mistaken. We also stipulated that</w:t>
      </w:r>
      <w:r>
        <w:t xml:space="preserve"> </w:t>
      </w:r>
      <w:r>
        <w:rPr>
          <w:iCs/>
          <w:i/>
        </w:rPr>
        <w:t xml:space="preserve">A</w:t>
      </w:r>
      <w:r>
        <w:t xml:space="preserve"> </w:t>
      </w:r>
      <w:r>
        <w:t xml:space="preserve">knows that</w:t>
      </w:r>
      <w:r>
        <w:t xml:space="preserve"> </w:t>
      </w:r>
      <w:r>
        <w:rPr>
          <w:iCs/>
          <w:i/>
        </w:rPr>
        <w:t xml:space="preserve">B</w:t>
      </w:r>
      <w:r>
        <w:t xml:space="preserve"> </w:t>
      </w:r>
      <w:r>
        <w:t xml:space="preserve">is rational. So if rationality implies playing UP/</w:t>
      </w:r>
      <w:r>
        <w:rPr>
          <w:iCs/>
          <w:i/>
        </w:rPr>
        <w:t xml:space="preserve">up</w:t>
      </w:r>
      <w:r>
        <w:t xml:space="preserve">, there is no way that DOWN can return 0.</w:t>
      </w:r>
    </w:p>
    <w:p>
      <w:pPr>
        <w:pStyle w:val="BodyText"/>
      </w:pPr>
      <w:r>
        <w:t xml:space="preserve">This is why Stalnaker’s assumption that there is an asymmetry between the players’ attitude towards the table and towards each other matters. If the players have a stronger attitude towards the rationality of each other than towards the correctness of the table, there is a sense in which irrational outcomes on the table are more of a risk than outcomes that are not on the table.</w:t>
      </w:r>
    </w:p>
    <w:p>
      <w:pPr>
        <w:pStyle w:val="BodyText"/>
      </w:pPr>
      <w:r>
        <w:t xml:space="preserve">However, if the players think the players being irrational is exactly as live a possibility as the table being mistaken, then it is unreasonable to treat outcomes on the table which are only reached when the players are irrational as more relevant to decisions than outcomes not on the table at all.</w:t>
      </w:r>
    </w:p>
    <w:p>
      <w:pPr>
        <w:pStyle w:val="BodyText"/>
      </w:pPr>
      <w:r>
        <w:t xml:space="preserve">That’s why weak dominance reasoning is inappropriate in the Up-Down game. In some sense there is a risk DOWN could lead to a payout of 0.</w:t>
      </w:r>
      <w:r>
        <w:t xml:space="preserve"> </w:t>
      </w:r>
      <w:r>
        <w:rPr>
          <w:iCs/>
          <w:i/>
        </w:rPr>
        <w:t xml:space="preserve">B</w:t>
      </w:r>
      <w:r>
        <w:t xml:space="preserve"> </w:t>
      </w:r>
      <w:r>
        <w:t xml:space="preserve">might make an irrational move, even though, by stipulation,</w:t>
      </w:r>
      <w:r>
        <w:t xml:space="preserve"> </w:t>
      </w:r>
      <w:r>
        <w:rPr>
          <w:iCs/>
          <w:i/>
        </w:rPr>
        <w:t xml:space="preserve">A</w:t>
      </w:r>
      <w:r>
        <w:t xml:space="preserve"> </w:t>
      </w:r>
      <w:r>
        <w:t xml:space="preserve">knows that they will not. In the very same sense, there is a risk UP could lead to a payout of 0. The table could be wrong, even though</w:t>
      </w:r>
      <w:r>
        <w:t xml:space="preserve"> </w:t>
      </w:r>
      <w:r>
        <w:rPr>
          <w:iCs/>
          <w:i/>
        </w:rPr>
        <w:t xml:space="preserve">A</w:t>
      </w:r>
      <w:r>
        <w:t xml:space="preserve"> </w:t>
      </w:r>
      <w:r>
        <w:t xml:space="preserve">knows that it is not.</w:t>
      </w:r>
    </w:p>
    <w:p>
      <w:pPr>
        <w:pStyle w:val="BodyText"/>
      </w:pPr>
      <w:r>
        <w:t xml:space="preserve">That’s why the possibility of weak dominance reasoning doesn’t undermine the reductio argument I’ve offered against UP/</w:t>
      </w:r>
      <w:r>
        <w:rPr>
          <w:iCs/>
          <w:i/>
        </w:rPr>
        <w:t xml:space="preserve">up</w:t>
      </w:r>
      <w:r>
        <w:t xml:space="preserve"> </w:t>
      </w:r>
      <w:r>
        <w:t xml:space="preserve">being the uniquely rational play. It also helps us see why ultimately we don’t need the assumption of Uniqueness to generate the objection.</w:t>
      </w:r>
    </w:p>
    <w:p>
      <w:pPr>
        <w:pStyle w:val="BodyText"/>
      </w:pPr>
      <w:r>
        <w:t xml:space="preserve">Let’s state the argument more carefully without Uniqueness. Assume, again for reductio, that some rational person</w:t>
      </w:r>
      <w:r>
        <w:t xml:space="preserve"> </w:t>
      </w:r>
      <w:r>
        <w:rPr>
          <w:iCs/>
          <w:i/>
        </w:rPr>
        <w:t xml:space="preserve">C</w:t>
      </w:r>
      <w:r>
        <w:t xml:space="preserve"> </w:t>
      </w:r>
      <w:r>
        <w:t xml:space="preserve">has credence ε &gt; 0 that</w:t>
      </w:r>
      <w:r>
        <w:t xml:space="preserve"> </w:t>
      </w:r>
      <w:r>
        <w:rPr>
          <w:iCs/>
          <w:i/>
        </w:rPr>
        <w:t xml:space="preserve">A</w:t>
      </w:r>
      <w:r>
        <w:t xml:space="preserve"> </w:t>
      </w:r>
      <w:r>
        <w:t xml:space="preserve">will play DOWN. (It could be that</w:t>
      </w:r>
      <w:r>
        <w:t xml:space="preserve"> </w:t>
      </w:r>
      <w:r>
        <w:rPr>
          <w:iCs/>
          <w:i/>
        </w:rPr>
        <w:t xml:space="preserve">C</w:t>
      </w:r>
      <w:r>
        <w:t xml:space="preserve"> </w:t>
      </w:r>
      <w:r>
        <w:t xml:space="preserve">is a theorist, like us, or they could be one of the players.) We will now try to build a full model of</w:t>
      </w:r>
      <w:r>
        <w:t xml:space="preserve"> </w:t>
      </w:r>
      <w:r>
        <w:rPr>
          <w:iCs/>
          <w:i/>
        </w:rPr>
        <w:t xml:space="preserve">C</w:t>
      </w:r>
      <w:r>
        <w:t xml:space="preserve">’s attitudes towards the game.</w:t>
      </w:r>
    </w:p>
    <w:p>
      <w:pPr>
        <w:pStyle w:val="BodyText"/>
      </w:pPr>
      <w:r>
        <w:t xml:space="preserve">Since it is common ground that</w:t>
      </w:r>
      <w:r>
        <w:t xml:space="preserve"> </w:t>
      </w:r>
      <w:r>
        <w:rPr>
          <w:iCs/>
          <w:i/>
        </w:rPr>
        <w:t xml:space="preserve">A</w:t>
      </w:r>
      <w:r>
        <w:t xml:space="preserve"> </w:t>
      </w:r>
      <w:r>
        <w:t xml:space="preserve">is an expected utility maximiser,</w:t>
      </w:r>
      <w:r>
        <w:t xml:space="preserve"> </w:t>
      </w:r>
      <w:r>
        <w:rPr>
          <w:iCs/>
          <w:i/>
        </w:rPr>
        <w:t xml:space="preserve">C</w:t>
      </w:r>
      <w:r>
        <w:t xml:space="preserve"> </w:t>
      </w:r>
      <w:r>
        <w:t xml:space="preserve">must have at least credence ε that</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Is this coherent?</w:t>
      </w:r>
    </w:p>
    <w:p>
      <w:pPr>
        <w:pStyle w:val="BodyText"/>
      </w:pPr>
      <w:r>
        <w:t xml:space="preserve">One reason to think not is that even without Uniqueness, it is strange to think that one rational agent could regard a possibility as infinitely less likely than another, given the exact same evidence evidence.</w:t>
      </w:r>
    </w:p>
    <w:p>
      <w:pPr>
        <w:pStyle w:val="BodyText"/>
      </w:pPr>
      <w:r>
        <w:t xml:space="preserve">Another reason to think this combination of views is incoherent is that without Uniqueness, the possibility of weak dominance reasoning comes back. If</w:t>
      </w:r>
      <w:r>
        <w:t xml:space="preserve"> </w:t>
      </w:r>
      <w:r>
        <w:rPr>
          <w:iCs/>
          <w:i/>
        </w:rPr>
        <w:t xml:space="preserve">C</w:t>
      </w:r>
      <w:r>
        <w:t xml:space="preserve"> </w:t>
      </w:r>
      <w:r>
        <w:t xml:space="preserve">has credence ε that</w:t>
      </w:r>
      <w:r>
        <w:t xml:space="preserve"> </w:t>
      </w:r>
      <w:r>
        <w:rPr>
          <w:iCs/>
          <w:i/>
        </w:rPr>
        <w:t xml:space="preserve">A</w:t>
      </w:r>
      <w:r>
        <w:t xml:space="preserve"> </w:t>
      </w:r>
      <w:r>
        <w:t xml:space="preserve">will play DOWN, then it is consistent with</w:t>
      </w:r>
      <w:r>
        <w:t xml:space="preserve"> </w:t>
      </w:r>
      <w:r>
        <w:rPr>
          <w:iCs/>
          <w:i/>
        </w:rPr>
        <w:t xml:space="preserve">B</w:t>
      </w:r>
      <w:r>
        <w:t xml:space="preserve">’s rationality that</w:t>
      </w:r>
      <w:r>
        <w:t xml:space="preserve"> </w:t>
      </w:r>
      <w:r>
        <w:rPr>
          <w:iCs/>
          <w:i/>
        </w:rPr>
        <w:t xml:space="preserve">B</w:t>
      </w:r>
      <w:r>
        <w:t xml:space="preserve"> </w:t>
      </w:r>
      <w:r>
        <w:t xml:space="preserve">has credence ε that</w:t>
      </w:r>
      <w:r>
        <w:t xml:space="preserve"> </w:t>
      </w:r>
      <w:r>
        <w:rPr>
          <w:iCs/>
          <w:i/>
        </w:rPr>
        <w:t xml:space="preserve">A</w:t>
      </w:r>
      <w:r>
        <w:t xml:space="preserve"> </w:t>
      </w:r>
      <w:r>
        <w:t xml:space="preserve">will play DOWN. Somehow</w:t>
      </w:r>
      <w:r>
        <w:t xml:space="preserve"> </w:t>
      </w:r>
      <w:r>
        <w:rPr>
          <w:iCs/>
          <w:i/>
        </w:rPr>
        <w:t xml:space="preserve">C</w:t>
      </w:r>
      <w:r>
        <w:t xml:space="preserve"> </w:t>
      </w:r>
      <w:r>
        <w:t xml:space="preserve">must have credence 1 that</w:t>
      </w:r>
      <w:r>
        <w:t xml:space="preserve"> </w:t>
      </w:r>
      <w:r>
        <w:rPr>
          <w:iCs/>
          <w:i/>
        </w:rPr>
        <w:t xml:space="preserve">B</w:t>
      </w:r>
      <w:r>
        <w:t xml:space="preserve"> </w:t>
      </w:r>
      <w:r>
        <w:t xml:space="preserve">does not have the same credences they do about what</w:t>
      </w:r>
      <w:r>
        <w:t xml:space="preserve"> </w:t>
      </w:r>
      <w:r>
        <w:rPr>
          <w:iCs/>
          <w:i/>
        </w:rPr>
        <w:t xml:space="preserve">A</w:t>
      </w:r>
      <w:r>
        <w:t xml:space="preserve"> </w:t>
      </w:r>
      <w:r>
        <w:t xml:space="preserve">will do, even though they and</w:t>
      </w:r>
      <w:r>
        <w:t xml:space="preserve"> </w:t>
      </w:r>
      <w:r>
        <w:rPr>
          <w:iCs/>
          <w:i/>
        </w:rPr>
        <w:t xml:space="preserve">B</w:t>
      </w:r>
      <w:r>
        <w:t xml:space="preserve"> </w:t>
      </w:r>
      <w:r>
        <w:t xml:space="preserve">have exactly the same evidence.</w:t>
      </w:r>
    </w:p>
    <w:p>
      <w:pPr>
        <w:pStyle w:val="BodyText"/>
      </w:pPr>
      <w:r>
        <w:t xml:space="preserve">Uniqueness implies that</w:t>
      </w:r>
      <w:r>
        <w:t xml:space="preserve"> </w:t>
      </w:r>
      <w:r>
        <w:rPr>
          <w:iCs/>
          <w:i/>
        </w:rPr>
        <w:t xml:space="preserve">C</w:t>
      </w:r>
      <w:r>
        <w:t xml:space="preserve"> </w:t>
      </w:r>
      <w:r>
        <w:t xml:space="preserve">should have credence 1 that</w:t>
      </w:r>
      <w:r>
        <w:t xml:space="preserve"> </w:t>
      </w:r>
      <w:r>
        <w:rPr>
          <w:iCs/>
          <w:i/>
        </w:rPr>
        <w:t xml:space="preserve">B</w:t>
      </w:r>
      <w:r>
        <w:t xml:space="preserve"> </w:t>
      </w:r>
      <w:r>
        <w:t xml:space="preserve">will have the same credences as they do. I think Uniqueness is wrong, so I don’t think that’s a plausible constraint. But it’s another thing to say that</w:t>
      </w:r>
      <w:r>
        <w:t xml:space="preserve"> </w:t>
      </w:r>
      <w:r>
        <w:rPr>
          <w:iCs/>
          <w:i/>
        </w:rPr>
        <w:t xml:space="preserve">C</w:t>
      </w:r>
      <w:r>
        <w:t xml:space="preserve"> </w:t>
      </w:r>
      <w:r>
        <w:t xml:space="preserve">should have credence 0 that someone in the same evidential situation as them has the same credences.</w:t>
      </w:r>
    </w:p>
    <w:p>
      <w:pPr>
        <w:pStyle w:val="BodyText"/>
      </w:pPr>
      <w:r>
        <w:t xml:space="preserve">So even without Uniqueness, there are two reasons to think that it is wrong to have credence ε &gt; 0 that</w:t>
      </w:r>
      <w:r>
        <w:t xml:space="preserve"> </w:t>
      </w:r>
      <w:r>
        <w:rPr>
          <w:iCs/>
          <w:i/>
        </w:rPr>
        <w:t xml:space="preserve">A</w:t>
      </w:r>
      <w:r>
        <w:t xml:space="preserve"> </w:t>
      </w:r>
      <w:r>
        <w:t xml:space="preserve">will play DOWN. Further, the argument that we can’t know</w:t>
      </w:r>
      <w:r>
        <w:t xml:space="preserve"> </w:t>
      </w:r>
      <w:r>
        <w:rPr>
          <w:iCs/>
          <w:i/>
        </w:rPr>
        <w:t xml:space="preserve">A</w:t>
      </w:r>
      <w:r>
        <w:t xml:space="preserve"> </w:t>
      </w:r>
      <w:r>
        <w:t xml:space="preserve">will play UP did not rely on Uniqueness. So this is a case where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1.</w:t>
      </w:r>
    </w:p>
    <w:bookmarkEnd w:id="175"/>
    <w:bookmarkStart w:id="182"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7"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 the difference 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is to say that the boundary is vague.</w:t>
      </w:r>
      <w:r>
        <w:rPr>
          <w:rStyle w:val="FootnoteReference"/>
        </w:rPr>
        <w:footnoteReference w:id="176"/>
      </w:r>
      <w:r>
        <w:t xml:space="preserve"> </w:t>
      </w:r>
      <w:r>
        <w:t xml:space="preserve">This won’t help at all on theories of vagueness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w:t>
      </w:r>
    </w:p>
    <w:p>
      <w:pPr>
        <w:pStyle w:val="BodyText"/>
      </w:pPr>
      <w:r>
        <w:t xml:space="preserve">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Even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7"/>
    <w:bookmarkStart w:id="178"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(2017a)</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78"/>
    <w:bookmarkStart w:id="179"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belief,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79"/>
    <w:bookmarkStart w:id="181"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0"/>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On the Lockean view, this happens all the time, and is intelligible. According to the Lockeans, it is easy to find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One argument against the Lockean is that there are no such triples, at least when</w:t>
      </w:r>
      <w:r>
        <w:t xml:space="preserve"> </w:t>
      </w:r>
      <w:r>
        <w:rPr>
          <w:iCs/>
          <w:i/>
        </w:rPr>
        <w:t xml:space="preserve">S</w:t>
      </w:r>
      <w:r>
        <w:t xml:space="preserve"> </w:t>
      </w:r>
      <w:r>
        <w:t xml:space="preserve">is rational. That’s what I think. Even if I’m wrong, there is a separate argument against the Lockean. The Lockean doesn’t just think these triples are possible, they think they are common.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David</w:t>
      </w:r>
      <w:r>
        <w:t xml:space="preserve"> </w:t>
      </w:r>
      <w:r>
        <w:t xml:space="preserve">Christensen (2005)</w:t>
      </w:r>
      <w:r>
        <w:t xml:space="preserve"> </w:t>
      </w:r>
      <w:r>
        <w:t xml:space="preserve">argues from considerations about the preface paradox to the conclusion that triples like〈</w:t>
      </w:r>
      <w:r>
        <w:rPr>
          <w:iCs/>
          <w:i/>
        </w:rPr>
        <w:t xml:space="preserve">S</w:t>
      </w:r>
      <w:r>
        <w:t xml:space="preserve">, </w:t>
      </w:r>
      <w:r>
        <w:rPr>
          <w:iCs/>
          <w:i/>
        </w:rPr>
        <w:t xml:space="preserve">A</w:t>
      </w:r>
      <w:r>
        <w:t xml:space="preserve">, </w:t>
      </w:r>
      <w:r>
        <w:rPr>
          <w:iCs/>
          <w:i/>
        </w:rPr>
        <w:t xml:space="preserve">B</w:t>
      </w:r>
      <w:r>
        <w:t xml:space="preserve">〉are possible. His argument is non-constructive; he doesn’t state a particular triple that clearly satisfies all the constraints, just argues that one must exist. I’m sceptical about that argument, but even if it worked, it wouldn’t show what’s needed. What’s needed is that triples satisfying the constraints I set out for 〈</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I set out for 〈</w:t>
      </w:r>
      <w:r>
        <w:rPr>
          <w:iCs/>
          <w:i/>
        </w:rPr>
        <w:t xml:space="preserve">S</w:t>
      </w:r>
      <w:r>
        <w:t xml:space="preserve">, </w:t>
      </w:r>
      <w:r>
        <w:rPr>
          <w:iCs/>
          <w:i/>
        </w:rPr>
        <w:t xml:space="preserve">C</w:t>
      </w:r>
      <w:r>
        <w:t xml:space="preserve">, </w:t>
      </w:r>
      <w:r>
        <w:rPr>
          <w:iCs/>
          <w:i/>
        </w:rPr>
        <w:t xml:space="preserve">D</w:t>
      </w:r>
      <w:r>
        <w:t xml:space="preserve">〉, for at least some value</w:t>
      </w:r>
      <w:r>
        <w:t xml:space="preserve"> </w:t>
      </w:r>
      <w:r>
        <w:rPr>
          <w:iCs/>
          <w:i/>
        </w:rPr>
        <w:t xml:space="preserve">t</w:t>
      </w:r>
      <w:r>
        <w:t xml:space="preserve">. Considerations about esoteric cases like the preface paradox can’t show that, and I haven’t seen any other argument that even attempts to show it.</w:t>
      </w:r>
    </w:p>
    <w:bookmarkEnd w:id="181"/>
    <w:bookmarkEnd w:id="182"/>
    <w:bookmarkStart w:id="187"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3"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3"/>
    <w:bookmarkStart w:id="184" w:name="games"/>
    <w:p>
      <w:pPr>
        <w:pStyle w:val="Heading3"/>
      </w:pPr>
      <w:r>
        <w:t xml:space="preserve">8.5.2 Games</w:t>
      </w:r>
    </w:p>
    <w:p>
      <w:pPr>
        <w:pStyle w:val="FirstParagraph"/>
      </w:pPr>
      <w:r>
        <w:t xml:space="preserve">In the Up-Down game, if the rational person believed that the other player would play</w:t>
      </w:r>
      <w:r>
        <w:t xml:space="preserve"> </w:t>
      </w:r>
      <w:r>
        <w:rPr>
          <w:iCs/>
          <w:i/>
        </w:rPr>
        <w:t xml:space="preserve">up</w:t>
      </w:r>
      <w:r>
        <w:t xml:space="preserve">,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4"/>
    <w:bookmarkStart w:id="185"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Moreover,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to it are things to be explained, while instances are explained by the underlying pattern.</w:t>
      </w:r>
    </w:p>
    <w:bookmarkEnd w:id="185"/>
    <w:bookmarkStart w:id="186" w:name="moore"/>
    <w:p>
      <w:pPr>
        <w:pStyle w:val="Heading3"/>
      </w:pPr>
      <w:r>
        <w:t xml:space="preserve">8.5.4 Moore</w:t>
      </w:r>
    </w:p>
    <w:p>
      <w:pPr>
        <w:pStyle w:val="FirstParagraph"/>
      </w:pPr>
      <w:r>
        <w:t xml:space="preserve">In many ways the guiding aim of this project was to avoid the kind of Moore-paradoxicality the Lockean falls into.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6"/>
    <w:bookmarkEnd w:id="187"/>
    <w:bookmarkEnd w:id="188"/>
    <w:bookmarkStart w:id="213" w:name="sec-evidence"/>
    <w:p>
      <w:pPr>
        <w:pStyle w:val="Heading1"/>
      </w:pPr>
      <w:r>
        <w:t xml:space="preserve">9. Evidence</w:t>
      </w:r>
    </w:p>
    <w:bookmarkStart w:id="189" w:name="sec-evpuzzle"/>
    <w:p>
      <w:pPr>
        <w:pStyle w:val="Heading2"/>
      </w:pPr>
      <w:r>
        <w:t xml:space="preserve">9.1 A Puzzle About Evidence</w:t>
      </w:r>
    </w:p>
    <w:p>
      <w:pPr>
        <w:pStyle w:val="FirstParagraph"/>
      </w:pPr>
      <w:r>
        <w:t xml:space="preserve">In</w:t>
      </w:r>
      <w:r>
        <w:t xml:space="preserve"> </w:t>
      </w:r>
      <w:hyperlink w:anchor="sec-orthodoxevidence">
        <w:r>
          <w:rPr>
            <w:rStyle w:val="Hyperlink"/>
          </w:rPr>
          <w:t xml:space="preserve">Section 2.3.4</w:t>
        </w:r>
      </w:hyperlink>
      <w:r>
        <w:t xml:space="preserve">, I argued that evidence can be interest-relative. The key example involved someone I called Parveen. Recall that she’s in a restaurant and notices an old friend, Rahul, across the restaurant. The conditions for detecting people aren’t perfect, and she’s surprised Rahul is here.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1"/>
        </w:numPr>
        <w:pStyle w:val="Compact"/>
      </w:pPr>
      <w:r>
        <w:t xml:space="preserve">The red sentence is</w:t>
      </w:r>
      <w:r>
        <w:t xml:space="preserve"> </w:t>
      </w:r>
      <w:r>
        <w:rPr>
          <w:iCs/>
          <w:i/>
        </w:rPr>
        <w:t xml:space="preserve">Two plus two equals four</w:t>
      </w:r>
      <w:r>
        <w:t xml:space="preserve">.</w:t>
      </w:r>
    </w:p>
    <w:p>
      <w:pPr>
        <w:numPr>
          <w:ilvl w:val="0"/>
          <w:numId w:val="1051"/>
        </w:numPr>
        <w:pStyle w:val="Compact"/>
      </w:pPr>
      <w:r>
        <w:t xml:space="preserve">The blue sentence is</w:t>
      </w:r>
      <w:r>
        <w:t xml:space="preserve"> </w:t>
      </w:r>
      <w:r>
        <w:rPr>
          <w:iCs/>
          <w:i/>
        </w:rPr>
        <w:t xml:space="preserve">Rahul is in this restaurant</w:t>
      </w:r>
      <w:r>
        <w:t xml:space="preserve">.</w:t>
      </w:r>
    </w:p>
    <w:p>
      <w:pPr>
        <w:pStyle w:val="FirstParagraph"/>
      </w:pPr>
      <w:r>
        <w:t xml:space="preserve">The key premises for the argument that evidence is interest-relative are:</w:t>
      </w:r>
    </w:p>
    <w:p>
      <w:pPr>
        <w:numPr>
          <w:ilvl w:val="0"/>
          <w:numId w:val="1052"/>
        </w:numPr>
        <w:pStyle w:val="Compact"/>
      </w:pPr>
      <w:r>
        <w:t xml:space="preserve">The unique rational play for Parveen is Red-True; and</w:t>
      </w:r>
    </w:p>
    <w:p>
      <w:pPr>
        <w:numPr>
          <w:ilvl w:val="0"/>
          <w:numId w:val="1052"/>
        </w:numPr>
        <w:pStyle w:val="Compact"/>
      </w:pPr>
      <w:r>
        <w:t xml:space="preserve">If evidence is interest-invariant, it is rational for Parveen to play Blue-True.</w:t>
      </w:r>
    </w:p>
    <w:p>
      <w:pPr>
        <w:pStyle w:val="FirstParagraph"/>
      </w:pPr>
      <w:r>
        <w:t xml:space="preserve">That argument shows that evidence is interest-relative. But it raises, without answering, two big questions:</w:t>
      </w:r>
    </w:p>
    <w:p>
      <w:pPr>
        <w:numPr>
          <w:ilvl w:val="0"/>
          <w:numId w:val="1053"/>
        </w:numPr>
        <w:pStyle w:val="Compact"/>
      </w:pPr>
      <w:r>
        <w:t xml:space="preserve">When do interests matter for evidence?</w:t>
      </w:r>
    </w:p>
    <w:p>
      <w:pPr>
        <w:numPr>
          <w:ilvl w:val="0"/>
          <w:numId w:val="1053"/>
        </w:numPr>
        <w:pStyle w:val="Compact"/>
      </w:pPr>
      <w:r>
        <w:t xml:space="preserve">When do interests matter for knowledge?</w:t>
      </w:r>
    </w:p>
    <w:p>
      <w:pPr>
        <w:pStyle w:val="FirstParagraph"/>
      </w:pPr>
      <w:r>
        <w:t xml:space="preserve">I used to think that there was an easy answer to the second question. A change in interest causes one to lose knowledge that</w:t>
      </w:r>
      <w:r>
        <w:t xml:space="preserve"> </w:t>
      </w:r>
      <w:r>
        <w:rPr>
          <w:iCs/>
          <w:i/>
        </w:rPr>
        <w:t xml:space="preserve">p</w:t>
      </w:r>
      <w:r>
        <w:t xml:space="preserve"> </w:t>
      </w:r>
      <w:r>
        <w:t xml:space="preserve">iff one becomes interested in a question which, given one’s evidence, is rationally answered differently depending on whether or not one answers the question conditional on</w:t>
      </w:r>
      <w:r>
        <w:t xml:space="preserve"> </w:t>
      </w:r>
      <w:r>
        <w:rPr>
          <w:iCs/>
          <w:i/>
        </w:rPr>
        <w:t xml:space="preserve">p</w:t>
      </w:r>
      <w:r>
        <w:t xml:space="preserve">. This answer is true as far as it goes, but it isn’t particularly explanatory unless one holds fixed the evidence between the earlier and later set of interests. And that is just what I said should not be held fixed.</w:t>
      </w:r>
    </w:p>
    <w:p>
      <w:pPr>
        <w:pStyle w:val="BodyText"/>
      </w:pPr>
      <w:r>
        <w:t xml:space="preserve">The aim of this chapter is to answer both questions simultaneously.</w:t>
      </w:r>
    </w:p>
    <w:bookmarkEnd w:id="189"/>
    <w:bookmarkStart w:id="190" w:name="sec-simplesolution"/>
    <w:p>
      <w:pPr>
        <w:pStyle w:val="Heading2"/>
      </w:pPr>
      <w:r>
        <w:t xml:space="preserve">9.2 A Simple, but Incomplete, Solution</w:t>
      </w:r>
    </w:p>
    <w:p>
      <w:pPr>
        <w:pStyle w:val="FirstParagraph"/>
      </w:pPr>
      <w:r>
        <w:t xml:space="preserve">To keep things relatively simple, I’ll assume in this chapter that Parveen is an expected utility maximiser. More carefully, I’ll assume that the reasons covered in</w:t>
      </w:r>
      <w:r>
        <w:t xml:space="preserve"> </w:t>
      </w:r>
      <w:hyperlink w:anchor="sec-ties">
        <w:r>
          <w:rPr>
            <w:rStyle w:val="Hyperlink"/>
          </w:rPr>
          <w:t xml:space="preserve">Chapter 6</w:t>
        </w:r>
      </w:hyperlink>
      <w:r>
        <w:t xml:space="preserve"> </w:t>
      </w:r>
      <w:r>
        <w:t xml:space="preserve">about why expected utility theory is only an approximation to the correct theory of rational choice are not relevant. From here on, we’ll assume we’re in a situation where expected utility theory is close enough to the true theory of rational choice.</w:t>
      </w:r>
    </w:p>
    <w:p>
      <w:pPr>
        <w:pStyle w:val="BodyText"/>
      </w:pPr>
      <w:r>
        <w:t xml:space="preserve">At a very high level of abstraction, we can think about the problem facing Parveen (or anyone else whose evidence might be interest-sensitive), as follows. They have some option</w:t>
      </w:r>
      <w:r>
        <w:t xml:space="preserve"> </w:t>
      </w:r>
      <w:r>
        <w:rPr>
          <w:iCs/>
          <w:i/>
        </w:rPr>
        <w:t xml:space="preserve">o</w:t>
      </w:r>
      <w:r>
        <w:t xml:space="preserve">, and given their interests it matters whether the expected value of</w:t>
      </w:r>
      <w:r>
        <w:t xml:space="preserve"> </w:t>
      </w:r>
      <w:r>
        <w:rPr>
          <w:iCs/>
          <w:i/>
        </w:rPr>
        <w:t xml:space="preserve">o</w:t>
      </w:r>
      <w:r>
        <w:t xml:space="preserve"> </w:t>
      </w:r>
      <w:r>
        <w:t xml:space="preserve">is above or below</w:t>
      </w:r>
      <w:r>
        <w:t xml:space="preserve"> </w:t>
      </w:r>
      <w:r>
        <w:rPr>
          <w:iCs/>
          <w:i/>
        </w:rPr>
        <w:t xml:space="preserve">x</w:t>
      </w:r>
      <w:r>
        <w:t xml:space="preserve">. I’ll write</w:t>
      </w:r>
      <w:r>
        <w:t xml:space="preserve"> </w:t>
      </w:r>
      <w:r>
        <w:rPr>
          <w:iCs/>
          <w:i/>
        </w:rPr>
        <w:t xml:space="preserve">v</w:t>
      </w:r>
      <w:r>
        <w:t xml:space="preserve">(•) for the function from options to their expected value, so the question here is whether or not</w:t>
      </w:r>
      <w:r>
        <w:t xml:space="preserve"> </w:t>
      </w:r>
      <w:r>
        <w:rPr>
          <w:iCs/>
          <w:i/>
        </w:rPr>
        <w:t xml:space="preserve">v</w:t>
      </w:r>
      <w:r>
        <w:t xml:space="preserve">(</w:t>
      </w:r>
      <w:r>
        <w:rPr>
          <w:iCs/>
          <w:i/>
        </w:rPr>
        <w:t xml:space="preserve">o</w:t>
      </w:r>
      <w:r>
        <w:t xml:space="preserve">) us at least</w:t>
      </w:r>
      <w:r>
        <w:t xml:space="preserve"> </w:t>
      </w:r>
      <w:r>
        <w:rPr>
          <w:iCs/>
          <w:i/>
        </w:rPr>
        <w:t xml:space="preserve">x</w:t>
      </w:r>
      <w:r>
        <w:t xml:space="preserve">.</w:t>
      </w:r>
    </w:p>
    <w:p>
      <w:pPr>
        <w:pStyle w:val="BodyText"/>
      </w:pPr>
      <w:r>
        <w:t xml:space="preserve">There is some background</w:t>
      </w:r>
      <w:r>
        <w:t xml:space="preserve"> </w:t>
      </w:r>
      <w:r>
        <w:rPr>
          <w:iCs/>
          <w:i/>
        </w:rPr>
        <w:t xml:space="preserve">K</w:t>
      </w:r>
      <w:r>
        <w:t xml:space="preserve"> </w:t>
      </w:r>
      <w:r>
        <w:t xml:space="preserve">that is uncontroversially in Parveen’s evidence. There is some further proposition</w:t>
      </w:r>
      <w:r>
        <w:t xml:space="preserve"> </w:t>
      </w:r>
      <w:r>
        <w:rPr>
          <w:iCs/>
          <w:i/>
        </w:rPr>
        <w:t xml:space="preserve">p</w:t>
      </w:r>
      <w:r>
        <w:t xml:space="preserve"> </w:t>
      </w:r>
      <w:r>
        <w:t xml:space="preserve">which might or might not be in her evidence; that’s what the change of interests calls into question.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For any</w:t>
      </w:r>
      <w:r>
        <w:t xml:space="preserve"> </w:t>
      </w:r>
      <w:r>
        <w:rPr>
          <w:iCs/>
          <w:i/>
        </w:rPr>
        <w:t xml:space="preserve">q</w:t>
      </w:r>
      <w:r>
        <w:t xml:space="preserve"> </w:t>
      </w:r>
      <w:r>
        <w:t xml:space="preserve">in</w:t>
      </w:r>
      <w:r>
        <w:t xml:space="preserve"> </w:t>
      </w:r>
      <w:r>
        <w:rPr>
          <w:iCs/>
          <w:i/>
        </w:rPr>
        <w:t xml:space="preserve">K</w:t>
      </w:r>
      <w:r>
        <w:t xml:space="preserv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expected values are conditional on evidence.</w:t>
      </w:r>
    </w:p>
    <w:p>
      <w:pPr>
        <w:pStyle w:val="BodyText"/>
      </w:pPr>
      <w:r>
        <w:t xml:space="preserve">A common idealisation helps capture this last idea. Assume there is a prior value function</w:t>
      </w:r>
      <w:r>
        <w:t xml:space="preserve"> </w:t>
      </w:r>
      <w:r>
        <w:rPr>
          <w:iCs/>
          <w:i/>
        </w:rPr>
        <w:t xml:space="preserve">v</w:t>
      </w:r>
      <w:r>
        <w:rPr>
          <w:vertAlign w:val="superscript"/>
        </w:rPr>
        <w:t xml:space="preserve">-</w:t>
      </w:r>
      <w:r>
        <w:t xml:space="preserve">, with a similar metaphysical status to the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to question 2, assuming</w:t>
      </w:r>
      <w:r>
        <w:t xml:space="preserve"> </w:t>
      </w:r>
      <w:r>
        <w:rPr>
          <w:iCs/>
          <w:i/>
        </w:rPr>
        <w:t xml:space="preserve">p</w:t>
      </w:r>
      <w:r>
        <w:t xml:space="preserve"> </w:t>
      </w:r>
      <w:r>
        <w:t xml:space="preserve">is the only proposition whose status as evidence is put into question by the interests-shift, and the only shift in interests is that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is now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if</w:t>
      </w:r>
      <w:r>
        <w:t xml:space="preserve"> </w:t>
      </w:r>
      <w:r>
        <w:rPr>
          <w:iCs/>
          <w:i/>
        </w:rPr>
        <w:t xml:space="preserve">p</w:t>
      </w:r>
      <w:r>
        <w:t xml:space="preserve">’s status as evidence is questionable, the relevant</w:t>
      </w:r>
      <w:r>
        <w:t xml:space="preserve"> </w:t>
      </w:r>
      <w:r>
        <w:t xml:space="preserve">‘</w:t>
      </w:r>
      <w:r>
        <w:t xml:space="preserve">value</w:t>
      </w:r>
      <w:r>
        <w:t xml:space="preserve">’</w:t>
      </w:r>
      <w:r>
        <w:t xml:space="preserve"> </w:t>
      </w:r>
      <w:r>
        <w:t xml:space="preserve">for</w:t>
      </w:r>
      <w:r>
        <w:t xml:space="preserve"> </w:t>
      </w:r>
      <w:r>
        <w:rPr>
          <w:iCs/>
          <w:i/>
        </w:rPr>
        <w:t xml:space="preserve">o</w:t>
      </w:r>
      <w:r>
        <w:t xml:space="preserve"> </w:t>
      </w:r>
      <w:r>
        <w:t xml:space="preserve">is the average of its expected value with and without</w:t>
      </w:r>
      <w:r>
        <w:t xml:space="preserve"> </w:t>
      </w:r>
      <w:r>
        <w:rPr>
          <w:iCs/>
          <w:i/>
        </w:rPr>
        <w:t xml:space="preserve">p</w:t>
      </w:r>
      <w:r>
        <w:t xml:space="preserve"> </w:t>
      </w:r>
      <w:r>
        <w:t xml:space="preserve">being evidence.</w:t>
      </w:r>
    </w:p>
    <w:p>
      <w:pPr>
        <w:pStyle w:val="BodyText"/>
      </w:pPr>
      <w:r>
        <w:t xml:space="preserve">That gets the right answer about what Parveen should do. Her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It would only be rational to play Blue-True if was worth $50. So she shouldn’t play Blue-True.</w:t>
      </w:r>
    </w:p>
    <w:p>
      <w:pPr>
        <w:pStyle w:val="BodyText"/>
      </w:pPr>
      <w:r>
        <w:t xml:space="preserve">Great! Well, great except for two monumental problems. The first is that it only handles this very special case. The second is that the formula used, take the arithmetic mean of the values with and without the evidence, is barely better than arbitrary. It gets one thing right, it says Parveen shouldn’t play Blue-True, but it’s hardly alone in having that virtue.</w:t>
      </w:r>
    </w:p>
    <w:p>
      <w:pPr>
        <w:pStyle w:val="BodyText"/>
      </w:pPr>
      <w:r>
        <w:t xml:space="preserve">Pragmatic encroachment starts with a very elegant, very intuitive, principle: you only know the things you can reasonably take to be settled for the purposes of current deliberation. This arbitrary averaging formula is not elegant or intuitive.</w:t>
      </w:r>
    </w:p>
    <w:p>
      <w:pPr>
        <w:pStyle w:val="BodyText"/>
      </w:pPr>
      <w:r>
        <w:t xml:space="preserve">Happily, the two problems have a common solution. Setting it out requires going over recent work on coordination games.</w:t>
      </w:r>
    </w:p>
    <w:bookmarkEnd w:id="190"/>
    <w:bookmarkStart w:id="193" w:name="sec-radicalinterpretation"/>
    <w:p>
      <w:pPr>
        <w:pStyle w:val="Heading2"/>
      </w:pPr>
      <w:r>
        <w:t xml:space="preserve">9.3 The Radical Interpreter</w:t>
      </w:r>
    </w:p>
    <w:p>
      <w:pPr>
        <w:pStyle w:val="FirstParagraph"/>
      </w:pPr>
      <w:r>
        <w:t xml:space="preserve">William</w:t>
      </w:r>
      <w:r>
        <w:t xml:space="preserve"> </w:t>
      </w:r>
      <w:r>
        <w:t xml:space="preserve">Harper (1986)</w:t>
      </w:r>
      <w:r>
        <w:t xml:space="preserve"> </w:t>
      </w:r>
      <w:r>
        <w:t xml:space="preserve">pointed out that many decision problems are really better thought of as games. For instance, Newcomb’s Problem can be represented by the game in</w:t>
      </w:r>
      <w:r>
        <w:t xml:space="preserve"> </w:t>
      </w:r>
      <w:hyperlink w:anchor="tbl-Newcomb">
        <w:r>
          <w:rPr>
            <w:rStyle w:val="Hyperlink"/>
          </w:rPr>
          <w:t xml:space="preserve">Table 9.1</w:t>
        </w:r>
      </w:hyperlink>
      <w:r>
        <w:t xml:space="preserve">, with the human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1"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1"/>
          <w:p/>
        </w:tc>
      </w:tr>
    </w:tbl>
    <w:p>
      <w:pPr>
        <w:pStyle w:val="BodyText"/>
      </w:pPr>
      <w:r>
        <w:t xml:space="preserve">There is a unique equilibrium of this game: the bottom right corner. The reason it’s the unique equilibrium is similar to the reason that two-boxers say to take two boxes: no other option is ratifiable for both players.</w:t>
      </w:r>
    </w:p>
    <w:p>
      <w:pPr>
        <w:pStyle w:val="BodyText"/>
      </w:pPr>
      <w:r>
        <w:t xml:space="preserve">This section will be centered around a game that is only slightly more complicated. I call it The Interpretation Game. The game has two players. As in Newcomb’s Problem, they are a human and a mythical creature. Here the mythical creature is The Radical Interpreter.</w:t>
      </w:r>
    </w:p>
    <w:p>
      <w:pPr>
        <w:pStyle w:val="BodyText"/>
      </w:pPr>
      <w:r>
        <w:t xml:space="preserve">In any game, the payouts are a function of what will happen to the players in each situation, and the players’ values over those outcomes. To turn a physical situation into a game, we need to know the players’ goals. Here are the goals I’ll assume our players have:</w:t>
      </w:r>
    </w:p>
    <w:p>
      <w:pPr>
        <w:numPr>
          <w:ilvl w:val="0"/>
          <w:numId w:val="1054"/>
        </w:numPr>
        <w:pStyle w:val="Compact"/>
      </w:pPr>
      <w:r>
        <w:t xml:space="preserve">The Radical Interpreter assigns mental states to Human with the aim of making the action Human actually chooses the rational choice. I assume here that the</w:t>
      </w:r>
      <w:r>
        <w:t xml:space="preserve"> </w:t>
      </w:r>
      <w:r>
        <w:t xml:space="preserve">‘</w:t>
      </w:r>
      <w:r>
        <w:t xml:space="preserve">mental states</w:t>
      </w:r>
      <w:r>
        <w:t xml:space="preserve">’</w:t>
      </w:r>
      <w:r>
        <w:t xml:space="preserve"> </w:t>
      </w:r>
      <w:r>
        <w:t xml:space="preserve">include Human’s evidence. Indeed, the main thing I’ll have The Radical Interpreter do is assign evidence to Human.</w:t>
      </w:r>
    </w:p>
    <w:p>
      <w:pPr>
        <w:numPr>
          <w:ilvl w:val="0"/>
          <w:numId w:val="1054"/>
        </w:numPr>
        <w:pStyle w:val="Compact"/>
      </w:pPr>
      <w:r>
        <w:t xml:space="preserve">Human aims to maximise expected utility given their evidence. That last phrase,</w:t>
      </w:r>
      <w:r>
        <w:t xml:space="preserve"> </w:t>
      </w:r>
      <w:r>
        <w:t xml:space="preserve">‘</w:t>
      </w:r>
      <w:r>
        <w:t xml:space="preserve">their evidence</w:t>
      </w:r>
      <w:r>
        <w:t xml:space="preserve">’</w:t>
      </w:r>
      <w:r>
        <w:t xml:space="preserve">, should be read de re. More precisely, they aim to do the thing that is expected utility maximising given the evidence they actually have. (So their own views about their evidence don’t matter; all that matters is what their evidence really is.)</w:t>
      </w:r>
    </w:p>
    <w:p>
      <w:pPr>
        <w:pStyle w:val="FirstParagraph"/>
      </w:pPr>
      <w:r>
        <w:t xml:space="preserve">Given these aims, The Radical Interpreter and Human often play coordination games. They will both achieve their aims if they act the</w:t>
      </w:r>
      <w:r>
        <w:t xml:space="preserve"> </w:t>
      </w:r>
      <w:r>
        <w:t xml:space="preserve">‘</w:t>
      </w:r>
      <w:r>
        <w:t xml:space="preserve">same</w:t>
      </w:r>
      <w:r>
        <w:t xml:space="preserve">’</w:t>
      </w:r>
      <w:r>
        <w:t xml:space="preserve"> </w:t>
      </w:r>
      <w:r>
        <w:t xml:space="preserve">way. That is, when it is uncertain whether</w:t>
      </w:r>
      <w:r>
        <w:t xml:space="preserve"> </w:t>
      </w:r>
      <w:r>
        <w:rPr>
          <w:iCs/>
          <w:i/>
        </w:rPr>
        <w:t xml:space="preserve">p</w:t>
      </w:r>
      <w:r>
        <w:t xml:space="preserve"> </w:t>
      </w:r>
      <w:r>
        <w:t xml:space="preserve">is part of Human’s evidence, the coordination outcomes are: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 </w:t>
      </w:r>
      <w:r>
        <w:t xml:space="preserve">∧ </w:t>
      </w:r>
      <w:r>
        <w:rPr>
          <w:iCs/>
          <w:i/>
        </w:rPr>
        <w:t xml:space="preserve">p</w:t>
      </w:r>
      <w:r>
        <w:t xml:space="preserve">.</w:t>
      </w:r>
    </w:p>
    <w:p>
      <w:pPr>
        <w:numPr>
          <w:ilvl w:val="0"/>
          <w:numId w:val="1055"/>
        </w:numPr>
        <w:pStyle w:val="Compact"/>
      </w:pPr>
      <w:r>
        <w:t xml:space="preserve">The Radical Interpreter says that</w:t>
      </w:r>
      <w:r>
        <w:t xml:space="preserve"> </w:t>
      </w:r>
      <w:r>
        <w:rPr>
          <w:iCs/>
          <w:i/>
        </w:rPr>
        <w:t xml:space="preserve">p</w:t>
      </w:r>
      <w:r>
        <w:t xml:space="preserve"> </w:t>
      </w:r>
      <w:r>
        <w:t xml:space="preserve">is part of Human’s evidence, and Human maximises expected utility given</w:t>
      </w:r>
      <w:r>
        <w:t xml:space="preserve"> </w:t>
      </w:r>
      <w:r>
        <w:rPr>
          <w:iCs/>
          <w:i/>
        </w:rPr>
        <w:t xml:space="preserve">K</w:t>
      </w:r>
      <w:r>
        <w:t xml:space="preserve">.</w:t>
      </w:r>
    </w:p>
    <w:p>
      <w:pPr>
        <w:pStyle w:val="FirstParagraph"/>
      </w:pPr>
      <w:r>
        <w:t xml:space="preserve">Coordination games typically have multiple equilibria, and that will also be the case here.</w:t>
      </w:r>
    </w:p>
    <w:p>
      <w:pPr>
        <w:pStyle w:val="BodyText"/>
      </w:pPr>
      <w:r>
        <w:t xml:space="preserve">Let’s focus on one example.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That is, it is unclear whether it is in Human’s evidence. Again, let</w:t>
      </w:r>
      <w:r>
        <w:t xml:space="preserve"> </w:t>
      </w:r>
      <w:r>
        <w:rPr>
          <w:iCs/>
          <w:i/>
        </w:rPr>
        <w:t xml:space="preserve">K</w:t>
      </w:r>
      <w:r>
        <w:t xml:space="preserve"> </w:t>
      </w:r>
      <w:r>
        <w:t xml:space="preserve">be the rest of Human’s evidence,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6"/>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6"/>
        </w:numPr>
        <w:pStyle w:val="Compact"/>
      </w:pPr>
      <w:r>
        <w:t xml:space="preserve">Human has to decide whether to Take or Decline the bet.</w:t>
      </w:r>
    </w:p>
    <w:p>
      <w:pPr>
        <w:pStyle w:val="FirstParagraph"/>
      </w:pPr>
      <w:r>
        <w:t xml:space="preserve">The payouts for the game are given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2"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2"/>
          <w:p/>
        </w:tc>
      </w:tr>
    </w:tbl>
    <w:p>
      <w:pPr>
        <w:pStyle w:val="BodyText"/>
      </w:pPr>
      <w:r>
        <w:t xml:space="preserve">Why is this the right table? Let’s start with The Radical Interpreter.</w:t>
      </w:r>
    </w:p>
    <w:p>
      <w:pPr>
        <w:pStyle w:val="BodyText"/>
      </w:pPr>
      <w:r>
        <w:t xml:space="preserve">The Radical Interpreter achieves their aim iff the following biconditional obtains: Human takes the bet iff</w:t>
      </w:r>
      <w:r>
        <w:t xml:space="preserve"> </w:t>
      </w:r>
      <w:r>
        <w:rPr>
          <w:iCs/>
          <w:i/>
        </w:rPr>
        <w:t xml:space="preserve">p</w:t>
      </w:r>
      <w:r>
        <w:t xml:space="preserve"> </w:t>
      </w:r>
      <w:r>
        <w:t xml:space="preserve">is part of their evidence. That’s why they get payout 1 in the cells where that obtains, and 0 otherwise.</w:t>
      </w:r>
    </w:p>
    <w:p>
      <w:pPr>
        <w:pStyle w:val="BodyText"/>
      </w:pPr>
      <w:r>
        <w:t xml:space="preserve">Most of Human’s payouts are obvious. In the bottom row, they are guaranteed 0, since the bet is declined. In the top left, the bet wins with probability 1, so their expected return is 1. In the top right, the bet wins with probability 0.9, so the expected return of taking it is 1 × 0.9 - 100 × 0.1 = -9.1.</w:t>
      </w:r>
    </w:p>
    <w:p>
      <w:pPr>
        <w:pStyle w:val="BodyText"/>
      </w:pPr>
      <w:r>
        <w:t xml:space="preserve">There are two Nash equilibria for the game - the top left and the bottom right. We could stop here and say that according to IRT it is indeterminate whether</w:t>
      </w:r>
      <w:r>
        <w:t xml:space="preserve"> </w:t>
      </w:r>
      <w:r>
        <w:rPr>
          <w:iCs/>
          <w:i/>
        </w:rPr>
        <w:t xml:space="preserve">p</w:t>
      </w:r>
      <w:r>
        <w:t xml:space="preserve"> </w:t>
      </w:r>
      <w:r>
        <w:t xml:space="preserve">is part of Human’s evidence. But we can do better.</w:t>
      </w:r>
    </w:p>
    <w:p>
      <w:pPr>
        <w:pStyle w:val="BodyText"/>
      </w:pPr>
      <w:r>
        <w:t xml:space="preserve">But to do that, I need to survey more contested areas of game theory. In particular, I need to introduce some work on equilibrium choice. To do that, it helps to think about a game that is inspired by an example of Rousseau’s.</w:t>
      </w:r>
    </w:p>
    <w:bookmarkEnd w:id="193"/>
    <w:bookmarkStart w:id="205" w:name="sec-globalgame"/>
    <w:p>
      <w:pPr>
        <w:pStyle w:val="Heading2"/>
      </w:pPr>
      <w:r>
        <w:t xml:space="preserve">9.4 Risk-Dominant Equilibria</w:t>
      </w:r>
    </w:p>
    <w:p>
      <w:pPr>
        <w:pStyle w:val="FirstParagraph"/>
      </w:pPr>
      <w:hyperlink w:anchor="tbl-generic-game">
        <w:r>
          <w:rPr>
            <w:rStyle w:val="Hyperlink"/>
          </w:rPr>
          <w:t xml:space="preserve">Table 9.3</w:t>
        </w:r>
      </w:hyperlink>
      <w:r>
        <w:t xml:space="preserve"> </w:t>
      </w:r>
      <w:r>
        <w:t xml:space="preserve">is the abstract version of a two-player, two-option game.</w:t>
      </w:r>
    </w:p>
    <w:tbl>
      <w:tblPr>
        <w:tblStyle w:val="Table"/>
        <w:tblW w:type="pct" w:w="5000"/>
        <w:tblLook w:firstRow="0" w:lastRow="0" w:firstColumn="0" w:lastColumn="0" w:noHBand="0" w:noVBand="0" w:val="0000"/>
        <w:jc w:val="start"/>
        <w:tblLayout w:type="fixed"/>
      </w:tblPr>
      <w:tblGrid>
        <w:gridCol w:w="7920"/>
      </w:tblGrid>
      <w:tr>
        <w:tc>
          <w:tcPr/>
          <w:bookmarkStart w:id="194"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4"/>
          <w:p/>
        </w:tc>
      </w:tr>
    </w:tbl>
    <w:p>
      <w:pPr>
        <w:pStyle w:val="BodyText"/>
      </w:pPr>
      <w:r>
        <w:t xml:space="preserve">What are usually called Stag Hunt games have the following eight characteristics.</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7"/>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7"/>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7"/>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7"/>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7"/>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7"/>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conditions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next two conditions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last two conditions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Hans Carlsson and Eric van Damme</w:t>
      </w:r>
      <w:r>
        <w:t xml:space="preserve"> </w:t>
      </w:r>
      <w:r>
        <w:t xml:space="preserve">(1993)</w:t>
      </w:r>
      <w:r>
        <w:t xml:space="preserve"> </w:t>
      </w:r>
      <w:r>
        <w:t xml:space="preserve">offer an argument that in any such game, rational players will end up at</w:t>
      </w:r>
      <w:r>
        <w:t xml:space="preserve"> </w:t>
      </w:r>
      <w:r>
        <w:rPr>
          <w:iCs/>
          <w:i/>
        </w:rPr>
        <w:t xml:space="preserve">Bb</w:t>
      </w:r>
      <w:r>
        <w:t xml:space="preserve">. The game that Human and The Radical Interpreter are playing fits these eight conditions, and The Radical Interpreter is perfectly rational. So if Carlsson and van Damme are right, The Radical Interpreter will say that</w:t>
      </w:r>
      <w:r>
        <w:t xml:space="preserve"> </w:t>
      </w:r>
      <w:r>
        <w:rPr>
          <w:iCs/>
          <w:i/>
        </w:rPr>
        <w:t xml:space="preserve">p</w:t>
      </w:r>
      <w:r>
        <w:t xml:space="preserve"> ∉ </w:t>
      </w:r>
      <w:r>
        <w:rPr>
          <w:iCs/>
          <w:i/>
        </w:rPr>
        <w:t xml:space="preserve">E</w:t>
      </w:r>
      <w:r>
        <w:t xml:space="preserve">. Indeed, if Carlsson and van Damme are right, the toy theory I offered</w:t>
      </w:r>
      <w:r>
        <w:t xml:space="preserve"> </w:t>
      </w:r>
      <w:hyperlink w:anchor="sec-simplesolution">
        <w:r>
          <w:rPr>
            <w:rStyle w:val="Hyperlink"/>
          </w:rPr>
          <w:t xml:space="preserve">Section 9.2</w:t>
        </w:r>
      </w:hyperlink>
      <w:r>
        <w:t xml:space="preserve"> </w:t>
      </w:r>
      <w:r>
        <w:t xml:space="preserve">will be correct in all cases where it applies.</w:t>
      </w:r>
    </w:p>
    <w:p>
      <w:pPr>
        <w:pStyle w:val="BodyText"/>
      </w:pPr>
      <w:r>
        <w:t xml:space="preserve">The rest of this chapter would be much simpler if I thought Carlsson and van Damme’s argument worked in full generality. Unfortunately, I don’t think it does. In particular, I think it fails in the important case where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That’s getting ahead of the story though; let’s start with their argument.</w:t>
      </w:r>
    </w:p>
    <w:p>
      <w:pPr>
        <w:pStyle w:val="BodyText"/>
      </w:pPr>
      <w:r>
        <w:t xml:space="preserve">I said games satisfying these conditions are called Stag Hunt games.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Brian</w:t>
      </w:r>
      <w:r>
        <w:t xml:space="preserve"> </w:t>
      </w:r>
      <w:r>
        <w:t xml:space="preserve">Skyrms (2001)</w:t>
      </w:r>
      <w:r>
        <w:t xml:space="preserve"> </w:t>
      </w:r>
      <w:r>
        <w:t xml:space="preserve">has argued that these Stag Hunt games are important across philosophy; they are good models for many real-life situations that are often (incorrectly) modeled as Prisoners’ Dilemmas. But going over why that is would be a needless digression. Our focus is on Carlsson and van Damme’s argument that Rousseau was right: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the one in</w:t>
      </w:r>
      <w:r>
        <w:t xml:space="preserve"> </w:t>
      </w:r>
      <w:hyperlink w:anchor="tbl-stag-hunt">
        <w:r>
          <w:rPr>
            <w:rStyle w:val="Hyperlink"/>
          </w:rPr>
          <w:t xml:space="preserve">Table 9.4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5"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5"/>
          <w:p/>
        </w:tc>
      </w:tr>
    </w:tbl>
    <w:p>
      <w:pPr>
        <w:pStyle w:val="BodyText"/>
      </w:pPr>
      <w:r>
        <w:t xml:space="preserve">The equilibrium</w:t>
      </w:r>
      <w:r>
        <w:t xml:space="preserve"> </w:t>
      </w:r>
      <w:r>
        <w:rPr>
          <w:iCs/>
          <w:i/>
        </w:rPr>
        <w:t xml:space="preserve">Aa</w:t>
      </w:r>
      <w:r>
        <w:t xml:space="preserve"> </w:t>
      </w:r>
      <w:r>
        <w:t xml:space="preserve">is Pareto-optimal: it 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w:t>
      </w:r>
      <w:r>
        <w:t xml:space="preserve"> </w:t>
      </w:r>
      <w:hyperlink w:anchor="tbl-stag-hunt">
        <w:r>
          <w:rPr>
            <w:rStyle w:val="Hyperlink"/>
          </w:rPr>
          <w:t xml:space="preserve">Table 9.4</w:t>
        </w:r>
      </w:hyperlink>
      <w:r>
        <w:t xml:space="preserve"> </w:t>
      </w:r>
      <w:r>
        <w:t xml:space="preserve">game in what they call a</w:t>
      </w:r>
      <w:r>
        <w:t xml:space="preserve"> </w:t>
      </w:r>
      <w:r>
        <w:rPr>
          <w:iCs/>
          <w:i/>
        </w:rPr>
        <w:t xml:space="preserve">global game</w:t>
      </w:r>
      <w:r>
        <w:t xml:space="preserve">. Our first version of a global game is that each player knows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6"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6"/>
          <w:p/>
        </w:tc>
      </w:tr>
    </w:tbl>
    <w:p>
      <w:pPr>
        <w:pStyle w:val="BodyText"/>
      </w:pPr>
      <w:r>
        <w:t xml:space="preserve">There isn’t much to say about</w:t>
      </w:r>
      <w:r>
        <w:t xml:space="preserve"> </w:t>
      </w:r>
      <w:hyperlink w:anchor="tbl-global-game">
        <w:r>
          <w:rPr>
            <w:rStyle w:val="Hyperlink"/>
          </w:rPr>
          <w:t xml:space="preserve">Table 9.5</w:t>
        </w:r>
      </w:hyperlink>
      <w:r>
        <w:t xml:space="preserve"> </w:t>
      </w:r>
      <w:r>
        <w:t xml:space="preserve">with this prior knowledge. Let’s give the players a little more knowledge. (And we’ll call the players Row and Column to make it easier to refer to each of them.)</w:t>
      </w:r>
    </w:p>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They go on to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97"/>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Most importantly, it doesn’t matter that the margin of error in the signal was ¼; as long as it is positive the argument goes through.</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Equivalently, what does it show about the game where the margin of error is zero?</w:t>
      </w:r>
    </w:p>
    <w:p>
      <w:pPr>
        <w:pStyle w:val="BodyText"/>
      </w:pPr>
      <w:r>
        <w:t xml:space="preserve">Carlsson and van Damme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 The limit case, where the players know the value of</w:t>
      </w:r>
      <w:r>
        <w:t xml:space="preserve"> </w:t>
      </w:r>
      <w:r>
        <w:rPr>
          <w:iCs/>
          <w:i/>
        </w:rPr>
        <w:t xml:space="preserve">x</w:t>
      </w:r>
      <w:r>
        <w:t xml:space="preserve">, is special. But, I’ll argue, this doesn’t actually undermine the argument that in the game between Human and The Radical Interpreter, both parties should choose the risk-dominant equilibria.</w:t>
      </w:r>
    </w:p>
    <w:p>
      <w:pPr>
        <w:pStyle w:val="BodyText"/>
      </w:pPr>
      <w:r>
        <w:t xml:space="preserve">If the game between Human and The Radical Interpreter is meant to model a real situation, Human won’t know precisely what the payoffs are. That’s because real Humans don’t know precisely what their evidence is. They only know precisely what their evidence is if both positive and negative introspection hold for evidence, and that’s no more plausible than that positive and negative introspection hold for knowledge. As</w:t>
      </w:r>
      <w:r>
        <w:t xml:space="preserve"> </w:t>
      </w:r>
      <w:r>
        <w:t xml:space="preserve">L. Humberstone (2016: 380–402)</w:t>
      </w:r>
      <w:r>
        <w:t xml:space="preserve"> </w:t>
      </w:r>
      <w:r>
        <w:t xml:space="preserve">shows, that’s not particularly plausible, even if one doesn’t accept the arguments in</w:t>
      </w:r>
      <w:r>
        <w:t xml:space="preserve"> </w:t>
      </w:r>
      <w:r>
        <w:t xml:space="preserve">Williamson (2000)</w:t>
      </w:r>
      <w:r>
        <w:t xml:space="preserve"> </w:t>
      </w:r>
      <w:r>
        <w:t xml:space="preserve">against positive introspection.</w:t>
      </w:r>
    </w:p>
    <w:p>
      <w:pPr>
        <w:pStyle w:val="BodyText"/>
      </w:pPr>
      <w:r>
        <w:t xml:space="preserve">If Human doesn’t know precisely what their evidence is, they don’t know the payoffs in games like</w:t>
      </w:r>
      <w:r>
        <w:t xml:space="preserve"> </w:t>
      </w:r>
      <w:hyperlink w:anchor="tbl-global-game">
        <w:r>
          <w:rPr>
            <w:rStyle w:val="Hyperlink"/>
          </w:rPr>
          <w:t xml:space="preserve">Table 9.5</w:t>
        </w:r>
      </w:hyperlink>
      <w:r>
        <w:t xml:space="preserve">, because those payoffs are expected values. It turns out that’s enough for the iterated dominance argument that Human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Given the failure of at least negative introspection (and, I’d say, positive introspection), that’s something we can assume.</w:t>
      </w:r>
    </w:p>
    <w:p>
      <w:pPr>
        <w:pStyle w:val="BodyText"/>
      </w:pPr>
      <w:r>
        <w:t xml:space="preserve">If Human should play the risk-dominant strategy in</w:t>
      </w:r>
      <w:r>
        <w:t xml:space="preserve"> </w:t>
      </w:r>
      <w:hyperlink w:anchor="tbl-radical-interpreter">
        <w:r>
          <w:rPr>
            <w:rStyle w:val="Hyperlink"/>
          </w:rPr>
          <w:t xml:space="preserve">Table 9.2</w:t>
        </w:r>
      </w:hyperlink>
      <w:r>
        <w:t xml:space="preserve">, they should decline the bet. So The Radical Interpreter, who can figure this out, should say that</w:t>
      </w:r>
      <w:r>
        <w:t xml:space="preserve"> </w:t>
      </w:r>
      <w:r>
        <w:rPr>
          <w:iCs/>
          <w:i/>
        </w:rPr>
        <w:t xml:space="preserve">p</w:t>
      </w:r>
      <w:r>
        <w:t xml:space="preserve"> </w:t>
      </w:r>
      <w:r>
        <w:t xml:space="preserve">is not part of their evidence. Since one’s evidence just is what The Radical Interpreter says it is, that means that in</w:t>
      </w:r>
      <w:r>
        <w:t xml:space="preserve"> </w:t>
      </w:r>
      <w:hyperlink w:anchor="tbl-radical-interpreter">
        <w:r>
          <w:rPr>
            <w:rStyle w:val="Hyperlink"/>
          </w:rPr>
          <w:t xml:space="preserve">Table 9.2</w:t>
        </w:r>
      </w:hyperlink>
      <w:r>
        <w:t xml:space="preserve">,</w:t>
      </w:r>
      <w:r>
        <w:t xml:space="preserve"> </w:t>
      </w:r>
      <w:r>
        <w:rPr>
          <w:iCs/>
          <w:i/>
        </w:rPr>
        <w:t xml:space="preserve">p</w:t>
      </w:r>
      <w:r>
        <w:t xml:space="preserve"> </w:t>
      </w:r>
      <w:r>
        <w:t xml:space="preserve">is not part of Human’s evidence.</w:t>
      </w:r>
    </w:p>
    <w:p>
      <w:pPr>
        <w:pStyle w:val="BodyText"/>
      </w:pPr>
      <w:r>
        <w:t xml:space="preserve">Applied to the case of Parveen and Rahul, that means that The Radical Interpreter is best off saying it is no part of Parveen’s evidence that Rahul is in the restaurant. More generally, in the simple cases described in</w:t>
      </w:r>
      <w:r>
        <w:t xml:space="preserve"> </w:t>
      </w:r>
      <w:hyperlink w:anchor="sec-simplesolution">
        <w:r>
          <w:rPr>
            <w:rStyle w:val="Hyperlink"/>
          </w:rPr>
          <w:t xml:space="preserve">Section 9.2</w:t>
        </w:r>
      </w:hyperlink>
      <w:r>
        <w:t xml:space="preserve">, The Radical Interpreter should say that</w:t>
      </w:r>
      <w:r>
        <w:t xml:space="preserve"> </w:t>
      </w:r>
      <w:r>
        <w:rPr>
          <w:iCs/>
          <w:i/>
        </w:rPr>
        <w:t xml:space="preserve">p</w:t>
      </w:r>
      <w:r>
        <w:t xml:space="preserve"> </w:t>
      </w:r>
      <w:r>
        <w:t xml:space="preserve">is not part of Human’s evidence just in case the equation used there holds.</w:t>
      </w:r>
    </w:p>
    <w:p>
      <w:pPr>
        <w:pStyle w:val="BodyText"/>
      </w:pPr>
      <w:r>
        <w:t xml:space="preserve">The result is an interest-relative theory of evidence that is somewhat well motivated. At least, it can be incorporated into a broader theory of rational action.</w:t>
      </w:r>
    </w:p>
    <w:p>
      <w:pPr>
        <w:pStyle w:val="BodyText"/>
      </w:pPr>
      <w:r>
        <w:t xml:space="preserve">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1"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more or less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w:t>
      </w:r>
      <w:r>
        <w:rPr>
          <w:rStyle w:val="FootnoteReference"/>
        </w:rPr>
        <w:footnoteReference w:id="198"/>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this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The only rule that will be used is iterated deletion of strictly dominated strategies.</w:t>
      </w:r>
    </w:p>
    <w:p>
      <w:pPr>
        <w:pStyle w:val="BodyText"/>
      </w:pPr>
      <w:r>
        <w:t xml:space="preserve">The return to a strategy is uncertain, even given the other player’s strategy. But given the strategies of each player, each players’ expected return can be computed.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[-0.75, 4.75],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 [</w:t>
      </w:r>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iff</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Then by symmetry, we know that</w:t>
      </w:r>
      <w:r>
        <w:t xml:space="preserve"> </w:t>
      </w:r>
      <w:r>
        <w:rPr>
          <w:iCs/>
          <w:i/>
        </w:rPr>
        <w:t xml:space="preserve">T</w:t>
      </w:r>
      <w:r>
        <w:rPr>
          <w:vertAlign w:val="subscript"/>
          <w:iCs/>
          <w:i/>
        </w:rPr>
        <w:t xml:space="preserve">C</w:t>
      </w:r>
      <w:r>
        <w:t xml:space="preserve"> </w:t>
      </w:r>
      <w:r>
        <w:t xml:space="preserve">must be at most as large as that as well.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199"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199"/>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w:t>
      </w:r>
      <w:r>
        <w:rPr>
          <w:rStyle w:val="FootnoteReference"/>
        </w:rPr>
        <w:footnoteReference w:id="200"/>
      </w:r>
      <w:r>
        <w:t xml:space="preserve">.</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We also need the signal to have an error bar to it, so that each round of iteration removes more strategies. But that’s all that was needed; the particular values used are irrelevant to the proof.</w:t>
      </w:r>
    </w:p>
    <w:bookmarkEnd w:id="201"/>
    <w:bookmarkStart w:id="204" w:name="sec-perfectri"/>
    <w:p>
      <w:pPr>
        <w:pStyle w:val="Heading3"/>
      </w:pPr>
      <w:r>
        <w:t xml:space="preserve">9.4.2 Making One Signal Precise</w:t>
      </w:r>
    </w:p>
    <w:p>
      <w:pPr>
        <w:pStyle w:val="FirstParagraph"/>
      </w:pPr>
      <w:r>
        <w:t xml:space="preserve">So far I’ve just been setting out Carlsson and van Damme’s results. It’s time to prove something just slightly stronger. I’ll show that the result in</w:t>
      </w:r>
      <w:r>
        <w:t xml:space="preserve"> </w:t>
      </w:r>
      <w:hyperlink w:anchor="sec-cvdproof">
        <w:r>
          <w:rPr>
            <w:rStyle w:val="Hyperlink"/>
          </w:rPr>
          <w:t xml:space="preserve">Section 9.4.1</w:t>
        </w:r>
      </w:hyperlink>
      <w:r>
        <w:t xml:space="preserve"> </w:t>
      </w:r>
      <w:r>
        <w:t xml:space="preserve">did not require that both parties receive a noisy signal. It’s enough that just one party does.</w:t>
      </w:r>
    </w:p>
    <w:p>
      <w:pPr>
        <w:pStyle w:val="BodyText"/>
      </w:pPr>
      <w:r>
        <w:t xml:space="preserve">More precisely, I’ll change the game so that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 Since the game is no longer symmetric, I can’t just appeal to the symmetry of the game as frequently as in the previous subsection. This slows the proof down, but doesn’t stop it.</w:t>
      </w:r>
    </w:p>
    <w:p>
      <w:pPr>
        <w:pStyle w:val="BodyText"/>
      </w:pPr>
      <w:r>
        <w:t xml:space="preserve">This change actually helps us at the first stage of the argument.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for any</w:t>
      </w:r>
      <w:r>
        <w:t xml:space="preserve"> </w:t>
      </w:r>
      <w:r>
        <w:rPr>
          <w:iCs/>
          <w:i/>
        </w:rPr>
        <w:t xml:space="preserve">y</w:t>
      </w:r>
      <w:r>
        <w:t xml:space="preserve"> &gt; 2 such that we know</w:t>
      </w:r>
      <w:r>
        <w:t xml:space="preserve"> </w:t>
      </w:r>
      <w:r>
        <w:rPr>
          <w:iCs/>
          <w:i/>
        </w:rPr>
        <w:t xml:space="preserve">T</w:t>
      </w:r>
      <w:r>
        <w:rPr>
          <w:vertAlign w:val="subscript"/>
          <w:iCs/>
          <w:i/>
        </w:rPr>
        <w:t xml:space="preserve">C</w:t>
      </w:r>
      <w:r>
        <w:t xml:space="preserve"> ≤ y, the strategy</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w:t>
      </w:r>
      <w:r>
        <w:rPr>
          <w:rStyle w:val="FootnoteReference"/>
        </w:rPr>
        <w:footnoteReference w:id="202"/>
      </w:r>
      <w:r>
        <w:t xml:space="preserve"> </w:t>
      </w:r>
      <w:r>
        <w:t xml:space="preserve">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 probability that Column’s signal is above Column’s tipping point is at least 0.5. So the probability that Column will play</w:t>
      </w:r>
      <w:r>
        <w:t xml:space="preserve"> </w:t>
      </w:r>
      <w:r>
        <w:rPr>
          <w:iCs/>
          <w:i/>
        </w:rPr>
        <w:t xml:space="preserve">b</w:t>
      </w:r>
      <w:r>
        <w:t xml:space="preserve"> </w:t>
      </w:r>
      <w:r>
        <w:t xml:space="preserve">is at least 0.5. So the expected return to Row of playing</w:t>
      </w:r>
      <w:r>
        <w:t xml:space="preserve"> </w:t>
      </w:r>
      <w:r>
        <w:rPr>
          <w:iCs/>
          <w:i/>
        </w:rPr>
        <w:t xml:space="preserve">A</w:t>
      </w:r>
      <w:r>
        <w:t xml:space="preserve">, which is 4 times the probability that Column will play</w:t>
      </w:r>
      <w:r>
        <w:t xml:space="preserve"> </w:t>
      </w:r>
      <w:r>
        <w:rPr>
          <w:iCs/>
          <w:i/>
        </w:rPr>
        <w:t xml:space="preserve">a</w:t>
      </w:r>
      <w:r>
        <w:t xml:space="preserve">, is at most 2. Since the expected return to Row of playing</w:t>
      </w:r>
      <w:r>
        <w:t xml:space="preserve"> </w:t>
      </w:r>
      <w:r>
        <w:rPr>
          <w:iCs/>
          <w:i/>
        </w:rPr>
        <w:t xml:space="preserve">B</w:t>
      </w:r>
      <w:r>
        <w:t xml:space="preserve"> </w:t>
      </w:r>
      <w:r>
        <w:t xml:space="preserve">equals the value of the signal</w:t>
      </w:r>
      <w:r>
        <w:rPr>
          <w:rStyle w:val="FootnoteReference"/>
        </w:rPr>
        <w:footnoteReference w:id="203"/>
      </w:r>
      <w:r>
        <w:t xml:space="preserve">, that means that if the signal is above 2, they should play</w:t>
      </w:r>
      <w:r>
        <w:t xml:space="preserve"> </w:t>
      </w:r>
      <w:r>
        <w:rPr>
          <w:iCs/>
          <w:i/>
        </w:rPr>
        <w:t xml:space="preserve">B</w:t>
      </w:r>
      <w:r>
        <w:t xml:space="preserve">.</w:t>
      </w:r>
    </w:p>
    <w:p>
      <w:pPr>
        <w:pStyle w:val="BodyText"/>
      </w:pPr>
      <w:r>
        <w:t xml:space="preserve">Summing up,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That is, if Row knows</w:t>
      </w:r>
      <w:r>
        <w:t xml:space="preserve"> </w:t>
      </w:r>
      <w:r>
        <w:rPr>
          <w:iCs/>
          <w:i/>
        </w:rPr>
        <w:t xml:space="preserve">T</w:t>
      </w:r>
      <w:r>
        <w:rPr>
          <w:vertAlign w:val="subscript"/>
          <w:iCs/>
          <w:i/>
        </w:rPr>
        <w:t xml:space="preserve">C</w:t>
      </w:r>
      <w:r>
        <w:t xml:space="preserve"> ≤ </w:t>
      </w:r>
      <w:r>
        <w:rPr>
          <w:iCs/>
          <w:i/>
        </w:rPr>
        <w:t xml:space="preserve">y</w:t>
      </w:r>
      <w:r>
        <w:t xml:space="preserve">, for any</w:t>
      </w:r>
      <w:r>
        <w:t xml:space="preserve"> </w:t>
      </w:r>
      <w:r>
        <w:rPr>
          <w:iCs/>
          <w:i/>
        </w:rPr>
        <w:t xml:space="preserve">y</w:t>
      </w:r>
      <w:r>
        <w:t xml:space="preserve"> &gt; 2, Row’s tipping point should be at most</w:t>
      </w:r>
      <w:r>
        <w:t xml:space="preserve">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Assume Column’s signal, which we’ll call</w:t>
      </w:r>
      <w:r>
        <w:t xml:space="preserve"> </w:t>
      </w:r>
      <w:r>
        <w:rPr>
          <w:iCs/>
          <w:i/>
        </w:rPr>
        <w:t xml:space="preserve">x</w:t>
      </w:r>
      <w:r>
        <w:t xml:space="preserve">, 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w:t>
      </w:r>
    </w:p>
    <w:p>
      <w:pPr>
        <w:pStyle w:val="BodyText"/>
      </w:pPr>
      <w:r>
        <w:t xml:space="preserve">The expected return to Column of playing</w:t>
      </w:r>
      <w:r>
        <w:t xml:space="preserve"> </w:t>
      </w:r>
      <w:r>
        <w:rPr>
          <w:iCs/>
          <w:i/>
        </w:rPr>
        <w:t xml:space="preserve">a</w:t>
      </w:r>
      <w:r>
        <w:t xml:space="preserve"> </w:t>
      </w:r>
      <w:r>
        <w:t xml:space="preserve">will be highest when</w:t>
      </w:r>
      <w:r>
        <w:t xml:space="preserve"> </w:t>
      </w:r>
      <w:r>
        <w:rPr>
          <w:iCs/>
          <w:i/>
        </w:rPr>
        <w:t xml:space="preserve">T</w:t>
      </w:r>
      <w:r>
        <w:rPr>
          <w:vertAlign w:val="subscript"/>
          <w:iCs/>
          <w:i/>
        </w:rPr>
        <w:t xml:space="preserve">R</w:t>
      </w:r>
      <w:r>
        <w:t xml:space="preserve"> </w:t>
      </w:r>
      <w:r>
        <w:t xml:space="preserve">is highest. So we can work out an upper bound on that expected return by assuming that</w:t>
      </w:r>
      <w:r>
        <w:t xml:space="preserve"> </w:t>
      </w:r>
      <w:r>
        <w:rPr>
          <w:iCs/>
          <w:i/>
        </w:rPr>
        <w:t xml:space="preserve">T</w:t>
      </w:r>
      <w:r>
        <w:rPr>
          <w:vertAlign w:val="subscript"/>
          <w:iCs/>
          <w:i/>
        </w:rPr>
        <w:t xml:space="preserve">R</w:t>
      </w:r>
      <w:r>
        <w:t xml:space="preserve"> = </w:t>
      </w:r>
      <w:r>
        <w:rPr>
          <w:iCs/>
          <w:i/>
        </w:rPr>
        <w:t xml:space="preserve">y</w:t>
      </w:r>
      <w:r>
        <w:t xml:space="preserve">. Given that assumption, the probability that Row plays</w:t>
      </w:r>
      <w:r>
        <w:t xml:space="preserve"> </w:t>
      </w:r>
      <w:r>
        <w:rPr>
          <w:iCs/>
          <w:i/>
        </w:rPr>
        <w:t xml:space="preserve">A</w:t>
      </w:r>
      <w:r>
        <w:t xml:space="preserve"> </w:t>
      </w:r>
      <w:r>
        <w:t xml:space="preserve">is (1 + 2</w:t>
      </w:r>
      <w:r>
        <w:rPr>
          <w:iCs/>
          <w:i/>
        </w:rPr>
        <w:t xml:space="preserve">z</w:t>
      </w:r>
      <w:r>
        <w:t xml:space="preserve">)/2. (That’s the probability that Row’s signal, which is a random draw from [</w:t>
      </w:r>
      <w:r>
        <w:rPr>
          <w:iCs/>
          <w:i/>
        </w:rPr>
        <w:t xml:space="preserve">x</w:t>
      </w:r>
      <w:r>
        <w:t xml:space="preserve"> - ¼, </w:t>
      </w:r>
      <w:r>
        <w:rPr>
          <w:iCs/>
          <w:i/>
        </w:rPr>
        <w:t xml:space="preserve">x</w:t>
      </w:r>
      <w:r>
        <w:t xml:space="preserve"> + ¼], is above</w:t>
      </w:r>
      <w:r>
        <w:t xml:space="preserve"> </w:t>
      </w:r>
      <w:r>
        <w:rPr>
          <w:iCs/>
          <w:i/>
        </w:rPr>
        <w:t xml:space="preserve">y</w:t>
      </w:r>
      <w:r>
        <w:t xml:space="preserve">.)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The rest of the proof proceeds in a zig-zag fashion. At one stage, we show that</w:t>
      </w:r>
      <w:r>
        <w:t xml:space="preserve"> </w:t>
      </w:r>
      <w:r>
        <w:rPr>
          <w:iCs/>
          <w:i/>
        </w:rPr>
        <w:t xml:space="preserve">T</w:t>
      </w:r>
      <w:r>
        <w:rPr>
          <w:vertAlign w:val="subscript"/>
          <w:iCs/>
          <w:i/>
        </w:rPr>
        <w:t xml:space="preserve">R</w:t>
      </w:r>
      <w:r>
        <w:t xml:space="preserve"> </w:t>
      </w:r>
      <w:r>
        <w:t xml:space="preserve">must be no greater than</w:t>
      </w:r>
      <w:r>
        <w:t xml:space="preserve"> </w:t>
      </w:r>
      <w:r>
        <w:rPr>
          <w:iCs/>
          <w:i/>
        </w:rPr>
        <w:t xml:space="preserve">T</w:t>
      </w:r>
      <w:r>
        <w:rPr>
          <w:vertAlign w:val="subscript"/>
          <w:iCs/>
          <w:i/>
        </w:rPr>
        <w:t xml:space="preserve">C</w:t>
      </w:r>
      <w:r>
        <w:t xml:space="preserve">. So whatever value we’ve shown to be an upper bound for</w:t>
      </w:r>
      <w:r>
        <w:t xml:space="preserve"> </w:t>
      </w:r>
      <w:r>
        <w:rPr>
          <w:iCs/>
          <w:i/>
        </w:rPr>
        <w:t xml:space="preserve">T</w:t>
      </w:r>
      <w:r>
        <w:rPr>
          <w:vertAlign w:val="subscript"/>
          <w:iCs/>
          <w:i/>
        </w:rPr>
        <w:t xml:space="preserve">C</w:t>
      </w:r>
      <w:r>
        <w:t xml:space="preserve"> </w:t>
      </w:r>
      <w:r>
        <w:t xml:space="preserve">is also an upper bound for</w:t>
      </w:r>
      <w:r>
        <w:t xml:space="preserve"> </w:t>
      </w:r>
      <w:r>
        <w:rPr>
          <w:iCs/>
          <w:i/>
        </w:rPr>
        <w:t xml:space="preserve">T</w:t>
      </w:r>
      <w:r>
        <w:rPr>
          <w:vertAlign w:val="subscript"/>
          <w:iCs/>
          <w:i/>
        </w:rPr>
        <w:t xml:space="preserve">R</w:t>
      </w:r>
      <w:r>
        <w:t xml:space="preserve">. At the next stage, we show that given any upper bound on</w:t>
      </w:r>
      <w:r>
        <w:t xml:space="preserve"> </w:t>
      </w:r>
      <w:r>
        <w:rPr>
          <w:iCs/>
          <w:i/>
        </w:rPr>
        <w:t xml:space="preserve">T</w:t>
      </w:r>
      <w:r>
        <w:rPr>
          <w:vertAlign w:val="subscript"/>
          <w:iCs/>
          <w:i/>
        </w:rPr>
        <w:t xml:space="preserve">R</w:t>
      </w:r>
      <w:r>
        <w:t xml:space="preserve"> </w:t>
      </w:r>
      <w:r>
        <w:t xml:space="preserve">greater than 2, we can derive a new upper bound on</w:t>
      </w:r>
      <w:r>
        <w:t xml:space="preserve"> </w:t>
      </w:r>
      <w:r>
        <w:rPr>
          <w:iCs/>
          <w:i/>
        </w:rPr>
        <w:t xml:space="preserve">T</w:t>
      </w:r>
      <w:r>
        <w:rPr>
          <w:vertAlign w:val="subscript"/>
          <w:iCs/>
          <w:i/>
        </w:rPr>
        <w:t xml:space="preserve">C</w:t>
      </w:r>
      <w:r>
        <w:t xml:space="preserve"> </w:t>
      </w:r>
      <w:r>
        <w:t xml:space="preserve">which is lower still.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 So just using iterated deletion of dominated strategies, we eventually rule out all strategies that are involve tipping points above 2.</w:t>
      </w:r>
    </w:p>
    <w:p>
      <w:pPr>
        <w:pStyle w:val="BodyText"/>
      </w:pPr>
      <w:r>
        <w:t xml:space="preserve">There is one last point to be careful about. It takes infinitely many steps to rule out all tipping points above 2. Since it isn’t obviously sound to have infinitely many steps of iterated deletion, one might worry about the soundness of the proof at this point. The key thing to note is that for any tipping point above 2, it is ruled out in a finite number of steps. So purely finitary reasoning rules out all tipping points above 2. It’s just that there is no upper bound to the (finite!) number of steps needed.</w:t>
      </w:r>
    </w:p>
    <w:p>
      <w:pPr>
        <w:pStyle w:val="BodyText"/>
      </w:pPr>
      <w:r>
        <w:t xml:space="preserve">This completes the mathematical part of the argument; I’ll return to discussing whether this result matters for thinking about evidence and rational action, and reply to some objections to thinking that it does.</w:t>
      </w:r>
    </w:p>
    <w:bookmarkEnd w:id="204"/>
    <w:bookmarkEnd w:id="205"/>
    <w:bookmarkStart w:id="206"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and not just part of their knowledge,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The next section argues that this is independently plausible.</w:t>
      </w:r>
    </w:p>
    <w:bookmarkEnd w:id="206"/>
    <w:bookmarkStart w:id="208"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Given that,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8"/>
        </w:numPr>
        <w:pStyle w:val="Compact"/>
      </w:pPr>
      <w:r>
        <w:t xml:space="preserve">Γ ⊨ A</w:t>
      </w:r>
    </w:p>
    <w:p>
      <w:pPr>
        <w:numPr>
          <w:ilvl w:val="0"/>
          <w:numId w:val="1058"/>
        </w:numPr>
        <w:pStyle w:val="Compact"/>
      </w:pPr>
      <w:r>
        <w:t xml:space="preserve">{A} ∪ Δ ⊨ B</w:t>
      </w:r>
    </w:p>
    <w:p>
      <w:pPr>
        <w:numPr>
          <w:ilvl w:val="0"/>
          <w:numId w:val="1058"/>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Wwhile</w:t>
      </w:r>
      <w:r>
        <w:t xml:space="preserve"> </w:t>
      </w:r>
      <w:r>
        <w:rPr>
          <w:iCs/>
          <w:i/>
        </w:rPr>
        <w:t xml:space="preserve">Cut</w:t>
      </w:r>
      <w:r>
        <w:t xml:space="preserve"> </w:t>
      </w:r>
      <w:r>
        <w:t xml:space="preserve">seems intuitive in cases like this, Nair argues that it can’t be right in general. (If that’s right we have a duty, one Nair takes up, to explain why cases like Jack and Jill seem like cases of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 (in miles)</w:t>
      </w:r>
      <w:r>
        <w:t xml:space="preserve"> </w:t>
      </w:r>
      <w:r>
        <w:rPr>
          <w:iCs/>
          <w:i/>
        </w:rPr>
        <w:t xml:space="preserve">d</w:t>
      </w:r>
      <w:r>
        <w:t xml:space="preserve"> </w:t>
      </w:r>
      <w:r>
        <w:t xml:space="preserve">of here, we can rationally infer that the pattern extends another mile. That’s just boring induction. But we can’t infer that it extends to infinity, that would be a radical step. If we can’t infer that the pattern goes to infinity, there must be a point beyond which we can’t infer the pattern goes. Let’s say that’s one mile. So if we know the pattern holds within distance</w:t>
      </w:r>
      <w:r>
        <w:t xml:space="preserve"> </w:t>
      </w:r>
      <w:r>
        <w:rPr>
          <w:iCs/>
          <w:i/>
        </w:rPr>
        <w:t xml:space="preserve">d</w:t>
      </w:r>
      <w:r>
        <w:t xml:space="preserve"> </w:t>
      </w:r>
      <w:r>
        <w:t xml:space="preserve">of here, we can infer that it holds within distance</w:t>
      </w:r>
      <w:r>
        <w:t xml:space="preserve"> </w:t>
      </w:r>
      <w:r>
        <w:rPr>
          <w:iCs/>
          <w:i/>
        </w:rPr>
        <w:t xml:space="preserve">d</w:t>
      </w:r>
      <w:r>
        <w:t xml:space="preserve"> + 1, but no more.</w:t>
      </w:r>
      <w:r>
        <w:rPr>
          <w:rStyle w:val="FootnoteReference"/>
        </w:rPr>
        <w:footnoteReference w:id="207"/>
      </w:r>
    </w:p>
    <w:p>
      <w:pPr>
        <w:pStyle w:val="BodyText"/>
      </w:pPr>
      <w:r>
        <w:t xml:space="preserve">To see a case like this, imagine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w:t>
      </w:r>
    </w:p>
    <w:p>
      <w:pPr>
        <w:pStyle w:val="BodyText"/>
      </w:pPr>
      <w:r>
        <w:t xml:space="preserve">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This particular example involving distances was an extreme idealisation. But all we need for the larger argument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The key point now is that this possibility undermines E=K.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If any monotonic instances of failures of Cut exist, we need to distinguish between things the thinker knows by inference, and things they know by observation, in order to assess their inferences. That’s to say, some knowledge will not play the characteristic role of evidence. T suggests that E=K is false.</w:t>
      </w:r>
    </w:p>
    <w:bookmarkEnd w:id="208"/>
    <w:bookmarkStart w:id="209"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sensitive to the agent’s interests. For example, I think facts reported in a reliable history book are pieces of basic evidence when we are thinking about history, but not when we are thinking about the reliability of that book. But this kind of interest-relativity is inessential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w:t>
      </w:r>
    </w:p>
    <w:p>
      <w:pPr>
        <w:pStyle w:val="BodyText"/>
      </w:pPr>
      <w:r>
        <w:t xml:space="preserve">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suspend judgment on</w:t>
      </w:r>
      <w:r>
        <w:t xml:space="preserve"> </w:t>
      </w:r>
      <w:r>
        <w:rPr>
          <w:iCs/>
          <w:i/>
        </w:rPr>
        <w:t xml:space="preserve">H</w:t>
      </w:r>
      <w:r>
        <w:t xml:space="preserve">’s reliabity,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w:t>
      </w:r>
      <w:r>
        <w:t xml:space="preserve"> </w:t>
      </w:r>
      <w:r>
        <w:rPr>
          <w:iCs/>
          <w:i/>
        </w:rPr>
        <w:t xml:space="preserve">p</w:t>
      </w:r>
      <w:r>
        <w:t xml:space="preserve">?</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(because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09"/>
    <w:bookmarkStart w:id="211"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0"/>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Neta is reasoning that since Kate’s life depends on it, then IRT must say that she can’t trust street signs, because the stakes are so high.</w:t>
      </w:r>
    </w:p>
    <w:p>
      <w:pPr>
        <w:pStyle w:val="BodyText"/>
      </w:pPr>
      <w:r>
        <w:t xml:space="preserve">That claim about the relation between stakes and what one can take for granted can’t be right. I often take actions that my life depends on going by the say so of signs. For example, I often turn onto the freeway ramp labelled on ramp, and not the ramp labelled off ramp, without really double checking. If I was wrong about this there is a very high chance I’d be very quickly killed. (Wrong-way crashes on freeways are a very common kind of fatal collisions.) If Kate can’t take the sign for granted, it isn’t just because her life is at stake; somewhat disconcertingly, that doesn’t make the case any different from everyday driving.</w:t>
      </w:r>
    </w:p>
    <w:p>
      <w:pPr>
        <w:pStyle w:val="BodyText"/>
      </w:pPr>
      <w:r>
        <w:t xml:space="preserve">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9"/>
        </w:numPr>
        <w:pStyle w:val="Compact"/>
      </w:pPr>
      <w:r>
        <w:t xml:space="preserve">Both signs supply evidence directly to Kate, so her evidence includes that she is on State and that she is on Main.</w:t>
      </w:r>
    </w:p>
    <w:p>
      <w:pPr>
        <w:numPr>
          <w:ilvl w:val="0"/>
          <w:numId w:val="1059"/>
        </w:numPr>
        <w:pStyle w:val="Compact"/>
      </w:pPr>
      <w:r>
        <w:t xml:space="preserve">Neither sign contributes evidence directly to Kate, so her evidence includes what the signs say, but nothing directly about her location.</w:t>
      </w:r>
    </w:p>
    <w:p>
      <w:pPr>
        <w:numPr>
          <w:ilvl w:val="0"/>
          <w:numId w:val="1059"/>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w:t>
      </w:r>
    </w:p>
    <w:p>
      <w:pPr>
        <w:pStyle w:val="BodyText"/>
      </w:pPr>
      <w:r>
        <w:t xml:space="preserve">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1"/>
    <w:bookmarkStart w:id="212"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2"/>
    <w:bookmarkEnd w:id="213"/>
    <w:bookmarkStart w:id="217" w:name="sec-power"/>
    <w:p>
      <w:pPr>
        <w:pStyle w:val="Heading1"/>
      </w:pPr>
      <w:r>
        <w:t xml:space="preserve">10. Power</w:t>
      </w:r>
    </w:p>
    <w:p>
      <w:pPr>
        <w:pStyle w:val="FirstParagraph"/>
      </w:pPr>
      <w:r>
        <w:t xml:space="preserve">Knowledge is power. That is, grounds our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4"/>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5"/>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6"/>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7"/>
    <w:bookmarkStart w:id="528" w:name="references"/>
    <w:p>
      <w:pPr>
        <w:pStyle w:val="Heading1"/>
      </w:pPr>
      <w:r>
        <w:t xml:space="preserve">References</w:t>
      </w:r>
    </w:p>
    <w:bookmarkStart w:id="527" w:name="refs"/>
    <w:bookmarkStart w:id="218"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18"/>
    <w:bookmarkStart w:id="219"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9"/>
    <w:bookmarkStart w:id="220"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0"/>
    <w:bookmarkStart w:id="221"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1"/>
    <w:bookmarkStart w:id="222"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2"/>
    <w:bookmarkStart w:id="224"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3">
        <w:r>
          <w:rPr>
            <w:rStyle w:val="Hyperlink"/>
          </w:rPr>
          <w:t xml:space="preserve">10.1093/analys/anr083</w:t>
        </w:r>
      </w:hyperlink>
    </w:p>
    <w:bookmarkEnd w:id="224"/>
    <w:bookmarkStart w:id="226"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5">
        <w:r>
          <w:rPr>
            <w:rStyle w:val="Hyperlink"/>
          </w:rPr>
          <w:t xml:space="preserve">10.1007/s001820050111</w:t>
        </w:r>
      </w:hyperlink>
    </w:p>
    <w:bookmarkEnd w:id="226"/>
    <w:bookmarkStart w:id="227"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7"/>
    <w:bookmarkStart w:id="228" w:name="ref-Bennett2017"/>
    <w:p>
      <w:pPr>
        <w:pStyle w:val="Bibliography"/>
      </w:pPr>
      <w:r>
        <w:t xml:space="preserve">Bennett, Karen. (2017).</w:t>
      </w:r>
      <w:r>
        <w:t xml:space="preserve"> </w:t>
      </w:r>
      <w:r>
        <w:rPr>
          <w:iCs/>
          <w:i/>
        </w:rPr>
        <w:t xml:space="preserve">Making things up</w:t>
      </w:r>
      <w:r>
        <w:t xml:space="preserve">. Oxford University Press.</w:t>
      </w:r>
    </w:p>
    <w:bookmarkEnd w:id="228"/>
    <w:bookmarkStart w:id="229"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29"/>
    <w:bookmarkStart w:id="231"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0">
        <w:r>
          <w:rPr>
            <w:rStyle w:val="Hyperlink"/>
          </w:rPr>
          <w:t xml:space="preserve">10.1111/j.0031-8094.2004.00350.x</w:t>
        </w:r>
      </w:hyperlink>
    </w:p>
    <w:bookmarkEnd w:id="231"/>
    <w:bookmarkStart w:id="233"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2">
        <w:r>
          <w:rPr>
            <w:rStyle w:val="Hyperlink"/>
          </w:rPr>
          <w:t xml:space="preserve">10.1111/j.1933-1592.2009.00280.x</w:t>
        </w:r>
      </w:hyperlink>
    </w:p>
    <w:bookmarkEnd w:id="233"/>
    <w:bookmarkStart w:id="235"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4">
        <w:r>
          <w:rPr>
            <w:rStyle w:val="Hyperlink"/>
          </w:rPr>
          <w:t xml:space="preserve">10.1007/s11229-015-0878-y</w:t>
        </w:r>
      </w:hyperlink>
    </w:p>
    <w:bookmarkEnd w:id="235"/>
    <w:bookmarkStart w:id="237"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36">
        <w:r>
          <w:rPr>
            <w:rStyle w:val="Hyperlink"/>
          </w:rPr>
          <w:t xml:space="preserve">https://plato.stanford.edu/archives/sum2021/entries/philo-larissa/</w:t>
        </w:r>
      </w:hyperlink>
      <w:r>
        <w:t xml:space="preserve">; Metaphysics Research Lab, Stanford University.</w:t>
      </w:r>
    </w:p>
    <w:bookmarkEnd w:id="237"/>
    <w:bookmarkStart w:id="239"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38">
        <w:r>
          <w:rPr>
            <w:rStyle w:val="Hyperlink"/>
          </w:rPr>
          <w:t xml:space="preserve">10.1111/j.1468-0068.2008.00677.x</w:t>
        </w:r>
      </w:hyperlink>
    </w:p>
    <w:bookmarkEnd w:id="239"/>
    <w:bookmarkStart w:id="240" w:name="ref-BuchakRisk"/>
    <w:p>
      <w:pPr>
        <w:pStyle w:val="Bibliography"/>
      </w:pPr>
      <w:r>
        <w:t xml:space="preserve">Buchak, Lara. (2013).</w:t>
      </w:r>
      <w:r>
        <w:t xml:space="preserve"> </w:t>
      </w:r>
      <w:r>
        <w:rPr>
          <w:iCs/>
          <w:i/>
        </w:rPr>
        <w:t xml:space="preserve">Risk and rationality</w:t>
      </w:r>
      <w:r>
        <w:t xml:space="preserve">. Oxford University Press.</w:t>
      </w:r>
    </w:p>
    <w:bookmarkEnd w:id="240"/>
    <w:bookmarkStart w:id="242"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1">
        <w:r>
          <w:rPr>
            <w:rStyle w:val="Hyperlink"/>
          </w:rPr>
          <w:t xml:space="preserve">10.1257/aer.101.7.2899</w:t>
        </w:r>
      </w:hyperlink>
    </w:p>
    <w:bookmarkEnd w:id="242"/>
    <w:bookmarkStart w:id="244"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3">
        <w:r>
          <w:rPr>
            <w:rStyle w:val="Hyperlink"/>
          </w:rPr>
          <w:t xml:space="preserve">10.2307/2951491</w:t>
        </w:r>
      </w:hyperlink>
    </w:p>
    <w:bookmarkEnd w:id="244"/>
    <w:bookmarkStart w:id="246"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45">
        <w:r>
          <w:rPr>
            <w:rStyle w:val="Hyperlink"/>
          </w:rPr>
          <w:t xml:space="preserve">10.1080/00213624.2017.1391594</w:t>
        </w:r>
      </w:hyperlink>
    </w:p>
    <w:bookmarkEnd w:id="246"/>
    <w:bookmarkStart w:id="248"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47">
        <w:r>
          <w:rPr>
            <w:rStyle w:val="Hyperlink"/>
          </w:rPr>
          <w:t xml:space="preserve">10.1016/j.jcps.2014.08.002</w:t>
        </w:r>
      </w:hyperlink>
    </w:p>
    <w:bookmarkEnd w:id="248"/>
    <w:bookmarkStart w:id="249" w:name="ref-Cherniak1986"/>
    <w:p>
      <w:pPr>
        <w:pStyle w:val="Bibliography"/>
      </w:pPr>
      <w:r>
        <w:t xml:space="preserve">Cherniak, Christopher. (1986).</w:t>
      </w:r>
      <w:r>
        <w:t xml:space="preserve"> </w:t>
      </w:r>
      <w:r>
        <w:rPr>
          <w:iCs/>
          <w:i/>
        </w:rPr>
        <w:t xml:space="preserve">Minimal rationality</w:t>
      </w:r>
      <w:r>
        <w:t xml:space="preserve">. MIT Press.</w:t>
      </w:r>
    </w:p>
    <w:bookmarkEnd w:id="249"/>
    <w:bookmarkStart w:id="251" w:name="ref-ChoKreps1987"/>
    <w:p>
      <w:pPr>
        <w:pStyle w:val="Bibliography"/>
      </w:pPr>
      <w:r>
        <w:t xml:space="preserve">Cho, In-Koo, and David M. Kreps. (1987). Signalling games and stable equilibria.</w:t>
      </w:r>
      <w:r>
        <w:t xml:space="preserve"> </w:t>
      </w:r>
      <w:r>
        <w:rPr>
          <w:iCs/>
          <w:i/>
        </w:rPr>
        <w:t xml:space="preserve">The Quarterly Journal of Economics</w:t>
      </w:r>
      <w:r>
        <w:t xml:space="preserve">,</w:t>
      </w:r>
      <w:r>
        <w:t xml:space="preserve"> </w:t>
      </w:r>
      <w:r>
        <w:rPr>
          <w:iCs/>
          <w:i/>
        </w:rPr>
        <w:t xml:space="preserve">102</w:t>
      </w:r>
      <w:r>
        <w:t xml:space="preserve">(2), 179–221. doi:</w:t>
      </w:r>
      <w:hyperlink r:id="rId250">
        <w:r>
          <w:rPr>
            <w:rStyle w:val="Hyperlink"/>
          </w:rPr>
          <w:t xml:space="preserve">10.2307/1885060</w:t>
        </w:r>
      </w:hyperlink>
    </w:p>
    <w:bookmarkEnd w:id="251"/>
    <w:bookmarkStart w:id="252"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2"/>
    <w:bookmarkStart w:id="253"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3"/>
    <w:bookmarkStart w:id="255"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4">
        <w:r>
          <w:rPr>
            <w:rStyle w:val="Hyperlink"/>
          </w:rPr>
          <w:t xml:space="preserve">http://hdl.handle.net/2027/spo.3521354.0011.006</w:t>
        </w:r>
      </w:hyperlink>
    </w:p>
    <w:bookmarkEnd w:id="255"/>
    <w:bookmarkStart w:id="256"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6"/>
    <w:bookmarkStart w:id="257"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57"/>
    <w:bookmarkStart w:id="259"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58">
        <w:r>
          <w:rPr>
            <w:rStyle w:val="Hyperlink"/>
          </w:rPr>
          <w:t xml:space="preserve">10.1111/j.1933-1592.2002.tb00204.x</w:t>
        </w:r>
      </w:hyperlink>
    </w:p>
    <w:bookmarkEnd w:id="259"/>
    <w:bookmarkStart w:id="261"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0">
        <w:r>
          <w:rPr>
            <w:rStyle w:val="Hyperlink"/>
          </w:rPr>
          <w:t xml:space="preserve">10.1111/j.1533-6077.2004.00040.x</w:t>
        </w:r>
      </w:hyperlink>
    </w:p>
    <w:bookmarkEnd w:id="261"/>
    <w:bookmarkStart w:id="262"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2"/>
    <w:bookmarkStart w:id="263"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3"/>
    <w:bookmarkStart w:id="265"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4">
        <w:r>
          <w:rPr>
            <w:rStyle w:val="Hyperlink"/>
          </w:rPr>
          <w:t xml:space="preserve">https://plato.stanford.edu/archives/spr2018/entries/questions/</w:t>
        </w:r>
      </w:hyperlink>
      <w:r>
        <w:t xml:space="preserve">; Metaphysics Research Lab, Stanford University.</w:t>
      </w:r>
    </w:p>
    <w:bookmarkEnd w:id="265"/>
    <w:bookmarkStart w:id="266"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6"/>
    <w:bookmarkStart w:id="268"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67">
        <w:r>
          <w:rPr>
            <w:rStyle w:val="Hyperlink"/>
          </w:rPr>
          <w:t xml:space="preserve">10.2307/3182618</w:t>
        </w:r>
      </w:hyperlink>
    </w:p>
    <w:bookmarkEnd w:id="268"/>
    <w:bookmarkStart w:id="270"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69">
        <w:r>
          <w:rPr>
            <w:rStyle w:val="Hyperlink"/>
          </w:rPr>
          <w:t xml:space="preserve">http://journal.sjdm.org/8320/jdm8320.pdf</w:t>
        </w:r>
      </w:hyperlink>
    </w:p>
    <w:bookmarkEnd w:id="270"/>
    <w:bookmarkStart w:id="272"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1">
        <w:r>
          <w:rPr>
            <w:rStyle w:val="Hyperlink"/>
          </w:rPr>
          <w:t xml:space="preserve">10.3998/ergo.12405314.0002.026</w:t>
        </w:r>
      </w:hyperlink>
    </w:p>
    <w:bookmarkEnd w:id="272"/>
    <w:bookmarkStart w:id="273" w:name="ref-Dylan2016"/>
    <w:p>
      <w:pPr>
        <w:pStyle w:val="Bibliography"/>
      </w:pPr>
      <w:r>
        <w:t xml:space="preserve">Dylan, Bob. (2016).</w:t>
      </w:r>
      <w:r>
        <w:t xml:space="preserve"> </w:t>
      </w:r>
      <w:r>
        <w:rPr>
          <w:iCs/>
          <w:i/>
        </w:rPr>
        <w:t xml:space="preserve">The lyrics: 1961-2012</w:t>
      </w:r>
      <w:r>
        <w:t xml:space="preserve">. Simon &amp; Schuster.</w:t>
      </w:r>
    </w:p>
    <w:bookmarkEnd w:id="273"/>
    <w:bookmarkStart w:id="275"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4">
        <w:r>
          <w:rPr>
            <w:rStyle w:val="Hyperlink"/>
          </w:rPr>
          <w:t xml:space="preserve">10.1007/s11098-015-0461-x</w:t>
        </w:r>
      </w:hyperlink>
    </w:p>
    <w:bookmarkEnd w:id="275"/>
    <w:bookmarkStart w:id="277"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76">
        <w:r>
          <w:rPr>
            <w:rStyle w:val="Hyperlink"/>
          </w:rPr>
          <w:t xml:space="preserve">10.1007/s11098-008-9225-1</w:t>
        </w:r>
      </w:hyperlink>
    </w:p>
    <w:bookmarkEnd w:id="277"/>
    <w:bookmarkStart w:id="278"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78"/>
    <w:bookmarkStart w:id="280"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81</w:t>
      </w:r>
      <w:r>
        <w:t xml:space="preserve">(4), 622–631. doi:</w:t>
      </w:r>
      <w:hyperlink r:id="rId279">
        <w:r>
          <w:rPr>
            <w:rStyle w:val="Hyperlink"/>
          </w:rPr>
          <w:t xml:space="preserve">10.1093/analys/anab037</w:t>
        </w:r>
      </w:hyperlink>
    </w:p>
    <w:bookmarkEnd w:id="280"/>
    <w:bookmarkStart w:id="282"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1">
        <w:r>
          <w:rPr>
            <w:rStyle w:val="Hyperlink"/>
          </w:rPr>
          <w:t xml:space="preserve">10.2307/3182570</w:t>
        </w:r>
      </w:hyperlink>
    </w:p>
    <w:bookmarkEnd w:id="282"/>
    <w:bookmarkStart w:id="283"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3"/>
    <w:bookmarkStart w:id="284" w:name="ref-Foley1993"/>
    <w:p>
      <w:pPr>
        <w:pStyle w:val="Bibliography"/>
      </w:pPr>
      <w:r>
        <w:t xml:space="preserve">Foley, Richard. (1993).</w:t>
      </w:r>
      <w:r>
        <w:t xml:space="preserve"> </w:t>
      </w:r>
      <w:r>
        <w:rPr>
          <w:iCs/>
          <w:i/>
        </w:rPr>
        <w:t xml:space="preserve">Working without a net</w:t>
      </w:r>
      <w:r>
        <w:t xml:space="preserve">. Oxford University Press.</w:t>
      </w:r>
    </w:p>
    <w:bookmarkEnd w:id="284"/>
    <w:bookmarkStart w:id="286"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5">
        <w:r>
          <w:rPr>
            <w:rStyle w:val="Hyperlink"/>
          </w:rPr>
          <w:t xml:space="preserve">10.1111/nous.12137</w:t>
        </w:r>
      </w:hyperlink>
    </w:p>
    <w:bookmarkEnd w:id="286"/>
    <w:bookmarkStart w:id="288"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87">
        <w:r>
          <w:rPr>
            <w:rStyle w:val="Hyperlink"/>
          </w:rPr>
          <w:t xml:space="preserve">10.1111/phis.12141</w:t>
        </w:r>
      </w:hyperlink>
    </w:p>
    <w:bookmarkEnd w:id="288"/>
    <w:bookmarkStart w:id="290"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89">
        <w:r>
          <w:rPr>
            <w:rStyle w:val="Hyperlink"/>
          </w:rPr>
          <w:t xml:space="preserve">10.1111/nous.12222</w:t>
        </w:r>
      </w:hyperlink>
    </w:p>
    <w:bookmarkEnd w:id="290"/>
    <w:bookmarkStart w:id="292"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1">
        <w:r>
          <w:rPr>
            <w:rStyle w:val="Hyperlink"/>
          </w:rPr>
          <w:t xml:space="preserve">10.1215/00318108-8540918</w:t>
        </w:r>
      </w:hyperlink>
    </w:p>
    <w:bookmarkEnd w:id="292"/>
    <w:bookmarkStart w:id="293" w:name="ref-Friedman2024debate"/>
    <w:p>
      <w:pPr>
        <w:pStyle w:val="Bibliography"/>
      </w:pPr>
      <w:r>
        <w:t xml:space="preserve">Friedman, Jane. (2024a). Suspension of judgment is a question-directed attitude. In Blake Roeber, Ernest Sosa, Matthias Steup, &amp; John Turri (Eds.),</w:t>
      </w:r>
      <w:r>
        <w:t xml:space="preserve"> </w:t>
      </w:r>
      <w:r>
        <w:rPr>
          <w:iCs/>
          <w:i/>
        </w:rPr>
        <w:t xml:space="preserve">Contemporary debates in epistemology</w:t>
      </w:r>
      <w:r>
        <w:t xml:space="preserve"> </w:t>
      </w:r>
      <w:r>
        <w:t xml:space="preserve">(3rd ed., 66–78). Wiley Blackwell.</w:t>
      </w:r>
    </w:p>
    <w:bookmarkEnd w:id="293"/>
    <w:bookmarkStart w:id="295" w:name="ref-Friedman2024"/>
    <w:p>
      <w:pPr>
        <w:pStyle w:val="Bibliography"/>
      </w:pPr>
      <w:r>
        <w:t xml:space="preserve">Friedman, Jane. (2024b). The aim of inquiry?</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w:t>
      </w:r>
      <w:r>
        <w:t xml:space="preserve"> </w:t>
      </w:r>
      <w:r>
        <w:rPr>
          <w:iCs/>
          <w:i/>
        </w:rPr>
        <w:t xml:space="preserve">108</w:t>
      </w:r>
      <w:r>
        <w:t xml:space="preserve">(2), 506–523. doi:</w:t>
      </w:r>
      <w:hyperlink r:id="rId294">
        <w:r>
          <w:rPr>
            <w:rStyle w:val="Hyperlink"/>
          </w:rPr>
          <w:t xml:space="preserve">10.1111/phpr.12982</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llidayMandelkern2024"/>
    <w:p>
      <w:pPr>
        <w:pStyle w:val="Bibliography"/>
      </w:pPr>
      <w:r>
        <w:t xml:space="preserve">Holliday, Wesley H., and Matthew Mandelkern. (2024). The orthologic of epistemic modals.</w:t>
      </w:r>
      <w:r>
        <w:t xml:space="preserve"> </w:t>
      </w:r>
      <w:r>
        <w:rPr>
          <w:iCs/>
          <w:i/>
        </w:rPr>
        <w:t xml:space="preserve">Journal of Philosophical Logic</w:t>
      </w:r>
      <w:r>
        <w:t xml:space="preserve">,</w:t>
      </w:r>
      <w:r>
        <w:t xml:space="preserve"> </w:t>
      </w:r>
      <w:r>
        <w:rPr>
          <w:iCs/>
          <w:i/>
        </w:rPr>
        <w:t xml:space="preserve">53</w:t>
      </w:r>
      <w:r>
        <w:t xml:space="preserve">(831-907). doi:</w:t>
      </w:r>
      <w:hyperlink r:id="rId327">
        <w:r>
          <w:rPr>
            <w:rStyle w:val="Hyperlink"/>
          </w:rPr>
          <w:t xml:space="preserve">s10992-024-09746-7</w:t>
        </w:r>
      </w:hyperlink>
    </w:p>
    <w:bookmarkEnd w:id="328"/>
    <w:bookmarkStart w:id="330"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9">
        <w:r>
          <w:rPr>
            <w:rStyle w:val="Hyperlink"/>
          </w:rPr>
          <w:t xml:space="preserve">10.2307/2224214</w:t>
        </w:r>
      </w:hyperlink>
    </w:p>
    <w:bookmarkEnd w:id="330"/>
    <w:bookmarkStart w:id="332"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31">
        <w:r>
          <w:rPr>
            <w:rStyle w:val="Hyperlink"/>
          </w:rPr>
          <w:t xml:space="preserve">10.1007/BF00293423</w:t>
        </w:r>
      </w:hyperlink>
    </w:p>
    <w:bookmarkEnd w:id="332"/>
    <w:bookmarkStart w:id="333" w:name="ref-Humberstone2016"/>
    <w:p>
      <w:pPr>
        <w:pStyle w:val="Bibliography"/>
      </w:pPr>
      <w:r>
        <w:t xml:space="preserve">Humberstone, Lloyd. (2016).</w:t>
      </w:r>
      <w:r>
        <w:t xml:space="preserve"> </w:t>
      </w:r>
      <w:r>
        <w:rPr>
          <w:iCs/>
          <w:i/>
        </w:rPr>
        <w:t xml:space="preserve">Philsophical applications of modal logic</w:t>
      </w:r>
      <w:r>
        <w:t xml:space="preserve">. College Publications.</w:t>
      </w:r>
    </w:p>
    <w:bookmarkEnd w:id="333"/>
    <w:bookmarkStart w:id="335"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4">
        <w:r>
          <w:rPr>
            <w:rStyle w:val="Hyperlink"/>
          </w:rPr>
          <w:t xml:space="preserve">10.2307/2216304</w:t>
        </w:r>
      </w:hyperlink>
    </w:p>
    <w:bookmarkEnd w:id="335"/>
    <w:bookmarkStart w:id="336" w:name="ref-Ichikawa2017"/>
    <w:p>
      <w:pPr>
        <w:pStyle w:val="Bibliography"/>
      </w:pPr>
      <w:r>
        <w:t xml:space="preserve">Ichikawa, Jonathan. (2017).</w:t>
      </w:r>
      <w:r>
        <w:t xml:space="preserve"> </w:t>
      </w:r>
      <w:r>
        <w:rPr>
          <w:iCs/>
          <w:i/>
        </w:rPr>
        <w:t xml:space="preserve">Contextualising knowledge</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6"/>
    <w:bookmarkStart w:id="338"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7">
        <w:r>
          <w:rPr>
            <w:rStyle w:val="Hyperlink"/>
          </w:rPr>
          <w:t xml:space="preserve">10.1111/j.1467-9280.2006.01677.x</w:t>
        </w:r>
      </w:hyperlink>
    </w:p>
    <w:bookmarkEnd w:id="338"/>
    <w:bookmarkStart w:id="339" w:name="ref-Jackson1987"/>
    <w:p>
      <w:pPr>
        <w:pStyle w:val="Bibliography"/>
      </w:pPr>
      <w:r>
        <w:t xml:space="preserve">Jackson, Frank. (1987).</w:t>
      </w:r>
      <w:r>
        <w:t xml:space="preserve"> </w:t>
      </w:r>
      <w:r>
        <w:rPr>
          <w:iCs/>
          <w:i/>
        </w:rPr>
        <w:t xml:space="preserve">Conditionals</w:t>
      </w:r>
      <w:r>
        <w:t xml:space="preserve">. Oxford.</w:t>
      </w:r>
    </w:p>
    <w:bookmarkEnd w:id="339"/>
    <w:bookmarkStart w:id="340"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40"/>
    <w:bookmarkStart w:id="341"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41"/>
    <w:bookmarkStart w:id="342"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42"/>
    <w:bookmarkStart w:id="344"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43">
        <w:r>
          <w:rPr>
            <w:rStyle w:val="Hyperlink"/>
          </w:rPr>
          <w:t xml:space="preserve">10.2307/2224674</w:t>
        </w:r>
      </w:hyperlink>
    </w:p>
    <w:bookmarkEnd w:id="344"/>
    <w:bookmarkStart w:id="345"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5"/>
    <w:bookmarkStart w:id="347"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6">
        <w:r>
          <w:rPr>
            <w:rStyle w:val="Hyperlink"/>
          </w:rPr>
          <w:t xml:space="preserve">10.1007/s44204-023-00097-9</w:t>
        </w:r>
      </w:hyperlink>
    </w:p>
    <w:bookmarkEnd w:id="347"/>
    <w:bookmarkStart w:id="349"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8">
        <w:r>
          <w:rPr>
            <w:rStyle w:val="Hyperlink"/>
          </w:rPr>
          <w:t xml:space="preserve">10.1111/jere.12070</w:t>
        </w:r>
      </w:hyperlink>
    </w:p>
    <w:bookmarkEnd w:id="349"/>
    <w:bookmarkStart w:id="350"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50"/>
    <w:bookmarkStart w:id="352"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51">
        <w:r>
          <w:rPr>
            <w:rStyle w:val="Hyperlink"/>
          </w:rPr>
          <w:t xml:space="preserve">10.2307/1912320</w:t>
        </w:r>
      </w:hyperlink>
    </w:p>
    <w:bookmarkEnd w:id="352"/>
    <w:bookmarkStart w:id="353" w:name="ref-Kratzer2012"/>
    <w:p>
      <w:pPr>
        <w:pStyle w:val="Bibliography"/>
      </w:pPr>
      <w:r>
        <w:t xml:space="preserve">Kratzer, Angelika. (2012).</w:t>
      </w:r>
      <w:r>
        <w:t xml:space="preserve"> </w:t>
      </w:r>
      <w:r>
        <w:rPr>
          <w:iCs/>
          <w:i/>
        </w:rPr>
        <w:t xml:space="preserve">Modals and conditionals</w:t>
      </w:r>
      <w:r>
        <w:t xml:space="preserve">. Oxford University Press.</w:t>
      </w:r>
    </w:p>
    <w:bookmarkEnd w:id="353"/>
    <w:bookmarkStart w:id="354"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4"/>
    <w:bookmarkStart w:id="356"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5">
        <w:r>
          <w:rPr>
            <w:rStyle w:val="Hyperlink"/>
          </w:rPr>
          <w:t xml:space="preserve">10.1093/analys/anr129</w:t>
        </w:r>
      </w:hyperlink>
    </w:p>
    <w:bookmarkEnd w:id="356"/>
    <w:bookmarkStart w:id="358"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7">
        <w:r>
          <w:rPr>
            <w:rStyle w:val="Hyperlink"/>
          </w:rPr>
          <w:t xml:space="preserve">10.1111/j.1520-8583.2010.00183.x</w:t>
        </w:r>
      </w:hyperlink>
    </w:p>
    <w:bookmarkEnd w:id="358"/>
    <w:bookmarkStart w:id="360"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9">
        <w:r>
          <w:rPr>
            <w:rStyle w:val="Hyperlink"/>
          </w:rPr>
          <w:t xml:space="preserve">10.1111/phpr.12090</w:t>
        </w:r>
      </w:hyperlink>
    </w:p>
    <w:bookmarkEnd w:id="360"/>
    <w:bookmarkStart w:id="362"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61">
        <w:r>
          <w:rPr>
            <w:rStyle w:val="Hyperlink"/>
          </w:rPr>
          <w:t xml:space="preserve">10.1111/nous.12186</w:t>
        </w:r>
      </w:hyperlink>
    </w:p>
    <w:bookmarkEnd w:id="362"/>
    <w:bookmarkStart w:id="364" w:name="ref-Lee2017a"/>
    <w:p>
      <w:pPr>
        <w:pStyle w:val="Bibliography"/>
      </w:pPr>
      <w:r>
        <w:t xml:space="preserve">Lee, Matthew. (2017a).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3">
        <w:r>
          <w:rPr>
            <w:rStyle w:val="Hyperlink"/>
          </w:rPr>
          <w:t xml:space="preserve">10.1080/05568641.2017.1364142</w:t>
        </w:r>
      </w:hyperlink>
    </w:p>
    <w:bookmarkEnd w:id="364"/>
    <w:bookmarkStart w:id="366" w:name="ref-Lee2017b"/>
    <w:p>
      <w:pPr>
        <w:pStyle w:val="Bibliography"/>
      </w:pPr>
      <w:r>
        <w:t xml:space="preserve">Lee, Matthew. (2017b).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65">
        <w:r>
          <w:rPr>
            <w:rStyle w:val="Hyperlink"/>
          </w:rPr>
          <w:t xml:space="preserve">10.1017/S0012217317000154</w:t>
        </w:r>
      </w:hyperlink>
    </w:p>
    <w:bookmarkEnd w:id="366"/>
    <w:bookmarkStart w:id="367"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7"/>
    <w:bookmarkStart w:id="369"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8">
        <w:r>
          <w:rPr>
            <w:rStyle w:val="Hyperlink"/>
          </w:rPr>
          <w:t xml:space="preserve">10.2307/2184045</w:t>
        </w:r>
      </w:hyperlink>
    </w:p>
    <w:bookmarkEnd w:id="369"/>
    <w:bookmarkStart w:id="371"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70">
        <w:r>
          <w:rPr>
            <w:rStyle w:val="Hyperlink"/>
          </w:rPr>
          <w:t xml:space="preserve">10.1017/cbo9780511625237.009</w:t>
        </w:r>
      </w:hyperlink>
    </w:p>
    <w:bookmarkEnd w:id="371"/>
    <w:bookmarkStart w:id="373"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72">
        <w:r>
          <w:rPr>
            <w:rStyle w:val="Hyperlink"/>
          </w:rPr>
          <w:t xml:space="preserve">10.2307/2185051</w:t>
        </w:r>
      </w:hyperlink>
    </w:p>
    <w:bookmarkEnd w:id="373"/>
    <w:bookmarkStart w:id="375"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4">
        <w:r>
          <w:rPr>
            <w:rStyle w:val="Hyperlink"/>
          </w:rPr>
          <w:t xml:space="preserve">10.1093/mind/xcvii.387.323</w:t>
        </w:r>
      </w:hyperlink>
    </w:p>
    <w:bookmarkEnd w:id="375"/>
    <w:bookmarkStart w:id="377"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6">
        <w:r>
          <w:rPr>
            <w:rStyle w:val="Hyperlink"/>
          </w:rPr>
          <w:t xml:space="preserve">10.1093/mind/105.418.303</w:t>
        </w:r>
      </w:hyperlink>
    </w:p>
    <w:bookmarkEnd w:id="377"/>
    <w:bookmarkStart w:id="378"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8"/>
    <w:bookmarkStart w:id="380"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9">
        <w:r>
          <w:rPr>
            <w:rStyle w:val="Hyperlink"/>
          </w:rPr>
          <w:t xml:space="preserve">10.2307/2296233</w:t>
        </w:r>
      </w:hyperlink>
    </w:p>
    <w:bookmarkEnd w:id="380"/>
    <w:bookmarkStart w:id="382"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81">
        <w:r>
          <w:rPr>
            <w:rStyle w:val="Hyperlink"/>
          </w:rPr>
          <w:t xml:space="preserve">10.1111/phpr.12271</w:t>
        </w:r>
      </w:hyperlink>
    </w:p>
    <w:bookmarkEnd w:id="382"/>
    <w:bookmarkStart w:id="383"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83"/>
    <w:bookmarkStart w:id="385"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4">
        <w:r>
          <w:rPr>
            <w:rStyle w:val="Hyperlink"/>
          </w:rPr>
          <w:t xml:space="preserve">10.1086/392759</w:t>
        </w:r>
      </w:hyperlink>
    </w:p>
    <w:bookmarkEnd w:id="385"/>
    <w:bookmarkStart w:id="387"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6">
        <w:r>
          <w:rPr>
            <w:rStyle w:val="Hyperlink"/>
          </w:rPr>
          <w:t xml:space="preserve">10.1086/289906</w:t>
        </w:r>
      </w:hyperlink>
    </w:p>
    <w:bookmarkEnd w:id="387"/>
    <w:bookmarkStart w:id="388"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8"/>
    <w:bookmarkStart w:id="390"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9">
        <w:r>
          <w:rPr>
            <w:rStyle w:val="Hyperlink"/>
          </w:rPr>
          <w:t xml:space="preserve">10.1007/s11098-010-9542-z</w:t>
        </w:r>
      </w:hyperlink>
    </w:p>
    <w:bookmarkEnd w:id="390"/>
    <w:bookmarkStart w:id="392"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91">
        <w:r>
          <w:rPr>
            <w:rStyle w:val="Hyperlink"/>
          </w:rPr>
          <w:t xml:space="preserve">10.1215/00318108-3878483</w:t>
        </w:r>
      </w:hyperlink>
    </w:p>
    <w:bookmarkEnd w:id="392"/>
    <w:bookmarkStart w:id="394"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93">
        <w:r>
          <w:rPr>
            <w:rStyle w:val="Hyperlink"/>
          </w:rPr>
          <w:t xml:space="preserve">10.1007/s10734-010-9309-7</w:t>
        </w:r>
      </w:hyperlink>
    </w:p>
    <w:bookmarkEnd w:id="394"/>
    <w:bookmarkStart w:id="396"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5">
        <w:r>
          <w:rPr>
            <w:rStyle w:val="Hyperlink"/>
          </w:rPr>
          <w:t xml:space="preserve">10.1007/s11238-017-9592-1</w:t>
        </w:r>
      </w:hyperlink>
    </w:p>
    <w:bookmarkEnd w:id="396"/>
    <w:bookmarkStart w:id="398"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7">
        <w:r>
          <w:rPr>
            <w:rStyle w:val="Hyperlink"/>
          </w:rPr>
          <w:t xml:space="preserve">10.1111/nous.12323</w:t>
        </w:r>
      </w:hyperlink>
    </w:p>
    <w:bookmarkEnd w:id="398"/>
    <w:bookmarkStart w:id="399"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9"/>
    <w:bookmarkStart w:id="400"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400"/>
    <w:bookmarkStart w:id="401"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401"/>
    <w:bookmarkStart w:id="403"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402">
        <w:r>
          <w:rPr>
            <w:rStyle w:val="Hyperlink"/>
          </w:rPr>
          <w:t xml:space="preserve">10.1111/j.1520-8583.2010.00198.x</w:t>
        </w:r>
      </w:hyperlink>
    </w:p>
    <w:bookmarkEnd w:id="403"/>
    <w:bookmarkStart w:id="405"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4">
        <w:r>
          <w:rPr>
            <w:rStyle w:val="Hyperlink"/>
          </w:rPr>
          <w:t xml:space="preserve">10.1080/0020174X.2013.775014</w:t>
        </w:r>
      </w:hyperlink>
    </w:p>
    <w:bookmarkEnd w:id="405"/>
    <w:bookmarkStart w:id="406"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6"/>
    <w:bookmarkStart w:id="408"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7">
        <w:r>
          <w:rPr>
            <w:rStyle w:val="Hyperlink"/>
          </w:rPr>
          <w:t xml:space="preserve">10.1111/phpr.12431</w:t>
        </w:r>
      </w:hyperlink>
    </w:p>
    <w:bookmarkEnd w:id="408"/>
    <w:bookmarkStart w:id="410"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9">
        <w:r>
          <w:rPr>
            <w:rStyle w:val="Hyperlink"/>
          </w:rPr>
          <w:t xml:space="preserve">10.1111/j.1933-1592.2007.00069.x</w:t>
        </w:r>
      </w:hyperlink>
    </w:p>
    <w:bookmarkEnd w:id="410"/>
    <w:bookmarkStart w:id="412"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11">
        <w:r>
          <w:rPr>
            <w:rStyle w:val="Hyperlink"/>
          </w:rPr>
          <w:t xml:space="preserve">10.1037/pspp0000141</w:t>
        </w:r>
      </w:hyperlink>
    </w:p>
    <w:bookmarkEnd w:id="412"/>
    <w:bookmarkStart w:id="414"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3">
        <w:r>
          <w:rPr>
            <w:rStyle w:val="Hyperlink"/>
          </w:rPr>
          <w:t xml:space="preserve">10.1016/j.shpsb.2009.08.008</w:t>
        </w:r>
      </w:hyperlink>
    </w:p>
    <w:bookmarkEnd w:id="414"/>
    <w:bookmarkStart w:id="415" w:name="ref-Nozick1981"/>
    <w:p>
      <w:pPr>
        <w:pStyle w:val="Bibliography"/>
      </w:pPr>
      <w:r>
        <w:t xml:space="preserve">Nozick, Robert. (1981).</w:t>
      </w:r>
      <w:r>
        <w:t xml:space="preserve"> </w:t>
      </w:r>
      <w:r>
        <w:rPr>
          <w:iCs/>
          <w:i/>
        </w:rPr>
        <w:t xml:space="preserve">Philosophical explorations</w:t>
      </w:r>
      <w:r>
        <w:t xml:space="preserve">. Harvard University Press.</w:t>
      </w:r>
    </w:p>
    <w:bookmarkEnd w:id="415"/>
    <w:bookmarkStart w:id="416"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6"/>
    <w:bookmarkStart w:id="417"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7"/>
    <w:bookmarkStart w:id="419"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8">
        <w:r>
          <w:rPr>
            <w:rStyle w:val="Hyperlink"/>
          </w:rPr>
          <w:t xml:space="preserve">10.1016/j.mathsocsci.2013.08.005</w:t>
        </w:r>
      </w:hyperlink>
    </w:p>
    <w:bookmarkEnd w:id="419"/>
    <w:bookmarkStart w:id="420"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20"/>
    <w:bookmarkStart w:id="421"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1"/>
    <w:bookmarkStart w:id="423"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2">
        <w:r>
          <w:rPr>
            <w:rStyle w:val="Hyperlink"/>
          </w:rPr>
          <w:t xml:space="preserve">10.1111/j.1533-6077.2004.00034.x</w:t>
        </w:r>
      </w:hyperlink>
    </w:p>
    <w:bookmarkEnd w:id="423"/>
    <w:bookmarkStart w:id="425"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4">
        <w:r>
          <w:rPr>
            <w:rStyle w:val="Hyperlink"/>
          </w:rPr>
          <w:t xml:space="preserve">10.1016/0167-2681(82)90008-7</w:t>
        </w:r>
      </w:hyperlink>
    </w:p>
    <w:bookmarkEnd w:id="425"/>
    <w:bookmarkStart w:id="427"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6">
        <w:r>
          <w:rPr>
            <w:rStyle w:val="Hyperlink"/>
          </w:rPr>
          <w:t xml:space="preserve">https://plato.stanford.edu/archives/spr2018/entries/public-reason/</w:t>
        </w:r>
      </w:hyperlink>
      <w:r>
        <w:t xml:space="preserve">; Metaphysics Research Lab, Stanford University.</w:t>
      </w:r>
    </w:p>
    <w:bookmarkEnd w:id="427"/>
    <w:bookmarkStart w:id="428"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8"/>
    <w:bookmarkStart w:id="429"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9"/>
    <w:bookmarkStart w:id="431"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30">
        <w:r>
          <w:rPr>
            <w:rStyle w:val="Hyperlink"/>
          </w:rPr>
          <w:t xml:space="preserve">10.1257/aer.101.2.900</w:t>
        </w:r>
      </w:hyperlink>
    </w:p>
    <w:bookmarkEnd w:id="431"/>
    <w:bookmarkStart w:id="433"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2">
        <w:r>
          <w:rPr>
            <w:rStyle w:val="Hyperlink"/>
          </w:rPr>
          <w:t xml:space="preserve">10.3765/sp.5.6</w:t>
        </w:r>
      </w:hyperlink>
    </w:p>
    <w:bookmarkEnd w:id="433"/>
    <w:bookmarkStart w:id="435"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4">
        <w:r>
          <w:rPr>
            <w:rStyle w:val="Hyperlink"/>
          </w:rPr>
          <w:t xml:space="preserve">10.1111/j.1933-1592.2011.00552.x</w:t>
        </w:r>
      </w:hyperlink>
    </w:p>
    <w:bookmarkEnd w:id="435"/>
    <w:bookmarkStart w:id="436"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6"/>
    <w:bookmarkStart w:id="438"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7">
        <w:r>
          <w:rPr>
            <w:rStyle w:val="Hyperlink"/>
          </w:rPr>
          <w:t xml:space="preserve">10.1080/00048400802001996</w:t>
        </w:r>
      </w:hyperlink>
    </w:p>
    <w:bookmarkEnd w:id="438"/>
    <w:bookmarkStart w:id="440"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39">
        <w:r>
          <w:rPr>
            <w:rStyle w:val="Hyperlink"/>
          </w:rPr>
          <w:t xml:space="preserve">10.1016/S0004-3702(97)00026-X</w:t>
        </w:r>
      </w:hyperlink>
    </w:p>
    <w:bookmarkEnd w:id="440"/>
    <w:bookmarkStart w:id="442"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1">
        <w:r>
          <w:rPr>
            <w:rStyle w:val="Hyperlink"/>
          </w:rPr>
          <w:t xml:space="preserve">10.1086/288168</w:t>
        </w:r>
      </w:hyperlink>
    </w:p>
    <w:bookmarkEnd w:id="442"/>
    <w:bookmarkStart w:id="444"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3">
        <w:r>
          <w:rPr>
            <w:rStyle w:val="Hyperlink"/>
          </w:rPr>
          <w:t xml:space="preserve">10.1086/651235</w:t>
        </w:r>
      </w:hyperlink>
    </w:p>
    <w:bookmarkEnd w:id="444"/>
    <w:bookmarkStart w:id="446"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5">
        <w:r>
          <w:rPr>
            <w:rStyle w:val="Hyperlink"/>
          </w:rPr>
          <w:t xml:space="preserve">10.1111/phib.12314</w:t>
        </w:r>
      </w:hyperlink>
    </w:p>
    <w:bookmarkEnd w:id="446"/>
    <w:bookmarkStart w:id="448"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7">
        <w:r>
          <w:rPr>
            <w:rStyle w:val="Hyperlink"/>
          </w:rPr>
          <w:t xml:space="preserve">10.1111/nous.12006</w:t>
        </w:r>
      </w:hyperlink>
    </w:p>
    <w:bookmarkEnd w:id="448"/>
    <w:bookmarkStart w:id="450"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49">
        <w:r>
          <w:rPr>
            <w:rStyle w:val="Hyperlink"/>
          </w:rPr>
          <w:t xml:space="preserve">10.1007/s11098-008-9200-x</w:t>
        </w:r>
      </w:hyperlink>
    </w:p>
    <w:bookmarkEnd w:id="450"/>
    <w:bookmarkStart w:id="452" w:name="ref-Schroeder2012"/>
    <w:p>
      <w:pPr>
        <w:pStyle w:val="Bibliography"/>
      </w:pPr>
      <w:r>
        <w:t xml:space="preserve">Schroeder, Mark. (2012). Stakes, withholding and pragmatic encroachment on knowledge.</w:t>
      </w:r>
      <w:r>
        <w:t xml:space="preserve"> </w:t>
      </w:r>
      <w:r>
        <w:rPr>
          <w:iCs/>
          <w:i/>
        </w:rPr>
        <w:t xml:space="preserve">Philosophical Studies</w:t>
      </w:r>
      <w:r>
        <w:t xml:space="preserve">,</w:t>
      </w:r>
      <w:r>
        <w:t xml:space="preserve"> </w:t>
      </w:r>
      <w:r>
        <w:rPr>
          <w:iCs/>
          <w:i/>
        </w:rPr>
        <w:t xml:space="preserve">160</w:t>
      </w:r>
      <w:r>
        <w:t xml:space="preserve">(2), 265–285. doi:</w:t>
      </w:r>
      <w:hyperlink r:id="rId451">
        <w:r>
          <w:rPr>
            <w:rStyle w:val="Hyperlink"/>
          </w:rPr>
          <w:t xml:space="preserve">10.1007/s11098-011-9718-1</w:t>
        </w:r>
      </w:hyperlink>
    </w:p>
    <w:bookmarkEnd w:id="452"/>
    <w:bookmarkStart w:id="453"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3"/>
    <w:bookmarkStart w:id="455"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4">
        <w:r>
          <w:rPr>
            <w:rStyle w:val="Hyperlink"/>
          </w:rPr>
          <w:t xml:space="preserve">10.1037/0022-3514.83.5.1178</w:t>
        </w:r>
      </w:hyperlink>
    </w:p>
    <w:bookmarkEnd w:id="455"/>
    <w:bookmarkStart w:id="457"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6">
        <w:r>
          <w:rPr>
            <w:rStyle w:val="Hyperlink"/>
          </w:rPr>
          <w:t xml:space="preserve">10.2307/3218711</w:t>
        </w:r>
      </w:hyperlink>
    </w:p>
    <w:bookmarkEnd w:id="457"/>
    <w:bookmarkStart w:id="459"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8">
        <w:r>
          <w:rPr>
            <w:rStyle w:val="Hyperlink"/>
          </w:rPr>
          <w:t xml:space="preserve">10.1111/0029-4624.33.s13.7</w:t>
        </w:r>
      </w:hyperlink>
    </w:p>
    <w:bookmarkEnd w:id="459"/>
    <w:bookmarkStart w:id="461"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0">
        <w:r>
          <w:rPr>
            <w:rStyle w:val="Hyperlink"/>
          </w:rPr>
          <w:t xml:space="preserve">10.1111/j.1468-0017.2010.01394.x</w:t>
        </w:r>
      </w:hyperlink>
    </w:p>
    <w:bookmarkEnd w:id="461"/>
    <w:bookmarkStart w:id="463"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2">
        <w:r>
          <w:rPr>
            <w:rStyle w:val="Hyperlink"/>
          </w:rPr>
          <w:t xml:space="preserve">10.1111/nous.12254</w:t>
        </w:r>
      </w:hyperlink>
    </w:p>
    <w:bookmarkEnd w:id="463"/>
    <w:bookmarkStart w:id="465"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4">
        <w:r>
          <w:rPr>
            <w:rStyle w:val="Hyperlink"/>
          </w:rPr>
          <w:t xml:space="preserve">10.1007/bf02379021</w:t>
        </w:r>
      </w:hyperlink>
    </w:p>
    <w:bookmarkEnd w:id="465"/>
    <w:bookmarkStart w:id="466" w:name="ref-Stalnaker1984"/>
    <w:p>
      <w:pPr>
        <w:pStyle w:val="Bibliography"/>
      </w:pPr>
      <w:r>
        <w:t xml:space="preserve">Stalnaker, Robert. (1984).</w:t>
      </w:r>
      <w:r>
        <w:t xml:space="preserve"> </w:t>
      </w:r>
      <w:r>
        <w:rPr>
          <w:iCs/>
          <w:i/>
        </w:rPr>
        <w:t xml:space="preserve">Inquiry</w:t>
      </w:r>
      <w:r>
        <w:t xml:space="preserve">. MIT Press.</w:t>
      </w:r>
    </w:p>
    <w:bookmarkEnd w:id="466"/>
    <w:bookmarkStart w:id="468"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7">
        <w:r>
          <w:rPr>
            <w:rStyle w:val="Hyperlink"/>
          </w:rPr>
          <w:t xml:space="preserve">10.1007/BF01079205</w:t>
        </w:r>
      </w:hyperlink>
    </w:p>
    <w:bookmarkEnd w:id="468"/>
    <w:bookmarkStart w:id="470"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69">
        <w:r>
          <w:rPr>
            <w:rStyle w:val="Hyperlink"/>
          </w:rPr>
          <w:t xml:space="preserve">10.1017/S0266267100004132</w:t>
        </w:r>
      </w:hyperlink>
    </w:p>
    <w:bookmarkEnd w:id="470"/>
    <w:bookmarkStart w:id="472"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1">
        <w:r>
          <w:rPr>
            <w:rStyle w:val="Hyperlink"/>
          </w:rPr>
          <w:t xml:space="preserve">10.1016/S0165-4896(98)00007-9</w:t>
        </w:r>
      </w:hyperlink>
    </w:p>
    <w:bookmarkEnd w:id="472"/>
    <w:bookmarkStart w:id="474"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3">
        <w:r>
          <w:rPr>
            <w:rStyle w:val="Hyperlink"/>
          </w:rPr>
          <w:t xml:space="preserve">10.1006/reec.1999.0200</w:t>
        </w:r>
      </w:hyperlink>
    </w:p>
    <w:bookmarkEnd w:id="474"/>
    <w:bookmarkStart w:id="475"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5"/>
    <w:bookmarkStart w:id="476" w:name="ref-Stanley2011"/>
    <w:p>
      <w:pPr>
        <w:pStyle w:val="Bibliography"/>
      </w:pPr>
      <w:r>
        <w:t xml:space="preserve">Stanley, Jason. (2011).</w:t>
      </w:r>
      <w:r>
        <w:t xml:space="preserve"> </w:t>
      </w:r>
      <w:r>
        <w:rPr>
          <w:iCs/>
          <w:i/>
        </w:rPr>
        <w:t xml:space="preserve">Know how</w:t>
      </w:r>
      <w:r>
        <w:t xml:space="preserve">. Oxford University Press.</w:t>
      </w:r>
    </w:p>
    <w:bookmarkEnd w:id="476"/>
    <w:bookmarkStart w:id="478" w:name="ref-Steglich-Petersen2024"/>
    <w:p>
      <w:pPr>
        <w:pStyle w:val="Bibliography"/>
      </w:pPr>
      <w:r>
        <w:t xml:space="preserve">Steglich-Petersen, Asbjørn. (2024). An instrumentalist explanation of pragmatic encroachment.</w:t>
      </w:r>
      <w:r>
        <w:t xml:space="preserve"> </w:t>
      </w:r>
      <w:r>
        <w:rPr>
          <w:iCs/>
          <w:i/>
        </w:rPr>
        <w:t xml:space="preserve">Analytic Philosophy</w:t>
      </w:r>
      <w:r>
        <w:t xml:space="preserve">,</w:t>
      </w:r>
      <w:r>
        <w:t xml:space="preserve"> </w:t>
      </w:r>
      <w:r>
        <w:rPr>
          <w:iCs/>
          <w:i/>
        </w:rPr>
        <w:t xml:space="preserve">65</w:t>
      </w:r>
      <w:r>
        <w:t xml:space="preserve">(3), 374–392. doi:</w:t>
      </w:r>
      <w:hyperlink r:id="rId477">
        <w:r>
          <w:rPr>
            <w:rStyle w:val="Hyperlink"/>
          </w:rPr>
          <w:t xml:space="preserve">10.1111/phib.12283</w:t>
        </w:r>
      </w:hyperlink>
    </w:p>
    <w:bookmarkEnd w:id="478"/>
    <w:bookmarkStart w:id="479"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79"/>
    <w:bookmarkStart w:id="481"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0">
        <w:r>
          <w:rPr>
            <w:rStyle w:val="Hyperlink"/>
          </w:rPr>
          <w:t xml:space="preserve">10.1111/phpr.12191</w:t>
        </w:r>
      </w:hyperlink>
    </w:p>
    <w:bookmarkEnd w:id="481"/>
    <w:bookmarkStart w:id="482"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2"/>
    <w:bookmarkStart w:id="484"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3">
        <w:r>
          <w:rPr>
            <w:rStyle w:val="Hyperlink"/>
          </w:rPr>
          <w:t xml:space="preserve">10.1111/j.1520-8583.2005.00068.x</w:t>
        </w:r>
      </w:hyperlink>
    </w:p>
    <w:bookmarkEnd w:id="484"/>
    <w:bookmarkStart w:id="486"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5">
        <w:r>
          <w:rPr>
            <w:rStyle w:val="Hyperlink"/>
          </w:rPr>
          <w:t xml:space="preserve">10.1007/s11098-004-5218-x</w:t>
        </w:r>
      </w:hyperlink>
    </w:p>
    <w:bookmarkEnd w:id="486"/>
    <w:bookmarkStart w:id="488"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7">
        <w:r>
          <w:rPr>
            <w:rStyle w:val="Hyperlink"/>
          </w:rPr>
          <w:t xml:space="preserve">10.5840/logos-episteme2011248</w:t>
        </w:r>
      </w:hyperlink>
    </w:p>
    <w:bookmarkEnd w:id="488"/>
    <w:bookmarkStart w:id="489"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89"/>
    <w:bookmarkStart w:id="491"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0">
        <w:r>
          <w:rPr>
            <w:rStyle w:val="Hyperlink"/>
          </w:rPr>
          <w:t xml:space="preserve">10.1111/phpr.12088</w:t>
        </w:r>
      </w:hyperlink>
    </w:p>
    <w:bookmarkEnd w:id="491"/>
    <w:bookmarkStart w:id="492"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2"/>
    <w:bookmarkStart w:id="493"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3"/>
    <w:bookmarkStart w:id="494"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4"/>
    <w:bookmarkStart w:id="495"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5"/>
    <w:bookmarkStart w:id="497"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6">
        <w:r>
          <w:rPr>
            <w:rStyle w:val="Hyperlink"/>
          </w:rPr>
          <w:t xml:space="preserve">10.1111/j.1933-1592.2010.00448.x</w:t>
        </w:r>
      </w:hyperlink>
    </w:p>
    <w:bookmarkEnd w:id="497"/>
    <w:bookmarkStart w:id="499"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498">
        <w:r>
          <w:rPr>
            <w:rStyle w:val="Hyperlink"/>
          </w:rPr>
          <w:t xml:space="preserve">2027/spo.3521354.0013.022</w:t>
        </w:r>
      </w:hyperlink>
    </w:p>
    <w:bookmarkEnd w:id="499"/>
    <w:bookmarkStart w:id="500"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0"/>
    <w:bookmarkStart w:id="502"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1">
        <w:r>
          <w:rPr>
            <w:rStyle w:val="Hyperlink"/>
          </w:rPr>
          <w:t xml:space="preserve">10.1111/j.1520-8583.2005.00069.x</w:t>
        </w:r>
      </w:hyperlink>
    </w:p>
    <w:bookmarkEnd w:id="502"/>
    <w:bookmarkStart w:id="503"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3"/>
    <w:bookmarkStart w:id="504" w:name="ref-Williamson1994"/>
    <w:p>
      <w:pPr>
        <w:pStyle w:val="Bibliography"/>
      </w:pPr>
      <w:r>
        <w:t xml:space="preserve">Williamson, Timothy. (1994).</w:t>
      </w:r>
      <w:r>
        <w:t xml:space="preserve"> </w:t>
      </w:r>
      <w:r>
        <w:rPr>
          <w:iCs/>
          <w:i/>
        </w:rPr>
        <w:t xml:space="preserve">Vagueness</w:t>
      </w:r>
      <w:r>
        <w:t xml:space="preserve">. Routledge.</w:t>
      </w:r>
    </w:p>
    <w:bookmarkEnd w:id="504"/>
    <w:bookmarkStart w:id="505"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5"/>
    <w:bookmarkStart w:id="507"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6">
        <w:r>
          <w:rPr>
            <w:rStyle w:val="Hyperlink"/>
          </w:rPr>
          <w:t xml:space="preserve">10.1111/j.0031-8094.2005.00396.x</w:t>
        </w:r>
      </w:hyperlink>
    </w:p>
    <w:bookmarkEnd w:id="507"/>
    <w:bookmarkStart w:id="509"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08">
        <w:r>
          <w:rPr>
            <w:rStyle w:val="Hyperlink"/>
          </w:rPr>
          <w:t xml:space="preserve">10.1111/j.1467-8284.2007.00671.x</w:t>
        </w:r>
      </w:hyperlink>
    </w:p>
    <w:bookmarkEnd w:id="509"/>
    <w:bookmarkStart w:id="511"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0">
        <w:r>
          <w:rPr>
            <w:rStyle w:val="Hyperlink"/>
          </w:rPr>
          <w:t xml:space="preserve">10.1080/0020174X.2013.775010</w:t>
        </w:r>
      </w:hyperlink>
    </w:p>
    <w:bookmarkEnd w:id="511"/>
    <w:bookmarkStart w:id="512"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2"/>
    <w:bookmarkStart w:id="513" w:name="ref-Wittgenstein1953"/>
    <w:p>
      <w:pPr>
        <w:pStyle w:val="Bibliography"/>
      </w:pPr>
      <w:r>
        <w:t xml:space="preserve">Wittgenstein, Ludwig. (1953).</w:t>
      </w:r>
      <w:r>
        <w:t xml:space="preserve"> </w:t>
      </w:r>
      <w:r>
        <w:rPr>
          <w:iCs/>
          <w:i/>
        </w:rPr>
        <w:t xml:space="preserve">Philosophical investigations</w:t>
      </w:r>
      <w:r>
        <w:t xml:space="preserve">. Macmillan.</w:t>
      </w:r>
    </w:p>
    <w:bookmarkEnd w:id="513"/>
    <w:bookmarkStart w:id="514" w:name="ref-Woodard2021"/>
    <w:p>
      <w:pPr>
        <w:pStyle w:val="Bibliography"/>
      </w:pPr>
      <w:r>
        <w:t xml:space="preserve">Woodard, Elise. (2020).</w:t>
      </w:r>
      <w:r>
        <w:t xml:space="preserve"> </w:t>
      </w:r>
      <w:r>
        <w:rPr>
          <w:iCs/>
          <w:i/>
        </w:rPr>
        <w:t xml:space="preserve">Why double-check</w:t>
      </w:r>
      <w:r>
        <w:t xml:space="preserve">.</w:t>
      </w:r>
    </w:p>
    <w:bookmarkEnd w:id="514"/>
    <w:bookmarkStart w:id="516"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5">
        <w:r>
          <w:rPr>
            <w:rStyle w:val="Hyperlink"/>
          </w:rPr>
          <w:t xml:space="preserve">10.1111/j.1933-1592.2002.tb00205.x</w:t>
        </w:r>
      </w:hyperlink>
    </w:p>
    <w:bookmarkEnd w:id="516"/>
    <w:bookmarkStart w:id="517"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17"/>
    <w:bookmarkStart w:id="519" w:name="ref-Wu2024"/>
    <w:p>
      <w:pPr>
        <w:pStyle w:val="Bibliography"/>
      </w:pPr>
      <w:r>
        <w:t xml:space="preserve">Wu, Jenny Yi-Chen. (forthcoming). A defense of impurist permissivism.</w:t>
      </w:r>
      <w:r>
        <w:t xml:space="preserve"> </w:t>
      </w:r>
      <w:r>
        <w:rPr>
          <w:iCs/>
          <w:i/>
        </w:rPr>
        <w:t xml:space="preserve">Episteme</w:t>
      </w:r>
      <w:r>
        <w:t xml:space="preserve">, 1–21. doi:</w:t>
      </w:r>
      <w:hyperlink r:id="rId518">
        <w:r>
          <w:rPr>
            <w:rStyle w:val="Hyperlink"/>
          </w:rPr>
          <w:t xml:space="preserve">10.1017/epi.2023.22</w:t>
        </w:r>
      </w:hyperlink>
    </w:p>
    <w:bookmarkEnd w:id="519"/>
    <w:bookmarkStart w:id="521"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0">
        <w:r>
          <w:rPr>
            <w:rStyle w:val="Hyperlink"/>
          </w:rPr>
          <w:t xml:space="preserve">10.1111/phpr.12330</w:t>
        </w:r>
      </w:hyperlink>
    </w:p>
    <w:bookmarkEnd w:id="521"/>
    <w:bookmarkStart w:id="522"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2"/>
    <w:bookmarkStart w:id="524"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3">
        <w:r>
          <w:rPr>
            <w:rStyle w:val="Hyperlink"/>
          </w:rPr>
          <w:t xml:space="preserve">10.1007/s10670-022-00626-7</w:t>
        </w:r>
      </w:hyperlink>
    </w:p>
    <w:bookmarkEnd w:id="524"/>
    <w:bookmarkStart w:id="526"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5">
        <w:r>
          <w:rPr>
            <w:rStyle w:val="Hyperlink"/>
          </w:rPr>
          <w:t xml:space="preserve">10.1007/s11098-016-0631-5</w:t>
        </w:r>
      </w:hyperlink>
    </w:p>
    <w:bookmarkEnd w:id="526"/>
    <w:bookmarkEnd w:id="527"/>
    <w:bookmarkEnd w:id="528"/>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Schmidt (forthcoming)</w:t>
      </w:r>
      <w:r>
        <w:t xml:space="preserve">,</w:t>
      </w:r>
      <w:r>
        <w:t xml:space="preserve"> </w:t>
      </w:r>
      <w:r>
        <w:t xml:space="preserve">Steglich-Petersen (2024)</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(or tertiary) source. I do hope in the future there will be more work which looks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Note that</w:t>
      </w:r>
      <w:r>
        <w:t xml:space="preserve"> </w:t>
      </w:r>
      <w:r>
        <w:t xml:space="preserve">Friedman (2024b)</w:t>
      </w:r>
      <w:r>
        <w:t xml:space="preserve"> </w:t>
      </w:r>
      <w:r>
        <w:t xml:space="preserve">also rejects 3, but not because she thinks inquiry aims at something else; she is sceptical of the metaphor of</w:t>
      </w:r>
      <w:r>
        <w:t xml:space="preserve"> </w:t>
      </w:r>
      <w:r>
        <w:rPr>
          <w:iCs/>
          <w:i/>
        </w:rPr>
        <w:t xml:space="preserve">aiming</w:t>
      </w:r>
      <w:r>
        <w:t xml:space="preserve"> </w:t>
      </w:r>
      <w:r>
        <w:t xml:space="preserve">in this context. Note also that Falbo and Melchior developed similar arguments to Woodard’s.</w:t>
      </w:r>
    </w:p>
  </w:footnote>
  <w:footnote w:id="27">
    <w:p>
      <w:pPr>
        <w:pStyle w:val="FootnoteText"/>
      </w:pPr>
      <w:r>
        <w:rPr>
          <w:rStyle w:val="FootnoteReference"/>
        </w:rPr>
        <w:footnoteRef/>
      </w:r>
      <w:r>
        <w:t xml:space="preserve"> </w:t>
      </w:r>
      <w:r>
        <w:t xml:space="preserve">Such a view might be inspired by the</w:t>
      </w:r>
      <w:r>
        <w:t xml:space="preserve"> </w:t>
      </w:r>
      <w:r>
        <w:t xml:space="preserve">‘</w:t>
      </w:r>
      <w:r>
        <w:t xml:space="preserve">knowledge first</w:t>
      </w:r>
      <w:r>
        <w:t xml:space="preserve">’</w:t>
      </w:r>
      <w:r>
        <w:t xml:space="preserve"> </w:t>
      </w:r>
      <w:r>
        <w:t xml:space="preserve">program of Williamson</w:t>
      </w:r>
      <w:r>
        <w:t xml:space="preserve"> </w:t>
      </w:r>
      <w:r>
        <w:t xml:space="preserve">(2000)</w:t>
      </w:r>
      <w:r>
        <w:t xml:space="preserve">.</w:t>
      </w:r>
    </w:p>
  </w:footnote>
  <w:footnote w:id="29">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More importantly, this extra knowledge might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1">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To be sure, she presumably doesn’t know for most people what they know about medieval history. What I’m imagining is that if she was presented with a bunch of people, asked if they know when the Battle of Agincourt was, and was allowed to say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or</w:t>
      </w:r>
      <w:r>
        <w:t xml:space="preserve"> </w:t>
      </w:r>
      <w:r>
        <w:t xml:space="preserve">“</w:t>
      </w:r>
      <w:r>
        <w:t xml:space="preserve">Don’t Know</w:t>
      </w:r>
      <w:r>
        <w:t xml:space="preserve">”</w:t>
      </w:r>
      <w:r>
        <w:t xml:space="preserve">, then most of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answers would be correct, and she would say</w:t>
      </w:r>
      <w:r>
        <w:t xml:space="preserve"> </w:t>
      </w:r>
      <w:r>
        <w:t xml:space="preserve">“</w:t>
      </w:r>
      <w:r>
        <w:t xml:space="preserve">Yes</w:t>
      </w:r>
      <w:r>
        <w:t xml:space="preserve">”</w:t>
      </w:r>
      <w:r>
        <w:t xml:space="preserve"> </w:t>
      </w:r>
      <w:r>
        <w:t xml:space="preserve">about herself.</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38">
    <w:p>
      <w:pPr>
        <w:pStyle w:val="FootnoteText"/>
      </w:pPr>
      <w:r>
        <w:rPr>
          <w:rStyle w:val="FootnoteReference"/>
        </w:rPr>
        <w:footnoteRef/>
      </w:r>
      <w:r>
        <w:t xml:space="preserve"> </w:t>
      </w:r>
      <w:r>
        <w:t xml:space="preserve">This subsection is based on my</w:t>
      </w:r>
      <w:r>
        <w:t xml:space="preserve"> </w:t>
      </w:r>
      <w:r>
        <w:t xml:space="preserve">(2018: 2)</w:t>
      </w:r>
      <w:r>
        <w:t xml:space="preserve">.</w:t>
      </w:r>
    </w:p>
  </w:footnote>
  <w:footnote w:id="41">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5">
    <w:p>
      <w:pPr>
        <w:pStyle w:val="FootnoteText"/>
      </w:pPr>
      <w:r>
        <w:rPr>
          <w:rStyle w:val="FootnoteReference"/>
        </w:rPr>
        <w:footnoteRef/>
      </w:r>
      <w:r>
        <w:t xml:space="preserve"> </w:t>
      </w:r>
      <w:r>
        <w:t xml:space="preserve">This section is based on my</w:t>
      </w:r>
      <w:r>
        <w:t xml:space="preserve"> </w:t>
      </w:r>
      <w:r>
        <w:t xml:space="preserve">(2017: 4)</w:t>
      </w:r>
      <w:r>
        <w:t xml:space="preserve">.</w:t>
      </w:r>
    </w:p>
  </w:footnote>
  <w:footnote w:id="47">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The points I’m making in this section aren’t sensitive to this level of technical detail.</w:t>
      </w:r>
    </w:p>
  </w:footnote>
  <w:footnote w:id="54">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6">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7">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Once we allow beliefs to be interest-relative, this role for the belief/acceptance distinction seems to go away. A lot of what are commonly called acceptances are, on my theory, beliefs that are highly sensitive to changes in interests.</w:t>
      </w:r>
    </w:p>
  </w:footnote>
  <w:footnote w:id="59">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2">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Still, it’s often a helpful heuristic, and there isn’t anything wrong with using a model that breaks down when applied outside its appropriate zone.</w:t>
      </w:r>
    </w:p>
  </w:footnote>
  <w:footnote w:id="64">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5">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7">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8">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9">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0">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1">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If</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 the spirit of Stanley’s view is preserved, even if the letter isn’t.</w:t>
      </w:r>
    </w:p>
  </w:footnote>
  <w:footnote w:id="73">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78">
    <w:p>
      <w:pPr>
        <w:pStyle w:val="FootnoteText"/>
      </w:pPr>
      <w:r>
        <w:rPr>
          <w:rStyle w:val="FootnoteReference"/>
        </w:rPr>
        <w:footnoteRef/>
      </w:r>
      <w:r>
        <w:t xml:space="preserve"> </w:t>
      </w:r>
      <w:r>
        <w:t xml:space="preserve">This subsection is based on my</w:t>
      </w:r>
      <w:r>
        <w:t xml:space="preserve"> </w:t>
      </w:r>
      <w:r>
        <w:t xml:space="preserve">(2016a: 1)</w:t>
      </w:r>
      <w:r>
        <w:t xml:space="preserve">.</w:t>
      </w:r>
    </w:p>
  </w:footnote>
  <w:footnote w:id="81">
    <w:p>
      <w:pPr>
        <w:pStyle w:val="FootnoteText"/>
      </w:pPr>
      <w:r>
        <w:rPr>
          <w:rStyle w:val="FootnoteReference"/>
        </w:rPr>
        <w:footnoteRef/>
      </w:r>
      <w:r>
        <w:t xml:space="preserve"> </w:t>
      </w:r>
      <w:r>
        <w:t xml:space="preserve">This section is based on my</w:t>
      </w:r>
      <w:r>
        <w:t xml:space="preserve"> </w:t>
      </w:r>
      <w:r>
        <w:t xml:space="preserve">(2016a: 3)</w:t>
      </w:r>
      <w:r>
        <w:t xml:space="preserve">.</w:t>
      </w:r>
    </w:p>
  </w:footnote>
  <w:footnote w:id="84">
    <w:p>
      <w:pPr>
        <w:pStyle w:val="FootnoteText"/>
      </w:pPr>
      <w:r>
        <w:rPr>
          <w:rStyle w:val="FootnoteReference"/>
        </w:rPr>
        <w:footnoteRef/>
      </w:r>
      <w:r>
        <w:t xml:space="preserve"> </w:t>
      </w:r>
      <w:r>
        <w:t xml:space="preserve">This section and the next are loosely based on my</w:t>
      </w:r>
      <w:r>
        <w:t xml:space="preserve"> </w:t>
      </w:r>
      <w:r>
        <w:t xml:space="preserve">(2012: 1.1)</w:t>
      </w:r>
      <w:r>
        <w:t xml:space="preserve">.</w:t>
      </w:r>
    </w:p>
  </w:footnote>
  <w:footnote w:id="86">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7">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88">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I. L. Humberstone (1981)</w:t>
      </w:r>
      <w:r>
        <w:t xml:space="preserve">.</w:t>
      </w:r>
    </w:p>
  </w:footnote>
  <w:footnote w:id="89">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1">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4">
    <w:p>
      <w:pPr>
        <w:pStyle w:val="FootnoteText"/>
      </w:pPr>
      <w:r>
        <w:rPr>
          <w:rStyle w:val="FootnoteReference"/>
        </w:rPr>
        <w:footnoteRef/>
      </w:r>
      <w:r>
        <w:t xml:space="preserve"> </w:t>
      </w:r>
      <w:r>
        <w:t xml:space="preserve">I’m indebted here to conversations with Eric Swanson.</w:t>
      </w:r>
    </w:p>
  </w:footnote>
  <w:footnote w:id="103">
    <w:p>
      <w:pPr>
        <w:pStyle w:val="FootnoteText"/>
      </w:pPr>
      <w:r>
        <w:rPr>
          <w:rStyle w:val="FootnoteReference"/>
        </w:rPr>
        <w:footnoteRef/>
      </w:r>
      <w:r>
        <w:t xml:space="preserve"> </w:t>
      </w:r>
      <w:r>
        <w:t xml:space="preserve">When I was editing this book I realised I wasn’t sure when the moveable type printing press was invented, and had to double check it was after 1415.</w:t>
      </w:r>
    </w:p>
  </w:footnote>
  <w:footnote w:id="104">
    <w:p>
      <w:pPr>
        <w:pStyle w:val="FootnoteText"/>
      </w:pPr>
      <w:r>
        <w:rPr>
          <w:rStyle w:val="FootnoteReference"/>
        </w:rPr>
        <w:footnoteRef/>
      </w:r>
      <w:r>
        <w:t xml:space="preserve"> </w:t>
      </w:r>
      <w:r>
        <w:t xml:space="preserve">As it turns out, that’s 1,000,003.</w:t>
      </w:r>
    </w:p>
  </w:footnote>
  <w:footnote w:id="105">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6">
    <w:p>
      <w:pPr>
        <w:pStyle w:val="FootnoteText"/>
      </w:pPr>
      <w:r>
        <w:rPr>
          <w:rStyle w:val="FootnoteReference"/>
        </w:rPr>
        <w:footnoteRef/>
      </w:r>
      <w:r>
        <w:t xml:space="preserve"> </w:t>
      </w:r>
      <w:r>
        <w:t xml:space="preserve">See</w:t>
      </w:r>
      <w:r>
        <w:t xml:space="preserve"> </w:t>
      </w:r>
      <w:r>
        <w:t xml:space="preserve">Holliday &amp; Mandelkern (2024)</w:t>
      </w:r>
      <w:r>
        <w:t xml:space="preserve"> </w:t>
      </w:r>
      <w:r>
        <w:t xml:space="preserve">for a survey of how differently the two claims behave in embeddings and inferences, and a radical claim about how to best account for those differences.</w:t>
      </w:r>
    </w:p>
  </w:footnote>
  <w:footnote w:id="108">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0">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independently warranted.</w:t>
      </w:r>
    </w:p>
  </w:footnote>
  <w:footnote w:id="111">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6">
    <w:p>
      <w:pPr>
        <w:pStyle w:val="FootnoteText"/>
      </w:pPr>
      <w:r>
        <w:rPr>
          <w:rStyle w:val="FootnoteReference"/>
        </w:rPr>
        <w:footnoteRef/>
      </w:r>
      <w:r>
        <w:t xml:space="preserve"> </w:t>
      </w:r>
      <w:r>
        <w:t xml:space="preserve">These are contrasts, but they don’t exhaust the space. One might not have an attitude to a question. I’d also say that one might not treat a question as settled while not inquiring into it, because one treats the question as unworthy of effort, or impossible to make progress on. As</w:t>
      </w:r>
      <w:r>
        <w:t xml:space="preserve"> </w:t>
      </w:r>
      <w:r>
        <w:t xml:space="preserve">Friedman (2024a)</w:t>
      </w:r>
      <w:r>
        <w:t xml:space="preserve"> </w:t>
      </w:r>
      <w:r>
        <w:t xml:space="preserve">notes, it gets complicated to say something coherent about these cases while allowing for the possibility of inquiry to be reopened.</w:t>
      </w:r>
    </w:p>
  </w:footnote>
  <w:footnote w:id="117">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8">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2">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6">
    <w:p>
      <w:pPr>
        <w:pStyle w:val="FootnoteText"/>
      </w:pPr>
      <w:r>
        <w:rPr>
          <w:rStyle w:val="FootnoteReference"/>
        </w:rPr>
        <w:footnoteRef/>
      </w:r>
      <w:r>
        <w:t xml:space="preserve"> </w:t>
      </w:r>
      <w:r>
        <w:t xml:space="preserve">When I say inquiry is about improving one’s epistemic position, I don’t mean that that’s how inquirers represent what they are doing to themselves. That would be to over-intellectualise things. Rather, inquiry is about doing things that are, as a matter of fact, things that improve one’s epistemic position. One can be improving one’s epistemic position even if one self-represents one’s actions in a more mundane way, e.g., as looking up when the coffee shop opens.</w:t>
      </w:r>
    </w:p>
  </w:footnote>
  <w:footnote w:id="130">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2">
    <w:p>
      <w:pPr>
        <w:pStyle w:val="FootnoteText"/>
      </w:pPr>
      <w:r>
        <w:rPr>
          <w:rStyle w:val="FootnoteReference"/>
        </w:rPr>
        <w:footnoteRef/>
      </w:r>
      <w:r>
        <w:t xml:space="preserve"> </w:t>
      </w:r>
      <w:r>
        <w:t xml:space="preserve">Jonathan Ichikawa</w:t>
      </w:r>
      <w:r>
        <w:t xml:space="preserve"> </w:t>
      </w:r>
      <w:r>
        <w:t xml:space="preserve">(2017: 152ff)</w:t>
      </w:r>
      <w:r>
        <w:t xml:space="preserve"> </w:t>
      </w:r>
      <w:r>
        <w:t xml:space="preserve">makes this point well in responding to Brown.</w:t>
      </w:r>
    </w:p>
  </w:footnote>
  <w:footnote w:id="133">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subject to criticism on the grounds that</w:t>
      </w:r>
      <w:r>
        <w:t xml:space="preserve"> </w:t>
      </w:r>
      <w:r>
        <w:rPr>
          <w:iCs/>
          <w:i/>
        </w:rPr>
        <w:t xml:space="preserve">p</w:t>
      </w:r>
      <w:r>
        <w:t xml:space="preserve"> </w:t>
      </w:r>
      <w:r>
        <w:t xml:space="preserve">might be false. I’ll use the more informal version in the text in what follows to increase readability.</w:t>
      </w:r>
    </w:p>
  </w:footnote>
  <w:footnote w:id="141">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I think this example works tolerably well when understand as involving, for example, East Caribbean dollars.</w:t>
      </w:r>
    </w:p>
  </w:footnote>
  <w:footnote w:id="142">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4">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7">
    <w:p>
      <w:pPr>
        <w:pStyle w:val="FootnoteText"/>
      </w:pPr>
      <w:r>
        <w:rPr>
          <w:rStyle w:val="FootnoteReference"/>
        </w:rPr>
        <w:footnoteRef/>
      </w:r>
      <w:r>
        <w:t xml:space="preserve"> </w:t>
      </w:r>
      <w:r>
        <w:t xml:space="preserve">At this point the Martians might note that all they are relying on here is that agents in their model violate negative introspection: sometimes they don’t know something without knowing that they don’t know it. They could cite</w:t>
      </w:r>
      <w:r>
        <w:t xml:space="preserve"> </w:t>
      </w:r>
      <w:r>
        <w:t xml:space="preserve">L. Humberstone (2016: 380–402)</w:t>
      </w:r>
      <w:r>
        <w:t xml:space="preserve"> </w:t>
      </w:r>
      <w:r>
        <w:t xml:space="preserve">for why this is a sensible modeling assumption.</w:t>
      </w:r>
    </w:p>
  </w:footnote>
  <w:footnote w:id="148">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0">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3">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6">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7">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59">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2">
    <w:p>
      <w:pPr>
        <w:pStyle w:val="FootnoteText"/>
      </w:pPr>
      <w:r>
        <w:rPr>
          <w:rStyle w:val="FootnoteReference"/>
        </w:rPr>
        <w:footnoteRef/>
      </w:r>
      <w:r>
        <w:t xml:space="preserve"> </w:t>
      </w:r>
      <w:r>
        <w:t xml:space="preserve">This section is based on my</w:t>
      </w:r>
      <w:r>
        <w:t xml:space="preserve"> </w:t>
      </w:r>
      <w:r>
        <w:t xml:space="preserve">(2012 )</w:t>
      </w:r>
      <w:r>
        <w:t xml:space="preserve">.</w:t>
      </w:r>
    </w:p>
  </w:footnote>
  <w:footnote w:id="163">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6">
    <w:p>
      <w:pPr>
        <w:pStyle w:val="FootnoteText"/>
      </w:pPr>
      <w:r>
        <w:rPr>
          <w:rStyle w:val="FootnoteReference"/>
        </w:rPr>
        <w:footnoteRef/>
      </w:r>
      <w:r>
        <w:t xml:space="preserve"> </w:t>
      </w:r>
      <w:r>
        <w:t xml:space="preserve">This section is based on material from my</w:t>
      </w:r>
      <w:r>
        <w:t xml:space="preserve"> </w:t>
      </w:r>
      <w:r>
        <w:t xml:space="preserve">(2016a: 1)</w:t>
      </w:r>
      <w:r>
        <w:t xml:space="preserve">.</w:t>
      </w:r>
    </w:p>
  </w:footnote>
  <w:footnote w:id="167">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68">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1">
    <w:p>
      <w:pPr>
        <w:pStyle w:val="FootnoteText"/>
      </w:pPr>
      <w:r>
        <w:rPr>
          <w:rStyle w:val="FootnoteReference"/>
        </w:rPr>
        <w:footnoteRef/>
      </w:r>
      <w:r>
        <w:t xml:space="preserve"> </w:t>
      </w:r>
      <w:r>
        <w:t xml:space="preserve">If we’re solving for a variable, what are the equations we’re using as input. The standard methodology is to say they are intuitions. Game theorists make as much use of intuitions analytic philosophers. See, for example,</w:t>
      </w:r>
      <w:r>
        <w:t xml:space="preserve"> </w:t>
      </w:r>
      <w:r>
        <w:t xml:space="preserve">Cho &amp; Kreps (1987)</w:t>
      </w:r>
      <w:r>
        <w:t xml:space="preserve">.</w:t>
      </w:r>
    </w:p>
  </w:footnote>
  <w:footnote w:id="173">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6">
    <w:p>
      <w:pPr>
        <w:pStyle w:val="FootnoteText"/>
      </w:pPr>
      <w:r>
        <w:rPr>
          <w:rStyle w:val="FootnoteReference"/>
        </w:rPr>
        <w:footnoteRef/>
      </w:r>
      <w:r>
        <w:t xml:space="preserve"> </w:t>
      </w:r>
      <w:r>
        <w:t xml:space="preserve">Versions of this response are made by Richard Foley</w:t>
      </w:r>
      <w:r>
        <w:t xml:space="preserve"> </w:t>
      </w:r>
      <w:r>
        <w:t xml:space="preserve">(1993 Ch. 4)</w:t>
      </w:r>
      <w:r>
        <w:t xml:space="preserve">, David</w:t>
      </w:r>
      <w:r>
        <w:t xml:space="preserve"> </w:t>
      </w:r>
      <w:r>
        <w:t xml:space="preserve">Hunter (1996)</w:t>
      </w:r>
      <w:r>
        <w:t xml:space="preserve"> </w:t>
      </w:r>
      <w:r>
        <w:t xml:space="preserve">and Matthew</w:t>
      </w:r>
      <w:r>
        <w:t xml:space="preserve"> </w:t>
      </w:r>
      <w:r>
        <w:t xml:space="preserve">Lee (2017b)</w:t>
      </w:r>
      <w:r>
        <w:t xml:space="preserve">.</w:t>
      </w:r>
    </w:p>
  </w:footnote>
  <w:footnote w:id="180">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7">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98">
    <w:p>
      <w:pPr>
        <w:pStyle w:val="FootnoteText"/>
      </w:pPr>
      <w:r>
        <w:rPr>
          <w:rStyle w:val="FootnoteReference"/>
        </w:rPr>
        <w:footnoteRef/>
      </w:r>
      <w:r>
        <w:t xml:space="preserve"> </w:t>
      </w:r>
      <w:r>
        <w:t xml:space="preserve">I’m ignoring mixed strategies here, and strategies that differ in cases where the signal is right at the tipping point. It’s trivial but tedious to extend the proof to cover these cases.</w:t>
      </w:r>
    </w:p>
  </w:footnote>
  <w:footnote w:id="200">
    <w:p>
      <w:pPr>
        <w:pStyle w:val="FootnoteText"/>
      </w:pPr>
      <w:r>
        <w:rPr>
          <w:rStyle w:val="FootnoteReference"/>
        </w:rPr>
        <w:footnoteRef/>
      </w:r>
      <w:r>
        <w:t xml:space="preserve"> </w:t>
      </w:r>
      <w:r>
        <w:t xml:space="preserve">If we’re careful about how we state this, we can use this to rule out all mixed strategies except those that respond probabilistically to</w:t>
      </w:r>
      <w:r>
        <w:t xml:space="preserve"> </w:t>
      </w:r>
      <w:r>
        <w:rPr>
          <w:iCs/>
          <w:i/>
        </w:rPr>
        <w:t xml:space="preserve">s</w:t>
      </w:r>
      <w:r>
        <w:rPr>
          <w:vertAlign w:val="subscript"/>
          <w:iCs/>
          <w:i/>
        </w:rPr>
        <w:t xml:space="preserve">R</w:t>
      </w:r>
      <w:r>
        <w:t xml:space="preserve"> = 2</w:t>
      </w:r>
    </w:p>
  </w:footnote>
  <w:footnote w:id="202">
    <w:p>
      <w:pPr>
        <w:pStyle w:val="FootnoteText"/>
      </w:pPr>
      <w:r>
        <w:rPr>
          <w:rStyle w:val="FootnoteReference"/>
        </w:rPr>
        <w:footnoteRef/>
      </w:r>
      <w:r>
        <w:t xml:space="preserve"> </w:t>
      </w:r>
      <w:r>
        <w:t xml:space="preserve">This isn’t strictly true if the signal is close enough to 5, but in that case we have an independent reason to think Column will play</w:t>
      </w:r>
      <w:r>
        <w:t xml:space="preserve"> </w:t>
      </w:r>
      <w:r>
        <w:rPr>
          <w:iCs/>
          <w:i/>
        </w:rPr>
        <w:t xml:space="preserve">a</w:t>
      </w:r>
      <w:r>
        <w:t xml:space="preserve">.</w:t>
      </w:r>
    </w:p>
  </w:footnote>
  <w:footnote w:id="203">
    <w:p>
      <w:pPr>
        <w:pStyle w:val="FootnoteText"/>
      </w:pPr>
      <w:r>
        <w:rPr>
          <w:rStyle w:val="FootnoteReference"/>
        </w:rPr>
        <w:footnoteRef/>
      </w:r>
      <w:r>
        <w:t xml:space="preserve"> </w:t>
      </w:r>
      <w:r>
        <w:t xml:space="preserve">Unless the signal is very close to 5, in which case they should play</w:t>
      </w:r>
      <w:r>
        <w:t xml:space="preserve"> </w:t>
      </w:r>
      <w:r>
        <w:rPr>
          <w:iCs/>
          <w:i/>
        </w:rPr>
        <w:t xml:space="preserve">B</w:t>
      </w:r>
      <w:r>
        <w:t xml:space="preserve"> </w:t>
      </w:r>
      <w:r>
        <w:t xml:space="preserve">anyway.</w:t>
      </w:r>
    </w:p>
  </w:footnote>
  <w:footnote w:id="207">
    <w:p>
      <w:pPr>
        <w:pStyle w:val="FootnoteText"/>
      </w:pPr>
      <w:r>
        <w:rPr>
          <w:rStyle w:val="FootnoteReference"/>
        </w:rPr>
        <w:footnoteRef/>
      </w:r>
      <w:r>
        <w:t xml:space="preserve"> </w:t>
      </w:r>
      <w:r>
        <w:t xml:space="preserve">In any remotely realistic case, it would make more sense to say we can infer it holds in some multiple of</w:t>
      </w:r>
      <w:r>
        <w:t xml:space="preserve"> </w:t>
      </w:r>
      <w:r>
        <w:rPr>
          <w:iCs/>
          <w:i/>
        </w:rPr>
        <w:t xml:space="preserve">d</w:t>
      </w:r>
      <w:r>
        <w:t xml:space="preserve"> </w:t>
      </w:r>
      <w:r>
        <w:t xml:space="preserve">rather than adding some value to</w:t>
      </w:r>
      <w:r>
        <w:t xml:space="preserve"> </w:t>
      </w:r>
      <w:r>
        <w:rPr>
          <w:iCs/>
          <w:i/>
        </w:rPr>
        <w:t xml:space="preserve">d</w:t>
      </w:r>
      <w:r>
        <w:t xml:space="preserve">. But I’m simplifying a lot to make a point, and this is just one more simplification.</w:t>
      </w:r>
    </w:p>
  </w:footnote>
  <w:footnote w:id="210">
    <w:p>
      <w:pPr>
        <w:pStyle w:val="FootnoteText"/>
      </w:pPr>
      <w:r>
        <w:rPr>
          <w:rStyle w:val="FootnoteReference"/>
        </w:rPr>
        <w:footnoteRef/>
      </w:r>
      <w:r>
        <w:t xml:space="preserve"> </w:t>
      </w:r>
      <w:r>
        <w:t xml:space="preserve">This section draws my</w:t>
      </w:r>
      <w:r>
        <w:t xml:space="preserve"> </w:t>
      </w:r>
      <w:r>
        <w:t xml:space="preserve">(2011: 5)</w:t>
      </w:r>
      <w:r>
        <w:t xml:space="preserve">.</w:t>
      </w:r>
    </w:p>
  </w:footnote>
  <w:footnote w:id="214">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5">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6">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4" Target="http://hdl.handle.net/2027/spo.3521354.0011.006" TargetMode="External" /><Relationship Type="http://schemas.openxmlformats.org/officeDocument/2006/relationships/hyperlink" Id="rId269" Target="http://journal.sjdm.org/8320/jdm8320.pdf" TargetMode="External" /><Relationship Type="http://schemas.openxmlformats.org/officeDocument/2006/relationships/hyperlink" Id="rId473"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31" Target="https://doi.org/10.1007/BF00293423" TargetMode="External" /><Relationship Type="http://schemas.openxmlformats.org/officeDocument/2006/relationships/hyperlink" Id="rId467" Target="https://doi.org/10.1007/BF01079205" TargetMode="External" /><Relationship Type="http://schemas.openxmlformats.org/officeDocument/2006/relationships/hyperlink" Id="rId464" Target="https://doi.org/10.1007/bf02379021" TargetMode="External" /><Relationship Type="http://schemas.openxmlformats.org/officeDocument/2006/relationships/hyperlink" Id="rId225" Target="https://doi.org/10.1007/s001820050111" TargetMode="External" /><Relationship Type="http://schemas.openxmlformats.org/officeDocument/2006/relationships/hyperlink" Id="rId523" Target="https://doi.org/10.1007/s10670-022-00626-7" TargetMode="External" /><Relationship Type="http://schemas.openxmlformats.org/officeDocument/2006/relationships/hyperlink" Id="rId393" Target="https://doi.org/10.1007/s10734-010-9309-7" TargetMode="External" /><Relationship Type="http://schemas.openxmlformats.org/officeDocument/2006/relationships/hyperlink" Id="rId485"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49" Target="https://doi.org/10.1007/s11098-008-9200-x" TargetMode="External" /><Relationship Type="http://schemas.openxmlformats.org/officeDocument/2006/relationships/hyperlink" Id="rId276" Target="https://doi.org/10.1007/s11098-008-9225-1" TargetMode="External" /><Relationship Type="http://schemas.openxmlformats.org/officeDocument/2006/relationships/hyperlink" Id="rId389" Target="https://doi.org/10.1007/s11098-010-9542-z" TargetMode="External" /><Relationship Type="http://schemas.openxmlformats.org/officeDocument/2006/relationships/hyperlink" Id="rId451" Target="https://doi.org/10.1007/s11098-011-9718-1" TargetMode="External" /><Relationship Type="http://schemas.openxmlformats.org/officeDocument/2006/relationships/hyperlink" Id="rId321" Target="https://doi.org/10.1007/s11098-012-9880-0" TargetMode="External" /><Relationship Type="http://schemas.openxmlformats.org/officeDocument/2006/relationships/hyperlink" Id="rId274"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5" Target="https://doi.org/10.1007/s11098-016-0631-5" TargetMode="External" /><Relationship Type="http://schemas.openxmlformats.org/officeDocument/2006/relationships/hyperlink" Id="rId234" Target="https://doi.org/10.1007/s11229-015-0878-y" TargetMode="External" /><Relationship Type="http://schemas.openxmlformats.org/officeDocument/2006/relationships/hyperlink" Id="rId395" Target="https://doi.org/10.1007/s11238-017-9592-1" TargetMode="External" /><Relationship Type="http://schemas.openxmlformats.org/officeDocument/2006/relationships/hyperlink" Id="rId346" Target="https://doi.org/10.1007/s44204-023-00097-9" TargetMode="External" /><Relationship Type="http://schemas.openxmlformats.org/officeDocument/2006/relationships/hyperlink" Id="rId424" Target="https://doi.org/10.1016/0167-2681(82)90008-7" TargetMode="External" /><Relationship Type="http://schemas.openxmlformats.org/officeDocument/2006/relationships/hyperlink" Id="rId439" Target="https://doi.org/10.1016/S0004-3702(97)00026-X" TargetMode="External" /><Relationship Type="http://schemas.openxmlformats.org/officeDocument/2006/relationships/hyperlink" Id="rId471" Target="https://doi.org/10.1016/S0165-4896(98)00007-9" TargetMode="External" /><Relationship Type="http://schemas.openxmlformats.org/officeDocument/2006/relationships/hyperlink" Id="rId247" Target="https://doi.org/10.1016/j.jcps.2014.08.002" TargetMode="External" /><Relationship Type="http://schemas.openxmlformats.org/officeDocument/2006/relationships/hyperlink" Id="rId418" Target="https://doi.org/10.1016/j.mathsocsci.2013.08.005" TargetMode="External" /><Relationship Type="http://schemas.openxmlformats.org/officeDocument/2006/relationships/hyperlink" Id="rId413" Target="https://doi.org/10.1016/j.shpsb.2009.08.008" TargetMode="External" /><Relationship Type="http://schemas.openxmlformats.org/officeDocument/2006/relationships/hyperlink" Id="rId365" Target="https://doi.org/10.1017/S0012217317000154" TargetMode="External" /><Relationship Type="http://schemas.openxmlformats.org/officeDocument/2006/relationships/hyperlink" Id="rId469" Target="https://doi.org/10.1017/S0266267100004132" TargetMode="External" /><Relationship Type="http://schemas.openxmlformats.org/officeDocument/2006/relationships/hyperlink" Id="rId370" Target="https://doi.org/10.1017/cbo9780511625237.009" TargetMode="External" /><Relationship Type="http://schemas.openxmlformats.org/officeDocument/2006/relationships/hyperlink" Id="rId518" Target="https://doi.org/10.1017/epi.2023.22" TargetMode="External" /><Relationship Type="http://schemas.openxmlformats.org/officeDocument/2006/relationships/hyperlink" Id="rId454" Target="https://doi.org/10.1037/0022-3514.83.5.1178" TargetMode="External" /><Relationship Type="http://schemas.openxmlformats.org/officeDocument/2006/relationships/hyperlink" Id="rId411" Target="https://doi.org/10.1037/pspp0000141" TargetMode="External" /><Relationship Type="http://schemas.openxmlformats.org/officeDocument/2006/relationships/hyperlink" Id="rId437" Target="https://doi.org/10.1080/00048400802001996" TargetMode="External" /><Relationship Type="http://schemas.openxmlformats.org/officeDocument/2006/relationships/hyperlink" Id="rId510" Target="https://doi.org/10.1080/0020174X.2013.775010" TargetMode="External" /><Relationship Type="http://schemas.openxmlformats.org/officeDocument/2006/relationships/hyperlink" Id="rId404" Target="https://doi.org/10.1080/0020174X.2013.775014" TargetMode="External" /><Relationship Type="http://schemas.openxmlformats.org/officeDocument/2006/relationships/hyperlink" Id="rId245" Target="https://doi.org/10.1080/00213624.2017.1391594" TargetMode="External" /><Relationship Type="http://schemas.openxmlformats.org/officeDocument/2006/relationships/hyperlink" Id="rId363" Target="https://doi.org/10.1080/05568641.2017.1364142" TargetMode="External" /><Relationship Type="http://schemas.openxmlformats.org/officeDocument/2006/relationships/hyperlink" Id="rId441" Target="https://doi.org/10.1086/288168" TargetMode="External" /><Relationship Type="http://schemas.openxmlformats.org/officeDocument/2006/relationships/hyperlink" Id="rId386" Target="https://doi.org/10.1086/289906" TargetMode="External" /><Relationship Type="http://schemas.openxmlformats.org/officeDocument/2006/relationships/hyperlink" Id="rId384"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3"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79" Target="https://doi.org/10.1093/analys/anab037" TargetMode="External" /><Relationship Type="http://schemas.openxmlformats.org/officeDocument/2006/relationships/hyperlink" Id="rId223" Target="https://doi.org/10.1093/analys/anr083" TargetMode="External" /><Relationship Type="http://schemas.openxmlformats.org/officeDocument/2006/relationships/hyperlink" Id="rId355" Target="https://doi.org/10.1093/analys/anr129" TargetMode="External" /><Relationship Type="http://schemas.openxmlformats.org/officeDocument/2006/relationships/hyperlink" Id="rId376" Target="https://doi.org/10.1093/mind/105.418.303" TargetMode="External" /><Relationship Type="http://schemas.openxmlformats.org/officeDocument/2006/relationships/hyperlink" Id="rId374" Target="https://doi.org/10.1093/mind/xcvii.387.323" TargetMode="External" /><Relationship Type="http://schemas.openxmlformats.org/officeDocument/2006/relationships/hyperlink" Id="rId458" Target="https://doi.org/10.1111/0029-4624.33.s13.7" TargetMode="External" /><Relationship Type="http://schemas.openxmlformats.org/officeDocument/2006/relationships/hyperlink" Id="rId230" Target="https://doi.org/10.1111/j.0031-8094.2004.00350.x" TargetMode="External" /><Relationship Type="http://schemas.openxmlformats.org/officeDocument/2006/relationships/hyperlink" Id="rId506" Target="https://doi.org/10.1111/j.0031-8094.2005.00396.x" TargetMode="External" /><Relationship Type="http://schemas.openxmlformats.org/officeDocument/2006/relationships/hyperlink" Id="rId508" Target="https://doi.org/10.1111/j.1467-8284.2007.00671.x" TargetMode="External" /><Relationship Type="http://schemas.openxmlformats.org/officeDocument/2006/relationships/hyperlink" Id="rId337" Target="https://doi.org/10.1111/j.1467-9280.2006.01677.x" TargetMode="External" /><Relationship Type="http://schemas.openxmlformats.org/officeDocument/2006/relationships/hyperlink" Id="rId460" Target="https://doi.org/10.1111/j.1468-0017.2010.01394.x" TargetMode="External" /><Relationship Type="http://schemas.openxmlformats.org/officeDocument/2006/relationships/hyperlink" Id="rId238" Target="https://doi.org/10.1111/j.1468-0068.2008.00677.x" TargetMode="External" /><Relationship Type="http://schemas.openxmlformats.org/officeDocument/2006/relationships/hyperlink" Id="rId483" Target="https://doi.org/10.1111/j.1520-8583.2005.00068.x" TargetMode="External" /><Relationship Type="http://schemas.openxmlformats.org/officeDocument/2006/relationships/hyperlink" Id="rId501" Target="https://doi.org/10.1111/j.1520-8583.2005.00069.x" TargetMode="External" /><Relationship Type="http://schemas.openxmlformats.org/officeDocument/2006/relationships/hyperlink" Id="rId357" Target="https://doi.org/10.1111/j.1520-8583.2010.00183.x" TargetMode="External" /><Relationship Type="http://schemas.openxmlformats.org/officeDocument/2006/relationships/hyperlink" Id="rId402" Target="https://doi.org/10.1111/j.1520-8583.2010.00198.x" TargetMode="External" /><Relationship Type="http://schemas.openxmlformats.org/officeDocument/2006/relationships/hyperlink" Id="rId422" Target="https://doi.org/10.1111/j.1533-6077.2004.00034.x" TargetMode="External" /><Relationship Type="http://schemas.openxmlformats.org/officeDocument/2006/relationships/hyperlink" Id="rId260" Target="https://doi.org/10.1111/j.1533-6077.2004.00040.x" TargetMode="External" /><Relationship Type="http://schemas.openxmlformats.org/officeDocument/2006/relationships/hyperlink" Id="rId258" Target="https://doi.org/10.1111/j.1933-1592.2002.tb00204.x" TargetMode="External" /><Relationship Type="http://schemas.openxmlformats.org/officeDocument/2006/relationships/hyperlink" Id="rId515"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9" Target="https://doi.org/10.1111/j.1933-1592.2007.00069.x" TargetMode="External" /><Relationship Type="http://schemas.openxmlformats.org/officeDocument/2006/relationships/hyperlink" Id="rId232" Target="https://doi.org/10.1111/j.1933-1592.2009.00280.x" TargetMode="External" /><Relationship Type="http://schemas.openxmlformats.org/officeDocument/2006/relationships/hyperlink" Id="rId496" Target="https://doi.org/10.1111/j.1933-1592.2010.00448.x" TargetMode="External" /><Relationship Type="http://schemas.openxmlformats.org/officeDocument/2006/relationships/hyperlink" Id="rId434" Target="https://doi.org/10.1111/j.1933-1592.2011.00552.x" TargetMode="External" /><Relationship Type="http://schemas.openxmlformats.org/officeDocument/2006/relationships/hyperlink" Id="rId348"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7" Target="https://doi.org/10.1111/nous.12006" TargetMode="External" /><Relationship Type="http://schemas.openxmlformats.org/officeDocument/2006/relationships/hyperlink" Id="rId285" Target="https://doi.org/10.1111/nous.12137" TargetMode="External" /><Relationship Type="http://schemas.openxmlformats.org/officeDocument/2006/relationships/hyperlink" Id="rId361" Target="https://doi.org/10.1111/nous.12186" TargetMode="External" /><Relationship Type="http://schemas.openxmlformats.org/officeDocument/2006/relationships/hyperlink" Id="rId289" Target="https://doi.org/10.1111/nous.12222" TargetMode="External" /><Relationship Type="http://schemas.openxmlformats.org/officeDocument/2006/relationships/hyperlink" Id="rId462" Target="https://doi.org/10.1111/nous.12254" TargetMode="External" /><Relationship Type="http://schemas.openxmlformats.org/officeDocument/2006/relationships/hyperlink" Id="rId397" Target="https://doi.org/10.1111/nous.12323" TargetMode="External" /><Relationship Type="http://schemas.openxmlformats.org/officeDocument/2006/relationships/hyperlink" Id="rId477" Target="https://doi.org/10.1111/phib.12283" TargetMode="External" /><Relationship Type="http://schemas.openxmlformats.org/officeDocument/2006/relationships/hyperlink" Id="rId445" Target="https://doi.org/10.1111/phib.12314" TargetMode="External" /><Relationship Type="http://schemas.openxmlformats.org/officeDocument/2006/relationships/hyperlink" Id="rId287" Target="https://doi.org/10.1111/phis.12141" TargetMode="External" /><Relationship Type="http://schemas.openxmlformats.org/officeDocument/2006/relationships/hyperlink" Id="rId490" Target="https://doi.org/10.1111/phpr.12088" TargetMode="External" /><Relationship Type="http://schemas.openxmlformats.org/officeDocument/2006/relationships/hyperlink" Id="rId359" Target="https://doi.org/10.1111/phpr.12090" TargetMode="External" /><Relationship Type="http://schemas.openxmlformats.org/officeDocument/2006/relationships/hyperlink" Id="rId480" Target="https://doi.org/10.1111/phpr.12191" TargetMode="External" /><Relationship Type="http://schemas.openxmlformats.org/officeDocument/2006/relationships/hyperlink" Id="rId381" Target="https://doi.org/10.1111/phpr.12271" TargetMode="External" /><Relationship Type="http://schemas.openxmlformats.org/officeDocument/2006/relationships/hyperlink" Id="rId520" Target="https://doi.org/10.1111/phpr.12330" TargetMode="External" /><Relationship Type="http://schemas.openxmlformats.org/officeDocument/2006/relationships/hyperlink" Id="rId407" Target="https://doi.org/10.1111/phpr.12431" TargetMode="External" /><Relationship Type="http://schemas.openxmlformats.org/officeDocument/2006/relationships/hyperlink" Id="rId294" Target="https://doi.org/10.1111/phpr.12982" TargetMode="External" /><Relationship Type="http://schemas.openxmlformats.org/officeDocument/2006/relationships/hyperlink" Id="rId391" Target="https://doi.org/10.1215/00318108-3878483" TargetMode="External" /><Relationship Type="http://schemas.openxmlformats.org/officeDocument/2006/relationships/hyperlink" Id="rId291" Target="https://doi.org/10.1215/00318108-8540918" TargetMode="External" /><Relationship Type="http://schemas.openxmlformats.org/officeDocument/2006/relationships/hyperlink" Id="rId430" Target="https://doi.org/10.1257/aer.101.2.900" TargetMode="External" /><Relationship Type="http://schemas.openxmlformats.org/officeDocument/2006/relationships/hyperlink" Id="rId241" Target="https://doi.org/10.1257/aer.101.7.2899" TargetMode="External" /><Relationship Type="http://schemas.openxmlformats.org/officeDocument/2006/relationships/hyperlink" Id="rId250" Target="https://doi.org/10.2307/1885060" TargetMode="External" /><Relationship Type="http://schemas.openxmlformats.org/officeDocument/2006/relationships/hyperlink" Id="rId351" Target="https://doi.org/10.2307/1912320" TargetMode="External" /><Relationship Type="http://schemas.openxmlformats.org/officeDocument/2006/relationships/hyperlink" Id="rId368" Target="https://doi.org/10.2307/2184045" TargetMode="External" /><Relationship Type="http://schemas.openxmlformats.org/officeDocument/2006/relationships/hyperlink" Id="rId372" Target="https://doi.org/10.2307/2185051" TargetMode="External" /><Relationship Type="http://schemas.openxmlformats.org/officeDocument/2006/relationships/hyperlink" Id="rId334" Target="https://doi.org/10.2307/2216304" TargetMode="External" /><Relationship Type="http://schemas.openxmlformats.org/officeDocument/2006/relationships/hyperlink" Id="rId329" Target="https://doi.org/10.2307/2224214" TargetMode="External" /><Relationship Type="http://schemas.openxmlformats.org/officeDocument/2006/relationships/hyperlink" Id="rId343" Target="https://doi.org/10.2307/2224674" TargetMode="External" /><Relationship Type="http://schemas.openxmlformats.org/officeDocument/2006/relationships/hyperlink" Id="rId379" Target="https://doi.org/10.2307/2296233" TargetMode="External" /><Relationship Type="http://schemas.openxmlformats.org/officeDocument/2006/relationships/hyperlink" Id="rId243" Target="https://doi.org/10.2307/2951491" TargetMode="External" /><Relationship Type="http://schemas.openxmlformats.org/officeDocument/2006/relationships/hyperlink" Id="rId281" Target="https://doi.org/10.2307/3182570" TargetMode="External" /><Relationship Type="http://schemas.openxmlformats.org/officeDocument/2006/relationships/hyperlink" Id="rId267" Target="https://doi.org/10.2307/3182618" TargetMode="External" /><Relationship Type="http://schemas.openxmlformats.org/officeDocument/2006/relationships/hyperlink" Id="rId456"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2" Target="https://doi.org/10.3765/sp.5.6" TargetMode="External" /><Relationship Type="http://schemas.openxmlformats.org/officeDocument/2006/relationships/hyperlink" Id="rId271"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7" Target="https://doi.org/10.5840/logos-episteme2011248" TargetMode="External" /><Relationship Type="http://schemas.openxmlformats.org/officeDocument/2006/relationships/hyperlink" Id="rId498" Target="https://doi.org/2027/spo.3521354.0013.022" TargetMode="External" /><Relationship Type="http://schemas.openxmlformats.org/officeDocument/2006/relationships/hyperlink" Id="rId327" Target="https://doi.org/s10992-024-09746-7" TargetMode="External" /><Relationship Type="http://schemas.openxmlformats.org/officeDocument/2006/relationships/hyperlink" Id="rId426" Target="https://plato.stanford.edu/archives/spr2018/entries/public-reason/" TargetMode="External" /><Relationship Type="http://schemas.openxmlformats.org/officeDocument/2006/relationships/hyperlink" Id="rId264" Target="https://plato.stanford.edu/archives/spr2018/entries/questions/" TargetMode="External" /><Relationship Type="http://schemas.openxmlformats.org/officeDocument/2006/relationships/hyperlink" Id="rId236" Target="https://plato.stanford.edu/archives/sum2021/entries/philo-larissa/" TargetMode="External" /></Relationships>
</file>

<file path=word/_rels/footnotes.xml.rels><?xml version="1.0" encoding="UTF-8"?><Relationships xmlns="http://schemas.openxmlformats.org/package/2006/relationships"><Relationship Type="http://schemas.openxmlformats.org/officeDocument/2006/relationships/hyperlink" Id="rId254" Target="http://hdl.handle.net/2027/spo.3521354.0011.006" TargetMode="External" /><Relationship Type="http://schemas.openxmlformats.org/officeDocument/2006/relationships/hyperlink" Id="rId269" Target="http://journal.sjdm.org/8320/jdm8320.pdf" TargetMode="External" /><Relationship Type="http://schemas.openxmlformats.org/officeDocument/2006/relationships/hyperlink" Id="rId473"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31" Target="https://doi.org/10.1007/BF00293423" TargetMode="External" /><Relationship Type="http://schemas.openxmlformats.org/officeDocument/2006/relationships/hyperlink" Id="rId467" Target="https://doi.org/10.1007/BF01079205" TargetMode="External" /><Relationship Type="http://schemas.openxmlformats.org/officeDocument/2006/relationships/hyperlink" Id="rId464" Target="https://doi.org/10.1007/bf02379021" TargetMode="External" /><Relationship Type="http://schemas.openxmlformats.org/officeDocument/2006/relationships/hyperlink" Id="rId225" Target="https://doi.org/10.1007/s001820050111" TargetMode="External" /><Relationship Type="http://schemas.openxmlformats.org/officeDocument/2006/relationships/hyperlink" Id="rId523" Target="https://doi.org/10.1007/s10670-022-00626-7" TargetMode="External" /><Relationship Type="http://schemas.openxmlformats.org/officeDocument/2006/relationships/hyperlink" Id="rId393" Target="https://doi.org/10.1007/s10734-010-9309-7" TargetMode="External" /><Relationship Type="http://schemas.openxmlformats.org/officeDocument/2006/relationships/hyperlink" Id="rId485"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49" Target="https://doi.org/10.1007/s11098-008-9200-x" TargetMode="External" /><Relationship Type="http://schemas.openxmlformats.org/officeDocument/2006/relationships/hyperlink" Id="rId276" Target="https://doi.org/10.1007/s11098-008-9225-1" TargetMode="External" /><Relationship Type="http://schemas.openxmlformats.org/officeDocument/2006/relationships/hyperlink" Id="rId389" Target="https://doi.org/10.1007/s11098-010-9542-z" TargetMode="External" /><Relationship Type="http://schemas.openxmlformats.org/officeDocument/2006/relationships/hyperlink" Id="rId451" Target="https://doi.org/10.1007/s11098-011-9718-1" TargetMode="External" /><Relationship Type="http://schemas.openxmlformats.org/officeDocument/2006/relationships/hyperlink" Id="rId321" Target="https://doi.org/10.1007/s11098-012-9880-0" TargetMode="External" /><Relationship Type="http://schemas.openxmlformats.org/officeDocument/2006/relationships/hyperlink" Id="rId274"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5" Target="https://doi.org/10.1007/s11098-016-0631-5" TargetMode="External" /><Relationship Type="http://schemas.openxmlformats.org/officeDocument/2006/relationships/hyperlink" Id="rId234" Target="https://doi.org/10.1007/s11229-015-0878-y" TargetMode="External" /><Relationship Type="http://schemas.openxmlformats.org/officeDocument/2006/relationships/hyperlink" Id="rId395" Target="https://doi.org/10.1007/s11238-017-9592-1" TargetMode="External" /><Relationship Type="http://schemas.openxmlformats.org/officeDocument/2006/relationships/hyperlink" Id="rId346" Target="https://doi.org/10.1007/s44204-023-00097-9" TargetMode="External" /><Relationship Type="http://schemas.openxmlformats.org/officeDocument/2006/relationships/hyperlink" Id="rId424" Target="https://doi.org/10.1016/0167-2681(82)90008-7" TargetMode="External" /><Relationship Type="http://schemas.openxmlformats.org/officeDocument/2006/relationships/hyperlink" Id="rId439" Target="https://doi.org/10.1016/S0004-3702(97)00026-X" TargetMode="External" /><Relationship Type="http://schemas.openxmlformats.org/officeDocument/2006/relationships/hyperlink" Id="rId471" Target="https://doi.org/10.1016/S0165-4896(98)00007-9" TargetMode="External" /><Relationship Type="http://schemas.openxmlformats.org/officeDocument/2006/relationships/hyperlink" Id="rId247" Target="https://doi.org/10.1016/j.jcps.2014.08.002" TargetMode="External" /><Relationship Type="http://schemas.openxmlformats.org/officeDocument/2006/relationships/hyperlink" Id="rId418" Target="https://doi.org/10.1016/j.mathsocsci.2013.08.005" TargetMode="External" /><Relationship Type="http://schemas.openxmlformats.org/officeDocument/2006/relationships/hyperlink" Id="rId413" Target="https://doi.org/10.1016/j.shpsb.2009.08.008" TargetMode="External" /><Relationship Type="http://schemas.openxmlformats.org/officeDocument/2006/relationships/hyperlink" Id="rId365" Target="https://doi.org/10.1017/S0012217317000154" TargetMode="External" /><Relationship Type="http://schemas.openxmlformats.org/officeDocument/2006/relationships/hyperlink" Id="rId469" Target="https://doi.org/10.1017/S0266267100004132" TargetMode="External" /><Relationship Type="http://schemas.openxmlformats.org/officeDocument/2006/relationships/hyperlink" Id="rId370" Target="https://doi.org/10.1017/cbo9780511625237.009" TargetMode="External" /><Relationship Type="http://schemas.openxmlformats.org/officeDocument/2006/relationships/hyperlink" Id="rId518" Target="https://doi.org/10.1017/epi.2023.22" TargetMode="External" /><Relationship Type="http://schemas.openxmlformats.org/officeDocument/2006/relationships/hyperlink" Id="rId454" Target="https://doi.org/10.1037/0022-3514.83.5.1178" TargetMode="External" /><Relationship Type="http://schemas.openxmlformats.org/officeDocument/2006/relationships/hyperlink" Id="rId411" Target="https://doi.org/10.1037/pspp0000141" TargetMode="External" /><Relationship Type="http://schemas.openxmlformats.org/officeDocument/2006/relationships/hyperlink" Id="rId437" Target="https://doi.org/10.1080/00048400802001996" TargetMode="External" /><Relationship Type="http://schemas.openxmlformats.org/officeDocument/2006/relationships/hyperlink" Id="rId510" Target="https://doi.org/10.1080/0020174X.2013.775010" TargetMode="External" /><Relationship Type="http://schemas.openxmlformats.org/officeDocument/2006/relationships/hyperlink" Id="rId404" Target="https://doi.org/10.1080/0020174X.2013.775014" TargetMode="External" /><Relationship Type="http://schemas.openxmlformats.org/officeDocument/2006/relationships/hyperlink" Id="rId245" Target="https://doi.org/10.1080/00213624.2017.1391594" TargetMode="External" /><Relationship Type="http://schemas.openxmlformats.org/officeDocument/2006/relationships/hyperlink" Id="rId363" Target="https://doi.org/10.1080/05568641.2017.1364142" TargetMode="External" /><Relationship Type="http://schemas.openxmlformats.org/officeDocument/2006/relationships/hyperlink" Id="rId441" Target="https://doi.org/10.1086/288168" TargetMode="External" /><Relationship Type="http://schemas.openxmlformats.org/officeDocument/2006/relationships/hyperlink" Id="rId386" Target="https://doi.org/10.1086/289906" TargetMode="External" /><Relationship Type="http://schemas.openxmlformats.org/officeDocument/2006/relationships/hyperlink" Id="rId384"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3"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79" Target="https://doi.org/10.1093/analys/anab037" TargetMode="External" /><Relationship Type="http://schemas.openxmlformats.org/officeDocument/2006/relationships/hyperlink" Id="rId223" Target="https://doi.org/10.1093/analys/anr083" TargetMode="External" /><Relationship Type="http://schemas.openxmlformats.org/officeDocument/2006/relationships/hyperlink" Id="rId355" Target="https://doi.org/10.1093/analys/anr129" TargetMode="External" /><Relationship Type="http://schemas.openxmlformats.org/officeDocument/2006/relationships/hyperlink" Id="rId376" Target="https://doi.org/10.1093/mind/105.418.303" TargetMode="External" /><Relationship Type="http://schemas.openxmlformats.org/officeDocument/2006/relationships/hyperlink" Id="rId374" Target="https://doi.org/10.1093/mind/xcvii.387.323" TargetMode="External" /><Relationship Type="http://schemas.openxmlformats.org/officeDocument/2006/relationships/hyperlink" Id="rId458" Target="https://doi.org/10.1111/0029-4624.33.s13.7" TargetMode="External" /><Relationship Type="http://schemas.openxmlformats.org/officeDocument/2006/relationships/hyperlink" Id="rId230" Target="https://doi.org/10.1111/j.0031-8094.2004.00350.x" TargetMode="External" /><Relationship Type="http://schemas.openxmlformats.org/officeDocument/2006/relationships/hyperlink" Id="rId506" Target="https://doi.org/10.1111/j.0031-8094.2005.00396.x" TargetMode="External" /><Relationship Type="http://schemas.openxmlformats.org/officeDocument/2006/relationships/hyperlink" Id="rId508" Target="https://doi.org/10.1111/j.1467-8284.2007.00671.x" TargetMode="External" /><Relationship Type="http://schemas.openxmlformats.org/officeDocument/2006/relationships/hyperlink" Id="rId337" Target="https://doi.org/10.1111/j.1467-9280.2006.01677.x" TargetMode="External" /><Relationship Type="http://schemas.openxmlformats.org/officeDocument/2006/relationships/hyperlink" Id="rId460" Target="https://doi.org/10.1111/j.1468-0017.2010.01394.x" TargetMode="External" /><Relationship Type="http://schemas.openxmlformats.org/officeDocument/2006/relationships/hyperlink" Id="rId238" Target="https://doi.org/10.1111/j.1468-0068.2008.00677.x" TargetMode="External" /><Relationship Type="http://schemas.openxmlformats.org/officeDocument/2006/relationships/hyperlink" Id="rId483" Target="https://doi.org/10.1111/j.1520-8583.2005.00068.x" TargetMode="External" /><Relationship Type="http://schemas.openxmlformats.org/officeDocument/2006/relationships/hyperlink" Id="rId501" Target="https://doi.org/10.1111/j.1520-8583.2005.00069.x" TargetMode="External" /><Relationship Type="http://schemas.openxmlformats.org/officeDocument/2006/relationships/hyperlink" Id="rId357" Target="https://doi.org/10.1111/j.1520-8583.2010.00183.x" TargetMode="External" /><Relationship Type="http://schemas.openxmlformats.org/officeDocument/2006/relationships/hyperlink" Id="rId402" Target="https://doi.org/10.1111/j.1520-8583.2010.00198.x" TargetMode="External" /><Relationship Type="http://schemas.openxmlformats.org/officeDocument/2006/relationships/hyperlink" Id="rId422" Target="https://doi.org/10.1111/j.1533-6077.2004.00034.x" TargetMode="External" /><Relationship Type="http://schemas.openxmlformats.org/officeDocument/2006/relationships/hyperlink" Id="rId260" Target="https://doi.org/10.1111/j.1533-6077.2004.00040.x" TargetMode="External" /><Relationship Type="http://schemas.openxmlformats.org/officeDocument/2006/relationships/hyperlink" Id="rId258" Target="https://doi.org/10.1111/j.1933-1592.2002.tb00204.x" TargetMode="External" /><Relationship Type="http://schemas.openxmlformats.org/officeDocument/2006/relationships/hyperlink" Id="rId515"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9" Target="https://doi.org/10.1111/j.1933-1592.2007.00069.x" TargetMode="External" /><Relationship Type="http://schemas.openxmlformats.org/officeDocument/2006/relationships/hyperlink" Id="rId232" Target="https://doi.org/10.1111/j.1933-1592.2009.00280.x" TargetMode="External" /><Relationship Type="http://schemas.openxmlformats.org/officeDocument/2006/relationships/hyperlink" Id="rId496" Target="https://doi.org/10.1111/j.1933-1592.2010.00448.x" TargetMode="External" /><Relationship Type="http://schemas.openxmlformats.org/officeDocument/2006/relationships/hyperlink" Id="rId434" Target="https://doi.org/10.1111/j.1933-1592.2011.00552.x" TargetMode="External" /><Relationship Type="http://schemas.openxmlformats.org/officeDocument/2006/relationships/hyperlink" Id="rId348"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7" Target="https://doi.org/10.1111/nous.12006" TargetMode="External" /><Relationship Type="http://schemas.openxmlformats.org/officeDocument/2006/relationships/hyperlink" Id="rId285" Target="https://doi.org/10.1111/nous.12137" TargetMode="External" /><Relationship Type="http://schemas.openxmlformats.org/officeDocument/2006/relationships/hyperlink" Id="rId361" Target="https://doi.org/10.1111/nous.12186" TargetMode="External" /><Relationship Type="http://schemas.openxmlformats.org/officeDocument/2006/relationships/hyperlink" Id="rId289" Target="https://doi.org/10.1111/nous.12222" TargetMode="External" /><Relationship Type="http://schemas.openxmlformats.org/officeDocument/2006/relationships/hyperlink" Id="rId462" Target="https://doi.org/10.1111/nous.12254" TargetMode="External" /><Relationship Type="http://schemas.openxmlformats.org/officeDocument/2006/relationships/hyperlink" Id="rId397" Target="https://doi.org/10.1111/nous.12323" TargetMode="External" /><Relationship Type="http://schemas.openxmlformats.org/officeDocument/2006/relationships/hyperlink" Id="rId477" Target="https://doi.org/10.1111/phib.12283" TargetMode="External" /><Relationship Type="http://schemas.openxmlformats.org/officeDocument/2006/relationships/hyperlink" Id="rId445" Target="https://doi.org/10.1111/phib.12314" TargetMode="External" /><Relationship Type="http://schemas.openxmlformats.org/officeDocument/2006/relationships/hyperlink" Id="rId287" Target="https://doi.org/10.1111/phis.12141" TargetMode="External" /><Relationship Type="http://schemas.openxmlformats.org/officeDocument/2006/relationships/hyperlink" Id="rId490" Target="https://doi.org/10.1111/phpr.12088" TargetMode="External" /><Relationship Type="http://schemas.openxmlformats.org/officeDocument/2006/relationships/hyperlink" Id="rId359" Target="https://doi.org/10.1111/phpr.12090" TargetMode="External" /><Relationship Type="http://schemas.openxmlformats.org/officeDocument/2006/relationships/hyperlink" Id="rId480" Target="https://doi.org/10.1111/phpr.12191" TargetMode="External" /><Relationship Type="http://schemas.openxmlformats.org/officeDocument/2006/relationships/hyperlink" Id="rId381" Target="https://doi.org/10.1111/phpr.12271" TargetMode="External" /><Relationship Type="http://schemas.openxmlformats.org/officeDocument/2006/relationships/hyperlink" Id="rId520" Target="https://doi.org/10.1111/phpr.12330" TargetMode="External" /><Relationship Type="http://schemas.openxmlformats.org/officeDocument/2006/relationships/hyperlink" Id="rId407" Target="https://doi.org/10.1111/phpr.12431" TargetMode="External" /><Relationship Type="http://schemas.openxmlformats.org/officeDocument/2006/relationships/hyperlink" Id="rId294" Target="https://doi.org/10.1111/phpr.12982" TargetMode="External" /><Relationship Type="http://schemas.openxmlformats.org/officeDocument/2006/relationships/hyperlink" Id="rId391" Target="https://doi.org/10.1215/00318108-3878483" TargetMode="External" /><Relationship Type="http://schemas.openxmlformats.org/officeDocument/2006/relationships/hyperlink" Id="rId291" Target="https://doi.org/10.1215/00318108-8540918" TargetMode="External" /><Relationship Type="http://schemas.openxmlformats.org/officeDocument/2006/relationships/hyperlink" Id="rId430" Target="https://doi.org/10.1257/aer.101.2.900" TargetMode="External" /><Relationship Type="http://schemas.openxmlformats.org/officeDocument/2006/relationships/hyperlink" Id="rId241" Target="https://doi.org/10.1257/aer.101.7.2899" TargetMode="External" /><Relationship Type="http://schemas.openxmlformats.org/officeDocument/2006/relationships/hyperlink" Id="rId250" Target="https://doi.org/10.2307/1885060" TargetMode="External" /><Relationship Type="http://schemas.openxmlformats.org/officeDocument/2006/relationships/hyperlink" Id="rId351" Target="https://doi.org/10.2307/1912320" TargetMode="External" /><Relationship Type="http://schemas.openxmlformats.org/officeDocument/2006/relationships/hyperlink" Id="rId368" Target="https://doi.org/10.2307/2184045" TargetMode="External" /><Relationship Type="http://schemas.openxmlformats.org/officeDocument/2006/relationships/hyperlink" Id="rId372" Target="https://doi.org/10.2307/2185051" TargetMode="External" /><Relationship Type="http://schemas.openxmlformats.org/officeDocument/2006/relationships/hyperlink" Id="rId334" Target="https://doi.org/10.2307/2216304" TargetMode="External" /><Relationship Type="http://schemas.openxmlformats.org/officeDocument/2006/relationships/hyperlink" Id="rId329" Target="https://doi.org/10.2307/2224214" TargetMode="External" /><Relationship Type="http://schemas.openxmlformats.org/officeDocument/2006/relationships/hyperlink" Id="rId343" Target="https://doi.org/10.2307/2224674" TargetMode="External" /><Relationship Type="http://schemas.openxmlformats.org/officeDocument/2006/relationships/hyperlink" Id="rId379" Target="https://doi.org/10.2307/2296233" TargetMode="External" /><Relationship Type="http://schemas.openxmlformats.org/officeDocument/2006/relationships/hyperlink" Id="rId243" Target="https://doi.org/10.2307/2951491" TargetMode="External" /><Relationship Type="http://schemas.openxmlformats.org/officeDocument/2006/relationships/hyperlink" Id="rId281" Target="https://doi.org/10.2307/3182570" TargetMode="External" /><Relationship Type="http://schemas.openxmlformats.org/officeDocument/2006/relationships/hyperlink" Id="rId267" Target="https://doi.org/10.2307/3182618" TargetMode="External" /><Relationship Type="http://schemas.openxmlformats.org/officeDocument/2006/relationships/hyperlink" Id="rId456"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2" Target="https://doi.org/10.3765/sp.5.6" TargetMode="External" /><Relationship Type="http://schemas.openxmlformats.org/officeDocument/2006/relationships/hyperlink" Id="rId271"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7" Target="https://doi.org/10.5840/logos-episteme2011248" TargetMode="External" /><Relationship Type="http://schemas.openxmlformats.org/officeDocument/2006/relationships/hyperlink" Id="rId498" Target="https://doi.org/2027/spo.3521354.0013.022" TargetMode="External" /><Relationship Type="http://schemas.openxmlformats.org/officeDocument/2006/relationships/hyperlink" Id="rId327" Target="https://doi.org/s10992-024-09746-7" TargetMode="External" /><Relationship Type="http://schemas.openxmlformats.org/officeDocument/2006/relationships/hyperlink" Id="rId426" Target="https://plato.stanford.edu/archives/spr2018/entries/public-reason/" TargetMode="External" /><Relationship Type="http://schemas.openxmlformats.org/officeDocument/2006/relationships/hyperlink" Id="rId264" Target="https://plato.stanford.edu/archives/spr2018/entries/questions/" TargetMode="External" /><Relationship Type="http://schemas.openxmlformats.org/officeDocument/2006/relationships/hyperlink" Id="rId236" Target="https://plato.stanford.edu/archives/sum2021/entries/philo-laris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2024-08-30T23:08:50Z</dcterms:created>
  <dcterms:modified xsi:type="dcterms:W3CDTF">2024-08-30T23:08:50Z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2024-08-30</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