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6/6/23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modeled as expected utility maximisation. Perhaps some kinds of equilibrium seeking are parts of practical inquiry, and can’t be modeled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sabattical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0" w:name="sec-background"/>
    <w:p>
      <w:pPr>
        <w:pStyle w:val="Heading1"/>
      </w:pPr>
      <w:r>
        <w:t xml:space="preserve">1. Background</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it’s a very curious literature in the following respect: interest-relative theories of knowledge are discussed everywhere and endorsed virtually nowhere. Not since David Lewis</w:t>
      </w:r>
      <w:r>
        <w:t xml:space="preserve"> </w:t>
      </w:r>
      <w:r>
        <w:t xml:space="preserve">(1986a)</w:t>
      </w:r>
      <w:r>
        <w:t xml:space="preserve"> </w:t>
      </w:r>
      <w:r>
        <w:t xml:space="preserve">put concrete modal realism onto the philosophical stage has the literature contained a view with so many opponents and so few proponents.</w:t>
      </w:r>
    </w:p>
    <w:p>
      <w:pPr>
        <w:pStyle w:val="BodyText"/>
      </w:pPr>
      <w:r>
        <w:t xml:space="preserve">And the terminology that is used to describe the debate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1"/>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2"/>
      </w:r>
    </w:p>
    <w:p>
      <w:pPr>
        <w:pStyle w:val="BodyText"/>
      </w:pPr>
      <w:r>
        <w:t xml:space="preserve">Philo of Larissa lived from around 159 BCE to around 83 BCE, and was the last sceptical head of Plato’s Academy.</w:t>
      </w:r>
      <w:r>
        <w:rPr>
          <w:rStyle w:val="FootnoteReference"/>
        </w:rPr>
        <w:footnoteReference w:id="23"/>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4"/>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and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5"/>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6"/>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and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(stylised)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subsection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7"/>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8"/>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29"/>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emphasises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0"/>
    <w:bookmarkStart w:id="54" w:name="sec-interests"/>
    <w:p>
      <w:pPr>
        <w:pStyle w:val="Heading1"/>
      </w:pPr>
      <w:r>
        <w:t xml:space="preserve">2. Interests</w:t>
      </w:r>
    </w:p>
    <w:bookmarkStart w:id="32"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1"/>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2"/>
    <w:bookmarkStart w:id="35"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3"/>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4"/>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5"/>
    <w:bookmarkStart w:id="42"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6"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and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(DeRose 2002; Cohen 2004)</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6"/>
    <w:bookmarkStart w:id="37"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7"/>
    <w:bookmarkStart w:id="39"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8"/>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subsection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9"/>
    <w:bookmarkStart w:id="41"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0"/>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1"/>
    <w:bookmarkEnd w:id="42"/>
    <w:bookmarkStart w:id="46"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3"/>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4"/>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bookmarkStart w:id="45" w:name="tbl-google"/>
    <w:p>
      <w:pPr>
        <w:pStyle w:val="TableCaption"/>
      </w:pPr>
      <w:r>
        <w:t xml:space="preserve">Table 2.1: Darja’s choice between answering the question, and checking Google.</w:t>
      </w:r>
    </w:p>
    <w:tbl>
      <w:tblPr>
        <w:tblStyle w:val="Table"/>
        <w:tblW w:type="auto" w:w="0"/>
        <w:tblLook w:firstRow="0" w:lastRow="0" w:firstColumn="0" w:lastColumn="0" w:noHBand="0" w:noVBand="0" w:val="0000"/>
        <w:tblCaption w:val="Table 2.1: Darja’s choice between answering the question, and checking Google."/>
      </w:tblPr>
      <w:tblGrid>
        <w:gridCol w:w="2640"/>
        <w:gridCol w:w="2640"/>
        <w:gridCol w:w="2640"/>
      </w:tblGrid>
      <w:tr>
        <w:tc>
          <w:tcPr/>
          <w:p>
            <w:pPr>
              <w:pStyle w:val="Compact"/>
              <w:jc w:val="right"/>
            </w:pPr>
            <w:r>
              <w:t xml:space="preserve"> </w:t>
            </w:r>
          </w:p>
        </w:tc>
        <w:tc>
          <w:tcPr/>
          <w:p>
            <w:pPr>
              <w:pStyle w:val="Compact"/>
              <w:jc w:val="center"/>
            </w:pPr>
            <w:r>
              <w:rPr>
                <w:iCs/>
                <w:i/>
              </w:rPr>
              <w:t xml:space="preserve">p</w:t>
            </w:r>
          </w:p>
        </w:tc>
        <w:tc>
          <w:tcPr/>
          <w:p>
            <w:pPr>
              <w:pStyle w:val="Compact"/>
              <w:jc w:val="center"/>
            </w:pPr>
            <w:r>
              <w:t xml:space="preserve">¬</w:t>
            </w:r>
            <w:r>
              <w:t xml:space="preserve"> </w:t>
            </w:r>
            <w:r>
              <w:rPr>
                <w:iCs/>
                <w:i/>
              </w:rPr>
              <w:t xml:space="preserve">p</w:t>
            </w:r>
          </w:p>
        </w:tc>
      </w:tr>
      <w:tr>
        <w:tc>
          <w:tcPr/>
          <w:p>
            <w:pPr>
              <w:pStyle w:val="Compact"/>
              <w:jc w:val="right"/>
            </w:pPr>
            <w:r>
              <w:t xml:space="preserve">Say</w:t>
            </w:r>
            <w:r>
              <w:t xml:space="preserve"> </w:t>
            </w:r>
            <w:r>
              <w:t xml:space="preserve">“</w:t>
            </w:r>
            <w:r>
              <w:t xml:space="preserve">June 28, 1914</w:t>
            </w:r>
            <w:r>
              <w:t xml:space="preserv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Google the answer</w:t>
            </w:r>
          </w:p>
        </w:tc>
        <w:tc>
          <w:tcPr/>
          <w:p>
            <w:pPr>
              <w:pStyle w:val="Compact"/>
              <w:jc w:val="center"/>
            </w:pPr>
            <w:r>
              <w:t xml:space="preserve">$50 ‑ ε</w:t>
            </w:r>
          </w:p>
        </w:tc>
        <w:tc>
          <w:tcPr/>
          <w:p>
            <w:pPr>
              <w:pStyle w:val="Compact"/>
              <w:jc w:val="center"/>
            </w:pPr>
            <w:r>
              <w:t xml:space="preserve">$50 ‑ ε</w:t>
            </w:r>
          </w:p>
        </w:tc>
      </w:tr>
    </w:tbl>
    <w:bookmarkEnd w:id="45"/>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6"/>
    <w:bookmarkStart w:id="48"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7"/>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and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8"/>
    <w:bookmarkStart w:id="50"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9"/>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0"/>
    <w:bookmarkStart w:id="53"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p>
      <w:pPr>
        <w:pStyle w:val="BodyText"/>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1"/>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2"/>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3"/>
    <w:bookmarkEnd w:id="54"/>
    <w:bookmarkStart w:id="84" w:name="sec-belief"/>
    <w:p>
      <w:pPr>
        <w:pStyle w:val="Heading1"/>
      </w:pPr>
      <w:r>
        <w:t xml:space="preserve">3. Belief</w:t>
      </w:r>
    </w:p>
    <w:bookmarkStart w:id="56"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5"/>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and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6"/>
    <w:bookmarkStart w:id="59"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7"/>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58"/>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9"/>
    <w:bookmarkStart w:id="61"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0"/>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1"/>
    <w:bookmarkStart w:id="64"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bookmarkStart w:id="62" w:name="tbl-redsox"/>
    <w:p>
      <w:pPr>
        <w:pStyle w:val="TableCaption"/>
      </w:pPr>
      <w:r>
        <w:t xml:space="preserve">Table 3.1: Betting on the Red Sox</w:t>
      </w:r>
    </w:p>
    <w:tbl>
      <w:tblPr>
        <w:tblStyle w:val="Table"/>
        <w:tblW w:type="auto" w:w="0"/>
        <w:tblLook w:firstRow="1" w:lastRow="0" w:firstColumn="0" w:lastColumn="0" w:noHBand="0" w:noVBand="0" w:val="0020"/>
        <w:tblCaption w:val="Table 3.1: Betting on the Red Sox"/>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Red Sox Win</w:t>
            </w:r>
          </w:p>
        </w:tc>
        <w:tc>
          <w:tcPr/>
          <w:p>
            <w:pPr>
              <w:pStyle w:val="Compact"/>
              <w:jc w:val="center"/>
            </w:pPr>
            <w:r>
              <w:t xml:space="preserve">Red Sox Don’t Win</w:t>
            </w:r>
          </w:p>
        </w:tc>
      </w:tr>
      <w:tr>
        <w:tc>
          <w:tcPr/>
          <w:p>
            <w:pPr>
              <w:pStyle w:val="Compact"/>
              <w:jc w:val="right"/>
            </w:pPr>
            <w:r>
              <w:t xml:space="preserve">Take Bet A</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Take Bet B</w:t>
            </w:r>
          </w:p>
        </w:tc>
        <w:tc>
          <w:tcPr/>
          <w:p>
            <w:pPr>
              <w:pStyle w:val="Compact"/>
              <w:jc w:val="center"/>
            </w:pPr>
            <w:r>
              <w:t xml:space="preserve">$60</w:t>
            </w:r>
          </w:p>
        </w:tc>
        <w:tc>
          <w:tcPr/>
          <w:p>
            <w:pPr>
              <w:pStyle w:val="Compact"/>
              <w:jc w:val="center"/>
            </w:pPr>
            <w:r>
              <w:t xml:space="preserve">$0</w:t>
            </w:r>
          </w:p>
        </w:tc>
      </w:tr>
    </w:tbl>
    <w:bookmarkEnd w:id="62"/>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3"/>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rPr>
          <w:bCs/>
          <w:b/>
        </w:rPr>
        <w:t xml:space="preserve">Given</w:t>
      </w:r>
      <w:r>
        <w:t xml:space="preserve"> </w:t>
      </w:r>
      <w:r>
        <w:t xml:space="preserve">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w:t>
      </w:r>
      <w:r>
        <w:t xml:space="preserve"> </w:t>
      </w:r>
      <w:r>
        <w:rPr>
          <w:bCs/>
          <w:b/>
        </w:rPr>
        <w:t xml:space="preserve">Given</w:t>
      </w:r>
      <w:r>
        <w:t xml:space="preserve">,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4"/>
    <w:bookmarkStart w:id="67"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w:t>
      </w:r>
      <w:r>
        <w:t xml:space="preserve"> </w:t>
      </w:r>
      <w:r>
        <w:rPr>
          <w:bCs/>
          <w:b/>
        </w:rPr>
        <w:t xml:space="preserve">Given</w:t>
      </w:r>
      <w:r>
        <w:t xml:space="preserve">,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w:t>
      </w:r>
      <w:r>
        <w:t xml:space="preserve"> </w:t>
      </w:r>
      <w:r>
        <w:rPr>
          <w:bCs/>
          <w:b/>
        </w:rPr>
        <w:t xml:space="preserve">Unconditional Conditional Questions</w:t>
      </w:r>
      <w:r>
        <w:t xml:space="preserve">,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5"/>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w:t>
      </w:r>
      <w:r>
        <w:t xml:space="preserve"> </w:t>
      </w:r>
      <w:r>
        <w:rPr>
          <w:bCs/>
          <w:b/>
        </w:rPr>
        <w:t xml:space="preserve">Unrestricted Conditional Questions</w:t>
      </w:r>
      <w:r>
        <w:t xml:space="preserve"> </w:t>
      </w:r>
      <w:r>
        <w:t xml:space="preserve">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w:t>
      </w:r>
      <w:r>
        <w:t xml:space="preserve"> </w:t>
      </w:r>
      <w:r>
        <w:rPr>
          <w:bCs/>
          <w:b/>
        </w:rPr>
        <w:t xml:space="preserve">Unrestricted Conditional Questions</w:t>
      </w:r>
      <w:r>
        <w:t xml:space="preserve">.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But 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w:t>
      </w:r>
      <w:r>
        <w:t xml:space="preserve"> </w:t>
      </w:r>
      <w:r>
        <w:rPr>
          <w:bCs/>
          <w:b/>
        </w:rPr>
        <w:t xml:space="preserve">Unrestricted Conditional Questions</w:t>
      </w:r>
      <w:r>
        <w:t xml:space="preserve"> </w:t>
      </w:r>
      <w:r>
        <w:t xml:space="preserve">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So I’ve argued that</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necessary conditions on belief. And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satisfied, then S believes that</w:t>
      </w:r>
      <w:r>
        <w:t xml:space="preserve"> </w:t>
      </w:r>
      <w:r>
        <w:rPr>
          <w:iCs/>
          <w:i/>
        </w:rPr>
        <w:t xml:space="preserve">p</w:t>
      </w:r>
      <w:r>
        <w:t xml:space="preserve">.</w:t>
      </w:r>
    </w:p>
    <w:p>
      <w:pPr>
        <w:pStyle w:val="BodyText"/>
      </w:pPr>
      <w:r>
        <w:t xml:space="preserve">Obviously neither</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6"/>
      </w:r>
      <w:r>
        <w:t xml:space="preserve"> </w:t>
      </w:r>
      <w:r>
        <w:t xml:space="preserve">But they could be part of a theory of belief, and the theory they are part of is helpful for seeing how beliefs and interests fit together.</w:t>
      </w:r>
    </w:p>
    <w:bookmarkEnd w:id="67"/>
    <w:bookmarkStart w:id="73"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8"/>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9"/>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0"/>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1"/>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2"/>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w:t>
      </w:r>
      <w:r>
        <w:t xml:space="preserve"> </w:t>
      </w:r>
      <w:r>
        <w:rPr>
          <w:bCs/>
          <w:b/>
        </w:rPr>
        <w:t xml:space="preserve">Relevant Conditional Questions</w:t>
      </w:r>
      <w:r>
        <w:t xml:space="preserve"> </w:t>
      </w:r>
      <w:r>
        <w:t xml:space="preserve">is that whatever is known can be taken as given in just this sense.</w:t>
      </w:r>
    </w:p>
    <w:bookmarkEnd w:id="73"/>
    <w:bookmarkStart w:id="81"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5"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4"/>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5"/>
    <w:bookmarkStart w:id="76"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6"/>
    <w:bookmarkStart w:id="77"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77"/>
    <w:bookmarkStart w:id="78"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subsection 4.5.1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8"/>
    <w:bookmarkStart w:id="80"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9"/>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 @ref(lockecoin) and @ref(lockegames) 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0"/>
    <w:bookmarkEnd w:id="81"/>
    <w:bookmarkStart w:id="83"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2"/>
      </w:r>
      <w:r>
        <w:t xml:space="preserve"> </w:t>
      </w:r>
      <w:r>
        <w:t xml:space="preserve">They say that to believe</w:t>
      </w:r>
      <w:r>
        <w:t xml:space="preserve"> </w:t>
      </w:r>
      <w:r>
        <w:rPr>
          <w:iCs/>
          <w:i/>
        </w:rPr>
        <w:t xml:space="preserve">p</w:t>
      </w:r>
      <w:r>
        <w:t xml:space="preserve"> </w:t>
      </w:r>
      <w:r>
        <w:t xml:space="preserve">is to have a</w:t>
      </w:r>
      <w:r>
        <w:t xml:space="preserve"> </w:t>
      </w:r>
      <w:r>
        <w:rPr>
          <w:bCs/>
          <w:b/>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and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w:t>
      </w:r>
      <w:r>
        <w:t xml:space="preserve"> </w:t>
      </w:r>
      <w:r>
        <w:rPr>
          <w:bCs/>
          <w:b/>
        </w:rPr>
        <w:t xml:space="preserve">Stability</w:t>
      </w:r>
      <w:r>
        <w:t xml:space="preserve">.</w:t>
      </w:r>
    </w:p>
    <w:p>
      <w:pPr>
        <w:pStyle w:val="BlockText"/>
      </w:pPr>
      <w:r>
        <w:rPr>
          <w:bCs/>
          <w:b/>
        </w:rPr>
        <w:t xml:space="preserve">Stability</w:t>
      </w:r>
      <w:r>
        <w:t xml:space="preserve">: 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3"/>
    <w:bookmarkEnd w:id="84"/>
    <w:bookmarkStart w:id="108"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1"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5"/>
      </w:r>
      <w:r>
        <w:t xml:space="preserve"> </w:t>
      </w:r>
      <w:r>
        <w:t xml:space="preserve">Here, for instance, is a table for the problem faced by a person, call him Ragnar, choosing how to get to work.</w:t>
      </w:r>
    </w:p>
    <w:bookmarkStart w:id="86" w:name="tbl-walkbus"/>
    <w:p>
      <w:pPr>
        <w:pStyle w:val="TableCaption"/>
      </w:pPr>
      <w:r>
        <w:t xml:space="preserve">Table 4.1: Ragnar’s trip to work</w:t>
      </w:r>
    </w:p>
    <w:tbl>
      <w:tblPr>
        <w:tblStyle w:val="Table"/>
        <w:tblW w:type="auto" w:w="0"/>
        <w:tblLook w:firstRow="0" w:lastRow="0" w:firstColumn="0" w:lastColumn="0" w:noHBand="0" w:noVBand="0" w:val="0000"/>
        <w:tblCaption w:val="Table 4.1: Ragnar’s trip to work"/>
      </w:tblPr>
      <w:tblGrid>
        <w:gridCol w:w="2640"/>
        <w:gridCol w:w="2640"/>
        <w:gridCol w:w="2640"/>
      </w:tblGrid>
      <w:tr>
        <w:tc>
          <w:tcPr/>
          <w:p>
            <w:pPr>
              <w:pStyle w:val="Compact"/>
              <w:jc w:val="right"/>
            </w:pPr>
            <w:r>
              <w:t xml:space="preserve"> </w:t>
            </w:r>
          </w:p>
        </w:tc>
        <w:tc>
          <w:tcPr/>
          <w:p>
            <w:pPr>
              <w:pStyle w:val="Compact"/>
              <w:jc w:val="center"/>
            </w:pPr>
            <w:r>
              <w:t xml:space="preserve">Rain</w:t>
            </w:r>
          </w:p>
        </w:tc>
        <w:tc>
          <w:tcPr/>
          <w:p>
            <w:pPr>
              <w:pStyle w:val="Compact"/>
              <w:jc w:val="center"/>
            </w:pPr>
            <w:r>
              <w:t xml:space="preserve">Dry</w:t>
            </w:r>
          </w:p>
        </w:tc>
      </w:tr>
      <w:tr>
        <w:tc>
          <w:tcPr/>
          <w:p>
            <w:pPr>
              <w:pStyle w:val="Compact"/>
              <w:jc w:val="right"/>
            </w:pPr>
            <w:r>
              <w:t xml:space="preserve">Walk</w:t>
            </w:r>
          </w:p>
        </w:tc>
        <w:tc>
          <w:tcPr/>
          <w:p>
            <w:pPr>
              <w:pStyle w:val="Compact"/>
              <w:jc w:val="center"/>
            </w:pPr>
            <w:r>
              <w:t xml:space="preserve">0</w:t>
            </w:r>
          </w:p>
        </w:tc>
        <w:tc>
          <w:tcPr/>
          <w:p>
            <w:pPr>
              <w:pStyle w:val="Compact"/>
              <w:jc w:val="center"/>
            </w:pPr>
            <w:r>
              <w:t xml:space="preserve">5</w:t>
            </w:r>
          </w:p>
        </w:tc>
      </w:tr>
      <w:tr>
        <w:tc>
          <w:tcPr/>
          <w:p>
            <w:pPr>
              <w:pStyle w:val="Compact"/>
              <w:jc w:val="right"/>
            </w:pPr>
            <w:r>
              <w:t xml:space="preserve">Bus</w:t>
            </w:r>
          </w:p>
        </w:tc>
        <w:tc>
          <w:tcPr/>
          <w:p>
            <w:pPr>
              <w:pStyle w:val="Compact"/>
              <w:jc w:val="center"/>
            </w:pPr>
            <w:r>
              <w:t xml:space="preserve">3</w:t>
            </w:r>
          </w:p>
        </w:tc>
        <w:tc>
          <w:tcPr/>
          <w:p>
            <w:pPr>
              <w:pStyle w:val="Compact"/>
              <w:jc w:val="center"/>
            </w:pPr>
            <w:r>
              <w:t xml:space="preserve">4</w:t>
            </w:r>
          </w:p>
        </w:tc>
      </w:tr>
    </w:tbl>
    <w:bookmarkEnd w:id="86"/>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87"/>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tend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88"/>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89"/>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(Keyens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0"/>
      </w:r>
      <w:r>
        <w:t xml:space="preserve"> </w:t>
      </w:r>
      <w:r>
        <w:t xml:space="preserve">In any case, the conditional will be enough.</w:t>
      </w:r>
    </w:p>
    <w:bookmarkEnd w:id="91"/>
    <w:bookmarkStart w:id="96"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rPr>
          <w:bCs/>
          <w:b/>
        </w:rPr>
        <w:t xml:space="preserve">Knowledge Allows Exclusion</w:t>
      </w:r>
      <w:r>
        <w:t xml:space="preserve"> </w:t>
      </w:r>
      <w:r>
        <w:t xml:space="preserve">is Jessica Brown’s principle</w:t>
      </w:r>
      <w:r>
        <w:t xml:space="preserve"> </w:t>
      </w:r>
      <w:r>
        <w:rPr>
          <w:bCs/>
          <w:b/>
        </w:rPr>
        <w:t xml:space="preserve">K Suff</w:t>
      </w:r>
      <w:r>
        <w:t xml:space="preserve"> </w:t>
      </w:r>
      <w:r>
        <w:t xml:space="preserve">applied to practical decision making using tables. That’s a fairly central case for</w:t>
      </w:r>
      <w:r>
        <w:t xml:space="preserve"> </w:t>
      </w:r>
      <w:r>
        <w:rPr>
          <w:bCs/>
          <w:b/>
        </w:rPr>
        <w:t xml:space="preserve">K Suff</w:t>
      </w:r>
      <w:r>
        <w:t xml:space="preserve">, so if KAE is true, then it seems plausible that</w:t>
      </w:r>
      <w:r>
        <w:t xml:space="preserve"> </w:t>
      </w:r>
      <w:r>
        <w:rPr>
          <w:bCs/>
          <w:b/>
        </w:rPr>
        <w:t xml:space="preserve">K Suff</w:t>
      </w:r>
      <w:r>
        <w:t xml:space="preserve"> </w:t>
      </w:r>
      <w:r>
        <w:t xml:space="preserve">will be true too. I’ll come back to the more general case for</w:t>
      </w:r>
      <w:r>
        <w:t xml:space="preserve"> </w:t>
      </w:r>
      <w:r>
        <w:rPr>
          <w:bCs/>
          <w:b/>
        </w:rPr>
        <w:t xml:space="preserve">K Suff</w:t>
      </w:r>
      <w:r>
        <w:t xml:space="preserve"> </w:t>
      </w:r>
      <w:r>
        <w:t xml:space="preserve">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2"/>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bookmarkStart w:id="93" w:name="tbl-hotelling"/>
    <w:p>
      <w:pPr>
        <w:pStyle w:val="TableCaption"/>
      </w:pPr>
      <w:r>
        <w:t xml:space="preserve">Table 4.2: Payouts in the Hotelling game</w:t>
      </w:r>
    </w:p>
    <w:tbl>
      <w:tblPr>
        <w:tblStyle w:val="Table"/>
        <w:tblW w:type="auto" w:w="0"/>
        <w:tblLook w:firstRow="0" w:lastRow="0" w:firstColumn="0" w:lastColumn="0" w:noHBand="0" w:noVBand="0" w:val="0000"/>
        <w:tblCaption w:val="Table 4.2: Payouts in the Hotelling game"/>
      </w:tblPr>
      <w:tblGrid>
        <w:gridCol w:w="1320"/>
        <w:gridCol w:w="1320"/>
        <w:gridCol w:w="1320"/>
        <w:gridCol w:w="1320"/>
        <w:gridCol w:w="1320"/>
        <w:gridCol w:w="1320"/>
      </w:tblGrid>
      <w:tr>
        <w:tc>
          <w:tcPr/>
          <w:p>
            <w:pPr>
              <w:pStyle w:val="Compact"/>
            </w:pPr>
          </w:p>
        </w:tc>
        <w:tc>
          <w:tcPr/>
          <w:p>
            <w:pPr>
              <w:pStyle w:val="Compact"/>
              <w:jc w:val="center"/>
            </w:pPr>
            <w:r>
              <w:rPr>
                <w:bCs/>
                <w:b/>
              </w:rPr>
              <w:t xml:space="preserve">1</w:t>
            </w:r>
          </w:p>
        </w:tc>
        <w:tc>
          <w:tcPr/>
          <w:p>
            <w:pPr>
              <w:pStyle w:val="Compact"/>
              <w:jc w:val="center"/>
            </w:pPr>
            <w:r>
              <w:rPr>
                <w:bCs/>
                <w:b/>
              </w:rPr>
              <w:t xml:space="preserve">2</w:t>
            </w:r>
          </w:p>
        </w:tc>
        <w:tc>
          <w:tcPr/>
          <w:p>
            <w:pPr>
              <w:pStyle w:val="Compact"/>
              <w:jc w:val="center"/>
            </w:pPr>
            <w:r>
              <w:rPr>
                <w:bCs/>
                <w:b/>
              </w:rPr>
              <w:t xml:space="preserve">3</w:t>
            </w:r>
          </w:p>
        </w:tc>
        <w:tc>
          <w:tcPr/>
          <w:p>
            <w:pPr>
              <w:pStyle w:val="Compact"/>
              <w:jc w:val="center"/>
            </w:pPr>
            <w:r>
              <w:rPr>
                <w:bCs/>
                <w:b/>
              </w:rPr>
              <w:t xml:space="preserve">4</w:t>
            </w:r>
          </w:p>
        </w:tc>
        <w:tc>
          <w:tcPr/>
          <w:p>
            <w:pPr>
              <w:pStyle w:val="Compact"/>
              <w:jc w:val="center"/>
            </w:pPr>
            <w:r>
              <w:rPr>
                <w:bCs/>
                <w:b/>
              </w:rPr>
              <w:t xml:space="preserve">5</w:t>
            </w:r>
          </w:p>
        </w:tc>
      </w:tr>
      <w:tr>
        <w:tc>
          <w:tcPr/>
          <w:p>
            <w:pPr>
              <w:pStyle w:val="Compact"/>
              <w:jc w:val="right"/>
            </w:pPr>
            <w:r>
              <w:rPr>
                <w:bCs/>
                <w:b/>
              </w:rPr>
              <w:t xml:space="preserve">1</w:t>
            </w:r>
          </w:p>
        </w:tc>
        <w:tc>
          <w:tcPr/>
          <w:p>
            <w:pPr>
              <w:pStyle w:val="Compact"/>
              <w:jc w:val="center"/>
            </w:pPr>
            <w:r>
              <w:t xml:space="preserve">5,5</w:t>
            </w:r>
          </w:p>
        </w:tc>
        <w:tc>
          <w:tcPr/>
          <w:p>
            <w:pPr>
              <w:pStyle w:val="Compact"/>
              <w:jc w:val="center"/>
            </w:pPr>
            <w:r>
              <w:t xml:space="preserve">2,8</w:t>
            </w:r>
          </w:p>
        </w:tc>
        <w:tc>
          <w:tcPr/>
          <w:p>
            <w:pPr>
              <w:pStyle w:val="Compact"/>
              <w:jc w:val="center"/>
            </w:pPr>
            <w:r>
              <w:t xml:space="preserve">3,7</w:t>
            </w:r>
          </w:p>
        </w:tc>
        <w:tc>
          <w:tcPr/>
          <w:p>
            <w:pPr>
              <w:pStyle w:val="Compact"/>
              <w:jc w:val="center"/>
            </w:pPr>
            <w:r>
              <w:t xml:space="preserve">4,6</w:t>
            </w:r>
          </w:p>
        </w:tc>
        <w:tc>
          <w:tcPr/>
          <w:p>
            <w:pPr>
              <w:pStyle w:val="Compact"/>
              <w:jc w:val="center"/>
            </w:pPr>
            <w:r>
              <w:t xml:space="preserve">5,5</w:t>
            </w:r>
          </w:p>
        </w:tc>
      </w:tr>
      <w:tr>
        <w:tc>
          <w:tcPr/>
          <w:p>
            <w:pPr>
              <w:pStyle w:val="Compact"/>
              <w:jc w:val="right"/>
            </w:pPr>
            <w:r>
              <w:rPr>
                <w:bCs/>
                <w:b/>
              </w:rPr>
              <w:t xml:space="preserve">2</w:t>
            </w:r>
          </w:p>
        </w:tc>
        <w:tc>
          <w:tcPr/>
          <w:p>
            <w:pPr>
              <w:pStyle w:val="Compact"/>
              <w:jc w:val="center"/>
            </w:pPr>
            <w:r>
              <w:t xml:space="preserve">8,2</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c>
          <w:tcPr/>
          <w:p>
            <w:pPr>
              <w:pStyle w:val="Compact"/>
              <w:jc w:val="center"/>
            </w:pPr>
            <w:r>
              <w:t xml:space="preserve">6,4</w:t>
            </w:r>
          </w:p>
        </w:tc>
      </w:tr>
      <w:tr>
        <w:tc>
          <w:tcPr/>
          <w:p>
            <w:pPr>
              <w:pStyle w:val="Compact"/>
              <w:jc w:val="right"/>
            </w:pPr>
            <w:r>
              <w:rPr>
                <w:bCs/>
                <w:b/>
              </w:rPr>
              <w:t xml:space="preserve">3</w:t>
            </w:r>
          </w:p>
        </w:tc>
        <w:tc>
          <w:tcPr/>
          <w:p>
            <w:pPr>
              <w:pStyle w:val="Compact"/>
              <w:jc w:val="center"/>
            </w:pPr>
            <w:r>
              <w:t xml:space="preserve">7,3</w:t>
            </w:r>
          </w:p>
        </w:tc>
        <w:tc>
          <w:tcPr/>
          <w:p>
            <w:pPr>
              <w:pStyle w:val="Compact"/>
              <w:jc w:val="center"/>
            </w:pPr>
            <w:r>
              <w:t xml:space="preserve">6,4</w:t>
            </w:r>
          </w:p>
        </w:tc>
        <w:tc>
          <w:tcPr/>
          <w:p>
            <w:pPr>
              <w:pStyle w:val="Compact"/>
              <w:jc w:val="center"/>
            </w:pPr>
            <w:r>
              <w:t xml:space="preserve">5,5</w:t>
            </w:r>
          </w:p>
        </w:tc>
        <w:tc>
          <w:tcPr/>
          <w:p>
            <w:pPr>
              <w:pStyle w:val="Compact"/>
              <w:jc w:val="center"/>
            </w:pPr>
            <w:r>
              <w:t xml:space="preserve">6,4</w:t>
            </w:r>
          </w:p>
        </w:tc>
        <w:tc>
          <w:tcPr/>
          <w:p>
            <w:pPr>
              <w:pStyle w:val="Compact"/>
              <w:jc w:val="center"/>
            </w:pPr>
            <w:r>
              <w:t xml:space="preserve">7,3</w:t>
            </w:r>
          </w:p>
        </w:tc>
      </w:tr>
      <w:tr>
        <w:tc>
          <w:tcPr/>
          <w:p>
            <w:pPr>
              <w:pStyle w:val="Compact"/>
              <w:jc w:val="right"/>
            </w:pPr>
            <w:r>
              <w:rPr>
                <w:bCs/>
                <w:b/>
              </w:rPr>
              <w:t xml:space="preserve">4</w:t>
            </w:r>
          </w:p>
        </w:tc>
        <w:tc>
          <w:tcPr/>
          <w:p>
            <w:pPr>
              <w:pStyle w:val="Compact"/>
              <w:jc w:val="center"/>
            </w:pPr>
            <w:r>
              <w:t xml:space="preserve">6,4</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c>
          <w:tcPr/>
          <w:p>
            <w:pPr>
              <w:pStyle w:val="Compact"/>
              <w:jc w:val="center"/>
            </w:pPr>
            <w:r>
              <w:t xml:space="preserve">8,2</w:t>
            </w:r>
          </w:p>
        </w:tc>
      </w:tr>
      <w:tr>
        <w:tc>
          <w:tcPr/>
          <w:p>
            <w:pPr>
              <w:pStyle w:val="Compact"/>
              <w:jc w:val="right"/>
            </w:pPr>
            <w:r>
              <w:rPr>
                <w:bCs/>
                <w:b/>
              </w:rPr>
              <w:t xml:space="preserve">5</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3,7</w:t>
            </w:r>
          </w:p>
        </w:tc>
        <w:tc>
          <w:tcPr/>
          <w:p>
            <w:pPr>
              <w:pStyle w:val="Compact"/>
              <w:jc w:val="center"/>
            </w:pPr>
            <w:r>
              <w:t xml:space="preserve">2,8</w:t>
            </w:r>
          </w:p>
        </w:tc>
        <w:tc>
          <w:tcPr/>
          <w:p>
            <w:pPr>
              <w:pStyle w:val="Compact"/>
              <w:jc w:val="center"/>
            </w:pPr>
            <w:r>
              <w:t xml:space="preserve">5,5</w:t>
            </w:r>
          </w:p>
        </w:tc>
      </w:tr>
    </w:tbl>
    <w:bookmarkEnd w:id="93"/>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bookmarkStart w:id="94" w:name="tbl-hotelling-iterated"/>
    <w:p>
      <w:pPr>
        <w:pStyle w:val="TableCaption"/>
      </w:pPr>
      <w:r>
        <w:t xml:space="preserve">Table 4.3: The Hotelling game after one iteration</w:t>
      </w:r>
    </w:p>
    <w:tbl>
      <w:tblPr>
        <w:tblStyle w:val="Table"/>
        <w:tblW w:type="auto" w:w="0"/>
        <w:tblLook w:firstRow="0" w:lastRow="0" w:firstColumn="0" w:lastColumn="0" w:noHBand="0" w:noVBand="0" w:val="0000"/>
        <w:tblCaption w:val="Table 4.3: The Hotelling game after one iteration"/>
      </w:tblPr>
      <w:tblGrid>
        <w:gridCol w:w="1980"/>
        <w:gridCol w:w="1980"/>
        <w:gridCol w:w="1980"/>
        <w:gridCol w:w="1980"/>
      </w:tblGrid>
      <w:tr>
        <w:tc>
          <w:tcPr/>
          <w:p>
            <w:pPr>
              <w:pStyle w:val="Compact"/>
            </w:pPr>
          </w:p>
        </w:tc>
        <w:tc>
          <w:tcPr/>
          <w:p>
            <w:pPr>
              <w:pStyle w:val="Compact"/>
              <w:jc w:val="center"/>
            </w:pPr>
            <w:r>
              <w:rPr>
                <w:bCs/>
                <w:b/>
              </w:rPr>
              <w:t xml:space="preserve">2</w:t>
            </w:r>
          </w:p>
        </w:tc>
        <w:tc>
          <w:tcPr/>
          <w:p>
            <w:pPr>
              <w:pStyle w:val="Compact"/>
              <w:jc w:val="center"/>
            </w:pPr>
            <w:r>
              <w:rPr>
                <w:bCs/>
                <w:b/>
              </w:rPr>
              <w:t xml:space="preserve">3</w:t>
            </w:r>
          </w:p>
        </w:tc>
        <w:tc>
          <w:tcPr/>
          <w:p>
            <w:pPr>
              <w:pStyle w:val="Compact"/>
              <w:jc w:val="center"/>
            </w:pPr>
            <w:r>
              <w:rPr>
                <w:bCs/>
                <w:b/>
              </w:rPr>
              <w:t xml:space="preserve">4</w:t>
            </w:r>
          </w:p>
        </w:tc>
      </w:tr>
      <w:tr>
        <w:tc>
          <w:tcPr/>
          <w:p>
            <w:pPr>
              <w:pStyle w:val="Compact"/>
              <w:jc w:val="left"/>
            </w:pPr>
            <w:r>
              <w:rPr>
                <w:bCs/>
                <w:b/>
              </w:rPr>
              <w:t xml:space="preserve">2</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r>
      <w:tr>
        <w:tc>
          <w:tcPr/>
          <w:p>
            <w:pPr>
              <w:pStyle w:val="Compact"/>
              <w:jc w:val="left"/>
            </w:pPr>
            <w:r>
              <w:rPr>
                <w:bCs/>
                <w:b/>
              </w:rPr>
              <w:t xml:space="preserve">3</w:t>
            </w:r>
          </w:p>
        </w:tc>
        <w:tc>
          <w:tcPr/>
          <w:p>
            <w:pPr>
              <w:pStyle w:val="Compact"/>
              <w:jc w:val="center"/>
            </w:pPr>
            <w:r>
              <w:t xml:space="preserve">6,4</w:t>
            </w:r>
          </w:p>
        </w:tc>
        <w:tc>
          <w:tcPr/>
          <w:p>
            <w:pPr>
              <w:pStyle w:val="Compact"/>
              <w:jc w:val="center"/>
            </w:pPr>
            <w:r>
              <w:t xml:space="preserve">5,5</w:t>
            </w:r>
          </w:p>
        </w:tc>
        <w:tc>
          <w:tcPr/>
          <w:p>
            <w:pPr>
              <w:pStyle w:val="Compact"/>
              <w:jc w:val="center"/>
            </w:pPr>
            <w:r>
              <w:t xml:space="preserve">6,4</w:t>
            </w:r>
          </w:p>
        </w:tc>
      </w:tr>
      <w:tr>
        <w:tc>
          <w:tcPr/>
          <w:p>
            <w:pPr>
              <w:pStyle w:val="Compact"/>
              <w:jc w:val="left"/>
            </w:pPr>
            <w:r>
              <w:rPr>
                <w:bCs/>
                <w:b/>
              </w:rPr>
              <w:t xml:space="preserve">4</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r>
    </w:tbl>
    <w:bookmarkEnd w:id="94"/>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5"/>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6"/>
    <w:bookmarkStart w:id="98" w:name="sec-other-answers"/>
    <w:p>
      <w:pPr>
        <w:pStyle w:val="Heading2"/>
      </w:pPr>
      <w:r>
        <w:t xml:space="preserve">4.3 Other Answers</w:t>
      </w:r>
    </w:p>
    <w:p>
      <w:pPr>
        <w:pStyle w:val="FirstParagraph"/>
      </w:pPr>
      <w:r>
        <w:t xml:space="preserve">[Say why alternatives to KAE fail]</w:t>
      </w:r>
    </w:p>
    <w:p>
      <w:pPr>
        <w:pStyle w:val="BodyText"/>
      </w:pPr>
      <w:r>
        <w:t xml:space="preserve">If knowledge structures decision tables, then there is a simple argument that Anisa loses knowledge when playing the red-blue game. The following would be a bad table for Anisa to use when deciding what to do.</w:t>
      </w:r>
    </w:p>
    <w:bookmarkStart w:id="97" w:name="tbl-assume-agincourt"/>
    <w:p>
      <w:pPr>
        <w:pStyle w:val="Tabl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tblCaption w:val="Table 4.4: What the Red-Blue game looks like if Anisa assumes that the Battle of Agincourt was in 1415."/>
      </w:tblPr>
      <w:tblGrid>
        <w:gridCol w:w="2640"/>
        <w:gridCol w:w="2640"/>
        <w:gridCol w:w="2640"/>
      </w:tblGrid>
      <w:tr>
        <w:tc>
          <w:tcPr/>
          <w:p>
            <w:pPr>
              <w:pStyle w:val="Compact"/>
              <w:jc w:val="right"/>
            </w:pPr>
            <w:r>
              <w:t xml:space="preserve"> </w:t>
            </w:r>
          </w:p>
        </w:tc>
        <w:tc>
          <w:tcPr/>
          <w:p>
            <w:pPr>
              <w:pStyle w:val="Compact"/>
              <w:jc w:val="center"/>
            </w:pPr>
            <w:r>
              <w:t xml:space="preserve">2+2=4</w:t>
            </w:r>
          </w:p>
        </w:tc>
        <w:tc>
          <w:tcPr/>
          <w:p>
            <w:pPr>
              <w:pStyle w:val="Compact"/>
              <w:jc w:val="center"/>
            </w:pPr>
            <w:r>
              <w:t xml:space="preserve">2+2 ≠ 4</w:t>
            </w:r>
          </w:p>
        </w:tc>
      </w:tr>
      <w:tr>
        <w:tc>
          <w:tcPr/>
          <w:p>
            <w:pPr>
              <w:pStyle w:val="Compact"/>
              <w:jc w:val="right"/>
            </w:pPr>
            <w:r>
              <w:t xml:space="preserve">Red-True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Red-False</w:t>
            </w:r>
          </w:p>
        </w:tc>
        <w:tc>
          <w:tcPr/>
          <w:p>
            <w:pPr>
              <w:pStyle w:val="Compact"/>
              <w:jc w:val="center"/>
            </w:pPr>
            <w:r>
              <w:t xml:space="preserve">0</w:t>
            </w:r>
          </w:p>
        </w:tc>
        <w:tc>
          <w:tcPr/>
          <w:p>
            <w:pPr>
              <w:pStyle w:val="Compact"/>
              <w:jc w:val="center"/>
            </w:pPr>
            <w:r>
              <w:t xml:space="preserve">$50</w:t>
            </w:r>
          </w:p>
        </w:tc>
      </w:tr>
      <w:tr>
        <w:tc>
          <w:tcPr/>
          <w:p>
            <w:pPr>
              <w:pStyle w:val="Compact"/>
              <w:jc w:val="right"/>
            </w:pPr>
            <w:r>
              <w:t xml:space="preserve">Blue-True</w:t>
            </w:r>
          </w:p>
        </w:tc>
        <w:tc>
          <w:tcPr/>
          <w:p>
            <w:pPr>
              <w:pStyle w:val="Compact"/>
              <w:jc w:val="center"/>
            </w:pPr>
            <w:r>
              <w:t xml:space="preserve">$50</w:t>
            </w:r>
          </w:p>
        </w:tc>
        <w:tc>
          <w:tcPr/>
          <w:p>
            <w:pPr>
              <w:pStyle w:val="Compact"/>
              <w:jc w:val="center"/>
            </w:pPr>
            <w:r>
              <w:t xml:space="preserve">$50</w:t>
            </w:r>
          </w:p>
        </w:tc>
      </w:tr>
      <w:tr>
        <w:tc>
          <w:tcPr/>
          <w:p>
            <w:pPr>
              <w:pStyle w:val="Compact"/>
              <w:jc w:val="right"/>
            </w:pPr>
            <w:r>
              <w:t xml:space="preserve">Blue-False</w:t>
            </w:r>
          </w:p>
        </w:tc>
        <w:tc>
          <w:tcPr/>
          <w:p>
            <w:pPr>
              <w:pStyle w:val="Compact"/>
              <w:jc w:val="center"/>
            </w:pPr>
            <w:r>
              <w:t xml:space="preserve">0</w:t>
            </w:r>
          </w:p>
        </w:tc>
        <w:tc>
          <w:tcPr/>
          <w:p>
            <w:pPr>
              <w:pStyle w:val="Compact"/>
              <w:jc w:val="center"/>
            </w:pPr>
            <w:r>
              <w:t xml:space="preserve">0</w:t>
            </w:r>
          </w:p>
        </w:tc>
      </w:tr>
    </w:tbl>
    <w:bookmarkEnd w:id="97"/>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w:t>
      </w:r>
    </w:p>
    <w:bookmarkEnd w:id="98"/>
    <w:bookmarkStart w:id="100" w:name="sec-theoreticalknowledge"/>
    <w:p>
      <w:pPr>
        <w:pStyle w:val="Heading2"/>
      </w:pPr>
      <w:r>
        <w:t xml:space="preserve">4.4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115–16)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99"/>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subsection 4.5.2</w:t>
        </w:r>
      </w:hyperlink>
      <w:r>
        <w:t xml:space="preserve">. Until then I’ll be talking about single pieces of knowledge at a time.</w:t>
      </w:r>
    </w:p>
    <w:bookmarkEnd w:id="100"/>
    <w:bookmarkStart w:id="106" w:name="knowledge-and-closure"/>
    <w:p>
      <w:pPr>
        <w:pStyle w:val="Heading2"/>
      </w:pPr>
      <w:r>
        <w:t xml:space="preserve">4.5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subsection 4.5.2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02" w:name="sec-andelim"/>
    <w:p>
      <w:pPr>
        <w:pStyle w:val="Heading3"/>
      </w:pPr>
      <w:r>
        <w:t xml:space="preserve">4.5.1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01"/>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02"/>
    <w:bookmarkStart w:id="105" w:name="sec-andintro"/>
    <w:p>
      <w:pPr>
        <w:pStyle w:val="Heading3"/>
      </w:pPr>
      <w:r>
        <w:t xml:space="preserve">4.5.2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03"/>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4.4</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04"/>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05"/>
    <w:bookmarkEnd w:id="106"/>
    <w:bookmarkStart w:id="107" w:name="sec-closuresummary"/>
    <w:p>
      <w:pPr>
        <w:pStyle w:val="Heading2"/>
      </w:pPr>
      <w:r>
        <w:t xml:space="preserve">4.6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07"/>
    <w:bookmarkEnd w:id="108"/>
    <w:bookmarkStart w:id="126"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background">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18"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09"/>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0"/>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and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five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12"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11"/>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 _The Age_said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12"/>
    <w:bookmarkStart w:id="113"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13"/>
    <w:bookmarkStart w:id="114"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14"/>
    <w:bookmarkStart w:id="11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subsection 4.5.2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15"/>
    <w:bookmarkStart w:id="11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16"/>
    <w:bookmarkStart w:id="117" w:name="sec-friedmaninquiry"/>
    <w:p>
      <w:pPr>
        <w:pStyle w:val="Heading3"/>
      </w:pPr>
      <w:r>
        <w:t xml:space="preserve">5.1.6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five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17"/>
    <w:bookmarkEnd w:id="118"/>
    <w:bookmarkStart w:id="119"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4.4</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19"/>
    <w:bookmarkStart w:id="121"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20"/>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21"/>
    <w:bookmarkStart w:id="122" w:name="sec-doublecheck"/>
    <w:p>
      <w:pPr>
        <w:pStyle w:val="Heading2"/>
      </w:pPr>
      <w:r>
        <w:t xml:space="preserve">5.4 Double Checking</w:t>
      </w:r>
    </w:p>
    <w:p>
      <w:pPr>
        <w:pStyle w:val="FirstParagraph"/>
      </w:pPr>
      <w:r>
        <w:t xml:space="preserve">An example from Jessica Brown</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t xml:space="preserve">Student: I don’t understand. Why is she looking at the patient’s records? She was in clinic with the patient this morning. Doesn’t she even know which kidney it is? Nurse: Of course, she knows which kidney it is. But, imagine what it would be like if she removed the wrong kidney. She shouldn’t operate before checking the patient’s records.</w:t>
      </w:r>
    </w:p>
    <w:p>
      <w:pPr>
        <w:pStyle w:val="FirstParagraph"/>
      </w:pPr>
      <w:r>
        <w:t xml:space="preserve">I think this is a good inquiry even though the doctor knows.</w:t>
      </w:r>
    </w:p>
    <w:p>
      <w:pPr>
        <w:pStyle w:val="BodyText"/>
      </w:pPr>
      <w:r>
        <w:t xml:space="preserve">I don’t have as snappy a story about her next example, Affair. I have several inconclusive thoughts about it.</w:t>
      </w:r>
    </w:p>
    <w:p>
      <w:pPr>
        <w:numPr>
          <w:ilvl w:val="0"/>
          <w:numId w:val="1039"/>
        </w:numPr>
        <w:pStyle w:val="Compact"/>
      </w:pPr>
      <w:r>
        <w:t xml:space="preserve">It strikes me as less compelling that it is coherent</w:t>
      </w:r>
    </w:p>
    <w:p>
      <w:pPr>
        <w:numPr>
          <w:ilvl w:val="0"/>
          <w:numId w:val="1039"/>
        </w:numPr>
        <w:pStyle w:val="Compact"/>
      </w:pPr>
      <w:r>
        <w:t xml:space="preserve">It’s striking that it gets much less attention than surgeon; I wonder if others share my suspicion (but maybe Surgeon is just first)</w:t>
      </w:r>
    </w:p>
    <w:p>
      <w:pPr>
        <w:numPr>
          <w:ilvl w:val="0"/>
          <w:numId w:val="1039"/>
        </w:numPr>
        <w:pStyle w:val="Compact"/>
      </w:pPr>
      <w:r>
        <w:t xml:space="preserve">Feels like loose talk, like</w:t>
      </w:r>
      <w:r>
        <w:t xml:space="preserve"> </w:t>
      </w:r>
      <w:r>
        <w:t xml:space="preserve">“</w:t>
      </w:r>
      <w:r>
        <w:t xml:space="preserve">I knew there was a fire here</w:t>
      </w:r>
      <w:r>
        <w:t xml:space="preserve">”</w:t>
      </w:r>
      <w:r>
        <w:t xml:space="preserve">, or</w:t>
      </w:r>
      <w:r>
        <w:t xml:space="preserve"> </w:t>
      </w:r>
      <w:r>
        <w:t xml:space="preserve">“</w:t>
      </w:r>
      <w:r>
        <w:t xml:space="preserve">I knew we’d lose the game</w:t>
      </w:r>
      <w:r>
        <w:t xml:space="preserve">”</w:t>
      </w:r>
    </w:p>
    <w:p>
      <w:pPr>
        <w:numPr>
          <w:ilvl w:val="0"/>
          <w:numId w:val="1039"/>
        </w:numPr>
        <w:pStyle w:val="Compact"/>
      </w:pPr>
      <w:r>
        <w:t xml:space="preserve">Or maybe it’s just an information possession sense of</w:t>
      </w:r>
      <w:r>
        <w:t xml:space="preserve"> </w:t>
      </w:r>
      <w:r>
        <w:t xml:space="preserve">‘</w:t>
      </w:r>
      <w:r>
        <w:t xml:space="preserve">knows</w:t>
      </w:r>
      <w:r>
        <w:t xml:space="preserve">’</w:t>
      </w:r>
      <w:r>
        <w:t xml:space="preserve">. We sometimes use that as well, and it’s very different to what the vast majority of epistemologists talk about. (Maybe not contextualists, maybe not Dretske.)</w:t>
      </w:r>
    </w:p>
    <w:p>
      <w:pPr>
        <w:numPr>
          <w:ilvl w:val="0"/>
          <w:numId w:val="1039"/>
        </w:numPr>
        <w:pStyle w:val="Compact"/>
      </w:pPr>
      <w:r>
        <w:t xml:space="preserve">In any case, I’m not committed to ordinary usage being good around here. I’m aiming to find a theoretically interesting notion that fits the roles knowledge should fit.</w:t>
      </w:r>
    </w:p>
    <w:bookmarkEnd w:id="122"/>
    <w:bookmarkStart w:id="124"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 *p*, they could take it for granted, or, at least, if they couldn’t, it would be for some reason other than that</w:t>
      </w:r>
      <w:r>
        <w:t xml:space="preserve"> </w:t>
      </w:r>
      <w:r>
        <w:rPr>
          <w:iCs/>
          <w:i/>
        </w:rPr>
        <w:t xml:space="preserve">p</w:t>
      </w:r>
      <w:r>
        <w:t xml:space="preserve"> </w:t>
      </w:r>
      <w:r>
        <w:t xml:space="preserve">might be false. So they don’t know that *p*.</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 [</w:t>
      </w:r>
      <w:r>
        <w:t xml:space="preserve">Basu and Schroeder (2019)</w:t>
      </w:r>
      <w:r>
        <w:t xml:space="preserve">]</w:t>
      </w:r>
      <w:r>
        <w:rPr>
          <w:rStyle w:val="FootnoteReference"/>
        </w:rPr>
        <w:footnoteReference w:id="123"/>
      </w:r>
      <w:r>
        <w:t xml:space="preserve">. 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24"/>
    <w:bookmarkStart w:id="125" w:name="sec-realism"/>
    <w:p>
      <w:pPr>
        <w:pStyle w:val="Heading2"/>
      </w:pPr>
      <w:r>
        <w:t xml:space="preserve">5.6 Inquiry Realism</w:t>
      </w:r>
    </w:p>
    <w:p>
      <w:pPr>
        <w:numPr>
          <w:ilvl w:val="0"/>
          <w:numId w:val="1040"/>
        </w:numPr>
        <w:pStyle w:val="Compact"/>
      </w:pPr>
      <w:r>
        <w:t xml:space="preserve">There’s a fact of the matter about what people are inquiring about - and what they are doing with that inquiry.</w:t>
      </w:r>
    </w:p>
    <w:p>
      <w:pPr>
        <w:numPr>
          <w:ilvl w:val="0"/>
          <w:numId w:val="1040"/>
        </w:numPr>
        <w:pStyle w:val="Compact"/>
      </w:pPr>
      <w:r>
        <w:t xml:space="preserve">This is independent of what their credences are</w:t>
      </w:r>
    </w:p>
    <w:p>
      <w:pPr>
        <w:numPr>
          <w:ilvl w:val="0"/>
          <w:numId w:val="1040"/>
        </w:numPr>
        <w:pStyle w:val="Compact"/>
      </w:pPr>
      <w:r>
        <w:t xml:space="preserve">And there are facts about what they should inquire about; some of these are given by consequentialist considerations, some by (broadly) deontological</w:t>
      </w:r>
    </w:p>
    <w:p>
      <w:pPr>
        <w:numPr>
          <w:ilvl w:val="0"/>
          <w:numId w:val="1040"/>
        </w:numPr>
        <w:pStyle w:val="Compact"/>
      </w:pPr>
      <w:r>
        <w:t xml:space="preserve">They may be inquiring into multiple things; this is ok, they lose a lot of information, but they retain probabilistic information</w:t>
      </w:r>
    </w:p>
    <w:p>
      <w:pPr>
        <w:numPr>
          <w:ilvl w:val="0"/>
          <w:numId w:val="1040"/>
        </w:numPr>
        <w:pStyle w:val="Compact"/>
      </w:pPr>
      <w:r>
        <w:t xml:space="preserve">So this makes the current view sit uneasily in the current dualism/reductionism debate</w:t>
      </w:r>
    </w:p>
    <w:p>
      <w:pPr>
        <w:numPr>
          <w:ilvl w:val="0"/>
          <w:numId w:val="1040"/>
        </w:numPr>
        <w:pStyle w:val="Compact"/>
      </w:pPr>
      <w:r>
        <w:t xml:space="preserve">I do think belief is reducible to credences plus subjects of inquiry</w:t>
      </w:r>
    </w:p>
    <w:p>
      <w:pPr>
        <w:numPr>
          <w:ilvl w:val="0"/>
          <w:numId w:val="1040"/>
        </w:numPr>
        <w:pStyle w:val="Compact"/>
      </w:pPr>
      <w:r>
        <w:t xml:space="preserve">But I don’t think they are reducible to credences alone</w:t>
      </w:r>
    </w:p>
    <w:p>
      <w:pPr>
        <w:numPr>
          <w:ilvl w:val="0"/>
          <w:numId w:val="1040"/>
        </w:numPr>
        <w:pStyle w:val="Compact"/>
      </w:pPr>
      <w:r>
        <w:t xml:space="preserve">Is this dualism or not? I don’t really care.</w:t>
      </w:r>
    </w:p>
    <w:bookmarkEnd w:id="125"/>
    <w:bookmarkEnd w:id="126"/>
    <w:bookmarkStart w:id="140"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that this adding this principle, and no other principle, to a natural theory of knowledge leads to an absurd situation where S knows</w:t>
      </w:r>
      <w:r>
        <w:t xml:space="preserve"> </w:t>
      </w:r>
      <w:r>
        <w:rPr>
          <w:iCs/>
          <w:i/>
        </w:rPr>
        <w:t xml:space="preserve">p</w:t>
      </w:r>
      <w:r>
        <w:t xml:space="preserve"> </w:t>
      </w:r>
      <w:r>
        <w:t xml:space="preserve">∧</w:t>
      </w:r>
      <w:r>
        <w:t xml:space="preserve"> </w:t>
      </w:r>
      <w:r>
        <w:rPr>
          <w:iCs/>
          <w:i/>
        </w:rPr>
        <w:t xml:space="preserve">q</w:t>
      </w:r>
      <w:r>
        <w:t xml:space="preserve"> </w:t>
      </w:r>
      <w:r>
        <w:t xml:space="preserve">but does not know</w:t>
      </w:r>
      <w:r>
        <w:t xml:space="preserve"> </w:t>
      </w:r>
      <w:r>
        <w:rPr>
          <w:iCs/>
          <w:i/>
        </w:rPr>
        <w:t xml:space="preserve">p</w:t>
      </w:r>
      <w:r>
        <w:t xml:space="preserve">. I’ve mentioned a couple of times that my version of IRT does not fall into exactly this trap.</w:t>
      </w:r>
    </w:p>
    <w:p>
      <w:pPr>
        <w:pStyle w:val="BodyText"/>
      </w:pPr>
      <w:r>
        <w:t xml:space="preserve">What I haven’t dwelt on is that their objection to IRT doesn’t stop there. They go on to argue that the natural ways for versions of IRT to avoid this trap will lead to implausible amounts of scepticism. The point of this chapter, in effect, is to respond to this challenge.</w:t>
      </w:r>
    </w:p>
    <w:p>
      <w:pPr>
        <w:pStyle w:val="BodyText"/>
      </w:pPr>
      <w:r>
        <w:t xml:space="preserve">There are a few of reasons that I’m spending this much time on this objection. One is that thinking about it brings up interesting points about the relationship between analysing action in terms of reasons and knowledge, and analysing action in terms of utility maximisation. And another is that it turns out I have to concede a little more than I expected that I would. That is to say, the version of IRT I’m defending here is somewhat more sceptical than I would have realised were it not for thinking through this case. I don’t think this is enough reason to reject the theory; indeed, I think working through the cases gives us reason to accept the moderately sceptical conclusions. Still, this is a more concessive response than I’ll offer to subsequent objections, and the point here is not just to argue that a particular objection fails, but to see some consequences of the best form of IRT. And a final reason is that it turns out my favored version of IRT is inconsistent with the view that rationality requires maximising expected utility. That might seem very bad, since that’s a very popular view of rational choice. But it turns out that the verdicts of expected utility theory that raise problems for IRT are verdicts that are independently problematic. We’ll see that making a minor, well motivated, change to expected utility theory restores consistency with IRT.</w:t>
      </w:r>
    </w:p>
    <w:bookmarkStart w:id="127"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the choice he has is which of the individual notes he will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w:t>
      </w:r>
      <w:r>
        <w:t xml:space="preserve"> </w:t>
      </w:r>
      <w:r>
        <w:rPr>
          <w:bCs/>
          <w:b/>
        </w:rPr>
        <w:t xml:space="preserve">Conditional Preferences</w:t>
      </w:r>
      <w:r>
        <w:t xml:space="preserve">. I’m going to refer to this form of IRT a lot, so let’s give it the memorable moniker IRT-CP. So IRT-CP is what you get by taking a standard theory of knowledge, adding</w:t>
      </w:r>
      <w:r>
        <w:t xml:space="preserve"> </w:t>
      </w:r>
      <w:r>
        <w:rPr>
          <w:bCs/>
          <w:b/>
        </w:rPr>
        <w:t xml:space="preserve">Conditional Preferences</w:t>
      </w:r>
      <w:r>
        <w:t xml:space="preserve"> </w:t>
      </w:r>
      <w:r>
        <w:t xml:space="preserve">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Change the example a bit, so we can generate the third problem. Keep that the probabilities of each note being genuine are equal and independent. But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41"/>
        </w:numPr>
        <w:pStyle w:val="Compact"/>
      </w:pPr>
      <w:r>
        <w:t xml:space="preserve">In the case where Frankie Lee has no reason to choose one note rather than another, he doesn’t know of any note that it is genuine. And this is surprisingly sceptical.</w:t>
      </w:r>
    </w:p>
    <w:p>
      <w:pPr>
        <w:numPr>
          <w:ilvl w:val="0"/>
          <w:numId w:val="1041"/>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41"/>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And, as Frankie Lee knows, no one in the country has yet figured out how to produce forgeries of plastic banknotes that are even remotely plausible.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And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for something like it.</w:t>
      </w:r>
    </w:p>
    <w:bookmarkEnd w:id="127"/>
    <w:bookmarkStart w:id="128"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So before we do that, I am going to outline how my version of IRT, which of course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w:t>
      </w:r>
      <w:r>
        <w:t xml:space="preserve"> </w:t>
      </w:r>
      <w:r>
        <w:rPr>
          <w:bCs/>
          <w:b/>
        </w:rPr>
        <w:t xml:space="preserve">Conditional Preference</w:t>
      </w:r>
      <w:r>
        <w:t xml:space="preserve"> </w:t>
      </w:r>
      <w:r>
        <w:t xml:space="preserve">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sub-optimal choice. But given that choice has computational (and sometimes investigative) costs, it is worth risking a sub-optimal choice if the reward is a cheaper decision procedure. And in some cases like this, the best decision procedure will ignore certain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w:t>
      </w:r>
    </w:p>
    <w:p>
      <w:pPr>
        <w:pStyle w:val="BodyText"/>
      </w:pPr>
      <w:r>
        <w:t xml:space="preserve">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in this sense is so prevalent, so important, and even so rational.</w:t>
      </w:r>
    </w:p>
    <w:bookmarkEnd w:id="128"/>
    <w:bookmarkStart w:id="131"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the problems are, and as I just hinted, eventually show us a way out of those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29"/>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30"/>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the argument so far relies just on</w:t>
      </w:r>
      <w:r>
        <w:t xml:space="preserve"> </w:t>
      </w:r>
      <w:r>
        <w:rPr>
          <w:bCs/>
          <w:b/>
        </w:rPr>
        <w:t xml:space="preserve">Conditional Preferences</w:t>
      </w:r>
      <w:r>
        <w:t xml:space="preserve"> </w:t>
      </w:r>
      <w:r>
        <w:t xml:space="preserve">being part of the correct theory of IRT, and that’s a much weaker claim than that IRT-CP is true. Assuming there is some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31"/>
    <w:bookmarkStart w:id="133"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2"/>
        </w:numPr>
        <w:pStyle w:val="Compact"/>
      </w:pPr>
      <w:r>
        <w:t xml:space="preserve">Which option has highest expected utility?</w:t>
      </w:r>
    </w:p>
    <w:p>
      <w:pPr>
        <w:numPr>
          <w:ilvl w:val="0"/>
          <w:numId w:val="1042"/>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32"/>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33"/>
    <w:bookmarkStart w:id="134"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and Schwartz 2006)</w:t>
      </w:r>
      <w:r>
        <w:t xml:space="preserve"> </w:t>
      </w:r>
      <w:r>
        <w:t xml:space="preserve">where the maximisers end up with higher salaries but less job satisfaction, and to friend choice</w:t>
      </w:r>
      <w:r>
        <w:t xml:space="preserve"> </w:t>
      </w:r>
      <w:r>
        <w:t xml:space="preserve">(Newman et al.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and Todd 2010)</w:t>
      </w:r>
      <w:r>
        <w:t xml:space="preserve"> </w:t>
      </w:r>
      <w:r>
        <w:t xml:space="preserve">did not show the effect existing at all, though a later meta-analysis finds a significant mediated effect</w:t>
      </w:r>
      <w:r>
        <w:t xml:space="preserve"> </w:t>
      </w:r>
      <w:r>
        <w:t xml:space="preserve">(Chernev, Böckenholt, and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and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34"/>
    <w:bookmarkStart w:id="137" w:name="sec-deliberationcosts"/>
    <w:p>
      <w:pPr>
        <w:pStyle w:val="Heading2"/>
      </w:pPr>
      <w:r>
        <w:t xml:space="preserve">6.6 Deliberation Costs and Infinite Regresses</w:t>
      </w:r>
    </w:p>
    <w:p>
      <w:pPr>
        <w:pStyle w:val="FirstParagraph"/>
      </w:pPr>
      <w:r>
        <w:t xml:space="preserve">The picture I’ve been building towards in the last section, on which rational people don’t maximise but choose arbitrarily between choices that are close enough, is not a new one. As I mentioned, the experimental work in</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And 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But our aim here is not to think about economic theorising, but about the nature of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And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And Conlisk thinks that this is what rational agents will do. But he also raises a problem for this view, and indeed offers one of the clearest (and most widely cited) statements of this problem.</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here. As he also notes, there is very little</w:t>
      </w:r>
      <w:r>
        <w:t xml:space="preserve"> </w:t>
      </w:r>
      <w:r>
        <w:rPr>
          <w:iCs/>
          <w:i/>
        </w:rPr>
        <w:t xml:space="preserve">discussion</w:t>
      </w:r>
      <w:r>
        <w:t xml:space="preserve"> </w:t>
      </w:r>
      <w:r>
        <w:t xml:space="preserve">of this infinite regress problem in the literature before 1996. The same remains true after 1996. What is done is that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and Slack (2010)</w:t>
      </w:r>
      <w:r>
        <w:t xml:space="preserve">,</w:t>
      </w:r>
      <w:r>
        <w:t xml:space="preserve"> </w:t>
      </w:r>
      <w:r>
        <w:t xml:space="preserve">Ogaki and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And it really matters for the story of this book that there is a solution to the infinite regress problem within a broadly optimizing framework. More precisely, we need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Because there is this external, success oriented condition, there isn’t any extra problem that arises by</w:t>
      </w:r>
      <w:r>
        <w:t xml:space="preserve"> </w:t>
      </w:r>
      <w:r>
        <w:t xml:space="preserve">‘</w:t>
      </w:r>
      <w:r>
        <w:t xml:space="preserve">folding in</w:t>
      </w:r>
      <w:r>
        <w:t xml:space="preserve">’</w:t>
      </w:r>
      <w:r>
        <w:t xml:space="preserve"> </w:t>
      </w:r>
      <w:r>
        <w:t xml:space="preserve">computational costs. The thinker doesn’t have to compute whether the optimal solution to F(P) is indeed optimal; they just have to follow it.</w:t>
      </w:r>
    </w:p>
    <w:p>
      <w:pPr>
        <w:pStyle w:val="BodyText"/>
      </w:pPr>
      <w:r>
        <w:t xml:space="preserve">So this is a solution to the regress problem. Externalism about optimality of processes suggests that all that matters is that agents follow optimal processes, not that they compute that these are optimal. And so there is no computational regress problem, since we don’t do any computation at the process choosing stage, so there are no computational costs to minimise. And there is no hedonic regress problem, because what makes a process optimal is that it leads to choices that are satisfying when chosen by that very process. If all this is true, the problem is solved.</w:t>
      </w:r>
    </w:p>
    <w:p>
      <w:pPr>
        <w:pStyle w:val="BodyText"/>
      </w:pPr>
      <w:r>
        <w:t xml:space="preserve">This solution to the regress problem is easy to state, but a little harder to motivate. There are two big questions to answer before we can say it is really motivated.</w:t>
      </w:r>
    </w:p>
    <w:p>
      <w:pPr>
        <w:numPr>
          <w:ilvl w:val="0"/>
          <w:numId w:val="1043"/>
        </w:numPr>
        <w:pStyle w:val="Compact"/>
      </w:pPr>
      <w:r>
        <w:t xml:space="preserve">Why should we allow this kind of unreflective rule-following in our solution to the regress?</w:t>
      </w:r>
    </w:p>
    <w:p>
      <w:pPr>
        <w:numPr>
          <w:ilvl w:val="0"/>
          <w:numId w:val="1043"/>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But agents are not just informationally limited, they are computationally limited too. And we could treat that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35"/>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36"/>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Martains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37"/>
    <w:bookmarkStart w:id="139"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pPr>
        <w:pStyle w:val="BodyText"/>
      </w:pPr>
      <w:r>
        <w:t xml:space="preserve">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w:t>
      </w:r>
      <w:r>
        <w:t xml:space="preserve"> </w:t>
      </w:r>
      <w:r>
        <w:t xml:space="preserve">Sperber et al. (2010)</w:t>
      </w:r>
      <w:r>
        <w:t xml:space="preserve">, to some of these problems, and ignore the rest. But being vigilant about a problem means, I take it, being willing to consider it if and only if you get evidence that it is worth considering. In the short run, you still ignore the potential problem.</w:t>
      </w:r>
    </w:p>
    <w:p>
      <w:pPr>
        <w:pStyle w:val="BodyText"/>
      </w:pPr>
      <w:r>
        <w:t xml:space="preserve">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uses in setting up the decision problem they face will all be ones in which the chickpeas are safe.)</w:t>
      </w:r>
    </w:p>
    <w:p>
      <w:pPr>
        <w:pStyle w:val="BodyText"/>
      </w:pPr>
      <w:r>
        <w:t xml:space="preserve">But if that’s the toy model the shopper has, then conditionalising on the fact that a particular can is safe doesn’t change anything. Assuming that the can was not obviously damaged, the toy model says that it is fine to eat. So there is no argument from interest-relativity that the shopper does not know this can is fine to eat. So we’ve avoided the worst of the sceptical challenges. By similar reasoning, Frankie Lee knows all of the banknotes are genuine.</w:t>
      </w:r>
    </w:p>
    <w:p>
      <w:pPr>
        <w:pStyle w:val="BodyText"/>
      </w:pPr>
      <w:r>
        <w:t xml:space="preserve">This chapter started with a problem for pragmatic theories of knowledge like IRT. They seemed to lead to rampant scepticism in cases like Frankie Lee’s. But the solution to this problem was, ultimately, more pragmatism. The rational chooser won’t typically use a model where the probability that a particular note is a forgery, or a particular can is contaminated, is 0.99999. Using a model like that, rather than a model where the probability is 1, is more trouble than it’s worth, especially since there is no actionable difference between the models. At least, it’s usually more trouble than it’s worth. If passing a forged banknote will lead to torture, then maybe you use the more complex model. If there is a something to do about differences between nearly 1 and 1, as in the case when some banknotes are plastic, or in the case where you can look inside the egg carton, then you use the more complex model. But usually one should, and does, use the simpler model.</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w:t>
      </w:r>
      <w:r>
        <w:t xml:space="preserve"> </w:t>
      </w:r>
      <w:r>
        <w:rPr>
          <w:bCs/>
          <w:b/>
        </w:rPr>
        <w:t xml:space="preserve">Conditional Preference</w:t>
      </w:r>
      <w:r>
        <w:t xml:space="preserve"> </w:t>
      </w:r>
      <w:r>
        <w:t xml:space="preserve">seems to rule out this knowledge. But there is a pragmatic defeater of that pragmatic defeater. The thought behind</w:t>
      </w:r>
      <w:r>
        <w:t xml:space="preserve"> </w:t>
      </w:r>
      <w:r>
        <w:rPr>
          <w:bCs/>
          <w:b/>
        </w:rPr>
        <w:t xml:space="preserve">Conditional Preference</w:t>
      </w:r>
      <w:r>
        <w:t xml:space="preserve"> </w:t>
      </w:r>
      <w:r>
        <w:t xml:space="preserve">assumes that David will be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But he doesn’t know the eggs aren’t cracked. The toy model that says all eggs on the shelf are uncracked is a bad toy model to use.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w:t>
      </w:r>
    </w:p>
    <w:p>
      <w:pPr>
        <w:pStyle w:val="BodyText"/>
      </w:pPr>
      <w:r>
        <w:t xml:space="preserve">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38"/>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39"/>
    <w:bookmarkEnd w:id="140"/>
    <w:bookmarkStart w:id="149" w:name="sec-changes"/>
    <w:p>
      <w:pPr>
        <w:pStyle w:val="Heading1"/>
      </w:pPr>
      <w:r>
        <w:t xml:space="preserve">7. Changes</w:t>
      </w:r>
    </w:p>
    <w:p>
      <w:pPr>
        <w:pStyle w:val="FirstParagraph"/>
      </w:pPr>
      <w:r>
        <w:t xml:space="preserve">The version of IRT I’m endorsing has enough in common with more familiar versions of IRT that it shares their defects, or at least their alleged defects. This chapter responds to a common complaint leveled at such theories. I’ll start with a recent version of the complaint from Crispin</w:t>
      </w:r>
      <w:r>
        <w:t xml:space="preserve"> </w:t>
      </w:r>
      <w:r>
        <w:t xml:space="preserve">Wright (2018)</w:t>
      </w:r>
      <w:r>
        <w:t xml:space="preserve">, which I think makes the point as well as anyone I’ve seen. (Note he talks about</w:t>
      </w:r>
      <w:r>
        <w:t xml:space="preserve"> </w:t>
      </w:r>
      <w:r>
        <w:t xml:space="preserve">‘</w:t>
      </w:r>
      <w:r>
        <w:t xml:space="preserve">IRI</w:t>
      </w:r>
      <w:r>
        <w:t xml:space="preserve">’</w:t>
      </w:r>
      <w:r>
        <w:t xml:space="preserve"> </w:t>
      </w:r>
      <w:r>
        <w:t xml:space="preserve">here not</w:t>
      </w:r>
      <w:r>
        <w:t xml:space="preserve"> </w:t>
      </w:r>
      <w:r>
        <w:t xml:space="preserve">‘</w:t>
      </w:r>
      <w:r>
        <w:t xml:space="preserve">IRT</w:t>
      </w:r>
      <w:r>
        <w:t xml:space="preserve">’</w:t>
      </w:r>
      <w:r>
        <w:t xml:space="preserve">, but it doesn’t matter; it’s the</w:t>
      </w:r>
      <w:r>
        <w:t xml:space="preserve"> </w:t>
      </w:r>
      <w:r>
        <w:t xml:space="preserve">‘</w:t>
      </w:r>
      <w:r>
        <w:t xml:space="preserve">IR</w:t>
      </w:r>
      <w:r>
        <w:t xml:space="preserve">’</w:t>
      </w:r>
      <w:r>
        <w:t xml:space="preserve"> </w:t>
      </w:r>
      <w:r>
        <w:t xml:space="preserve">part that drives the problem.)</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The objection here is that IRT makes changes in knowledge depend on something other than evidence, and in particular that it makes changes depend on interests. And that is indeed what the theory says. If the very statement of the theory is objectionable, we have some work to do in defending the theory.</w:t>
      </w:r>
    </w:p>
    <w:p>
      <w:pPr>
        <w:pStyle w:val="BodyText"/>
      </w:pPr>
      <w:r>
        <w:t xml:space="preserve">Wright is hardly the first to note that IRT looks bad in this way. You can see versions of this critique being made by Gillian Russell and John Doris</w:t>
      </w:r>
      <w:r>
        <w:t xml:space="preserve"> </w:t>
      </w:r>
      <w:r>
        <w:t xml:space="preserve">(2009)</w:t>
      </w:r>
      <w:r>
        <w:t xml:space="preserve">, and by Michael</w:t>
      </w:r>
      <w:r>
        <w:t xml:space="preserve"> </w:t>
      </w:r>
      <w:r>
        <w:t xml:space="preserve">Blome-Tillmann (2009)</w:t>
      </w:r>
      <w:r>
        <w:t xml:space="preserve">. David Eaton and Timothy Pickavance</w:t>
      </w:r>
      <w:r>
        <w:t xml:space="preserve"> </w:t>
      </w:r>
      <w:r>
        <w:t xml:space="preserve">(2015)</w:t>
      </w:r>
      <w:r>
        <w:t xml:space="preserve"> </w:t>
      </w:r>
      <w:r>
        <w:t xml:space="preserve">note a similar but even stranger consequence of the theory. Sometimes a single event can reduce a person’s evidence for</w:t>
      </w:r>
      <w:r>
        <w:t xml:space="preserve"> </w:t>
      </w:r>
      <w:r>
        <w:rPr>
          <w:iCs/>
          <w:i/>
        </w:rPr>
        <w:t xml:space="preserve">p</w:t>
      </w:r>
      <w:r>
        <w:t xml:space="preserve">, and be the event turns them from not knowing that</w:t>
      </w:r>
      <w:r>
        <w:t xml:space="preserve"> </w:t>
      </w:r>
      <w:r>
        <w:rPr>
          <w:iCs/>
          <w:i/>
        </w:rPr>
        <w:t xml:space="preserve">p</w:t>
      </w:r>
      <w:r>
        <w:t xml:space="preserve"> </w:t>
      </w:r>
      <w:r>
        <w:t xml:space="preserve">to knowing that</w:t>
      </w:r>
      <w:r>
        <w:t xml:space="preserve"> </w:t>
      </w:r>
      <w:r>
        <w:rPr>
          <w:iCs/>
          <w:i/>
        </w:rPr>
        <w:t xml:space="preserve">p</w:t>
      </w:r>
      <w:r>
        <w:t xml:space="preserve">. All of this is very strange, and the IRT defender should have something to say.</w:t>
      </w:r>
    </w:p>
    <w:p>
      <w:pPr>
        <w:pStyle w:val="BodyText"/>
      </w:pPr>
      <w:r>
        <w:t xml:space="preserve">My main reply to these objections is that they overgenerate. If they worked, they would be successful objections to any theory that separated knowledge from rational true belief. But since knowledge is not rational true belief, there can be no successful objections to all such theories. But it will take a bit of work to get to this reply; let’s get started.</w:t>
      </w:r>
      <w:r>
        <w:rPr>
          <w:rStyle w:val="FootnoteReference"/>
        </w:rPr>
        <w:footnoteReference w:id="141"/>
      </w:r>
    </w:p>
    <w:bookmarkStart w:id="142" w:name="sec-overview"/>
    <w:p>
      <w:pPr>
        <w:pStyle w:val="Heading2"/>
      </w:pPr>
      <w:r>
        <w:t xml:space="preserve">7.1 Overview of Replies</w:t>
      </w:r>
    </w:p>
    <w:p>
      <w:pPr>
        <w:pStyle w:val="FirstParagraph"/>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and slightly more helpful,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42"/>
    <w:bookmarkStart w:id="143" w:name="sec-gettier"/>
    <w:p>
      <w:pPr>
        <w:pStyle w:val="Heading2"/>
      </w:pPr>
      <w:r>
        <w:t xml:space="preserve">7.2 So Long JTB</w:t>
      </w:r>
    </w:p>
    <w:p>
      <w:pPr>
        <w:pStyle w:val="FirstParagraph"/>
      </w:pPr>
      <w:r>
        <w:t xml:space="preserve">The story of investigations into knowledge over the last fifty years is the story of finding ever more things that knowledge is sensitive to. The thesis of this book is that human interests, in particular the interests of the would be knower, should be added to that list. But to defend that thesis, and especially to defend it from the kind of blank stare objection that I’m worrying about in this chapter, it helps to remind ourselves of a list of some of the things which we all already know that knowledge is sensitive to.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Calliaux, the second wife of anti-war French politician Joseph Calliaux. As you may already know, Henriette Calliaux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Calliaux.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Calliaux,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In all three of these variants, Charlotte does not know that</w:t>
      </w:r>
      <w:r>
        <w:t xml:space="preserve"> </w:t>
      </w:r>
      <w:r>
        <w:rPr>
          <w:iCs/>
          <w:i/>
        </w:rPr>
        <w:t xml:space="preserve">p</w:t>
      </w:r>
      <w:r>
        <w:t xml:space="preserve">. I take these three kinds of cases to be good evidence that knowledge requires (respectively) justification, truth, and belief. In variant J, Charlotte lacks knowledge because her belief in</w:t>
      </w:r>
      <w:r>
        <w:t xml:space="preserve"> </w:t>
      </w:r>
      <w:r>
        <w:rPr>
          <w:iCs/>
          <w:i/>
        </w:rPr>
        <w:t xml:space="preserve">p</w:t>
      </w:r>
      <w:r>
        <w:t xml:space="preserve"> </w:t>
      </w:r>
      <w:r>
        <w:t xml:space="preserve">is not justified; it is a mere hunch. In variant T, Charlotte lacks knowledge because her belief is not true; it is an honest mistake.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In all three cases there are philosophers who argue that these conditions are not strictly necessary, but it would take us too far afield to debate these points. I will simply take for granted that cases like Variant J show justification (or some kind of rationality) is necessary for knowledge, Variant T shows that truth is necessary for knowledge, and Variant B shows belief (or at least some kind of strong acceptance) is necessary for knowledge. (I discussed issues about belief more back in</w:t>
      </w:r>
      <w:r>
        <w:t xml:space="preserve"> </w:t>
      </w:r>
      <w:hyperlink w:anchor="sec-belief">
        <w:r>
          <w:rPr>
            <w:rStyle w:val="Hyperlink"/>
          </w:rPr>
          <w:t xml:space="preserve">chapter 3</w:t>
        </w:r>
      </w:hyperlink>
      <w:r>
        <w:t xml:space="preserv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Like in Variant J, Charlotte stops reading before the denouement. And she believes that Caillaux was acquitted. But she does not believe this on the basis of a hunch. Rather, she believes it because she read in another book that official France was so discombobulated in July 1914 that it didn’t manage to convict a single murderer. This is false, but Charlotte used it to reason to the true conclusion that</w:t>
      </w:r>
      <w:r>
        <w:t xml:space="preserve"> </w:t>
      </w:r>
      <w:r>
        <w:rPr>
          <w:iCs/>
          <w:i/>
        </w:rPr>
        <w:t xml:space="preserve">p</w:t>
      </w:r>
      <w:r>
        <w:t xml:space="preserve">.</w:t>
      </w:r>
    </w:p>
    <w:p>
      <w:pPr>
        <w:pStyle w:val="FirstParagraph"/>
      </w:pPr>
      <w:r>
        <w:t xml:space="preserve">In Variant D Charlotte does not know that</w:t>
      </w:r>
      <w:r>
        <w:t xml:space="preserve"> </w:t>
      </w:r>
      <w:r>
        <w:rPr>
          <w:iCs/>
          <w:i/>
        </w:rPr>
        <w:t xml:space="preserve">p</w:t>
      </w:r>
      <w:r>
        <w:t xml:space="preserve">. She does not know it because reasoning that relies on a falsehood in just this way does not ground knowledge. So here is another thing that knowledge is sensitive to - whether the grounds for one’s belief are true.</w:t>
      </w:r>
    </w:p>
    <w:p>
      <w:pPr>
        <w:pStyle w:val="BodyText"/>
      </w:pPr>
      <w:r>
        <w:t xml:space="preserve">The variations from now on will not be as intuitively clear; whether Charlotte knows that</w:t>
      </w:r>
      <w:r>
        <w:t xml:space="preserve"> </w:t>
      </w:r>
      <w:r>
        <w:rPr>
          <w:iCs/>
          <w:i/>
        </w:rPr>
        <w:t xml:space="preserve">p</w:t>
      </w:r>
      <w:r>
        <w:t xml:space="preserve"> </w:t>
      </w:r>
      <w:r>
        <w:t xml:space="preserve">will be matters of greater dispute than in these first four variants. And I’m not going to use intuitions about any of the cases to provide evidence for the view I am endorsing. But I think the cases are good illustrations of ways knowledge might be sensitive to environmental factors.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It is surprising that Charlotte has never heard of Henriette Caillaux, because in the world she inhabits, the story of Calliaux is infamous. She is as well known as other famous killers like Ned Kelly, Jack the Ripper, and Lee Harvey Oswald. Novels, plays and movies are frequently made about her killing of Calmette. But in all of these popular depictions, the ending is fictionalised. Every one of them ends with Caillaux’s conviction and execution. This happened because the authorities were so embarrassed by her acquittal that they created a vast alternative reality in which Caillaux was convicted. Charlotte, by an amazing coincidence, is the only person to have not encountered this story. So when she reads a word-for-word duplicate of Clark’s book, she doesn’t realise it is controversial, and believes that</w:t>
      </w:r>
      <w:r>
        <w:t xml:space="preserve"> </w:t>
      </w:r>
      <w:r>
        <w:rPr>
          <w:iCs/>
          <w:i/>
        </w:rPr>
        <w:t xml:space="preserve">p</w:t>
      </w:r>
      <w:r>
        <w:t xml:space="preserve">. Had she seen any of these books or plays, she would have assumed her book was making some mistake, since it is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it is only the very first printing of the book that contains the mistake. Charlotte started reading the book after seeing it in a second-hand shop. The shop had two copies: one from the flawed first printing, and one from a later printing. Charlotte buys the later one because it is the first one she sees; had she entered the history section from the other direction, she would have bought the first printing, and come to believe that</w:t>
      </w:r>
      <w:r>
        <w:t xml:space="preserve"> </w:t>
      </w:r>
      <w:r>
        <w:rPr>
          <w:iCs/>
          <w:i/>
        </w:rPr>
        <w:t xml:space="preserve">p</w:t>
      </w:r>
      <w:r>
        <w:t xml:space="preserve"> </w:t>
      </w:r>
      <w:r>
        <w:t xml:space="preserve">is false.</w:t>
      </w:r>
    </w:p>
    <w:p>
      <w:pPr>
        <w:pStyle w:val="FirstParagraph"/>
      </w:pPr>
      <w:r>
        <w:t xml:space="preserve">In this case, Charlotte doesn’t know that</w:t>
      </w:r>
      <w:r>
        <w:t xml:space="preserve"> </w:t>
      </w:r>
      <w:r>
        <w:rPr>
          <w:iCs/>
          <w:i/>
        </w:rPr>
        <w:t xml:space="preserve">p</w:t>
      </w:r>
      <w:r>
        <w:t xml:space="preserve"> </w:t>
      </w:r>
      <w:r>
        <w:t xml:space="preserve">is true. There is too much luck in her happening to buy the later printing rather than the earlier printing. The belief-forming method that she uses - buy an apparently authoritative history book and believe the plausible and well-supported things it says - goes wrong on just this question in a very nearby possible world. (That is, it goes wrong in the world where she picks up the other copy.) And that kind of luck is incompatible with knowledge.</w:t>
      </w:r>
    </w:p>
    <w:p>
      <w:pPr>
        <w:pStyle w:val="BodyText"/>
      </w:pPr>
      <w:r>
        <w:t xml:space="preserve">The contemporary terminology for this is that a belief forming method only yields knowledge if it is</w:t>
      </w:r>
      <w:r>
        <w:t xml:space="preserve"> </w:t>
      </w:r>
      <w:r>
        <w:rPr>
          <w:iCs/>
          <w:i/>
        </w:rPr>
        <w:t xml:space="preserve">safe</w:t>
      </w:r>
      <w:r>
        <w:t xml:space="preserve">. And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But 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w:t>
      </w:r>
    </w:p>
    <w:p>
      <w:pPr>
        <w:pStyle w:val="BodyText"/>
      </w:pPr>
      <w:r>
        <w:t xml:space="preserve">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And at last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Now I think Variant I is just like the others; it’s a case where knowledge is lost. And in fact I think Variant I is basically a special case of Variant C.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But this terminology has a very short shelf-life. After all, we’ve been discussing the role of interests in epistemology since at least 2002</w:t>
      </w:r>
      <w:r>
        <w:t xml:space="preserve"> </w:t>
      </w:r>
      <w:r>
        <w:t xml:space="preserve">(Fantl and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truth-connected. It says knowledge requires strong evidence. Now, of course, it also says just how strong a requirement is depends on what their inquiries are. But what the critics want to say is not just that every factor that matters to knowledge is truth-relevant, but every aspect of every factor that matters is truth-relevant.</w:t>
      </w:r>
    </w:p>
    <w:p>
      <w:pPr>
        <w:pStyle w:val="BodyText"/>
      </w:pPr>
      <w:r>
        <w:t xml:space="preserve">And that really can’t be right. Or, at least, it can’t be right unless you believe the JTB theory of knowledge. If the JTB theory is false, then there are bound to be counterexamples to the principles that IRT is inconsistent with. So consider Wright’s</w:t>
      </w:r>
      <w:r>
        <w:t xml:space="preserve"> </w:t>
      </w:r>
      <w:r>
        <w:t xml:space="preserve">‘</w:t>
      </w:r>
      <w:r>
        <w:t xml:space="preserve">ugly conjunction</w:t>
      </w:r>
      <w:r>
        <w:t xml:space="preserve">’</w:t>
      </w:r>
      <w:r>
        <w:t xml:space="preserve">.</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 at t and not at t* this conjunction should be possible. So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43"/>
    <w:bookmarkStart w:id="146"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44"/>
      </w:r>
      <w:r>
        <w:t xml:space="preserve"> </w:t>
      </w:r>
      <w:r>
        <w:t xml:space="preserve">It isn’t extensional adequacy; Dharmottara refuted that 1300 years ago. But it can be expressed using the modern</w:t>
      </w:r>
      <w:r>
        <w:rPr>
          <w:rStyle w:val="FootnoteReference"/>
        </w:rPr>
        <w:footnoteReference w:id="145"/>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4"/>
        </w:numPr>
        <w:pStyle w:val="Compact"/>
      </w:pPr>
      <w:r>
        <w:t xml:space="preserve">S knows that</w:t>
      </w:r>
      <w:r>
        <w:t xml:space="preserve"> </w:t>
      </w:r>
      <w:r>
        <w:rPr>
          <w:iCs/>
          <w:i/>
        </w:rPr>
        <w:t xml:space="preserve">p</w:t>
      </w:r>
      <w:r>
        <w:t xml:space="preserve">.</w:t>
      </w:r>
    </w:p>
    <w:p>
      <w:pPr>
        <w:numPr>
          <w:ilvl w:val="0"/>
          <w:numId w:val="1044"/>
        </w:numPr>
        <w:pStyle w:val="Compact"/>
      </w:pPr>
      <w:r>
        <w:rPr>
          <w:iCs/>
          <w:i/>
        </w:rPr>
        <w:t xml:space="preserve">p</w:t>
      </w:r>
      <w:r>
        <w:t xml:space="preserve">.</w:t>
      </w:r>
    </w:p>
    <w:p>
      <w:pPr>
        <w:numPr>
          <w:ilvl w:val="0"/>
          <w:numId w:val="1044"/>
        </w:numPr>
        <w:pStyle w:val="Compact"/>
      </w:pPr>
      <w:r>
        <w:t xml:space="preserve">S’s attitude to</w:t>
      </w:r>
      <w:r>
        <w:t xml:space="preserve"> </w:t>
      </w:r>
      <w:r>
        <w:rPr>
          <w:iCs/>
          <w:i/>
        </w:rPr>
        <w:t xml:space="preserve">p</w:t>
      </w:r>
      <w:r>
        <w:t xml:space="preserve"> </w:t>
      </w:r>
      <w:r>
        <w:t xml:space="preserve">is rational.</w:t>
      </w:r>
    </w:p>
    <w:p>
      <w:pPr>
        <w:numPr>
          <w:ilvl w:val="0"/>
          <w:numId w:val="1044"/>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I want to say the same thing about knowledge and interests. What one knows is always (in principle) sensitive to what one’s interests are. But in cases where one knows, one’s knowledge is not explained by what one’s interests are. Indeed, it is explained just by the factors that go into RTB, and perhaps the interplay between them.</w:t>
      </w:r>
    </w:p>
    <w:p>
      <w:pPr>
        <w:pStyle w:val="BodyText"/>
      </w:pPr>
      <w:r>
        <w:t xml:space="preserve">And I want to suggest, somewhat tentatively, that some of the objections to the very plausibility of IRT rely on running together the notions of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But while I think attending to the distinction between counterfactual dependence and building explains some of the implausibility of IRT, it surely doesn’t explain all of it. So in the next and last section of the chapter, I’ll go over an argument by Nilanjan Das that when we look at the particular ways people have tried to get around the failures of RTB, we see that everyone is committed to at least some interest-relativity.</w:t>
      </w:r>
    </w:p>
    <w:bookmarkEnd w:id="146"/>
    <w:bookmarkStart w:id="148"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47"/>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If Charlotte knows that</w:t>
      </w:r>
      <w:r>
        <w:t xml:space="preserve"> </w:t>
      </w:r>
      <w:r>
        <w:rPr>
          <w:iCs/>
          <w:i/>
        </w:rPr>
        <w:t xml:space="preserve">p</w:t>
      </w:r>
      <w:r>
        <w:t xml:space="preserve"> </w:t>
      </w:r>
      <w:r>
        <w:t xml:space="preserve">in Variant K, but not in Variant S, then whether she knows that</w:t>
      </w:r>
      <w:r>
        <w:t xml:space="preserve"> </w:t>
      </w:r>
      <w:r>
        <w:rPr>
          <w:iCs/>
          <w:i/>
        </w:rPr>
        <w:t xml:space="preserve">p</w:t>
      </w:r>
      <w:r>
        <w:t xml:space="preserve"> </w:t>
      </w:r>
      <w:r>
        <w:t xml:space="preserve">depends, among many other things, on her preferred format for reading books. The first thing to note here is that it is very hard to explain this dependence if we insist that all the factors relevant to knowledge are</w:t>
      </w:r>
      <w:r>
        <w:t xml:space="preserve"> </w:t>
      </w:r>
      <w:r>
        <w:t xml:space="preserve">‘</w:t>
      </w:r>
      <w:r>
        <w:t xml:space="preserve">truth-relevant</w:t>
      </w:r>
      <w:r>
        <w:t xml:space="preserve">’</w:t>
      </w:r>
      <w:r>
        <w:t xml:space="preserve"> </w:t>
      </w:r>
      <w:r>
        <w:t xml:space="preserve">or</w:t>
      </w:r>
      <w:r>
        <w:t xml:space="preserve"> </w:t>
      </w:r>
      <w:r>
        <w:t xml:space="preserve">‘</w:t>
      </w:r>
      <w:r>
        <w:t xml:space="preserve">truth-connected</w:t>
      </w:r>
      <w:r>
        <w:t xml:space="preserve">’</w:t>
      </w:r>
      <w:r>
        <w:t xml:space="preserve">. She gets the truth in both cases; it’s just that she is lucky one time and not another. We can make the same point using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that isn’t truth-relevant or truth-connected. 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The solution to that problem will rely on factors that are not in themselves truth-relevant. But given that different reference classes will have different success rates, it will turn out that knowledge depends on things that are not truth-relevant, i.e., things that put one in different reference classes.</w:t>
      </w:r>
    </w:p>
    <w:p>
      <w:pPr>
        <w:pStyle w:val="BodyText"/>
      </w:pPr>
      <w:r>
        <w:t xml:space="preserve">That’s enough to argue against sweeping generalisations about what knowledge could or could not be sensitive to. Knowledge could be sensitive to anything, because anything could matter to a reference class. But as Nilanjan Das</w:t>
      </w:r>
      <w:r>
        <w:t xml:space="preserve"> </w:t>
      </w:r>
      <w:r>
        <w:t xml:space="preserve">(2016, 116)</w:t>
      </w:r>
      <w:r>
        <w:t xml:space="preserve"> </w:t>
      </w:r>
      <w:r>
        <w:t xml:space="preserve">shows,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a function of one’s interests, then knowledge is going to be interest-relative. That’s the point about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In general, any theory that appeals to safety, or reliability, or publicly available evidence, or almost any other external factor, will make knowledge interest-relative. Knowledge means you couldn’t easily have gone wrong. But what could easily happen, in the relevant sense, is an interest-relative notion. When you’re assessing whether my belief forming mechanisms are safe and reliable, you should worry about whether they work in college towns the other side of the world, but not about whether they work in lakeshore towns across the state. The opposite is true when thinking about my neighbors. And that’s solely because of a difference in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48"/>
    <w:bookmarkEnd w:id="149"/>
    <w:bookmarkStart w:id="175" w:name="sec-ratbel"/>
    <w:p>
      <w:pPr>
        <w:pStyle w:val="Heading1"/>
      </w:pPr>
      <w:r>
        <w:t xml:space="preserve">8. Rationality</w:t>
      </w:r>
    </w:p>
    <w:p>
      <w:pPr>
        <w:pStyle w:val="FirstParagraph"/>
      </w:pPr>
      <w:r>
        <w:t xml:space="preserve">This chapter discusses the role of rational belief in the version of IRT that I defend. It starts by noting that the theory allows for a new kind of Dharmottara case, where a rational, true belief is not actually knowledge. And I argue that it is a good thing it allows this, for once we see the kind of case in question, it is plausible that it is a Dharmottara case. Then I present two arguments, one of them due to Timothy Williamson and the other novel, for the conclusion that it is possible to have rational credence 1 in a proposition without fully believing it. If that’s right, it refutes two prominent theories of the relationship between credence and full belief. The first is that full belief is credence one, and the second is that full belief is credence above some interest-invariant threshold. These are metaphysical theses about the nature of belief, but each of them comes with a matching normative thesis: that rational belief is a matter of having such-and-such rational credence. I’m going to focus primarily on the second of these, that rational belief is a matter of having rational credence above some interest-invariant threshold. If that fails, then so does the theory that rational belief is a matter of rationally having credence 1. But there are independent problems for the view that the threshold is high but not maximal, and the arguments against that view are less controversial than the ones against the view that rational belief is rational maximal credence. I’ll end the chapter by noting how the view of rational belief that comes out of IRT is immune to those problems.</w:t>
      </w:r>
    </w:p>
    <w:bookmarkStart w:id="152"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argued for two individually necessary and jointly sufficient conditions for belief.</w:t>
      </w:r>
      <w:r>
        <w:rPr>
          <w:rStyle w:val="FootnoteReference"/>
        </w:rPr>
        <w:footnoteReference w:id="150"/>
      </w:r>
      <w:r>
        <w:t xml:space="preserve"> </w:t>
      </w:r>
      <w:r>
        <w:t xml:space="preserve">They are</w:t>
      </w:r>
    </w:p>
    <w:p>
      <w:pPr>
        <w:numPr>
          <w:ilvl w:val="0"/>
          <w:numId w:val="1045"/>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5"/>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6"/>
        </w:numPr>
        <w:pStyle w:val="Compact"/>
      </w:pPr>
      <w:r>
        <w:t xml:space="preserve">If she declines the bet, nothing happens.</w:t>
      </w:r>
    </w:p>
    <w:p>
      <w:pPr>
        <w:numPr>
          <w:ilvl w:val="0"/>
          <w:numId w:val="1046"/>
        </w:numPr>
        <w:pStyle w:val="Compact"/>
      </w:pPr>
      <w:r>
        <w:t xml:space="preserve">If she accepts the bet, and the Battle of Agincourt was in 1415, she wins $1.</w:t>
      </w:r>
    </w:p>
    <w:p>
      <w:pPr>
        <w:numPr>
          <w:ilvl w:val="0"/>
          <w:numId w:val="1046"/>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was really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7"/>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7"/>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w:t>
      </w:r>
      <w:r>
        <w:t xml:space="preserve"> </w:t>
      </w:r>
      <w:r>
        <w:rPr>
          <w:iCs/>
          <w:i/>
        </w:rPr>
        <w:t xml:space="preserve">X</w:t>
      </w:r>
      <w:r>
        <w:t xml:space="preserv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w:t>
      </w:r>
    </w:p>
    <w:p>
      <w:pPr>
        <w:pStyle w:val="BodyText"/>
      </w:pPr>
      <w:r>
        <w:t xml:space="preserve">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w:t>
      </w:r>
    </w:p>
    <w:p>
      <w:pPr>
        <w:pStyle w:val="BodyText"/>
      </w:pPr>
      <w:r>
        <w:t xml:space="preserve">That’s because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8"/>
        </w:numPr>
        <w:pStyle w:val="Compact"/>
      </w:pPr>
      <w:r>
        <w:t xml:space="preserve">It has been her life goal to lose a billion dollars in a day, so taking the bet strictly dominates not taking it.</w:t>
      </w:r>
    </w:p>
    <w:p>
      <w:pPr>
        <w:numPr>
          <w:ilvl w:val="0"/>
          <w:numId w:val="1048"/>
        </w:numPr>
        <w:pStyle w:val="Compact"/>
      </w:pPr>
      <w:r>
        <w:t xml:space="preserve">She believes (irrationally) that anyone who loses a billion dollars in a day goes to heaven, and she (rationally) values heaven above any monetary amount.</w:t>
      </w:r>
    </w:p>
    <w:p>
      <w:pPr>
        <w:numPr>
          <w:ilvl w:val="0"/>
          <w:numId w:val="1048"/>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51"/>
      </w:r>
    </w:p>
    <w:p>
      <w:pPr>
        <w:pStyle w:val="BodyText"/>
      </w:pP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w:t>
      </w:r>
    </w:p>
    <w:p>
      <w:pPr>
        <w:pStyle w:val="BodyText"/>
      </w:pPr>
      <w:r>
        <w:t xml:space="preserve">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w:t>
      </w:r>
    </w:p>
    <w:p>
      <w:pPr>
        <w:pStyle w:val="BodyText"/>
      </w:pPr>
      <w:r>
        <w:t xml:space="preserve">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and that theorem to say that one can be represented by a probability function</w:t>
      </w:r>
      <w:r>
        <w:t xml:space="preserve"> </w:t>
      </w:r>
      <w:r>
        <w:rPr>
          <w:iCs/>
          <w:i/>
        </w:rPr>
        <w:t xml:space="preserve">Pr</w:t>
      </w:r>
      <w:r>
        <w:t xml:space="preserve"> </w:t>
      </w:r>
      <w:r>
        <w:t xml:space="preserve">and a utility function</w:t>
      </w:r>
      <w:r>
        <w:t xml:space="preserve"> </w:t>
      </w:r>
      <w:r>
        <w:rPr>
          <w:iCs/>
          <w:i/>
        </w:rPr>
        <w:t xml:space="preserve">U</w:t>
      </w:r>
      <w:r>
        <w:t xml:space="preserve"> </w:t>
      </w:r>
      <w:r>
        <w:t xml:space="preserve">such that</w:t>
      </w:r>
      <w:r>
        <w:t xml:space="preserve"> </w:t>
      </w:r>
      <w:r>
        <w:rPr>
          <w:iCs/>
          <w:i/>
        </w:rPr>
        <w:t xml:space="preserve">Pr</w:t>
      </w:r>
      <w:r>
        <w:t xml:space="preserve">(</w:t>
      </w:r>
      <w:r>
        <w:rPr>
          <w:iCs/>
          <w:i/>
        </w:rPr>
        <w:t xml:space="preserve">p</w:t>
      </w:r>
      <w:r>
        <w:t xml:space="preserve">) = 0.6. That can’t be right because some people will, intuitively,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52"/>
    <w:bookmarkStart w:id="153"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w:t>
      </w:r>
    </w:p>
    <w:p>
      <w:pPr>
        <w:pStyle w:val="BodyText"/>
      </w:pPr>
      <w:r>
        <w:t xml:space="preserve">The first puzzle for this Lockean view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9"/>
        </w:numPr>
        <w:pStyle w:val="Compact"/>
      </w:pPr>
      <w:r>
        <w:t xml:space="preserve">At least one of the coin tosses will land either heads or tails.</w:t>
      </w:r>
    </w:p>
    <w:p>
      <w:pPr>
        <w:numPr>
          <w:ilvl w:val="0"/>
          <w:numId w:val="1049"/>
        </w:numPr>
        <w:pStyle w:val="Compact"/>
      </w:pPr>
      <w:r>
        <w:t xml:space="preserve">At least one of the coin tosses will land heads.</w:t>
      </w:r>
    </w:p>
    <w:p>
      <w:pPr>
        <w:numPr>
          <w:ilvl w:val="0"/>
          <w:numId w:val="1049"/>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But 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53"/>
    <w:bookmarkStart w:id="163"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54"/>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 (At least, I used to get these points all wrong, and that’s got to be evidence they are easy to get confused about, right?) So I’ll set the basic points slowly, and then circle back to the puzzle for the Lockeans.</w:t>
      </w:r>
      <w:r>
        <w:rPr>
          <w:rStyle w:val="FootnoteReference"/>
        </w:rPr>
        <w:footnoteReference w:id="155"/>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bookmarkStart w:id="156" w:name="tbl-underspecified"/>
    <w:p>
      <w:pPr>
        <w:pStyle w:val="TableCaption"/>
      </w:pPr>
      <w:r>
        <w:t xml:space="preserve">Table 8.1: An underspecified decision problem.</w:t>
      </w:r>
    </w:p>
    <w:tbl>
      <w:tblPr>
        <w:tblStyle w:val="Table"/>
        <w:tblW w:type="auto" w:w="0"/>
        <w:tblLook w:firstRow="0" w:lastRow="0" w:firstColumn="0" w:lastColumn="0" w:noHBand="0" w:noVBand="0" w:val="0000"/>
        <w:tblCaption w:val="Table 8.1: An underspecified decision problem."/>
      </w:tblPr>
      <w:tblGrid>
        <w:gridCol w:w="2640"/>
        <w:gridCol w:w="2640"/>
        <w:gridCol w:w="2640"/>
      </w:tblGrid>
      <w:t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w:t>
            </w:r>
          </w:p>
        </w:tc>
        <w:tc>
          <w:tcPr/>
          <w:p>
            <w:pPr>
              <w:pStyle w:val="Compact"/>
              <w:jc w:val="center"/>
            </w:pPr>
            <w:r>
              <w:t xml:space="preserve">0</w:t>
            </w:r>
          </w:p>
        </w:tc>
      </w:tr>
      <w:tr>
        <w:tc>
          <w:tcPr/>
          <w:p>
            <w:pPr>
              <w:pStyle w:val="Compact"/>
              <w:jc w:val="left"/>
            </w:pPr>
            <w:r>
              <w:rPr>
                <w:iCs/>
                <w:i/>
              </w:rPr>
              <w:t xml:space="preserve">A</w:t>
            </w:r>
            <w:r>
              <w:rPr>
                <w:vertAlign w:val="subscript"/>
              </w:rPr>
              <w:t xml:space="preserve">2</w:t>
            </w:r>
          </w:p>
        </w:tc>
        <w:tc>
          <w:tcPr/>
          <w:p>
            <w:pPr>
              <w:pStyle w:val="Compact"/>
              <w:jc w:val="center"/>
            </w:pPr>
            <w:r>
              <w:t xml:space="preserve">1</w:t>
            </w:r>
          </w:p>
        </w:tc>
        <w:tc>
          <w:tcPr/>
          <w:p>
            <w:pPr>
              <w:pStyle w:val="Compact"/>
              <w:jc w:val="center"/>
            </w:pPr>
            <w:r>
              <w:t xml:space="preserve">1</w:t>
            </w:r>
          </w:p>
        </w:tc>
      </w:tr>
    </w:tbl>
    <w:bookmarkEnd w:id="156"/>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bookmarkStart w:id="157" w:name="tbl-simple-game"/>
    <w:p>
      <w:pPr>
        <w:pStyle w:val="TableCaption"/>
      </w:pPr>
      <w:r>
        <w:t xml:space="preserve">Table 8.2: A simple game.</w:t>
      </w:r>
    </w:p>
    <w:tbl>
      <w:tblPr>
        <w:tblStyle w:val="Table"/>
        <w:tblW w:type="auto" w:w="0"/>
        <w:tblLook w:firstRow="0" w:lastRow="0" w:firstColumn="0" w:lastColumn="0" w:noHBand="0" w:noVBand="0" w:val="0000"/>
        <w:tblCaption w:val="Table 8.2: A simple game."/>
      </w:tblPr>
      <w:tblGrid>
        <w:gridCol w:w="2640"/>
        <w:gridCol w:w="2640"/>
        <w:gridCol w:w="2640"/>
      </w:tblGrid>
      <w:t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4, 0</w:t>
            </w:r>
          </w:p>
        </w:tc>
        <w:tc>
          <w:tcPr/>
          <w:p>
            <w:pPr>
              <w:pStyle w:val="Compact"/>
              <w:jc w:val="center"/>
            </w:pPr>
            <w:r>
              <w:t xml:space="preserve">0, 1</w:t>
            </w:r>
          </w:p>
        </w:tc>
      </w:tr>
      <w:tr>
        <w:tc>
          <w:tcPr/>
          <w:p>
            <w:pPr>
              <w:pStyle w:val="Compact"/>
              <w:jc w:val="left"/>
            </w:pPr>
            <w:r>
              <w:rPr>
                <w:iCs/>
                <w:i/>
              </w:rPr>
              <w:t xml:space="preserve">A</w:t>
            </w:r>
            <w:r>
              <w:rPr>
                <w:vertAlign w:val="subscript"/>
              </w:rPr>
              <w:t xml:space="preserve">2</w:t>
            </w:r>
          </w:p>
        </w:tc>
        <w:tc>
          <w:tcPr/>
          <w:p>
            <w:pPr>
              <w:pStyle w:val="Compact"/>
              <w:jc w:val="center"/>
            </w:pPr>
            <w:r>
              <w:t xml:space="preserve">1, 0</w:t>
            </w:r>
          </w:p>
        </w:tc>
        <w:tc>
          <w:tcPr/>
          <w:p>
            <w:pPr>
              <w:pStyle w:val="Compact"/>
              <w:jc w:val="center"/>
            </w:pPr>
            <w:r>
              <w:t xml:space="preserve">1, 1</w:t>
            </w:r>
          </w:p>
        </w:tc>
      </w:tr>
    </w:tbl>
    <w:bookmarkEnd w:id="157"/>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But that’s fine; the layout of that decision problem was neutral on what constituted the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Note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58"/>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bookmarkStart w:id="159" w:name="tbl-death-damascus"/>
    <w:p>
      <w:pPr>
        <w:pStyle w:val="TableCaption"/>
      </w:pPr>
      <w:r>
        <w:t xml:space="preserve">Table 8.3: Death in Damascus as a game.</w:t>
      </w:r>
    </w:p>
    <w:tbl>
      <w:tblPr>
        <w:tblStyle w:val="Table"/>
        <w:tblW w:type="auto" w:w="0"/>
        <w:tblLook w:firstRow="0" w:lastRow="0" w:firstColumn="0" w:lastColumn="0" w:noHBand="0" w:noVBand="0" w:val="0000"/>
        <w:tblCaption w:val="Table 8.3: Death in Damascus as a game."/>
      </w:tblPr>
      <w:tblGrid>
        <w:gridCol w:w="2640"/>
        <w:gridCol w:w="2640"/>
        <w:gridCol w:w="2640"/>
      </w:tblGrid>
      <w:t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0, 1</w:t>
            </w:r>
          </w:p>
        </w:tc>
        <w:tc>
          <w:tcPr/>
          <w:p>
            <w:pPr>
              <w:pStyle w:val="Compact"/>
              <w:jc w:val="center"/>
            </w:pPr>
            <w:r>
              <w:t xml:space="preserve">10, 0</w:t>
            </w:r>
          </w:p>
        </w:tc>
      </w:tr>
      <w:tr>
        <w:tc>
          <w:tcPr/>
          <w:p>
            <w:pPr>
              <w:pStyle w:val="Compact"/>
              <w:jc w:val="left"/>
            </w:pPr>
            <w:r>
              <w:rPr>
                <w:iCs/>
                <w:i/>
              </w:rPr>
              <w:t xml:space="preserve">A</w:t>
            </w:r>
            <w:r>
              <w:rPr>
                <w:vertAlign w:val="subscript"/>
              </w:rPr>
              <w:t xml:space="preserve">2</w:t>
            </w:r>
          </w:p>
        </w:tc>
        <w:tc>
          <w:tcPr/>
          <w:p>
            <w:pPr>
              <w:pStyle w:val="Compact"/>
              <w:jc w:val="center"/>
            </w:pPr>
            <w:r>
              <w:t xml:space="preserve">9, 0</w:t>
            </w:r>
          </w:p>
        </w:tc>
        <w:tc>
          <w:tcPr/>
          <w:p>
            <w:pPr>
              <w:pStyle w:val="Compact"/>
              <w:jc w:val="center"/>
            </w:pPr>
            <w:r>
              <w:t xml:space="preserve">-1, 1</w:t>
            </w:r>
          </w:p>
        </w:tc>
      </w:tr>
    </w:tbl>
    <w:bookmarkEnd w:id="159"/>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Here Column wants herself and Row to make the</w:t>
      </w:r>
      <w:r>
        <w:t xml:space="preserve"> </w:t>
      </w:r>
      <w:r>
        <w:t xml:space="preserve">‘</w:t>
      </w:r>
      <w:r>
        <w:t xml:space="preserve">same</w:t>
      </w:r>
      <w:r>
        <w:t xml:space="preserve">’</w:t>
      </w:r>
      <w:r>
        <w:t xml:space="preserve"> </w:t>
      </w:r>
      <w:r>
        <w:t xml:space="preserve">choice, i.e.,</w:t>
      </w:r>
      <w:r>
        <w:t xml:space="preserve"> </w:t>
      </w:r>
      <w:r>
        <w:rPr>
          <w:iCs/>
          <w:i/>
        </w:rPr>
        <w:t xml:space="preserve">A</w:t>
      </w:r>
      <w:r>
        <w:rPr>
          <w:vertAlign w:val="subscript"/>
        </w:rPr>
        <w:t xml:space="preserve">1</w:t>
      </w:r>
      <w:r>
        <w:t xml:space="preserve"> </w:t>
      </w:r>
      <w:r>
        <w:t xml:space="preserve">and</w:t>
      </w:r>
      <w:r>
        <w:t xml:space="preserve"> </w:t>
      </w:r>
      <w:r>
        <w:rPr>
          <w:iCs/>
          <w:i/>
        </w:rPr>
        <w:t xml:space="preserve">S</w:t>
      </w:r>
      <w:r>
        <w:rPr>
          <w:vertAlign w:val="subscript"/>
        </w:rPr>
        <w:t xml:space="preserve">1</w:t>
      </w:r>
      <w:r>
        <w:t xml:space="preserve"> </w:t>
      </w:r>
      <w:r>
        <w:t xml:space="preserve">or</w:t>
      </w:r>
      <w:r>
        <w:t xml:space="preserve"> </w:t>
      </w:r>
      <w:r>
        <w:rPr>
          <w:iCs/>
          <w:i/>
        </w:rPr>
        <w:t xml:space="preserve">A</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She gets 1 if they do, 0 otherwise. And Row wants them to make different choices, and gets 10 if they do. Row also dislikes playing</w:t>
      </w:r>
      <w:r>
        <w:t xml:space="preserve"> </w:t>
      </w:r>
      <w:r>
        <w:rPr>
          <w:iCs/>
          <w:i/>
        </w:rPr>
        <w:t xml:space="preserve">A</w:t>
      </w:r>
      <w:r>
        <w:rPr>
          <w:vertAlign w:val="subscript"/>
        </w:rPr>
        <w:t xml:space="preserve">2</w:t>
      </w:r>
      <w:r>
        <w:t xml:space="preserve">, and this costs her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bCs/>
          <w:b/>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and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bCs/>
          <w:b/>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57–58)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60"/>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61"/>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bookmarkStart w:id="162" w:name="tbl-up-down"/>
    <w:p>
      <w:pPr>
        <w:pStyle w:val="TableCaption"/>
      </w:pPr>
      <w:r>
        <w:t xml:space="preserve">Table 8.4: The Up-Down game.</w:t>
      </w:r>
    </w:p>
    <w:tbl>
      <w:tblPr>
        <w:tblStyle w:val="Table"/>
        <w:tblW w:type="auto" w:w="0"/>
        <w:tblLook w:firstRow="0" w:lastRow="0" w:firstColumn="0" w:lastColumn="0" w:noHBand="0" w:noVBand="0" w:val="0000"/>
        <w:tblCaption w:val="Table 8.4: The Up-Down game."/>
      </w:tblPr>
      <w:tblGrid>
        <w:gridCol w:w="2640"/>
        <w:gridCol w:w="2640"/>
        <w:gridCol w:w="2640"/>
      </w:tblGrid>
      <w:tr>
        <w:tc>
          <w:tcPr/>
          <w:p>
            <w:pPr>
              <w:pStyle w:val="Compact"/>
            </w:pPr>
          </w:p>
        </w:tc>
        <w:tc>
          <w:tcPr/>
          <w:p>
            <w:pPr>
              <w:pStyle w:val="Compact"/>
              <w:jc w:val="center"/>
            </w:pPr>
            <w:r>
              <w:rPr>
                <w:iCs/>
                <w:i/>
              </w:rPr>
              <w:t xml:space="preserve">up</w:t>
            </w:r>
          </w:p>
        </w:tc>
        <w:tc>
          <w:tcPr/>
          <w:p>
            <w:pPr>
              <w:pStyle w:val="Compact"/>
              <w:jc w:val="center"/>
            </w:pPr>
            <w:r>
              <w:rPr>
                <w:iCs/>
                <w:i/>
              </w:rPr>
              <w:t xml:space="preserve">down</w:t>
            </w:r>
          </w:p>
        </w:tc>
      </w:tr>
      <w:tr>
        <w:tc>
          <w:tcPr/>
          <w:p>
            <w:pPr>
              <w:pStyle w:val="Compact"/>
              <w:jc w:val="left"/>
            </w:pPr>
            <w:r>
              <w:t xml:space="preserve">UP</w:t>
            </w:r>
          </w:p>
        </w:tc>
        <w:tc>
          <w:tcPr/>
          <w:p>
            <w:pPr>
              <w:pStyle w:val="Compact"/>
              <w:jc w:val="center"/>
            </w:pPr>
            <w:r>
              <w:t xml:space="preserve">1, 1</w:t>
            </w:r>
          </w:p>
        </w:tc>
        <w:tc>
          <w:tcPr/>
          <w:p>
            <w:pPr>
              <w:pStyle w:val="Compact"/>
              <w:jc w:val="center"/>
            </w:pPr>
            <w:r>
              <w:t xml:space="preserve">1, 1</w:t>
            </w:r>
          </w:p>
        </w:tc>
      </w:tr>
      <w:tr>
        <w:tc>
          <w:tcPr/>
          <w:p>
            <w:pPr>
              <w:pStyle w:val="Compact"/>
              <w:jc w:val="left"/>
            </w:pPr>
            <w:r>
              <w:t xml:space="preserve">DOWN</w:t>
            </w:r>
          </w:p>
        </w:tc>
        <w:tc>
          <w:tcPr/>
          <w:p>
            <w:pPr>
              <w:pStyle w:val="Compact"/>
              <w:jc w:val="center"/>
            </w:pPr>
            <w:r>
              <w:t xml:space="preserve">1, 1</w:t>
            </w:r>
          </w:p>
        </w:tc>
        <w:tc>
          <w:tcPr/>
          <w:p>
            <w:pPr>
              <w:pStyle w:val="Compact"/>
              <w:jc w:val="center"/>
            </w:pPr>
            <w:r>
              <w:t xml:space="preserve">0, 0</w:t>
            </w:r>
          </w:p>
        </w:tc>
      </w:tr>
    </w:tbl>
    <w:bookmarkEnd w:id="162"/>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somewhat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Now I don’t want to assume without any argument that expected utility maximisation as the only rule for rational decision making. It would be a mistake to assume away, for example, theories add some kind of tie-breaker procedure to their account of rational decision making. And weak dominance reasoning can, in some circumstances, look just like expected utility maximisation supplemented by a tie-breaker. That is how it gets used by Stalnaker in the papers of his I mentioned above.</w:t>
      </w:r>
    </w:p>
    <w:p>
      <w:pPr>
        <w:pStyle w:val="BodyText"/>
      </w:pPr>
      <w:r>
        <w:t xml:space="preserve">But weak dominance reasoning doesn’t provide to play UP in this particular case.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63"/>
    <w:bookmarkStart w:id="169"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Lockean, the theorist who identifies belief with credence above some non-maximal, interest-invariant, threshold.</w:t>
      </w:r>
    </w:p>
    <w:bookmarkStart w:id="164"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w:t>
      </w:r>
      <w:r>
        <w:t xml:space="preserve"> </w:t>
      </w:r>
      <w:r>
        <w:rPr>
          <w:iCs/>
          <w:i/>
        </w:rPr>
        <w:t xml:space="preserve">t</w:t>
      </w:r>
      <w:r>
        <w:t xml:space="preserve"> </w:t>
      </w:r>
      <w:r>
        <w:t xml:space="preserve">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Now we might respond to this by noting that this only helps on an implausible theory of vagueness. On epistemicist theories, or supervaluationist theories, or on my preferred comparative truth theory</w:t>
      </w:r>
      <w:r>
        <w:t xml:space="preserve"> </w:t>
      </w:r>
      <w:r>
        <w:t xml:space="preserve">(Weatherson 2005b)</w:t>
      </w:r>
      <w:r>
        <w:t xml:space="preserve">, there will still be an arbitrary point which marks the difference between belief and non-belief. This won’t be the case on various kinds of degree of truth theories. But, as Williamson</w:t>
      </w:r>
      <w:r>
        <w:t xml:space="preserve"> </w:t>
      </w:r>
      <w:r>
        <w:t xml:space="preserve">(1994)</w:t>
      </w:r>
      <w:r>
        <w:t xml:space="preserve"> </w:t>
      </w:r>
      <w:r>
        <w:t xml:space="preserve">pointed out, those are theories on which contradictions end up being half-true. And if saving the Lockean theory requires that we give up on the idea that contradictions are simply false, it is hard to see how it is worth the price.</w:t>
      </w:r>
    </w:p>
    <w:p>
      <w:pPr>
        <w:pStyle w:val="BodyText"/>
      </w:pPr>
      <w:r>
        <w:t xml:space="preserve">But a better response is to think about what it means to say that the belief/non-belief boundary is a vague point on a scale. We know plenty of terms where the boundary is a vague point on a scale. Comparative adjectives are typically like that. Whether a day is hot depends on whether it is above some vague point on a temperature scale, for example. But here’s the thing about these vague terms - they don’t enter into lawlike generalisations. (At least in a non-trivial way. Hot days are 24 hours long, and that’s a law, but not one that hotness has a particular role in grounding.) The laws involve the scale; the most you can say using the vague term is some kind of generic.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not like that. Belief plays a key role in all sorts of non-trivial lawlike generalisations. Folk psychology is full of such lawlike generalisations. We’re doing social science here, so the laws in question are hardly exceptionless. But they are counterfactually resilient, and explanatorily deep, and not just generics that are best explained using the underlying scale.</w:t>
      </w:r>
    </w:p>
    <w:p>
      <w:pPr>
        <w:pStyle w:val="BodyText"/>
      </w:pPr>
      <w:r>
        <w:t xml:space="preserve">Of course, the Lockean doesn’t believe that these generalisations of folk psychology are anything more than generics, so this is a somewhat question-begging argument. But if you’re not antecedently disposed to give up on folk psychology, or reduce it to the status of a bunch of helpful generics, it’s worth seeing how striking the Lockean view here is. So consider a generalisation like the following.</w:t>
      </w:r>
    </w:p>
    <w:p>
      <w:pPr>
        <w:numPr>
          <w:ilvl w:val="0"/>
          <w:numId w:val="1050"/>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Or so I say. But the Lockean does not say this; they say that this has widespread counterexamples, and when it is true, it is a relatively superficial truth whose explanatory force is entirely derived from deeper truths about credences.</w:t>
      </w:r>
    </w:p>
    <w:p>
      <w:pPr>
        <w:pStyle w:val="BodyText"/>
      </w:pPr>
      <w:r>
        <w:t xml:space="preserve">The Lockean, for instance,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64"/>
    <w:bookmarkStart w:id="165"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subsection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w:t>
      </w:r>
      <w:r>
        <w:t xml:space="preserve"> </w:t>
      </w:r>
      <w:r>
        <w:rPr>
          <w:iCs/>
          <w:i/>
        </w:rPr>
        <w:t xml:space="preserve">t</w:t>
      </w:r>
      <w:r>
        <w:t xml:space="preserve"> &gt;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65"/>
    <w:bookmarkStart w:id="166"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subsection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66"/>
    <w:bookmarkStart w:id="168"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67"/>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51"/>
        </w:numPr>
        <w:pStyle w:val="Compact"/>
      </w:pPr>
      <w:r>
        <w:rPr>
          <w:iCs/>
          <w:i/>
        </w:rPr>
        <w:t xml:space="preserve">S</w:t>
      </w:r>
      <w:r>
        <w:t xml:space="preserve"> </w:t>
      </w:r>
      <w:r>
        <w:t xml:space="preserve">is a rational agent.</w:t>
      </w:r>
    </w:p>
    <w:p>
      <w:pPr>
        <w:numPr>
          <w:ilvl w:val="0"/>
          <w:numId w:val="1051"/>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51"/>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51"/>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51"/>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2"/>
        </w:numPr>
        <w:pStyle w:val="Compact"/>
      </w:pPr>
      <w:r>
        <w:rPr>
          <w:iCs/>
          <w:i/>
        </w:rPr>
        <w:t xml:space="preserve">S</w:t>
      </w:r>
      <w:r>
        <w:t xml:space="preserve"> </w:t>
      </w:r>
      <w:r>
        <w:t xml:space="preserve">is a rational agent.</w:t>
      </w:r>
    </w:p>
    <w:p>
      <w:pPr>
        <w:numPr>
          <w:ilvl w:val="0"/>
          <w:numId w:val="1052"/>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2"/>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2"/>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2"/>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68"/>
    <w:bookmarkEnd w:id="169"/>
    <w:bookmarkStart w:id="174" w:name="sec-solving"/>
    <w:p>
      <w:pPr>
        <w:pStyle w:val="Heading2"/>
      </w:pPr>
      <w:r>
        <w:t xml:space="preserve">8.5 Solving the Challenges</w:t>
      </w:r>
    </w:p>
    <w:p>
      <w:pPr>
        <w:pStyle w:val="FirstParagraph"/>
      </w:pPr>
      <w:r>
        <w:t xml:space="preserve">It’s not fair to criticise other theories for their inability to meet a challenge that one’s own theory cannot meet. So I’ll end this chapter by noting that the six problems I’ve raised so far for Lockeans are not problems for my interest-relative theory of (rational) belief. I’ve already discussed the points about correctness in</w:t>
      </w:r>
      <w:r>
        <w:t xml:space="preserve"> </w:t>
      </w:r>
      <w:hyperlink w:anchor="sec-mecorrect">
        <w:r>
          <w:rPr>
            <w:rStyle w:val="Hyperlink"/>
          </w:rPr>
          <w:t xml:space="preserve">subsection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But it’s worth saying a few words about the other four problems.</w:t>
      </w:r>
    </w:p>
    <w:bookmarkStart w:id="170" w:name="coins"/>
    <w:p>
      <w:pPr>
        <w:pStyle w:val="Heading3"/>
      </w:pPr>
      <w:r>
        <w:t xml:space="preserve">8.5.1 Coins</w:t>
      </w:r>
    </w:p>
    <w:p>
      <w:pPr>
        <w:pStyle w:val="FirstParagraph"/>
      </w:pPr>
      <w:r>
        <w:t xml:space="preserve">I say that a necessary condition of believing that</w:t>
      </w:r>
      <w:r>
        <w:t xml:space="preserve"> </w:t>
      </w:r>
      <w:r>
        <w:rPr>
          <w:iCs/>
          <w:i/>
        </w:rPr>
        <w:t xml:space="preserve">p</w:t>
      </w:r>
      <w:r>
        <w:t xml:space="preserve"> </w:t>
      </w:r>
      <w:r>
        <w:t xml:space="preserve">is a disposition to take</w:t>
      </w:r>
      <w:r>
        <w:t xml:space="preserve"> </w:t>
      </w:r>
      <w:r>
        <w:rPr>
          <w:iCs/>
          <w:i/>
        </w:rPr>
        <w:t xml:space="preserve">p</w:t>
      </w:r>
      <w:r>
        <w:t xml:space="preserve"> </w:t>
      </w:r>
      <w:r>
        <w:t xml:space="preserve">for granted. The rational person will prefer betting on logically weaker rather than logically stronger propositions in the coin case, so they will not take the logically stronger ones for granted. If they did take them for granted, they would be indifferent between the bets. So they will not believe that one of the coin flips after the second will land heads, or even that one of the coin flips after the first will land heads. And that’s the right result. The rational person should assign those propositions probability one, but not believe them.</w:t>
      </w:r>
    </w:p>
    <w:bookmarkEnd w:id="170"/>
    <w:bookmarkStart w:id="171"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71"/>
    <w:bookmarkStart w:id="172"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72"/>
    <w:bookmarkStart w:id="173"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73"/>
    <w:bookmarkEnd w:id="174"/>
    <w:bookmarkEnd w:id="175"/>
    <w:bookmarkStart w:id="198" w:name="sec-evidence"/>
    <w:p>
      <w:pPr>
        <w:pStyle w:val="Heading1"/>
      </w:pPr>
      <w:r>
        <w:t xml:space="preserve">9. Evidence</w:t>
      </w:r>
    </w:p>
    <w:bookmarkStart w:id="177"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76"/>
      </w:r>
    </w:p>
    <w:p>
      <w:pPr>
        <w:numPr>
          <w:ilvl w:val="0"/>
          <w:numId w:val="1053"/>
        </w:numPr>
        <w:pStyle w:val="Compact"/>
      </w:pPr>
      <w:r>
        <w:t xml:space="preserve">The red sentence is that two plus two equals four.</w:t>
      </w:r>
    </w:p>
    <w:p>
      <w:pPr>
        <w:numPr>
          <w:ilvl w:val="0"/>
          <w:numId w:val="1053"/>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is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But 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there is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subsection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4"/>
        </w:numPr>
        <w:pStyle w:val="Compact"/>
      </w:pPr>
      <w:r>
        <w:t xml:space="preserve">The red sentence is</w:t>
      </w:r>
      <w:r>
        <w:t xml:space="preserve"> </w:t>
      </w:r>
      <w:r>
        <w:rPr>
          <w:iCs/>
          <w:i/>
        </w:rPr>
        <w:t xml:space="preserve">Two plus two equals four</w:t>
      </w:r>
      <w:r>
        <w:t xml:space="preserve">.</w:t>
      </w:r>
    </w:p>
    <w:p>
      <w:pPr>
        <w:numPr>
          <w:ilvl w:val="0"/>
          <w:numId w:val="1054"/>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5"/>
        </w:numPr>
        <w:pStyle w:val="Compact"/>
      </w:pPr>
      <w:r>
        <w:t xml:space="preserve">The unique rational play for Parveen is Red-True; and</w:t>
      </w:r>
    </w:p>
    <w:p>
      <w:pPr>
        <w:numPr>
          <w:ilvl w:val="0"/>
          <w:numId w:val="1055"/>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77"/>
    <w:bookmarkStart w:id="178"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close call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78"/>
    <w:bookmarkStart w:id="182"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79"/>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bookmarkStart w:id="180" w:name="tbl-Newcomb"/>
    <w:p>
      <w:pPr>
        <w:pStyle w:val="TableCaption"/>
      </w:pPr>
      <w:r>
        <w:t xml:space="preserve">Table 9.1: Newcomb’s Problem as a game.</w:t>
      </w:r>
    </w:p>
    <w:tbl>
      <w:tblPr>
        <w:tblStyle w:val="Table"/>
        <w:tblW w:type="auto" w:w="0"/>
        <w:tblLook w:firstRow="0" w:lastRow="0" w:firstColumn="0" w:lastColumn="0" w:noHBand="0" w:noVBand="0" w:val="0000"/>
        <w:tblCaption w:val="Table 9.1: Newcomb’s Problem as a game."/>
      </w:tblPr>
      <w:tblGrid>
        <w:gridCol w:w="2640"/>
        <w:gridCol w:w="2640"/>
        <w:gridCol w:w="2640"/>
      </w:tblGrid>
      <w:tr>
        <w:tc>
          <w:tcPr/>
          <w:p>
            <w:pPr>
              <w:pStyle w:val="Compact"/>
            </w:pPr>
          </w:p>
        </w:tc>
        <w:tc>
          <w:tcPr/>
          <w:p>
            <w:pPr>
              <w:pStyle w:val="Compact"/>
              <w:jc w:val="center"/>
            </w:pPr>
            <w:r>
              <w:t xml:space="preserve">Predict 1 Box</w:t>
            </w:r>
          </w:p>
        </w:tc>
        <w:tc>
          <w:tcPr/>
          <w:p>
            <w:pPr>
              <w:pStyle w:val="Compact"/>
              <w:jc w:val="center"/>
            </w:pPr>
            <w:r>
              <w:t xml:space="preserve">Predict 2 Boxes</w:t>
            </w:r>
          </w:p>
        </w:tc>
      </w:tr>
      <w:tr>
        <w:tc>
          <w:tcPr/>
          <w:p>
            <w:pPr>
              <w:pStyle w:val="Compact"/>
              <w:jc w:val="right"/>
            </w:pPr>
            <w:r>
              <w:t xml:space="preserve">Choose 1 Box</w:t>
            </w:r>
          </w:p>
        </w:tc>
        <w:tc>
          <w:tcPr/>
          <w:p>
            <w:pPr>
              <w:pStyle w:val="Compact"/>
              <w:jc w:val="center"/>
            </w:pPr>
            <w:r>
              <w:t xml:space="preserve">1000, 1</w:t>
            </w:r>
          </w:p>
        </w:tc>
        <w:tc>
          <w:tcPr/>
          <w:p>
            <w:pPr>
              <w:pStyle w:val="Compact"/>
              <w:jc w:val="center"/>
            </w:pPr>
            <w:r>
              <w:t xml:space="preserve">0, 0</w:t>
            </w:r>
          </w:p>
        </w:tc>
      </w:tr>
      <w:tr>
        <w:tc>
          <w:tcPr/>
          <w:p>
            <w:pPr>
              <w:pStyle w:val="Compact"/>
              <w:jc w:val="right"/>
            </w:pPr>
            <w:r>
              <w:t xml:space="preserve">Choose 2 Boxes</w:t>
            </w:r>
          </w:p>
        </w:tc>
        <w:tc>
          <w:tcPr/>
          <w:p>
            <w:pPr>
              <w:pStyle w:val="Compact"/>
              <w:jc w:val="center"/>
            </w:pPr>
            <w:r>
              <w:t xml:space="preserve">1001, 0</w:t>
            </w:r>
          </w:p>
        </w:tc>
        <w:tc>
          <w:tcPr/>
          <w:p>
            <w:pPr>
              <w:pStyle w:val="Compact"/>
              <w:jc w:val="center"/>
            </w:pPr>
            <w:r>
              <w:t xml:space="preserve">1, 1</w:t>
            </w:r>
          </w:p>
        </w:tc>
      </w:tr>
    </w:tbl>
    <w:bookmarkEnd w:id="180"/>
    <w:p>
      <w:pPr>
        <w:pStyle w:val="BodyText"/>
      </w:pPr>
      <w:r>
        <w:t xml:space="preserve">This game has a unique Nash equilbrium;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But in this case the invention is not a demon, but The Radical Interpreter. To know the payouts for the players, we need to know their value function. More colloquially, we need to know their goals.</w:t>
      </w:r>
    </w:p>
    <w:p>
      <w:pPr>
        <w:numPr>
          <w:ilvl w:val="0"/>
          <w:numId w:val="1056"/>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6"/>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7"/>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7"/>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bookmarkStart w:id="181" w:name="tbl-radical-interpreter"/>
    <w:p>
      <w:pPr>
        <w:pStyle w:val="TableCaption"/>
      </w:pPr>
      <w:r>
        <w:t xml:space="preserve">Table 9.2: The Radical Interpreter game.</w:t>
      </w:r>
    </w:p>
    <w:tbl>
      <w:tblPr>
        <w:tblStyle w:val="Table"/>
        <w:tblW w:type="auto" w:w="0"/>
        <w:tblLook w:firstRow="0" w:lastRow="0" w:firstColumn="0" w:lastColumn="0" w:noHBand="0" w:noVBand="0" w:val="0000"/>
        <w:tblCaption w:val="Table 9.2: The Radical Interpreter game."/>
      </w:tblPr>
      <w:tblGrid>
        <w:gridCol w:w="2640"/>
        <w:gridCol w:w="2640"/>
        <w:gridCol w:w="2640"/>
      </w:tblGrid>
      <w:tr>
        <w:tc>
          <w:tcPr/>
          <w:p>
            <w:pPr>
              <w:pStyle w:val="Compact"/>
            </w:pPr>
          </w:p>
        </w:tc>
        <w:tc>
          <w:tcPr/>
          <w:p>
            <w:pPr>
              <w:pStyle w:val="Compact"/>
              <w:jc w:val="center"/>
            </w:pPr>
            <w:r>
              <w:rPr>
                <w:iCs/>
                <w:i/>
              </w:rPr>
              <w:t xml:space="preserve">p</w:t>
            </w:r>
            <w:r>
              <w:t xml:space="preserve"> ∈ </w:t>
            </w:r>
            <w:r>
              <w:rPr>
                <w:iCs/>
                <w:i/>
              </w:rPr>
              <w:t xml:space="preserve">E</w:t>
            </w:r>
          </w:p>
        </w:tc>
        <w:tc>
          <w:tcPr/>
          <w:p>
            <w:pPr>
              <w:pStyle w:val="Compact"/>
              <w:jc w:val="center"/>
            </w:pPr>
            <w:r>
              <w:rPr>
                <w:iCs/>
                <w:i/>
              </w:rPr>
              <w:t xml:space="preserve">p</w:t>
            </w:r>
            <w:r>
              <w:t xml:space="preserve"> ∉ </w:t>
            </w:r>
            <w:r>
              <w:rPr>
                <w:iCs/>
                <w:i/>
              </w:rPr>
              <w:t xml:space="preserve">E</w:t>
            </w:r>
          </w:p>
        </w:tc>
      </w:tr>
      <w:tr>
        <w:tc>
          <w:tcPr/>
          <w:p>
            <w:pPr>
              <w:pStyle w:val="Compact"/>
              <w:jc w:val="right"/>
            </w:pPr>
            <w:r>
              <w:t xml:space="preserve">Take the Bet</w:t>
            </w:r>
          </w:p>
        </w:tc>
        <w:tc>
          <w:tcPr/>
          <w:p>
            <w:pPr>
              <w:pStyle w:val="Compact"/>
              <w:jc w:val="center"/>
            </w:pPr>
            <w:r>
              <w:t xml:space="preserve">1, 1</w:t>
            </w:r>
          </w:p>
        </w:tc>
        <w:tc>
          <w:tcPr/>
          <w:p>
            <w:pPr>
              <w:pStyle w:val="Compact"/>
              <w:jc w:val="center"/>
            </w:pPr>
            <w:r>
              <w:t xml:space="preserve">-9.1, 0</w:t>
            </w:r>
          </w:p>
        </w:tc>
      </w:tr>
      <w:tr>
        <w:tc>
          <w:tcPr/>
          <w:p>
            <w:pPr>
              <w:pStyle w:val="Compact"/>
              <w:jc w:val="right"/>
            </w:pPr>
            <w:r>
              <w:t xml:space="preserve">Decline the Bet</w:t>
            </w:r>
          </w:p>
        </w:tc>
        <w:tc>
          <w:tcPr/>
          <w:p>
            <w:pPr>
              <w:pStyle w:val="Compact"/>
              <w:jc w:val="center"/>
            </w:pPr>
            <w:r>
              <w:t xml:space="preserve">0, 0</w:t>
            </w:r>
          </w:p>
        </w:tc>
        <w:tc>
          <w:tcPr/>
          <w:p>
            <w:pPr>
              <w:pStyle w:val="Compact"/>
              <w:jc w:val="center"/>
            </w:pPr>
            <w:r>
              <w:t xml:space="preserve">0, 1</w:t>
            </w:r>
          </w:p>
        </w:tc>
      </w:tr>
    </w:tbl>
    <w:bookmarkEnd w:id="181"/>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82"/>
    <w:bookmarkStart w:id="191" w:name="sec-globalgame"/>
    <w:p>
      <w:pPr>
        <w:pStyle w:val="Heading2"/>
      </w:pPr>
      <w:r>
        <w:t xml:space="preserve">9.4 Risk-Dominant Equilibria</w:t>
      </w:r>
    </w:p>
    <w:p>
      <w:pPr>
        <w:pStyle w:val="FirstParagraph"/>
      </w:pPr>
      <w:r>
        <w:t xml:space="preserve">At an almost maximal level of abstraction, a two player, two option each game looks like this.</w:t>
      </w:r>
    </w:p>
    <w:bookmarkStart w:id="183" w:name="tbl-generic-game"/>
    <w:p>
      <w:pPr>
        <w:pStyle w:val="TableCaption"/>
      </w:pPr>
      <w:r>
        <w:t xml:space="preserve">Table 9.3: A generic 2 by 2 by 2 game.</w:t>
      </w:r>
    </w:p>
    <w:tbl>
      <w:tblPr>
        <w:tblStyle w:val="Table"/>
        <w:tblW w:type="auto" w:w="0"/>
        <w:tblLook w:firstRow="0" w:lastRow="0" w:firstColumn="0" w:lastColumn="0" w:noHBand="0" w:noVBand="0" w:val="0000"/>
        <w:tblCaption w:val="Table 9.3: A generic 2 by 2 by 2 game."/>
      </w:tblPr>
      <w:tblGrid>
        <w:gridCol w:w="2640"/>
        <w:gridCol w:w="2640"/>
        <w:gridCol w:w="2640"/>
      </w:tblGrid>
      <w:t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pPr>
            <w:r>
              <w:rPr>
                <w:iCs/>
                <w:i/>
              </w:rPr>
              <w:t xml:space="preserve">B</w:t>
            </w:r>
          </w:p>
        </w:tc>
        <w:tc>
          <w:tcPr/>
          <w:p>
            <w:pPr>
              <w:pStyle w:val="Compact"/>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183"/>
    <w:p>
      <w:pPr>
        <w:pStyle w:val="BodyText"/>
      </w:pPr>
      <w:r>
        <w:t xml:space="preserve">We’re going to focus on games that have the following eight properties:</w:t>
      </w:r>
    </w:p>
    <w:p>
      <w:pPr>
        <w:numPr>
          <w:ilvl w:val="0"/>
          <w:numId w:val="1058"/>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8"/>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8"/>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8"/>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8"/>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8"/>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8"/>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8"/>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bCs/>
          <w:b/>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bCs/>
          <w:b/>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especially in situations where people have thought that the right model was a version of Prisoners’ Dilemma.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bookmarkStart w:id="184" w:name="tbl-stag-hunt"/>
    <w:p>
      <w:pPr>
        <w:pStyle w:val="TableCaption"/>
      </w:pPr>
      <w:r>
        <w:t xml:space="preserve">Table 9.4: A simple version of Stag Hunt.</w:t>
      </w:r>
    </w:p>
    <w:tbl>
      <w:tblPr>
        <w:tblStyle w:val="Table"/>
        <w:tblW w:type="auto" w:w="0"/>
        <w:tblLook w:firstRow="0" w:lastRow="0" w:firstColumn="0" w:lastColumn="0" w:noHBand="0" w:noVBand="0" w:val="0000"/>
        <w:tblCaption w:val="Table 9.4: A simple version of Stag Hunt."/>
      </w:tblPr>
      <w:tblGrid>
        <w:gridCol w:w="2640"/>
        <w:gridCol w:w="2640"/>
        <w:gridCol w:w="2640"/>
      </w:tblGrid>
      <w:tr>
        <w:tc>
          <w:tcPr/>
          <w:p>
            <w:pPr>
              <w:pStyle w:val="Compact"/>
            </w:pPr>
          </w:p>
        </w:tc>
        <w:tc>
          <w:tcPr/>
          <w:p>
            <w:pPr>
              <w:pStyle w:val="Compact"/>
              <w:jc w:val="center"/>
            </w:pPr>
            <w:r>
              <w:rPr>
                <w:iCs/>
                <w:i/>
              </w:rPr>
              <w:t xml:space="preserve">a</w:t>
            </w:r>
          </w:p>
        </w:tc>
        <w:tc>
          <w:tcPr/>
          <w:p>
            <w:pPr>
              <w:pStyle w:val="Compact"/>
              <w:jc w:val="left"/>
            </w:pPr>
            <w:r>
              <w:rPr>
                <w:iCs/>
                <w:i/>
              </w:rP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left"/>
            </w:pPr>
            <w:r>
              <w:t xml:space="preserve">0, 3</w:t>
            </w:r>
          </w:p>
        </w:tc>
      </w:tr>
      <w:tr>
        <w:tc>
          <w:tcPr/>
          <w:p>
            <w:pPr>
              <w:pStyle w:val="Compact"/>
              <w:jc w:val="right"/>
            </w:pPr>
            <w:r>
              <w:rPr>
                <w:iCs/>
                <w:i/>
              </w:rPr>
              <w:t xml:space="preserve">B</w:t>
            </w:r>
          </w:p>
        </w:tc>
        <w:tc>
          <w:tcPr/>
          <w:p>
            <w:pPr>
              <w:pStyle w:val="Compact"/>
              <w:jc w:val="center"/>
            </w:pPr>
            <w:r>
              <w:t xml:space="preserve">3, 0</w:t>
            </w:r>
          </w:p>
        </w:tc>
        <w:tc>
          <w:tcPr/>
          <w:p>
            <w:pPr>
              <w:pStyle w:val="Compact"/>
              <w:jc w:val="left"/>
            </w:pPr>
            <w:r>
              <w:t xml:space="preserve">3, 3</w:t>
            </w:r>
          </w:p>
        </w:tc>
      </w:tr>
    </w:tbl>
    <w:bookmarkEnd w:id="184"/>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bookmarkStart w:id="185" w:name="tbl-global-game"/>
    <w:p>
      <w:pPr>
        <w:pStyle w:val="TableCaption"/>
      </w:pPr>
      <w:r>
        <w:t xml:space="preserve">Table 9.5: The</w:t>
      </w:r>
      <w:r>
        <w:t xml:space="preserve"> </w:t>
      </w:r>
      <w:r>
        <w:t xml:space="preserve">‘</w:t>
      </w:r>
      <w:r>
        <w:t xml:space="preserve">global game</w:t>
      </w:r>
      <w:r>
        <w:t xml:space="preserve">’</w:t>
      </w:r>
      <w:r>
        <w:t xml:space="preserve">, which is Stag Hunt with an unknown parameter.</w:t>
      </w:r>
    </w:p>
    <w:tbl>
      <w:tblPr>
        <w:tblStyle w:val="Table"/>
        <w:tblW w:type="auto" w:w="0"/>
        <w:tblLook w:firstRow="0" w:lastRow="0" w:firstColumn="0" w:lastColumn="0" w:noHBand="0" w:noVBand="0" w:val="0000"/>
        <w:tblCaption w:val="Table 9.5: The ‘global game’, which is Stag Hunt with an unknown parameter."/>
      </w:tblPr>
      <w:tblGrid>
        <w:gridCol w:w="2640"/>
        <w:gridCol w:w="2640"/>
        <w:gridCol w:w="2640"/>
      </w:tblGrid>
      <w:t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center"/>
            </w:pPr>
            <w:r>
              <w:t xml:space="preserve">0, </w:t>
            </w:r>
            <w:r>
              <w:rPr>
                <w:iCs/>
                <w:i/>
              </w:rPr>
              <w:t xml:space="preserve">x</w:t>
            </w:r>
          </w:p>
        </w:tc>
      </w:tr>
      <w:tr>
        <w:tc>
          <w:tcPr/>
          <w:p>
            <w:pPr>
              <w:pStyle w:val="Compact"/>
              <w:jc w:val="right"/>
            </w:pPr>
            <w:r>
              <w:rPr>
                <w:iCs/>
                <w:i/>
              </w:rPr>
              <w:t xml:space="preserve">B</w:t>
            </w:r>
          </w:p>
        </w:tc>
        <w:tc>
          <w:tcPr/>
          <w:p>
            <w:pPr>
              <w:pStyle w:val="Compact"/>
              <w:jc w:val="center"/>
            </w:pPr>
            <w:r>
              <w:rPr>
                <w:iCs/>
                <w:i/>
              </w:rPr>
              <w:t xml:space="preserve">x</w:t>
            </w:r>
            <w:r>
              <w:t xml:space="preserve">, 0</w:t>
            </w:r>
          </w:p>
        </w:tc>
        <w:tc>
          <w:tcPr/>
          <w:p>
            <w:pPr>
              <w:pStyle w:val="Compact"/>
              <w:jc w:val="center"/>
            </w:pPr>
            <w:r>
              <w:rPr>
                <w:iCs/>
                <w:i/>
              </w:rPr>
              <w:t xml:space="preserve">x</w:t>
            </w:r>
            <w:r>
              <w:t xml:space="preserve">, </w:t>
            </w:r>
            <w:r>
              <w:rPr>
                <w:iCs/>
                <w:i/>
              </w:rPr>
              <w:t xml:space="preserve">x</w:t>
            </w:r>
          </w:p>
        </w:tc>
      </w:tr>
    </w:tbl>
    <w:bookmarkEnd w:id="185"/>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But this is a margin of error model, and in those models there is very little that is common knowledge. That, they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86"/>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But I now think this was a mistake.</w:t>
      </w:r>
      <w:r>
        <w:rPr>
          <w:rStyle w:val="FootnoteReference"/>
        </w:rPr>
        <w:footnoteReference w:id="187"/>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But it turns out, as I’ll go over in</w:t>
      </w:r>
      <w:r>
        <w:t xml:space="preserve"> </w:t>
      </w:r>
      <w:hyperlink w:anchor="sec-perfectri">
        <w:r>
          <w:rPr>
            <w:rStyle w:val="Hyperlink"/>
          </w:rPr>
          <w:t xml:space="preserve">subsection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in these games where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But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189"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1"/>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1"/>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bookmarkStart w:id="188" w:name="tbl-threshold"/>
    <w:p>
      <w:pPr>
        <w:pStyle w:val="TableCaption"/>
      </w:pPr>
      <w:r>
        <w:t xml:space="preserve">Table 9.6: How the threshold moves towards 2.</w:t>
      </w:r>
    </w:p>
    <w:tbl>
      <w:tblPr>
        <w:tblStyle w:val="Table"/>
        <w:tblW w:type="auto" w:w="0"/>
        <w:tblLook w:firstRow="0" w:lastRow="0" w:firstColumn="0" w:lastColumn="0" w:noHBand="0" w:noVBand="0" w:val="0000"/>
        <w:tblCaption w:val="Table 9.6: How the threshold moves towards 2."/>
      </w:tblPr>
      <w:tblGrid>
        <w:gridCol w:w="3960"/>
        <w:gridCol w:w="3960"/>
      </w:tblGrid>
      <w:tr>
        <w:tc>
          <w:tcPr/>
          <w:p>
            <w:pPr>
              <w:pStyle w:val="Compact"/>
              <w:jc w:val="center"/>
            </w:pPr>
            <w:r>
              <w:rPr>
                <w:iCs/>
                <w:i/>
              </w:rPr>
              <w:t xml:space="preserve">Round</w:t>
            </w:r>
          </w:p>
        </w:tc>
        <w:tc>
          <w:tcPr/>
          <w:p>
            <w:pPr>
              <w:pStyle w:val="Compact"/>
              <w:jc w:val="center"/>
            </w:pPr>
            <w:r>
              <w:rPr>
                <w:iCs/>
                <w:i/>
              </w:rPr>
              <w:t xml:space="preserve">Upper Bound on Threshold</w:t>
            </w:r>
          </w:p>
        </w:tc>
      </w:tr>
      <w:tr>
        <w:tc>
          <w:tcPr/>
          <w:p>
            <w:pPr>
              <w:pStyle w:val="Compact"/>
              <w:jc w:val="center"/>
            </w:pPr>
            <w:r>
              <w:t xml:space="preserve">1</w:t>
            </w:r>
          </w:p>
        </w:tc>
        <w:tc>
          <w:tcPr/>
          <w:p>
            <w:pPr>
              <w:pStyle w:val="Compact"/>
              <w:jc w:val="center"/>
            </w:pPr>
            <w:r>
              <w:t xml:space="preserve">4.250</w:t>
            </w:r>
          </w:p>
        </w:tc>
      </w:tr>
      <w:tr>
        <w:tc>
          <w:tcPr/>
          <w:p>
            <w:pPr>
              <w:pStyle w:val="Compact"/>
              <w:jc w:val="center"/>
            </w:pPr>
            <w:r>
              <w:t xml:space="preserve">2</w:t>
            </w:r>
          </w:p>
        </w:tc>
        <w:tc>
          <w:tcPr/>
          <w:p>
            <w:pPr>
              <w:pStyle w:val="Compact"/>
              <w:jc w:val="center"/>
            </w:pPr>
            <w:r>
              <w:t xml:space="preserve">3.875</w:t>
            </w:r>
          </w:p>
        </w:tc>
      </w:tr>
      <w:tr>
        <w:tc>
          <w:tcPr/>
          <w:p>
            <w:pPr>
              <w:pStyle w:val="Compact"/>
              <w:jc w:val="center"/>
            </w:pPr>
            <w:r>
              <w:t xml:space="preserve">3</w:t>
            </w:r>
          </w:p>
        </w:tc>
        <w:tc>
          <w:tcPr/>
          <w:p>
            <w:pPr>
              <w:pStyle w:val="Compact"/>
              <w:jc w:val="center"/>
            </w:pPr>
            <w:r>
              <w:t xml:space="preserve">3.599</w:t>
            </w:r>
          </w:p>
        </w:tc>
      </w:tr>
      <w:tr>
        <w:tc>
          <w:tcPr/>
          <w:p>
            <w:pPr>
              <w:pStyle w:val="Compact"/>
              <w:jc w:val="center"/>
            </w:pPr>
            <w:r>
              <w:t xml:space="preserve">4</w:t>
            </w:r>
          </w:p>
        </w:tc>
        <w:tc>
          <w:tcPr/>
          <w:p>
            <w:pPr>
              <w:pStyle w:val="Compact"/>
              <w:jc w:val="center"/>
            </w:pPr>
            <w:r>
              <w:t xml:space="preserve">3.378</w:t>
            </w:r>
          </w:p>
        </w:tc>
      </w:tr>
      <w:tr>
        <w:tc>
          <w:tcPr/>
          <w:p>
            <w:pPr>
              <w:pStyle w:val="Compact"/>
              <w:jc w:val="center"/>
            </w:pPr>
            <w:r>
              <w:t xml:space="preserve">5</w:t>
            </w:r>
          </w:p>
        </w:tc>
        <w:tc>
          <w:tcPr/>
          <w:p>
            <w:pPr>
              <w:pStyle w:val="Compact"/>
              <w:jc w:val="center"/>
            </w:pPr>
            <w:r>
              <w:t xml:space="preserve">3.195</w:t>
            </w:r>
          </w:p>
        </w:tc>
      </w:tr>
      <w:tr>
        <w:tc>
          <w:tcPr/>
          <w:p>
            <w:pPr>
              <w:pStyle w:val="Compact"/>
              <w:jc w:val="center"/>
            </w:pPr>
            <w:r>
              <w:t xml:space="preserve">6</w:t>
            </w:r>
          </w:p>
        </w:tc>
        <w:tc>
          <w:tcPr/>
          <w:p>
            <w:pPr>
              <w:pStyle w:val="Compact"/>
              <w:jc w:val="center"/>
            </w:pPr>
            <w:r>
              <w:t xml:space="preserve">3.041</w:t>
            </w:r>
          </w:p>
        </w:tc>
      </w:tr>
      <w:tr>
        <w:tc>
          <w:tcPr/>
          <w:p>
            <w:pPr>
              <w:pStyle w:val="Compact"/>
              <w:jc w:val="center"/>
            </w:pPr>
            <w:r>
              <w:t xml:space="preserve">7</w:t>
            </w:r>
          </w:p>
        </w:tc>
        <w:tc>
          <w:tcPr/>
          <w:p>
            <w:pPr>
              <w:pStyle w:val="Compact"/>
              <w:jc w:val="center"/>
            </w:pPr>
            <w:r>
              <w:t xml:space="preserve">2.910</w:t>
            </w:r>
          </w:p>
        </w:tc>
      </w:tr>
      <w:tr>
        <w:tc>
          <w:tcPr/>
          <w:p>
            <w:pPr>
              <w:pStyle w:val="Compact"/>
              <w:jc w:val="center"/>
            </w:pPr>
            <w:r>
              <w:t xml:space="preserve">8</w:t>
            </w:r>
          </w:p>
        </w:tc>
        <w:tc>
          <w:tcPr/>
          <w:p>
            <w:pPr>
              <w:pStyle w:val="Compact"/>
              <w:jc w:val="center"/>
            </w:pPr>
            <w:r>
              <w:t xml:space="preserve">2.798</w:t>
            </w:r>
          </w:p>
        </w:tc>
      </w:tr>
      <w:tr>
        <w:tc>
          <w:tcPr/>
          <w:p>
            <w:pPr>
              <w:pStyle w:val="Compact"/>
              <w:jc w:val="center"/>
            </w:pPr>
            <w:r>
              <w:t xml:space="preserve">9</w:t>
            </w:r>
          </w:p>
        </w:tc>
        <w:tc>
          <w:tcPr/>
          <w:p>
            <w:pPr>
              <w:pStyle w:val="Compact"/>
              <w:jc w:val="center"/>
            </w:pPr>
            <w:r>
              <w:t xml:space="preserve">2.701</w:t>
            </w:r>
          </w:p>
        </w:tc>
      </w:tr>
      <w:tr>
        <w:tc>
          <w:tcPr/>
          <w:p>
            <w:pPr>
              <w:pStyle w:val="Compact"/>
              <w:jc w:val="center"/>
            </w:pPr>
            <w:r>
              <w:t xml:space="preserve">10</w:t>
            </w:r>
          </w:p>
        </w:tc>
        <w:tc>
          <w:tcPr/>
          <w:p>
            <w:pPr>
              <w:pStyle w:val="Compact"/>
              <w:jc w:val="center"/>
            </w:pPr>
            <w:r>
              <w:t xml:space="preserve">2.617</w:t>
            </w:r>
          </w:p>
        </w:tc>
      </w:tr>
    </w:tbl>
    <w:bookmarkEnd w:id="188"/>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189"/>
    <w:bookmarkStart w:id="190" w:name="sec-perfectri"/>
    <w:p>
      <w:pPr>
        <w:pStyle w:val="Heading3"/>
      </w:pPr>
      <w:r>
        <w:t xml:space="preserve">9.4.2 Making One Signal Precise</w:t>
      </w:r>
    </w:p>
    <w:p>
      <w:pPr>
        <w:pStyle w:val="FirstParagraph"/>
      </w:pPr>
      <w:r>
        <w:t xml:space="preserve">The aim of this sub-section is to prove something that Carllson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But this only slows the proof down, it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So now 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190"/>
    <w:bookmarkEnd w:id="191"/>
    <w:bookmarkStart w:id="192"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But what really matters is the game where the error in Human’s knowledge of the payoffs is determined by their actual epistemic limitations. I think that will lead to something like the model we have here. But it is possible that the final result will differ a bit from what I have here, or (more likely) have some indeterminacy about just how interests interact with evidence and knowledge.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192"/>
    <w:bookmarkStart w:id="193"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bCs/>
          <w:b/>
        </w:rPr>
        <w:t xml:space="preserve">Cut</w:t>
      </w:r>
      <w:r>
        <w:t xml:space="preserve"> </w:t>
      </w:r>
      <w:r>
        <w:t xml:space="preserve">that Nair focusses on is that if 1 and 2 are true, so is 3.</w:t>
      </w:r>
    </w:p>
    <w:p>
      <w:pPr>
        <w:numPr>
          <w:ilvl w:val="0"/>
          <w:numId w:val="1059"/>
        </w:numPr>
        <w:pStyle w:val="Compact"/>
      </w:pPr>
      <w:r>
        <w:t xml:space="preserve">Γ ⊨ A</w:t>
      </w:r>
    </w:p>
    <w:p>
      <w:pPr>
        <w:numPr>
          <w:ilvl w:val="0"/>
          <w:numId w:val="1059"/>
        </w:numPr>
        <w:pStyle w:val="Compact"/>
      </w:pPr>
      <w:r>
        <w:t xml:space="preserve">{A} ∪ Δ ⊨ B</w:t>
      </w:r>
    </w:p>
    <w:p>
      <w:pPr>
        <w:numPr>
          <w:ilvl w:val="0"/>
          <w:numId w:val="1059"/>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bCs/>
          <w:b/>
        </w:rPr>
        <w:t xml:space="preserve">Cut</w:t>
      </w:r>
      <w:r>
        <w:t xml:space="preserve"> </w:t>
      </w:r>
      <w:r>
        <w:t xml:space="preserve">is true.</w:t>
      </w:r>
    </w:p>
    <w:p>
      <w:pPr>
        <w:pStyle w:val="BodyText"/>
      </w:pPr>
      <w:r>
        <w:t xml:space="preserve">But while</w:t>
      </w:r>
      <w:r>
        <w:t xml:space="preserve"> </w:t>
      </w:r>
      <w:r>
        <w:rPr>
          <w:bCs/>
          <w:b/>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bCs/>
          <w:b/>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I’ll call cases where it is true monotonic instances of</w:t>
      </w:r>
      <w:r>
        <w:t xml:space="preserve"> </w:t>
      </w:r>
      <w:r>
        <w:rPr>
          <w:bCs/>
          <w:b/>
        </w:rPr>
        <w:t xml:space="preserve">Cut</w:t>
      </w:r>
      <w:r>
        <w:t xml:space="preserve">, and cases where it is false non-monotonic instances.</w:t>
      </w:r>
    </w:p>
    <w:p>
      <w:pPr>
        <w:pStyle w:val="BodyText"/>
      </w:pPr>
      <w:r>
        <w:t xml:space="preserve">That</w:t>
      </w:r>
      <w:r>
        <w:t xml:space="preserve"> </w:t>
      </w:r>
      <w:r>
        <w:rPr>
          <w:bCs/>
          <w:b/>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bCs/>
          <w:b/>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using helps bring out the argument’s strength.</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bCs/>
          <w:b/>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But note that what I really need for the argument is independent of how we think spatial distance relates to rational inductive inference. What I really need is that there is some similarity metric such that inductive inference is rational across short jumps in that similarity metric, but not across long jumps. One kind of similarity is physical distance from a salient point. But that’s not the only kind, and rarely the most important kind.</w:t>
      </w:r>
    </w:p>
    <w:p>
      <w:pPr>
        <w:pStyle w:val="BodyText"/>
      </w:pPr>
      <w:r>
        <w:t xml:space="preserve">What is really needed to get this argument going is that there is some similarity metric with an</w:t>
      </w:r>
      <w:r>
        <w:t xml:space="preserve"> </w:t>
      </w:r>
      <w:r>
        <w:t xml:space="preserve">‘</w:t>
      </w:r>
      <w:r>
        <w:t xml:space="preserve">inductive margin of inference</w:t>
      </w:r>
      <w:r>
        <w:t xml:space="preserve">’</w:t>
      </w:r>
      <w:r>
        <w:t xml:space="preserve">.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bCs/>
          <w:b/>
        </w:rPr>
        <w:t xml:space="preserve">No Feedback</w:t>
      </w:r>
      <w:r>
        <w:t xml:space="preserve"> </w:t>
      </w:r>
      <w:r>
        <w:t xml:space="preserve">(Weisberg 2010, 533–34)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w:t>
      </w:r>
    </w:p>
    <w:p>
      <w:pPr>
        <w:pStyle w:val="BodyText"/>
      </w:pPr>
      <w:r>
        <w:t xml:space="preserve">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charactistic role of evidence. And that suggests that E=K is false.</w:t>
      </w:r>
    </w:p>
    <w:bookmarkEnd w:id="193"/>
    <w:bookmarkStart w:id="194"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194"/>
    <w:bookmarkStart w:id="196"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195"/>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60"/>
        </w:numPr>
        <w:pStyle w:val="Compact"/>
      </w:pPr>
      <w:r>
        <w:t xml:space="preserve">Both signs supply evidence directly to Kate, so her evidence includes that she is on State and that she is on Main.</w:t>
      </w:r>
    </w:p>
    <w:p>
      <w:pPr>
        <w:numPr>
          <w:ilvl w:val="0"/>
          <w:numId w:val="1060"/>
        </w:numPr>
        <w:pStyle w:val="Compact"/>
      </w:pPr>
      <w:r>
        <w:t xml:space="preserve">Neither sign contributes evidence directly to Kate, so her evidence includes what the signs say, but nothing directly about her location.</w:t>
      </w:r>
    </w:p>
    <w:p>
      <w:pPr>
        <w:numPr>
          <w:ilvl w:val="0"/>
          <w:numId w:val="1060"/>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testimomy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196"/>
    <w:bookmarkStart w:id="197"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and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this principle,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later step is bad. And the later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197"/>
    <w:bookmarkEnd w:id="198"/>
    <w:bookmarkStart w:id="201"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we have to act rationally.</w:t>
      </w:r>
      <w:r>
        <w:rPr>
          <w:rStyle w:val="FootnoteReference"/>
        </w:rPr>
        <w:footnoteReference w:id="199"/>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just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00"/>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contextualist views. 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suggested back in</w:t>
      </w:r>
      <w:r>
        <w:t xml:space="preserve"> </w:t>
      </w:r>
      <w:hyperlink w:anchor="sec-inquiry">
        <w:r>
          <w:rPr>
            <w:rStyle w:val="Hyperlink"/>
          </w:rPr>
          <w:t xml:space="preserve">chapter 5</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sensitive knowledge is to a variety of environmental factors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01"/>
    <w:bookmarkStart w:id="497" w:name="references"/>
    <w:p>
      <w:pPr>
        <w:pStyle w:val="Heading1"/>
      </w:pPr>
      <w:r>
        <w:t xml:space="preserve">References</w:t>
      </w:r>
    </w:p>
    <w:bookmarkStart w:id="496" w:name="refs"/>
    <w:bookmarkStart w:id="202"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202"/>
    <w:bookmarkStart w:id="203"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03"/>
    <w:bookmarkStart w:id="204"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204"/>
    <w:bookmarkStart w:id="205"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205"/>
    <w:bookmarkStart w:id="206"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206"/>
    <w:bookmarkStart w:id="208"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207">
        <w:r>
          <w:rPr>
            <w:rStyle w:val="Hyperlink"/>
          </w:rPr>
          <w:t xml:space="preserve">https://doi.org/10.1093/analys/anr083</w:t>
        </w:r>
      </w:hyperlink>
      <w:r>
        <w:t xml:space="preserve">.</w:t>
      </w:r>
    </w:p>
    <w:bookmarkEnd w:id="208"/>
    <w:bookmarkStart w:id="210"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209">
        <w:r>
          <w:rPr>
            <w:rStyle w:val="Hyperlink"/>
          </w:rPr>
          <w:t xml:space="preserve">https://doi.org/10.1007/s001820050111</w:t>
        </w:r>
      </w:hyperlink>
      <w:r>
        <w:t xml:space="preserve">.</w:t>
      </w:r>
    </w:p>
    <w:bookmarkEnd w:id="210"/>
    <w:bookmarkStart w:id="211"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211"/>
    <w:bookmarkStart w:id="212" w:name="ref-Bennett2017"/>
    <w:p>
      <w:pPr>
        <w:pStyle w:val="Bibliography"/>
      </w:pPr>
      <w:r>
        <w:t xml:space="preserve">Bennett, Karen. 2017.</w:t>
      </w:r>
      <w:r>
        <w:t xml:space="preserve"> </w:t>
      </w:r>
      <w:r>
        <w:rPr>
          <w:iCs/>
          <w:i/>
        </w:rPr>
        <w:t xml:space="preserve">Making Things up</w:t>
      </w:r>
      <w:r>
        <w:t xml:space="preserve">. Oxford: Oxford University Press.</w:t>
      </w:r>
    </w:p>
    <w:bookmarkEnd w:id="212"/>
    <w:bookmarkStart w:id="213"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213"/>
    <w:bookmarkStart w:id="214"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214"/>
    <w:bookmarkStart w:id="216"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215">
        <w:r>
          <w:rPr>
            <w:rStyle w:val="Hyperlink"/>
          </w:rPr>
          <w:t xml:space="preserve">https://doi.org/10.1111/j.0031-8094.2004.00350.x</w:t>
        </w:r>
      </w:hyperlink>
      <w:r>
        <w:t xml:space="preserve">.</w:t>
      </w:r>
    </w:p>
    <w:bookmarkEnd w:id="216"/>
    <w:bookmarkStart w:id="218"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217">
        <w:r>
          <w:rPr>
            <w:rStyle w:val="Hyperlink"/>
          </w:rPr>
          <w:t xml:space="preserve">https://doi.org/10.1111/j.1933-1592.2009.00280.x</w:t>
        </w:r>
      </w:hyperlink>
      <w:r>
        <w:t xml:space="preserve">.</w:t>
      </w:r>
    </w:p>
    <w:bookmarkEnd w:id="218"/>
    <w:bookmarkStart w:id="220"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219">
        <w:r>
          <w:rPr>
            <w:rStyle w:val="Hyperlink"/>
          </w:rPr>
          <w:t xml:space="preserve">https://doi.org/10.1007/s11229-015-0878-y</w:t>
        </w:r>
      </w:hyperlink>
      <w:r>
        <w:t xml:space="preserve">.</w:t>
      </w:r>
    </w:p>
    <w:bookmarkEnd w:id="220"/>
    <w:bookmarkStart w:id="222"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221">
        <w:r>
          <w:rPr>
            <w:rStyle w:val="Hyperlink"/>
          </w:rPr>
          <w:t xml:space="preserve">https://doi.org/10.1111/j.1468-0262.2008.00835.x</w:t>
        </w:r>
      </w:hyperlink>
      <w:r>
        <w:t xml:space="preserve">.</w:t>
      </w:r>
    </w:p>
    <w:bookmarkEnd w:id="222"/>
    <w:bookmarkStart w:id="224"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223">
        <w:r>
          <w:rPr>
            <w:rStyle w:val="Hyperlink"/>
          </w:rPr>
          <w:t xml:space="preserve">https://plato.stanford.edu/archives/sum2021/entries/philo-larissa/</w:t>
        </w:r>
      </w:hyperlink>
      <w:r>
        <w:t xml:space="preserve">; Metaphysics Research Lab, Stanford University.</w:t>
      </w:r>
    </w:p>
    <w:bookmarkEnd w:id="224"/>
    <w:bookmarkStart w:id="226"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225">
        <w:r>
          <w:rPr>
            <w:rStyle w:val="Hyperlink"/>
          </w:rPr>
          <w:t xml:space="preserve">https://doi.org/10.1111/j.1468-0068.2008.00677.x</w:t>
        </w:r>
      </w:hyperlink>
      <w:r>
        <w:t xml:space="preserve">.</w:t>
      </w:r>
    </w:p>
    <w:bookmarkEnd w:id="226"/>
    <w:bookmarkStart w:id="227" w:name="ref-BuchakRisk"/>
    <w:p>
      <w:pPr>
        <w:pStyle w:val="Bibliography"/>
      </w:pPr>
      <w:r>
        <w:t xml:space="preserve">Buchak, Lara. 2013.</w:t>
      </w:r>
      <w:r>
        <w:t xml:space="preserve"> </w:t>
      </w:r>
      <w:r>
        <w:rPr>
          <w:iCs/>
          <w:i/>
        </w:rPr>
        <w:t xml:space="preserve">Risk and Rationality</w:t>
      </w:r>
      <w:r>
        <w:t xml:space="preserve">. Oxford: Oxford University Press.</w:t>
      </w:r>
    </w:p>
    <w:bookmarkEnd w:id="227"/>
    <w:bookmarkStart w:id="229"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228">
        <w:r>
          <w:rPr>
            <w:rStyle w:val="Hyperlink"/>
          </w:rPr>
          <w:t xml:space="preserve">https://doi.org/10.1257/aer.101.7.2899</w:t>
        </w:r>
      </w:hyperlink>
      <w:r>
        <w:t xml:space="preserve">.</w:t>
      </w:r>
    </w:p>
    <w:bookmarkEnd w:id="229"/>
    <w:bookmarkStart w:id="231"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230">
        <w:r>
          <w:rPr>
            <w:rStyle w:val="Hyperlink"/>
          </w:rPr>
          <w:t xml:space="preserve">https://doi.org/10.2307/2951491</w:t>
        </w:r>
      </w:hyperlink>
      <w:r>
        <w:t xml:space="preserve">.</w:t>
      </w:r>
    </w:p>
    <w:bookmarkEnd w:id="231"/>
    <w:bookmarkStart w:id="233"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232">
        <w:r>
          <w:rPr>
            <w:rStyle w:val="Hyperlink"/>
          </w:rPr>
          <w:t xml:space="preserve">https://doi.org/10.1080/00213624.2017.1391594</w:t>
        </w:r>
      </w:hyperlink>
      <w:r>
        <w:t xml:space="preserve">.</w:t>
      </w:r>
    </w:p>
    <w:bookmarkEnd w:id="233"/>
    <w:bookmarkStart w:id="235"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234">
        <w:r>
          <w:rPr>
            <w:rStyle w:val="Hyperlink"/>
          </w:rPr>
          <w:t xml:space="preserve">https://doi.org/10.1016/j.jcps.2014.08.002</w:t>
        </w:r>
      </w:hyperlink>
      <w:r>
        <w:t xml:space="preserve">.</w:t>
      </w:r>
    </w:p>
    <w:bookmarkEnd w:id="235"/>
    <w:bookmarkStart w:id="236" w:name="ref-Cherniak1986"/>
    <w:p>
      <w:pPr>
        <w:pStyle w:val="Bibliography"/>
      </w:pPr>
      <w:r>
        <w:t xml:space="preserve">Cherniak, Christopher. 1986.</w:t>
      </w:r>
      <w:r>
        <w:t xml:space="preserve"> </w:t>
      </w:r>
      <w:r>
        <w:rPr>
          <w:iCs/>
          <w:i/>
        </w:rPr>
        <w:t xml:space="preserve">Minimal Rationality</w:t>
      </w:r>
      <w:r>
        <w:t xml:space="preserve">. Cambridge, MA: MIT Press.</w:t>
      </w:r>
    </w:p>
    <w:bookmarkEnd w:id="236"/>
    <w:bookmarkStart w:id="237"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37"/>
    <w:bookmarkStart w:id="238"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38"/>
    <w:bookmarkStart w:id="240"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39">
        <w:r>
          <w:rPr>
            <w:rStyle w:val="Hyperlink"/>
          </w:rPr>
          <w:t xml:space="preserve">http://hdl.handle.net/2027/spo.3521354.0011.006</w:t>
        </w:r>
      </w:hyperlink>
      <w:r>
        <w:t xml:space="preserve">.</w:t>
      </w:r>
    </w:p>
    <w:bookmarkEnd w:id="240"/>
    <w:bookmarkStart w:id="241"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41"/>
    <w:bookmarkStart w:id="242"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42"/>
    <w:bookmarkStart w:id="244"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43">
        <w:r>
          <w:rPr>
            <w:rStyle w:val="Hyperlink"/>
          </w:rPr>
          <w:t xml:space="preserve">https://doi.org/10.1111/j.1933-1592.2002.tb00204.x</w:t>
        </w:r>
      </w:hyperlink>
      <w:r>
        <w:t xml:space="preserve">.</w:t>
      </w:r>
    </w:p>
    <w:bookmarkEnd w:id="244"/>
    <w:bookmarkStart w:id="246"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45">
        <w:r>
          <w:rPr>
            <w:rStyle w:val="Hyperlink"/>
          </w:rPr>
          <w:t xml:space="preserve">https://doi.org/10.1111/j.1533-6077.2004.00040.x</w:t>
        </w:r>
      </w:hyperlink>
      <w:r>
        <w:t xml:space="preserve">.</w:t>
      </w:r>
    </w:p>
    <w:bookmarkEnd w:id="246"/>
    <w:bookmarkStart w:id="247"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47"/>
    <w:bookmarkStart w:id="248" w:name="ref-sep-well-being"/>
    <w:p>
      <w:pPr>
        <w:pStyle w:val="Bibliography"/>
      </w:pPr>
      <w:r>
        <w:t xml:space="preserve">Crisp, Roger. 2021.</w:t>
      </w:r>
      <w:r>
        <w:t xml:space="preserve"> </w:t>
      </w:r>
      <w:r>
        <w:t xml:space="preserve">“</w:t>
      </w:r>
      <w:r>
        <w:t xml:space="preserve">Well-Being</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2021. Metaphysics Research Lab, Stanford University.</w:t>
      </w:r>
    </w:p>
    <w:bookmarkEnd w:id="248"/>
    <w:bookmarkStart w:id="250"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49">
        <w:r>
          <w:rPr>
            <w:rStyle w:val="Hyperlink"/>
          </w:rPr>
          <w:t xml:space="preserve">https://plato.stanford.edu/archives/spr2018/entries/questions/</w:t>
        </w:r>
      </w:hyperlink>
      <w:r>
        <w:t xml:space="preserve">; Metaphysics Research Lab, Stanford University.</w:t>
      </w:r>
    </w:p>
    <w:bookmarkEnd w:id="250"/>
    <w:bookmarkStart w:id="251"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51"/>
    <w:bookmarkStart w:id="253"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52">
        <w:r>
          <w:rPr>
            <w:rStyle w:val="Hyperlink"/>
          </w:rPr>
          <w:t xml:space="preserve">https://doi.org/10.2307/3182618</w:t>
        </w:r>
      </w:hyperlink>
      <w:r>
        <w:t xml:space="preserve">.</w:t>
      </w:r>
    </w:p>
    <w:bookmarkEnd w:id="253"/>
    <w:bookmarkStart w:id="255"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54">
        <w:r>
          <w:rPr>
            <w:rStyle w:val="Hyperlink"/>
          </w:rPr>
          <w:t xml:space="preserve">http://journal.sjdm.org/8320/jdm8320.pdf</w:t>
        </w:r>
      </w:hyperlink>
      <w:r>
        <w:t xml:space="preserve">.</w:t>
      </w:r>
    </w:p>
    <w:bookmarkEnd w:id="255"/>
    <w:bookmarkStart w:id="256"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56"/>
    <w:bookmarkStart w:id="258"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57">
        <w:r>
          <w:rPr>
            <w:rStyle w:val="Hyperlink"/>
          </w:rPr>
          <w:t xml:space="preserve">https://doi.org/10.3998/ergo.12405314.0002.026</w:t>
        </w:r>
      </w:hyperlink>
      <w:r>
        <w:t xml:space="preserve">.</w:t>
      </w:r>
    </w:p>
    <w:bookmarkEnd w:id="258"/>
    <w:bookmarkStart w:id="259" w:name="ref-Dylan2016"/>
    <w:p>
      <w:pPr>
        <w:pStyle w:val="Bibliography"/>
      </w:pPr>
      <w:r>
        <w:t xml:space="preserve">Dylan, Bob. 2016.</w:t>
      </w:r>
      <w:r>
        <w:t xml:space="preserve"> </w:t>
      </w:r>
      <w:r>
        <w:rPr>
          <w:iCs/>
          <w:i/>
        </w:rPr>
        <w:t xml:space="preserve">The Lyrics: 1961-2012</w:t>
      </w:r>
      <w:r>
        <w:t xml:space="preserve">. New York: Simon &amp; Schuster.</w:t>
      </w:r>
    </w:p>
    <w:bookmarkEnd w:id="259"/>
    <w:bookmarkStart w:id="261"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60">
        <w:r>
          <w:rPr>
            <w:rStyle w:val="Hyperlink"/>
          </w:rPr>
          <w:t xml:space="preserve">https://doi.org/10.1007/s11098-015-0461-x</w:t>
        </w:r>
      </w:hyperlink>
      <w:r>
        <w:t xml:space="preserve">.</w:t>
      </w:r>
    </w:p>
    <w:bookmarkEnd w:id="261"/>
    <w:bookmarkStart w:id="263"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62">
        <w:r>
          <w:rPr>
            <w:rStyle w:val="Hyperlink"/>
          </w:rPr>
          <w:t xml:space="preserve">https://doi.org/10.1007/s11098-008-9225-1</w:t>
        </w:r>
      </w:hyperlink>
      <w:r>
        <w:t xml:space="preserve">.</w:t>
      </w:r>
    </w:p>
    <w:bookmarkEnd w:id="263"/>
    <w:bookmarkStart w:id="264"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64"/>
    <w:bookmarkStart w:id="265"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65"/>
    <w:bookmarkStart w:id="267"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66">
        <w:r>
          <w:rPr>
            <w:rStyle w:val="Hyperlink"/>
          </w:rPr>
          <w:t xml:space="preserve">https://doi.org/10.2307/3182570</w:t>
        </w:r>
      </w:hyperlink>
      <w:r>
        <w:t xml:space="preserve">.</w:t>
      </w:r>
    </w:p>
    <w:bookmarkEnd w:id="267"/>
    <w:bookmarkStart w:id="268"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68"/>
    <w:bookmarkStart w:id="269" w:name="ref-Foley1993"/>
    <w:p>
      <w:pPr>
        <w:pStyle w:val="Bibliography"/>
      </w:pPr>
      <w:r>
        <w:t xml:space="preserve">Foley, Richard. 1993.</w:t>
      </w:r>
      <w:r>
        <w:t xml:space="preserve"> </w:t>
      </w:r>
      <w:r>
        <w:rPr>
          <w:iCs/>
          <w:i/>
        </w:rPr>
        <w:t xml:space="preserve">Working Without a Net</w:t>
      </w:r>
      <w:r>
        <w:t xml:space="preserve">. Oxford: Oxford University Press.</w:t>
      </w:r>
    </w:p>
    <w:bookmarkEnd w:id="269"/>
    <w:bookmarkStart w:id="271"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70">
        <w:r>
          <w:rPr>
            <w:rStyle w:val="Hyperlink"/>
          </w:rPr>
          <w:t xml:space="preserve">https://doi.org/10.1111/nous.12137</w:t>
        </w:r>
      </w:hyperlink>
      <w:r>
        <w:t xml:space="preserve">.</w:t>
      </w:r>
    </w:p>
    <w:bookmarkEnd w:id="271"/>
    <w:bookmarkStart w:id="273"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72">
        <w:r>
          <w:rPr>
            <w:rStyle w:val="Hyperlink"/>
          </w:rPr>
          <w:t xml:space="preserve">https://doi.org/10.1111/phis.12141</w:t>
        </w:r>
      </w:hyperlink>
      <w:r>
        <w:t xml:space="preserve">.</w:t>
      </w:r>
    </w:p>
    <w:bookmarkEnd w:id="273"/>
    <w:bookmarkStart w:id="275"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74">
        <w:r>
          <w:rPr>
            <w:rStyle w:val="Hyperlink"/>
          </w:rPr>
          <w:t xml:space="preserve">https://doi.org/10.1111/nous.12222</w:t>
        </w:r>
      </w:hyperlink>
      <w:r>
        <w:t xml:space="preserve">.</w:t>
      </w:r>
    </w:p>
    <w:bookmarkEnd w:id="275"/>
    <w:bookmarkStart w:id="277"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76">
        <w:r>
          <w:rPr>
            <w:rStyle w:val="Hyperlink"/>
          </w:rPr>
          <w:t xml:space="preserve">https://doi.org/10.1215/00318108-8540918</w:t>
        </w:r>
      </w:hyperlink>
      <w:r>
        <w:t xml:space="preserve">.</w:t>
      </w:r>
    </w:p>
    <w:bookmarkEnd w:id="277"/>
    <w:bookmarkStart w:id="279"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78">
        <w:r>
          <w:rPr>
            <w:rStyle w:val="Hyperlink"/>
          </w:rPr>
          <w:t xml:space="preserve">https://doi.org/10.1007/s11098-007-9133-9</w:t>
        </w:r>
      </w:hyperlink>
      <w:r>
        <w:t xml:space="preserve">.</w:t>
      </w:r>
    </w:p>
    <w:bookmarkEnd w:id="279"/>
    <w:bookmarkStart w:id="280"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80"/>
    <w:bookmarkStart w:id="282"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281">
        <w:r>
          <w:rPr>
            <w:rStyle w:val="Hyperlink"/>
          </w:rPr>
          <w:t xml:space="preserve">https://doi.org/10.1007/s11098-005-7779-8</w:t>
        </w:r>
      </w:hyperlink>
      <w:r>
        <w:t xml:space="preserve">.</w:t>
      </w:r>
    </w:p>
    <w:bookmarkEnd w:id="282"/>
    <w:bookmarkStart w:id="284"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283">
        <w:r>
          <w:rPr>
            <w:rStyle w:val="Hyperlink"/>
          </w:rPr>
          <w:t xml:space="preserve">https://doi.org/10.2307/3326922</w:t>
        </w:r>
      </w:hyperlink>
      <w:r>
        <w:t xml:space="preserve">.</w:t>
      </w:r>
    </w:p>
    <w:bookmarkEnd w:id="284"/>
    <w:bookmarkStart w:id="285"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285"/>
    <w:bookmarkStart w:id="287"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286">
        <w:r>
          <w:rPr>
            <w:rStyle w:val="Hyperlink"/>
          </w:rPr>
          <w:t xml:space="preserve">https://doi.org/10.3765/sp.3.4</w:t>
        </w:r>
      </w:hyperlink>
      <w:r>
        <w:t xml:space="preserve">.</w:t>
      </w:r>
    </w:p>
    <w:bookmarkEnd w:id="287"/>
    <w:bookmarkStart w:id="288"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w:t>
      </w:r>
    </w:p>
    <w:bookmarkEnd w:id="288"/>
    <w:bookmarkStart w:id="289" w:name="ref-Harman1973"/>
    <w:p>
      <w:pPr>
        <w:pStyle w:val="Bibliography"/>
      </w:pPr>
      <w:r>
        <w:t xml:space="preserve">Harman, Gilbert. 1973.</w:t>
      </w:r>
      <w:r>
        <w:t xml:space="preserve"> </w:t>
      </w:r>
      <w:r>
        <w:rPr>
          <w:iCs/>
          <w:i/>
        </w:rPr>
        <w:t xml:space="preserve">Thought</w:t>
      </w:r>
      <w:r>
        <w:t xml:space="preserve">. Princeton: Princeton University Press.</w:t>
      </w:r>
    </w:p>
    <w:bookmarkEnd w:id="289"/>
    <w:bookmarkStart w:id="290" w:name="ref-Harman1986"/>
    <w:p>
      <w:pPr>
        <w:pStyle w:val="Bibliography"/>
      </w:pPr>
      <w:r>
        <w:t xml:space="preserve">———. 1986.</w:t>
      </w:r>
      <w:r>
        <w:t xml:space="preserve"> </w:t>
      </w:r>
      <w:r>
        <w:rPr>
          <w:iCs/>
          <w:i/>
        </w:rPr>
        <w:t xml:space="preserve">Change in View</w:t>
      </w:r>
      <w:r>
        <w:t xml:space="preserve">. Cambridge, MA:</w:t>
      </w:r>
      <w:r>
        <w:t xml:space="preserve"> </w:t>
      </w:r>
      <w:r>
        <w:t xml:space="preserve">MIT</w:t>
      </w:r>
      <w:r>
        <w:t xml:space="preserve"> </w:t>
      </w:r>
      <w:r>
        <w:t xml:space="preserve">Press.</w:t>
      </w:r>
    </w:p>
    <w:bookmarkEnd w:id="290"/>
    <w:bookmarkStart w:id="292"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91">
        <w:r>
          <w:rPr>
            <w:rStyle w:val="Hyperlink"/>
          </w:rPr>
          <w:t xml:space="preserve">https://doi.org/10.1007/BF00183199</w:t>
        </w:r>
      </w:hyperlink>
      <w:r>
        <w:t xml:space="preserve">.</w:t>
      </w:r>
    </w:p>
    <w:bookmarkEnd w:id="292"/>
    <w:bookmarkStart w:id="293"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293"/>
    <w:bookmarkStart w:id="295"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294">
        <w:r>
          <w:rPr>
            <w:rStyle w:val="Hyperlink"/>
          </w:rPr>
          <w:t xml:space="preserve">https://doi.org/10.1111/j.1933-1592.2005.tb00540.x</w:t>
        </w:r>
      </w:hyperlink>
      <w:r>
        <w:t xml:space="preserve">.</w:t>
      </w:r>
    </w:p>
    <w:bookmarkEnd w:id="295"/>
    <w:bookmarkStart w:id="297"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296">
        <w:r>
          <w:rPr>
            <w:rStyle w:val="Hyperlink"/>
          </w:rPr>
          <w:t xml:space="preserve">https://doi.org/10.1007/s11098-015-0553-7</w:t>
        </w:r>
      </w:hyperlink>
      <w:r>
        <w:t xml:space="preserve">.</w:t>
      </w:r>
    </w:p>
    <w:bookmarkEnd w:id="297"/>
    <w:bookmarkStart w:id="298"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298"/>
    <w:bookmarkStart w:id="300"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299">
        <w:r>
          <w:rPr>
            <w:rStyle w:val="Hyperlink"/>
          </w:rPr>
          <w:t xml:space="preserve">https://doi.org/10.5840/jphil20081051022</w:t>
        </w:r>
      </w:hyperlink>
      <w:r>
        <w:t xml:space="preserve">.</w:t>
      </w:r>
    </w:p>
    <w:bookmarkEnd w:id="300"/>
    <w:bookmarkStart w:id="302" w:name="ref-Hedden2012"/>
    <w:p>
      <w:pPr>
        <w:pStyle w:val="Bibliography"/>
      </w:pPr>
      <w:r>
        <w:t xml:space="preserve">Hedden, Brian. 2012.</w:t>
      </w:r>
      <w:r>
        <w:t xml:space="preserve"> </w:t>
      </w:r>
      <w:r>
        <w:t xml:space="preserve">“Options and the Subjective Ought.”</w:t>
      </w:r>
      <w:r>
        <w:t xml:space="preserve"> </w:t>
      </w:r>
      <w:r>
        <w:rPr>
          <w:iCs/>
          <w:i/>
        </w:rPr>
        <w:t xml:space="preserve">Philosophical Studies</w:t>
      </w:r>
      <w:r>
        <w:t xml:space="preserve"> </w:t>
      </w:r>
      <w:r>
        <w:t xml:space="preserve">158 (2): 343–60.</w:t>
      </w:r>
      <w:r>
        <w:t xml:space="preserve"> </w:t>
      </w:r>
      <w:hyperlink r:id="rId301">
        <w:r>
          <w:rPr>
            <w:rStyle w:val="Hyperlink"/>
          </w:rPr>
          <w:t xml:space="preserve">https://doi.org/10.1007/s11098-012-9880-0</w:t>
        </w:r>
      </w:hyperlink>
      <w:r>
        <w:t xml:space="preserve">.</w:t>
      </w:r>
    </w:p>
    <w:bookmarkEnd w:id="302"/>
    <w:bookmarkStart w:id="304"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303">
        <w:r>
          <w:rPr>
            <w:rStyle w:val="Hyperlink"/>
          </w:rPr>
          <w:t xml:space="preserve">https://doi.org/10.1086/671402</w:t>
        </w:r>
      </w:hyperlink>
      <w:r>
        <w:t xml:space="preserve">.</w:t>
      </w:r>
    </w:p>
    <w:bookmarkEnd w:id="304"/>
    <w:bookmarkStart w:id="306"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305">
        <w:r>
          <w:rPr>
            <w:rStyle w:val="Hyperlink"/>
          </w:rPr>
          <w:t xml:space="preserve">https://doi.org/10.1086/648610</w:t>
        </w:r>
      </w:hyperlink>
      <w:r>
        <w:t xml:space="preserve">.</w:t>
      </w:r>
    </w:p>
    <w:bookmarkEnd w:id="306"/>
    <w:bookmarkStart w:id="308" w:name="ref-Hotelling1929"/>
    <w:p>
      <w:pPr>
        <w:pStyle w:val="Bibliography"/>
      </w:pPr>
      <w:r>
        <w:t xml:space="preserve">Hotelling, Harold. 1929.</w:t>
      </w:r>
      <w:r>
        <w:t xml:space="preserve"> </w:t>
      </w:r>
      <w:r>
        <w:t xml:space="preserve">“Stability in Competition.”</w:t>
      </w:r>
      <w:r>
        <w:t xml:space="preserve"> </w:t>
      </w:r>
      <w:r>
        <w:rPr>
          <w:iCs/>
          <w:i/>
        </w:rPr>
        <w:t xml:space="preserve">The Economic Journal</w:t>
      </w:r>
      <w:r>
        <w:t xml:space="preserve"> </w:t>
      </w:r>
      <w:r>
        <w:t xml:space="preserve">39 (153): 41–57.</w:t>
      </w:r>
      <w:r>
        <w:t xml:space="preserve"> </w:t>
      </w:r>
      <w:hyperlink r:id="rId307">
        <w:r>
          <w:rPr>
            <w:rStyle w:val="Hyperlink"/>
          </w:rPr>
          <w:t xml:space="preserve">https://doi.org/10.2307/2224214</w:t>
        </w:r>
      </w:hyperlink>
      <w:r>
        <w:t xml:space="preserve">.</w:t>
      </w:r>
    </w:p>
    <w:bookmarkEnd w:id="308"/>
    <w:bookmarkStart w:id="310"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309">
        <w:r>
          <w:rPr>
            <w:rStyle w:val="Hyperlink"/>
          </w:rPr>
          <w:t xml:space="preserve">https://doi.org/10.1007/BF00293423</w:t>
        </w:r>
      </w:hyperlink>
      <w:r>
        <w:t xml:space="preserve">.</w:t>
      </w:r>
    </w:p>
    <w:bookmarkEnd w:id="310"/>
    <w:bookmarkStart w:id="312"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311">
        <w:r>
          <w:rPr>
            <w:rStyle w:val="Hyperlink"/>
          </w:rPr>
          <w:t xml:space="preserve">https://doi.org/10.2307/2216304</w:t>
        </w:r>
      </w:hyperlink>
      <w:r>
        <w:t xml:space="preserve">.</w:t>
      </w:r>
    </w:p>
    <w:bookmarkEnd w:id="312"/>
    <w:bookmarkStart w:id="314"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313">
        <w:r>
          <w:rPr>
            <w:rStyle w:val="Hyperlink"/>
          </w:rPr>
          <w:t xml:space="preserve">https://doi.org/10.1111/j.1467-9280.2006.01677.x</w:t>
        </w:r>
      </w:hyperlink>
      <w:r>
        <w:t xml:space="preserve">.</w:t>
      </w:r>
    </w:p>
    <w:bookmarkEnd w:id="314"/>
    <w:bookmarkStart w:id="315" w:name="ref-Jackson1987"/>
    <w:p>
      <w:pPr>
        <w:pStyle w:val="Bibliography"/>
      </w:pPr>
      <w:r>
        <w:t xml:space="preserve">Jackson, Frank. 1987.</w:t>
      </w:r>
      <w:r>
        <w:t xml:space="preserve"> </w:t>
      </w:r>
      <w:r>
        <w:rPr>
          <w:iCs/>
          <w:i/>
        </w:rPr>
        <w:t xml:space="preserve">Conditionals</w:t>
      </w:r>
      <w:r>
        <w:t xml:space="preserve">. Blackwell: Oxford.</w:t>
      </w:r>
    </w:p>
    <w:bookmarkEnd w:id="315"/>
    <w:bookmarkStart w:id="316" w:name="ref-Joyce2018"/>
    <w:p>
      <w:pPr>
        <w:pStyle w:val="Bibliography"/>
      </w:pPr>
      <w:r>
        <w:t xml:space="preserve">Joyce, James. n.d.</w:t>
      </w:r>
      <w:r>
        <w:t xml:space="preserve"> </w:t>
      </w:r>
      <w:r>
        <w:t xml:space="preserve">“Deliberation and Stability in Newcomb Problems and Pseudo-Newcomb Problems.”</w:t>
      </w:r>
      <w:r>
        <w:t xml:space="preserve"> </w:t>
      </w:r>
      <w:r>
        <w:t xml:space="preserve">In, 138–59.</w:t>
      </w:r>
    </w:p>
    <w:bookmarkEnd w:id="316"/>
    <w:bookmarkStart w:id="317"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317"/>
    <w:bookmarkStart w:id="318"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318"/>
    <w:bookmarkStart w:id="320" w:name="ref-Keynes1936Foxwell"/>
    <w:p>
      <w:pPr>
        <w:pStyle w:val="Bibliography"/>
      </w:pPr>
      <w:r>
        <w:t xml:space="preserve">Keyens, John Maynard. 1936.</w:t>
      </w:r>
      <w:r>
        <w:t xml:space="preserve"> </w:t>
      </w:r>
      <w:r>
        <w:t xml:space="preserve">“Herbert Somerton Foxwell.”</w:t>
      </w:r>
      <w:r>
        <w:t xml:space="preserve"> </w:t>
      </w:r>
      <w:r>
        <w:rPr>
          <w:iCs/>
          <w:i/>
        </w:rPr>
        <w:t xml:space="preserve">The Economic Journal</w:t>
      </w:r>
      <w:r>
        <w:t xml:space="preserve"> </w:t>
      </w:r>
      <w:r>
        <w:t xml:space="preserve">46 (184): 589–619.</w:t>
      </w:r>
      <w:r>
        <w:t xml:space="preserve"> </w:t>
      </w:r>
      <w:hyperlink r:id="rId319">
        <w:r>
          <w:rPr>
            <w:rStyle w:val="Hyperlink"/>
          </w:rPr>
          <w:t xml:space="preserve">https://doi.org/10.2307/2224674</w:t>
        </w:r>
      </w:hyperlink>
      <w:r>
        <w:t xml:space="preserve">.</w:t>
      </w:r>
    </w:p>
    <w:bookmarkEnd w:id="320"/>
    <w:bookmarkStart w:id="321" w:name="ref-Keynes1937"/>
    <w:p>
      <w:pPr>
        <w:pStyle w:val="Bibliography"/>
      </w:pPr>
      <w:r>
        <w:t xml:space="preserve">———. 1937.</w:t>
      </w:r>
      <w:r>
        <w:t xml:space="preserve"> </w:t>
      </w:r>
      <w:r>
        <w:t xml:space="preserve">“The General Theory of Employment.”</w:t>
      </w:r>
      <w:r>
        <w:t xml:space="preserve"> </w:t>
      </w:r>
      <w:r>
        <w:rPr>
          <w:iCs/>
          <w:i/>
        </w:rPr>
        <w:t xml:space="preserve">Quarterly Journal of Economics</w:t>
      </w:r>
      <w:r>
        <w:t xml:space="preserve"> </w:t>
      </w:r>
      <w:r>
        <w:t xml:space="preserve">51 (2): 209–23.</w:t>
      </w:r>
    </w:p>
    <w:bookmarkEnd w:id="321"/>
    <w:bookmarkStart w:id="323"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322">
        <w:r>
          <w:rPr>
            <w:rStyle w:val="Hyperlink"/>
          </w:rPr>
          <w:t xml:space="preserve">https://doi.org/10.1111/jere.12070</w:t>
        </w:r>
      </w:hyperlink>
      <w:r>
        <w:t xml:space="preserve">.</w:t>
      </w:r>
    </w:p>
    <w:bookmarkEnd w:id="323"/>
    <w:bookmarkStart w:id="324"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324"/>
    <w:bookmarkStart w:id="326"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325">
        <w:r>
          <w:rPr>
            <w:rStyle w:val="Hyperlink"/>
          </w:rPr>
          <w:t xml:space="preserve">https://doi.org/10.2307/1912320</w:t>
        </w:r>
      </w:hyperlink>
      <w:r>
        <w:t xml:space="preserve">.</w:t>
      </w:r>
    </w:p>
    <w:bookmarkEnd w:id="326"/>
    <w:bookmarkStart w:id="327"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327"/>
    <w:bookmarkStart w:id="328" w:name="ref-KripkeNozick"/>
    <w:p>
      <w:pPr>
        <w:pStyle w:val="Bibliography"/>
      </w:pPr>
      <w:r>
        <w:t xml:space="preserve">Kripke, Saul. 2011.</w:t>
      </w:r>
      <w:r>
        <w:t xml:space="preserve"> </w:t>
      </w:r>
      <w:r>
        <w:t xml:space="preserve">“Nozick on Knowledge.”</w:t>
      </w:r>
      <w:r>
        <w:t xml:space="preserve"> </w:t>
      </w:r>
      <w:r>
        <w:t xml:space="preserve">In</w:t>
      </w:r>
      <w:r>
        <w:t xml:space="preserve"> </w:t>
      </w:r>
      <w:r>
        <w:rPr>
          <w:iCs/>
          <w:i/>
        </w:rPr>
        <w:t xml:space="preserve">Philosophical Troubles: Collected Papers, Volume 1</w:t>
      </w:r>
      <w:r>
        <w:t xml:space="preserve">, 161–224.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28"/>
    <w:bookmarkStart w:id="330"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329">
        <w:r>
          <w:rPr>
            <w:rStyle w:val="Hyperlink"/>
          </w:rPr>
          <w:t xml:space="preserve">https://doi.org/10.1093/analys/anr129</w:t>
        </w:r>
      </w:hyperlink>
      <w:r>
        <w:t xml:space="preserve">.</w:t>
      </w:r>
    </w:p>
    <w:bookmarkEnd w:id="330"/>
    <w:bookmarkStart w:id="332"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331">
        <w:r>
          <w:rPr>
            <w:rStyle w:val="Hyperlink"/>
          </w:rPr>
          <w:t xml:space="preserve">https://doi.org/10.1111/j.1520-8583.2010.00183.x</w:t>
        </w:r>
      </w:hyperlink>
      <w:r>
        <w:t xml:space="preserve">.</w:t>
      </w:r>
    </w:p>
    <w:bookmarkEnd w:id="332"/>
    <w:bookmarkStart w:id="334"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333">
        <w:r>
          <w:rPr>
            <w:rStyle w:val="Hyperlink"/>
          </w:rPr>
          <w:t xml:space="preserve">https://doi.org/10.1111/phpr.12090</w:t>
        </w:r>
      </w:hyperlink>
      <w:r>
        <w:t xml:space="preserve">.</w:t>
      </w:r>
    </w:p>
    <w:bookmarkEnd w:id="334"/>
    <w:bookmarkStart w:id="336" w:name="ref-Lederman2018"/>
    <w:p>
      <w:pPr>
        <w:pStyle w:val="Bibliography"/>
      </w:pPr>
      <w:r>
        <w:t xml:space="preserve">Lederman, Harvey. 2018.</w:t>
      </w:r>
      <w:r>
        <w:t xml:space="preserve"> </w:t>
      </w:r>
      <w:r>
        <w:t xml:space="preserve">“Two Paradoxes of Common Knowledge: Coordinated Attack and Electronic Mail.”</w:t>
      </w:r>
      <w:r>
        <w:t xml:space="preserve"> </w:t>
      </w:r>
      <w:r>
        <w:rPr>
          <w:iCs/>
          <w:i/>
        </w:rPr>
        <w:t xml:space="preserve">No</w:t>
      </w:r>
      <w:r>
        <w:rPr>
          <w:iCs/>
          <w:i/>
        </w:rPr>
        <w:t xml:space="preserve">û</w:t>
      </w:r>
      <w:r>
        <w:rPr>
          <w:iCs/>
          <w:i/>
        </w:rPr>
        <w:t xml:space="preserve">s</w:t>
      </w:r>
      <w:r>
        <w:t xml:space="preserve"> </w:t>
      </w:r>
      <w:r>
        <w:t xml:space="preserve">52 (4): 921–45.</w:t>
      </w:r>
      <w:r>
        <w:t xml:space="preserve"> </w:t>
      </w:r>
      <w:hyperlink r:id="rId335">
        <w:r>
          <w:rPr>
            <w:rStyle w:val="Hyperlink"/>
          </w:rPr>
          <w:t xml:space="preserve">https://doi.org/10.1111/nous.12186</w:t>
        </w:r>
      </w:hyperlink>
      <w:r>
        <w:t xml:space="preserve">.</w:t>
      </w:r>
    </w:p>
    <w:bookmarkEnd w:id="336"/>
    <w:bookmarkStart w:id="338"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337">
        <w:r>
          <w:rPr>
            <w:rStyle w:val="Hyperlink"/>
          </w:rPr>
          <w:t xml:space="preserve">https://doi.org/10.1017/S0012217317000154</w:t>
        </w:r>
      </w:hyperlink>
      <w:r>
        <w:t xml:space="preserve">.</w:t>
      </w:r>
    </w:p>
    <w:bookmarkEnd w:id="338"/>
    <w:bookmarkStart w:id="340"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339">
        <w:r>
          <w:rPr>
            <w:rStyle w:val="Hyperlink"/>
          </w:rPr>
          <w:t xml:space="preserve">https://doi.org/10.1080/05568641.2017.1364142</w:t>
        </w:r>
      </w:hyperlink>
      <w:r>
        <w:t xml:space="preserve">.</w:t>
      </w:r>
    </w:p>
    <w:bookmarkEnd w:id="340"/>
    <w:bookmarkStart w:id="341"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41"/>
    <w:bookmarkStart w:id="343"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342">
        <w:r>
          <w:rPr>
            <w:rStyle w:val="Hyperlink"/>
          </w:rPr>
          <w:t xml:space="preserve">https://doi.org/10.2307/2184045</w:t>
        </w:r>
      </w:hyperlink>
      <w:r>
        <w:t xml:space="preserve">.</w:t>
      </w:r>
    </w:p>
    <w:bookmarkEnd w:id="343"/>
    <w:bookmarkStart w:id="345"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44">
        <w:r>
          <w:rPr>
            <w:rStyle w:val="Hyperlink"/>
          </w:rPr>
          <w:t xml:space="preserve">https://doi.org/10.1017/cbo9780511625237.009</w:t>
        </w:r>
      </w:hyperlink>
      <w:r>
        <w:t xml:space="preserve">.</w:t>
      </w:r>
    </w:p>
    <w:bookmarkEnd w:id="345"/>
    <w:bookmarkStart w:id="346" w:name="ref-Lewis1986a"/>
    <w:p>
      <w:pPr>
        <w:pStyle w:val="Bibliography"/>
      </w:pPr>
      <w:r>
        <w:t xml:space="preserve">———. 1986a.</w:t>
      </w:r>
      <w:r>
        <w:t xml:space="preserve"> </w:t>
      </w:r>
      <w:r>
        <w:rPr>
          <w:iCs/>
          <w:i/>
        </w:rPr>
        <w:t xml:space="preserve">On the Plurality of Worlds</w:t>
      </w:r>
      <w:r>
        <w:t xml:space="preserve">. Oxford: Blackwell Publishers.</w:t>
      </w:r>
    </w:p>
    <w:bookmarkEnd w:id="346"/>
    <w:bookmarkStart w:id="348" w:name="ref-Lewis1986h"/>
    <w:p>
      <w:pPr>
        <w:pStyle w:val="Bibliography"/>
      </w:pPr>
      <w:r>
        <w:t xml:space="preserve">———. 1986b.</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347">
        <w:r>
          <w:rPr>
            <w:rStyle w:val="Hyperlink"/>
          </w:rPr>
          <w:t xml:space="preserve">https://doi.org/10.2307/2185051</w:t>
        </w:r>
      </w:hyperlink>
      <w:r>
        <w:t xml:space="preserve">.</w:t>
      </w:r>
    </w:p>
    <w:bookmarkEnd w:id="348"/>
    <w:bookmarkStart w:id="350"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49">
        <w:r>
          <w:rPr>
            <w:rStyle w:val="Hyperlink"/>
          </w:rPr>
          <w:t xml:space="preserve">https://doi.org/10.1093/mind/xcvii.387.323</w:t>
        </w:r>
      </w:hyperlink>
      <w:r>
        <w:t xml:space="preserve">.</w:t>
      </w:r>
    </w:p>
    <w:bookmarkEnd w:id="350"/>
    <w:bookmarkStart w:id="352"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51">
        <w:r>
          <w:rPr>
            <w:rStyle w:val="Hyperlink"/>
          </w:rPr>
          <w:t xml:space="preserve">https://doi.org/10.1093/mind/105.418.303</w:t>
        </w:r>
      </w:hyperlink>
      <w:r>
        <w:t xml:space="preserve">.</w:t>
      </w:r>
    </w:p>
    <w:bookmarkEnd w:id="352"/>
    <w:bookmarkStart w:id="353"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53"/>
    <w:bookmarkStart w:id="355"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54">
        <w:r>
          <w:rPr>
            <w:rStyle w:val="Hyperlink"/>
          </w:rPr>
          <w:t xml:space="preserve">https://doi.org/10.2307/2296233</w:t>
        </w:r>
      </w:hyperlink>
      <w:r>
        <w:t xml:space="preserve">.</w:t>
      </w:r>
    </w:p>
    <w:bookmarkEnd w:id="355"/>
    <w:bookmarkStart w:id="357"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56">
        <w:r>
          <w:rPr>
            <w:rStyle w:val="Hyperlink"/>
          </w:rPr>
          <w:t xml:space="preserve">https://doi.org/10.1111/phpr.12271</w:t>
        </w:r>
      </w:hyperlink>
      <w:r>
        <w:t xml:space="preserve">.</w:t>
      </w:r>
    </w:p>
    <w:bookmarkEnd w:id="357"/>
    <w:bookmarkStart w:id="358"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58"/>
    <w:bookmarkStart w:id="360"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59">
        <w:r>
          <w:rPr>
            <w:rStyle w:val="Hyperlink"/>
          </w:rPr>
          <w:t xml:space="preserve">https://doi.org/10.1086/392759</w:t>
        </w:r>
      </w:hyperlink>
      <w:r>
        <w:t xml:space="preserve">.</w:t>
      </w:r>
    </w:p>
    <w:bookmarkEnd w:id="360"/>
    <w:bookmarkStart w:id="362"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61">
        <w:r>
          <w:rPr>
            <w:rStyle w:val="Hyperlink"/>
          </w:rPr>
          <w:t xml:space="preserve">https://doi.org/10.1086/289906</w:t>
        </w:r>
      </w:hyperlink>
      <w:r>
        <w:t xml:space="preserve">.</w:t>
      </w:r>
    </w:p>
    <w:bookmarkEnd w:id="362"/>
    <w:bookmarkStart w:id="363" w:name="ref-sep-abilities"/>
    <w:p>
      <w:pPr>
        <w:pStyle w:val="Bibliography"/>
      </w:pPr>
      <w:r>
        <w:t xml:space="preserve">Maier, John. 2022.</w:t>
      </w:r>
      <w:r>
        <w:t xml:space="preserve"> </w:t>
      </w:r>
      <w:r>
        <w:t xml:space="preserve">“</w:t>
      </w:r>
      <w:r>
        <w:t xml:space="preserve">Abilities</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 and Uri Nodelman,</w:t>
      </w:r>
      <w:r>
        <w:t xml:space="preserve"> </w:t>
      </w:r>
      <w:r>
        <w:t xml:space="preserve">F</w:t>
      </w:r>
      <w:r>
        <w:t xml:space="preserve">all 2022. Metaphysics Research Lab, Stanford University.</w:t>
      </w:r>
    </w:p>
    <w:bookmarkEnd w:id="363"/>
    <w:bookmarkStart w:id="365"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64">
        <w:r>
          <w:rPr>
            <w:rStyle w:val="Hyperlink"/>
          </w:rPr>
          <w:t xml:space="preserve">https://doi.org/10.1007/s11098-010-9542-z</w:t>
        </w:r>
      </w:hyperlink>
      <w:r>
        <w:t xml:space="preserve">.</w:t>
      </w:r>
    </w:p>
    <w:bookmarkEnd w:id="365"/>
    <w:bookmarkStart w:id="367"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66">
        <w:r>
          <w:rPr>
            <w:rStyle w:val="Hyperlink"/>
          </w:rPr>
          <w:t xml:space="preserve">https://doi.org/10.1215/00318108-3878483</w:t>
        </w:r>
      </w:hyperlink>
      <w:r>
        <w:t xml:space="preserve">.</w:t>
      </w:r>
    </w:p>
    <w:bookmarkEnd w:id="367"/>
    <w:bookmarkStart w:id="369"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68">
        <w:r>
          <w:rPr>
            <w:rStyle w:val="Hyperlink"/>
          </w:rPr>
          <w:t xml:space="preserve">https://doi.org/10.1007/s10734-010-9309-7</w:t>
        </w:r>
      </w:hyperlink>
      <w:r>
        <w:t xml:space="preserve">.</w:t>
      </w:r>
    </w:p>
    <w:bookmarkEnd w:id="369"/>
    <w:bookmarkStart w:id="371"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70">
        <w:r>
          <w:rPr>
            <w:rStyle w:val="Hyperlink"/>
          </w:rPr>
          <w:t xml:space="preserve">https://doi.org/10.1007/s11238-017-9592-1</w:t>
        </w:r>
      </w:hyperlink>
      <w:r>
        <w:t xml:space="preserve">.</w:t>
      </w:r>
    </w:p>
    <w:bookmarkEnd w:id="371"/>
    <w:bookmarkStart w:id="373"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72">
        <w:r>
          <w:rPr>
            <w:rStyle w:val="Hyperlink"/>
          </w:rPr>
          <w:t xml:space="preserve">https://doi.org/10.1111/nous.12323</w:t>
        </w:r>
      </w:hyperlink>
      <w:r>
        <w:t xml:space="preserve">.</w:t>
      </w:r>
    </w:p>
    <w:bookmarkEnd w:id="373"/>
    <w:bookmarkStart w:id="374"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74"/>
    <w:bookmarkStart w:id="375"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75"/>
    <w:bookmarkStart w:id="376"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76"/>
    <w:bookmarkStart w:id="378" w:name="ref-Nagel2010"/>
    <w:p>
      <w:pPr>
        <w:pStyle w:val="Bibliography"/>
      </w:pPr>
      <w:r>
        <w:t xml:space="preserve">Nagel, Jennifer.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77">
        <w:r>
          <w:rPr>
            <w:rStyle w:val="Hyperlink"/>
          </w:rPr>
          <w:t xml:space="preserve">https://doi.org/10.1111/j.1520-8583.2010.00198.x</w:t>
        </w:r>
      </w:hyperlink>
      <w:r>
        <w:t xml:space="preserve">.</w:t>
      </w:r>
    </w:p>
    <w:bookmarkEnd w:id="378"/>
    <w:bookmarkStart w:id="380"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379">
        <w:r>
          <w:rPr>
            <w:rStyle w:val="Hyperlink"/>
          </w:rPr>
          <w:t xml:space="preserve">https://doi.org/10.1080/0020174X.2013.775014</w:t>
        </w:r>
      </w:hyperlink>
      <w:r>
        <w:t xml:space="preserve">.</w:t>
      </w:r>
    </w:p>
    <w:bookmarkEnd w:id="380"/>
    <w:bookmarkStart w:id="381" w:name="ref-Nagel2014"/>
    <w:p>
      <w:pPr>
        <w:pStyle w:val="Bibliography"/>
      </w:pPr>
      <w:r>
        <w:t xml:space="preserve">———. 2014.</w:t>
      </w:r>
      <w:r>
        <w:t xml:space="preserve"> </w:t>
      </w:r>
      <w:r>
        <w:rPr>
          <w:iCs/>
          <w:i/>
        </w:rPr>
        <w:t xml:space="preserve">Knowledge: A Very Short Introduction</w:t>
      </w:r>
      <w:r>
        <w:t xml:space="preserve">. Oxford: Oxford University Press.</w:t>
      </w:r>
    </w:p>
    <w:bookmarkEnd w:id="381"/>
    <w:bookmarkStart w:id="383"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382">
        <w:r>
          <w:rPr>
            <w:rStyle w:val="Hyperlink"/>
          </w:rPr>
          <w:t xml:space="preserve">https://doi.org/10.1111/phpr.12431</w:t>
        </w:r>
      </w:hyperlink>
      <w:r>
        <w:t xml:space="preserve">.</w:t>
      </w:r>
    </w:p>
    <w:bookmarkEnd w:id="383"/>
    <w:bookmarkStart w:id="385"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384">
        <w:r>
          <w:rPr>
            <w:rStyle w:val="Hyperlink"/>
          </w:rPr>
          <w:t xml:space="preserve">https://doi.org/10.1111/j.1933-1592.2007.00069.x</w:t>
        </w:r>
      </w:hyperlink>
      <w:r>
        <w:t xml:space="preserve">.</w:t>
      </w:r>
    </w:p>
    <w:bookmarkEnd w:id="385"/>
    <w:bookmarkStart w:id="387"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386">
        <w:r>
          <w:rPr>
            <w:rStyle w:val="Hyperlink"/>
          </w:rPr>
          <w:t xml:space="preserve">https://doi.org/10.1037/pspp0000141</w:t>
        </w:r>
      </w:hyperlink>
      <w:r>
        <w:t xml:space="preserve">.</w:t>
      </w:r>
    </w:p>
    <w:bookmarkEnd w:id="387"/>
    <w:bookmarkStart w:id="389"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388">
        <w:r>
          <w:rPr>
            <w:rStyle w:val="Hyperlink"/>
          </w:rPr>
          <w:t xml:space="preserve">https://doi.org/10.1016/j.shpsb.2009.08.008</w:t>
        </w:r>
      </w:hyperlink>
      <w:r>
        <w:t xml:space="preserve">.</w:t>
      </w:r>
    </w:p>
    <w:bookmarkEnd w:id="389"/>
    <w:bookmarkStart w:id="390"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390"/>
    <w:bookmarkStart w:id="391"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391"/>
    <w:bookmarkStart w:id="392"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392"/>
    <w:bookmarkStart w:id="394"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393">
        <w:r>
          <w:rPr>
            <w:rStyle w:val="Hyperlink"/>
          </w:rPr>
          <w:t xml:space="preserve">https://doi.org/10.1016/j.mathsocsci.2013.08.005</w:t>
        </w:r>
      </w:hyperlink>
      <w:r>
        <w:t xml:space="preserve">.</w:t>
      </w:r>
    </w:p>
    <w:bookmarkEnd w:id="394"/>
    <w:bookmarkStart w:id="395"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395"/>
    <w:bookmarkStart w:id="397"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396">
        <w:r>
          <w:rPr>
            <w:rStyle w:val="Hyperlink"/>
          </w:rPr>
          <w:t xml:space="preserve">https://sites.google.com/a/nyu.edu/davidpearce/</w:t>
        </w:r>
      </w:hyperlink>
      <w:r>
        <w:t xml:space="preserve">.</w:t>
      </w:r>
    </w:p>
    <w:bookmarkEnd w:id="397"/>
    <w:bookmarkStart w:id="398"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398"/>
    <w:bookmarkStart w:id="400"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399">
        <w:r>
          <w:rPr>
            <w:rStyle w:val="Hyperlink"/>
          </w:rPr>
          <w:t xml:space="preserve">https://doi.org/10.1111/j.1533-6077.2004.00034.x</w:t>
        </w:r>
      </w:hyperlink>
      <w:r>
        <w:t xml:space="preserve">.</w:t>
      </w:r>
    </w:p>
    <w:bookmarkEnd w:id="400"/>
    <w:bookmarkStart w:id="402"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401">
        <w:r>
          <w:rPr>
            <w:rStyle w:val="Hyperlink"/>
          </w:rPr>
          <w:t xml:space="preserve">https://doi.org/10.1016/0167-2681(82)90008-7</w:t>
        </w:r>
      </w:hyperlink>
      <w:r>
        <w:t xml:space="preserve">.</w:t>
      </w:r>
    </w:p>
    <w:bookmarkEnd w:id="402"/>
    <w:bookmarkStart w:id="404"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403">
        <w:r>
          <w:rPr>
            <w:rStyle w:val="Hyperlink"/>
          </w:rPr>
          <w:t xml:space="preserve">https://plato.stanford.edu/archives/spr2018/entries/public-reason/</w:t>
        </w:r>
      </w:hyperlink>
      <w:r>
        <w:t xml:space="preserve">; Metaphysics Research Lab, Stanford University.</w:t>
      </w:r>
    </w:p>
    <w:bookmarkEnd w:id="404"/>
    <w:bookmarkStart w:id="405" w:name="ref-Railton1984"/>
    <w:p>
      <w:pPr>
        <w:pStyle w:val="Bibliography"/>
      </w:pPr>
      <w:r>
        <w:t xml:space="preserve">Railton, Peter. 1984.</w:t>
      </w:r>
      <w:r>
        <w:t xml:space="preserve"> </w:t>
      </w:r>
      <w:r>
        <w:t xml:space="preserve">“Alienation, Consequentialism and the Demands of Morality.”</w:t>
      </w:r>
      <w:r>
        <w:t xml:space="preserve"> </w:t>
      </w:r>
      <w:r>
        <w:rPr>
          <w:iCs/>
          <w:i/>
        </w:rPr>
        <w:t xml:space="preserve">Philosophy and Public Affairs</w:t>
      </w:r>
      <w:r>
        <w:t xml:space="preserve"> </w:t>
      </w:r>
      <w:r>
        <w:t xml:space="preserve">13 (2): 134–71.</w:t>
      </w:r>
    </w:p>
    <w:bookmarkEnd w:id="405"/>
    <w:bookmarkStart w:id="406"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406"/>
    <w:bookmarkStart w:id="408"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407">
        <w:r>
          <w:rPr>
            <w:rStyle w:val="Hyperlink"/>
          </w:rPr>
          <w:t xml:space="preserve">https://doi.org/10.1257/aer.101.2.900</w:t>
        </w:r>
      </w:hyperlink>
      <w:r>
        <w:t xml:space="preserve">.</w:t>
      </w:r>
    </w:p>
    <w:bookmarkEnd w:id="408"/>
    <w:bookmarkStart w:id="410"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409">
        <w:r>
          <w:rPr>
            <w:rStyle w:val="Hyperlink"/>
          </w:rPr>
          <w:t xml:space="preserve">https://doi.org/10.1080/00048408412341601</w:t>
        </w:r>
      </w:hyperlink>
      <w:r>
        <w:t xml:space="preserve">.</w:t>
      </w:r>
    </w:p>
    <w:bookmarkEnd w:id="410"/>
    <w:bookmarkStart w:id="412"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411">
        <w:r>
          <w:rPr>
            <w:rStyle w:val="Hyperlink"/>
          </w:rPr>
          <w:t xml:space="preserve">https://doi.org/10.3765/sp.5.6</w:t>
        </w:r>
      </w:hyperlink>
      <w:r>
        <w:t xml:space="preserve">.</w:t>
      </w:r>
    </w:p>
    <w:bookmarkEnd w:id="412"/>
    <w:bookmarkStart w:id="414"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413">
        <w:r>
          <w:rPr>
            <w:rStyle w:val="Hyperlink"/>
          </w:rPr>
          <w:t xml:space="preserve">https://doi.org/10.1111/j.1933-1592.2011.00552.x</w:t>
        </w:r>
      </w:hyperlink>
      <w:r>
        <w:t xml:space="preserve">.</w:t>
      </w:r>
    </w:p>
    <w:bookmarkEnd w:id="414"/>
    <w:bookmarkStart w:id="415"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415"/>
    <w:bookmarkStart w:id="417"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416">
        <w:r>
          <w:rPr>
            <w:rStyle w:val="Hyperlink"/>
          </w:rPr>
          <w:t xml:space="preserve">https://doi.org/10.1080/00048400802001996</w:t>
        </w:r>
      </w:hyperlink>
      <w:r>
        <w:t xml:space="preserve">.</w:t>
      </w:r>
    </w:p>
    <w:bookmarkEnd w:id="417"/>
    <w:bookmarkStart w:id="419"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418">
        <w:r>
          <w:rPr>
            <w:rStyle w:val="Hyperlink"/>
          </w:rPr>
          <w:t xml:space="preserve">https://doi.org/10.1016/S0004-3702(97)00026-X</w:t>
        </w:r>
      </w:hyperlink>
      <w:r>
        <w:t xml:space="preserve">.</w:t>
      </w:r>
    </w:p>
    <w:bookmarkEnd w:id="419"/>
    <w:bookmarkStart w:id="421"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420">
        <w:r>
          <w:rPr>
            <w:rStyle w:val="Hyperlink"/>
          </w:rPr>
          <w:t xml:space="preserve">https://doi.org/10.1086/288168</w:t>
        </w:r>
      </w:hyperlink>
      <w:r>
        <w:t xml:space="preserve">.</w:t>
      </w:r>
    </w:p>
    <w:bookmarkEnd w:id="421"/>
    <w:bookmarkStart w:id="423"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422">
        <w:r>
          <w:rPr>
            <w:rStyle w:val="Hyperlink"/>
          </w:rPr>
          <w:t xml:space="preserve">https://doi.org/10.1086/651235</w:t>
        </w:r>
      </w:hyperlink>
      <w:r>
        <w:t xml:space="preserve">.</w:t>
      </w:r>
    </w:p>
    <w:bookmarkEnd w:id="423"/>
    <w:bookmarkStart w:id="425"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424">
        <w:r>
          <w:rPr>
            <w:rStyle w:val="Hyperlink"/>
          </w:rPr>
          <w:t xml:space="preserve">https://doi.org/10.1111/nous.12006</w:t>
        </w:r>
      </w:hyperlink>
      <w:r>
        <w:t xml:space="preserve">.</w:t>
      </w:r>
    </w:p>
    <w:bookmarkEnd w:id="425"/>
    <w:bookmarkStart w:id="427"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426">
        <w:r>
          <w:rPr>
            <w:rStyle w:val="Hyperlink"/>
          </w:rPr>
          <w:t xml:space="preserve">https://doi.org/10.1007/s11098-008-9200-x</w:t>
        </w:r>
      </w:hyperlink>
      <w:r>
        <w:t xml:space="preserve">.</w:t>
      </w:r>
    </w:p>
    <w:bookmarkEnd w:id="427"/>
    <w:bookmarkStart w:id="428"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428"/>
    <w:bookmarkStart w:id="430"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429">
        <w:r>
          <w:rPr>
            <w:rStyle w:val="Hyperlink"/>
          </w:rPr>
          <w:t xml:space="preserve">https://doi.org/10.1037/0022-3514.83.5.1178</w:t>
        </w:r>
      </w:hyperlink>
      <w:r>
        <w:t xml:space="preserve">.</w:t>
      </w:r>
    </w:p>
    <w:bookmarkEnd w:id="430"/>
    <w:bookmarkStart w:id="432"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431">
        <w:r>
          <w:rPr>
            <w:rStyle w:val="Hyperlink"/>
          </w:rPr>
          <w:t xml:space="preserve">https://doi.org/10.1215/00318108-2007-037</w:t>
        </w:r>
      </w:hyperlink>
      <w:r>
        <w:t xml:space="preserve">.</w:t>
      </w:r>
    </w:p>
    <w:bookmarkEnd w:id="432"/>
    <w:bookmarkStart w:id="434" w:name="ref-Sosa1999"/>
    <w:p>
      <w:pPr>
        <w:pStyle w:val="Bibliography"/>
      </w:pPr>
      <w:r>
        <w:t xml:space="preserve">Sosa, Ernest. 1999.</w:t>
      </w:r>
      <w:r>
        <w:t xml:space="preserve"> </w:t>
      </w:r>
      <w:r>
        <w:t xml:space="preserve">“How to Defeat Opposition to Moore.”</w:t>
      </w:r>
      <w:r>
        <w:t xml:space="preserve"> </w:t>
      </w:r>
      <w:r>
        <w:rPr>
          <w:iCs/>
          <w:i/>
        </w:rPr>
        <w:t xml:space="preserve">Philosophical Perspectives</w:t>
      </w:r>
      <w:r>
        <w:t xml:space="preserve"> </w:t>
      </w:r>
      <w:r>
        <w:t xml:space="preserve">13: 141–53.</w:t>
      </w:r>
      <w:r>
        <w:t xml:space="preserve"> </w:t>
      </w:r>
      <w:hyperlink r:id="rId433">
        <w:r>
          <w:rPr>
            <w:rStyle w:val="Hyperlink"/>
          </w:rPr>
          <w:t xml:space="preserve">https://doi.org/10.1111/0029-4624.33.s13.7</w:t>
        </w:r>
      </w:hyperlink>
      <w:r>
        <w:t xml:space="preserve">.</w:t>
      </w:r>
    </w:p>
    <w:bookmarkEnd w:id="434"/>
    <w:bookmarkStart w:id="436"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435">
        <w:r>
          <w:rPr>
            <w:rStyle w:val="Hyperlink"/>
          </w:rPr>
          <w:t xml:space="preserve">https://doi.org/10.1111/j.1468-0017.2010.01394.x</w:t>
        </w:r>
      </w:hyperlink>
      <w:r>
        <w:t xml:space="preserve">.</w:t>
      </w:r>
    </w:p>
    <w:bookmarkEnd w:id="436"/>
    <w:bookmarkStart w:id="438"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437">
        <w:r>
          <w:rPr>
            <w:rStyle w:val="Hyperlink"/>
          </w:rPr>
          <w:t xml:space="preserve">https://doi.org/10.1111/nous.12254</w:t>
        </w:r>
      </w:hyperlink>
      <w:r>
        <w:t xml:space="preserve">.</w:t>
      </w:r>
    </w:p>
    <w:bookmarkEnd w:id="438"/>
    <w:bookmarkStart w:id="440" w:name="ref-Stalnaker1975"/>
    <w:p>
      <w:pPr>
        <w:pStyle w:val="Bibliography"/>
      </w:pPr>
      <w:r>
        <w:t xml:space="preserve">Stalnaker, Robert. 1975.</w:t>
      </w:r>
      <w:r>
        <w:t xml:space="preserve"> </w:t>
      </w:r>
      <w:r>
        <w:t xml:space="preserve">“Indicative Conditionals.”</w:t>
      </w:r>
      <w:r>
        <w:t xml:space="preserve"> </w:t>
      </w:r>
      <w:r>
        <w:rPr>
          <w:iCs/>
          <w:i/>
        </w:rPr>
        <w:t xml:space="preserve">Philosophica</w:t>
      </w:r>
      <w:r>
        <w:t xml:space="preserve"> </w:t>
      </w:r>
      <w:r>
        <w:t xml:space="preserve">5 (3): 269–89.</w:t>
      </w:r>
      <w:r>
        <w:t xml:space="preserve"> </w:t>
      </w:r>
      <w:hyperlink r:id="rId439">
        <w:r>
          <w:rPr>
            <w:rStyle w:val="Hyperlink"/>
          </w:rPr>
          <w:t xml:space="preserve">https://doi.org/10.1007/bf02379021</w:t>
        </w:r>
      </w:hyperlink>
      <w:r>
        <w:t xml:space="preserve">.</w:t>
      </w:r>
    </w:p>
    <w:bookmarkEnd w:id="440"/>
    <w:bookmarkStart w:id="441" w:name="ref-Stalnaker1984"/>
    <w:p>
      <w:pPr>
        <w:pStyle w:val="Bibliography"/>
      </w:pPr>
      <w:r>
        <w:t xml:space="preserve">———. 1984.</w:t>
      </w:r>
      <w:r>
        <w:t xml:space="preserve"> </w:t>
      </w:r>
      <w:r>
        <w:rPr>
          <w:iCs/>
          <w:i/>
        </w:rPr>
        <w:t xml:space="preserve">Inquiry</w:t>
      </w:r>
      <w:r>
        <w:t xml:space="preserve">. Cambridge, MA: MIT Press.</w:t>
      </w:r>
    </w:p>
    <w:bookmarkEnd w:id="441"/>
    <w:bookmarkStart w:id="443"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442">
        <w:r>
          <w:rPr>
            <w:rStyle w:val="Hyperlink"/>
          </w:rPr>
          <w:t xml:space="preserve">https://doi.org/10.1007/BF01079205</w:t>
        </w:r>
      </w:hyperlink>
      <w:r>
        <w:t xml:space="preserve">.</w:t>
      </w:r>
    </w:p>
    <w:bookmarkEnd w:id="443"/>
    <w:bookmarkStart w:id="445"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444">
        <w:r>
          <w:rPr>
            <w:rStyle w:val="Hyperlink"/>
          </w:rPr>
          <w:t xml:space="preserve">https://doi.org/10.1017/S0266267100004132</w:t>
        </w:r>
      </w:hyperlink>
      <w:r>
        <w:t xml:space="preserve">.</w:t>
      </w:r>
    </w:p>
    <w:bookmarkEnd w:id="445"/>
    <w:bookmarkStart w:id="447"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446">
        <w:r>
          <w:rPr>
            <w:rStyle w:val="Hyperlink"/>
          </w:rPr>
          <w:t xml:space="preserve">https://doi.org/10.1016/S0165-4896(98)00007-9</w:t>
        </w:r>
      </w:hyperlink>
      <w:r>
        <w:t xml:space="preserve">.</w:t>
      </w:r>
    </w:p>
    <w:bookmarkEnd w:id="447"/>
    <w:bookmarkStart w:id="449"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448">
        <w:r>
          <w:rPr>
            <w:rStyle w:val="Hyperlink"/>
          </w:rPr>
          <w:t xml:space="preserve">https://doi.org/10.1006/reec.1999.0200</w:t>
        </w:r>
      </w:hyperlink>
      <w:r>
        <w:t xml:space="preserve">.</w:t>
      </w:r>
    </w:p>
    <w:bookmarkEnd w:id="449"/>
    <w:bookmarkStart w:id="450"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50"/>
    <w:bookmarkStart w:id="451" w:name="ref-Stanley2011"/>
    <w:p>
      <w:pPr>
        <w:pStyle w:val="Bibliography"/>
      </w:pPr>
      <w:r>
        <w:t xml:space="preserve">———. 2011.</w:t>
      </w:r>
      <w:r>
        <w:t xml:space="preserve"> </w:t>
      </w:r>
      <w:r>
        <w:rPr>
          <w:iCs/>
          <w:i/>
        </w:rPr>
        <w:t xml:space="preserve">Know How</w:t>
      </w:r>
      <w:r>
        <w:t xml:space="preserve">. Oxford: Oxford University Press.</w:t>
      </w:r>
    </w:p>
    <w:bookmarkEnd w:id="451"/>
    <w:bookmarkStart w:id="452"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452"/>
    <w:bookmarkStart w:id="454"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53">
        <w:r>
          <w:rPr>
            <w:rStyle w:val="Hyperlink"/>
          </w:rPr>
          <w:t xml:space="preserve">https://doi.org/10.1111/phpr.12191</w:t>
        </w:r>
      </w:hyperlink>
      <w:r>
        <w:t xml:space="preserve">.</w:t>
      </w:r>
    </w:p>
    <w:bookmarkEnd w:id="454"/>
    <w:bookmarkStart w:id="455"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55"/>
    <w:bookmarkStart w:id="457"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56">
        <w:r>
          <w:rPr>
            <w:rStyle w:val="Hyperlink"/>
          </w:rPr>
          <w:t xml:space="preserve">https://doi.org/10.1111/j.1520-8583.2005.00068.x</w:t>
        </w:r>
      </w:hyperlink>
      <w:r>
        <w:t xml:space="preserve">.</w:t>
      </w:r>
    </w:p>
    <w:bookmarkEnd w:id="457"/>
    <w:bookmarkStart w:id="459"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58">
        <w:r>
          <w:rPr>
            <w:rStyle w:val="Hyperlink"/>
          </w:rPr>
          <w:t xml:space="preserve">https://doi.org/10.1007/s11098-004-5218-x</w:t>
        </w:r>
      </w:hyperlink>
      <w:r>
        <w:t xml:space="preserve">.</w:t>
      </w:r>
    </w:p>
    <w:bookmarkEnd w:id="459"/>
    <w:bookmarkStart w:id="461"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60">
        <w:r>
          <w:rPr>
            <w:rStyle w:val="Hyperlink"/>
          </w:rPr>
          <w:t xml:space="preserve">https://doi.org/10.5840/logos-episteme2011248</w:t>
        </w:r>
      </w:hyperlink>
      <w:r>
        <w:t xml:space="preserve">.</w:t>
      </w:r>
    </w:p>
    <w:bookmarkEnd w:id="461"/>
    <w:bookmarkStart w:id="462"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62"/>
    <w:bookmarkStart w:id="464"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63">
        <w:r>
          <w:rPr>
            <w:rStyle w:val="Hyperlink"/>
          </w:rPr>
          <w:t xml:space="preserve">https://doi.org/10.1111/phpr.12088</w:t>
        </w:r>
      </w:hyperlink>
      <w:r>
        <w:t xml:space="preserve">.</w:t>
      </w:r>
    </w:p>
    <w:bookmarkEnd w:id="464"/>
    <w:bookmarkStart w:id="465"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65"/>
    <w:bookmarkStart w:id="466"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66"/>
    <w:bookmarkStart w:id="467"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67"/>
    <w:bookmarkStart w:id="468" w:name="ref-Weatherson2019"/>
    <w:p>
      <w:pPr>
        <w:pStyle w:val="Bibliography"/>
      </w:pPr>
      <w:r>
        <w:t xml:space="preserve">———. 2019.</w:t>
      </w:r>
      <w:r>
        <w:t xml:space="preserve"> </w:t>
      </w:r>
      <w:r>
        <w:rPr>
          <w:iCs/>
          <w:i/>
        </w:rPr>
        <w:t xml:space="preserve">Normative Externalism</w:t>
      </w:r>
      <w:r>
        <w:t xml:space="preserve">. Oxford: Oxford University Press.</w:t>
      </w:r>
    </w:p>
    <w:bookmarkEnd w:id="468"/>
    <w:bookmarkStart w:id="470"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69">
        <w:r>
          <w:rPr>
            <w:rStyle w:val="Hyperlink"/>
          </w:rPr>
          <w:t xml:space="preserve">https://doi.org/10.1111/j.1933-1592.2010.00448.x</w:t>
        </w:r>
      </w:hyperlink>
      <w:r>
        <w:t xml:space="preserve">.</w:t>
      </w:r>
    </w:p>
    <w:bookmarkEnd w:id="470"/>
    <w:bookmarkStart w:id="472"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471">
        <w:r>
          <w:rPr>
            <w:rStyle w:val="Hyperlink"/>
          </w:rPr>
          <w:t xml:space="preserve">https://doi.org/2027/spo.3521354.0013.022</w:t>
        </w:r>
      </w:hyperlink>
      <w:r>
        <w:t xml:space="preserve">.</w:t>
      </w:r>
    </w:p>
    <w:bookmarkEnd w:id="472"/>
    <w:bookmarkStart w:id="473"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473"/>
    <w:bookmarkStart w:id="475"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474">
        <w:r>
          <w:rPr>
            <w:rStyle w:val="Hyperlink"/>
          </w:rPr>
          <w:t xml:space="preserve">https://doi.org/10.1111/j.1520-8583.2005.00069.x</w:t>
        </w:r>
      </w:hyperlink>
      <w:r>
        <w:t xml:space="preserve">.</w:t>
      </w:r>
    </w:p>
    <w:bookmarkEnd w:id="475"/>
    <w:bookmarkStart w:id="476"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476"/>
    <w:bookmarkStart w:id="477" w:name="ref-Williamson1994"/>
    <w:p>
      <w:pPr>
        <w:pStyle w:val="Bibliography"/>
      </w:pPr>
      <w:r>
        <w:t xml:space="preserve">Williamson, Timothy. 1994.</w:t>
      </w:r>
      <w:r>
        <w:t xml:space="preserve"> </w:t>
      </w:r>
      <w:r>
        <w:rPr>
          <w:iCs/>
          <w:i/>
        </w:rPr>
        <w:t xml:space="preserve">Vagueness</w:t>
      </w:r>
      <w:r>
        <w:t xml:space="preserve">. New York: Routledge.</w:t>
      </w:r>
    </w:p>
    <w:bookmarkEnd w:id="477"/>
    <w:bookmarkStart w:id="478" w:name="ref-Williamson2000"/>
    <w:p>
      <w:pPr>
        <w:pStyle w:val="Bibliography"/>
      </w:pPr>
      <w:r>
        <w:t xml:space="preserve">———. 2000.</w:t>
      </w:r>
      <w:r>
        <w:t xml:space="preserve"> </w:t>
      </w:r>
      <w:r>
        <w:rPr>
          <w:iCs/>
          <w:i/>
        </w:rPr>
        <w:t xml:space="preserve">Knowledge and its Limits</w:t>
      </w:r>
      <w:r>
        <w:t xml:space="preserve">. Oxford University Press.</w:t>
      </w:r>
    </w:p>
    <w:bookmarkEnd w:id="478"/>
    <w:bookmarkStart w:id="480"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479">
        <w:r>
          <w:rPr>
            <w:rStyle w:val="Hyperlink"/>
          </w:rPr>
          <w:t xml:space="preserve">https://doi.org/10.1111/j.0031-8094.2005.00396.x</w:t>
        </w:r>
      </w:hyperlink>
      <w:r>
        <w:t xml:space="preserve">.</w:t>
      </w:r>
    </w:p>
    <w:bookmarkEnd w:id="480"/>
    <w:bookmarkStart w:id="482"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481">
        <w:r>
          <w:rPr>
            <w:rStyle w:val="Hyperlink"/>
          </w:rPr>
          <w:t xml:space="preserve">https://doi.org/10.1111/j.1467-8284.2007.00671.x</w:t>
        </w:r>
      </w:hyperlink>
      <w:r>
        <w:t xml:space="preserve">.</w:t>
      </w:r>
    </w:p>
    <w:bookmarkEnd w:id="482"/>
    <w:bookmarkStart w:id="484"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483">
        <w:r>
          <w:rPr>
            <w:rStyle w:val="Hyperlink"/>
          </w:rPr>
          <w:t xml:space="preserve">https://doi.org/10.1080/0020174X.2013.775010</w:t>
        </w:r>
      </w:hyperlink>
      <w:r>
        <w:t xml:space="preserve">.</w:t>
      </w:r>
    </w:p>
    <w:bookmarkEnd w:id="484"/>
    <w:bookmarkStart w:id="485"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485"/>
    <w:bookmarkStart w:id="486"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486"/>
    <w:bookmarkStart w:id="487" w:name="ref-Woodard2021"/>
    <w:p>
      <w:pPr>
        <w:pStyle w:val="Bibliography"/>
      </w:pPr>
      <w:r>
        <w:t xml:space="preserve">Woodard, Elise. 2020.</w:t>
      </w:r>
      <w:r>
        <w:t xml:space="preserve"> </w:t>
      </w:r>
      <w:r>
        <w:t xml:space="preserve">“Why Double-Check.”</w:t>
      </w:r>
    </w:p>
    <w:bookmarkEnd w:id="487"/>
    <w:bookmarkStart w:id="489"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488">
        <w:r>
          <w:rPr>
            <w:rStyle w:val="Hyperlink"/>
          </w:rPr>
          <w:t xml:space="preserve">https://doi.org/10.1111/j.1933-1592.2002.tb00205.x</w:t>
        </w:r>
      </w:hyperlink>
      <w:r>
        <w:t xml:space="preserve">.</w:t>
      </w:r>
    </w:p>
    <w:bookmarkEnd w:id="489"/>
    <w:bookmarkStart w:id="490"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490"/>
    <w:bookmarkStart w:id="492"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491">
        <w:r>
          <w:rPr>
            <w:rStyle w:val="Hyperlink"/>
          </w:rPr>
          <w:t xml:space="preserve">https://doi.org/10.1111/phpr.12330</w:t>
        </w:r>
      </w:hyperlink>
      <w:r>
        <w:t xml:space="preserve">.</w:t>
      </w:r>
    </w:p>
    <w:bookmarkEnd w:id="492"/>
    <w:bookmarkStart w:id="493" w:name="ref-Yalcin2021"/>
    <w:p>
      <w:pPr>
        <w:pStyle w:val="Bibliography"/>
      </w:pPr>
      <w:r>
        <w:t xml:space="preserve">———. 2021.</w:t>
      </w:r>
      <w:r>
        <w:t xml:space="preserve"> </w:t>
      </w:r>
      <w:r>
        <w:t xml:space="preserve">“Fragmented but Rational.”</w:t>
      </w:r>
      <w:r>
        <w:t xml:space="preserve"> </w:t>
      </w:r>
      <w:r>
        <w:t xml:space="preserve">In</w:t>
      </w:r>
      <w:r>
        <w:t xml:space="preserve"> </w:t>
      </w:r>
      <w:r>
        <w:rPr>
          <w:iCs/>
          <w:i/>
        </w:rPr>
        <w:t xml:space="preserve">The Fragmented Mind</w:t>
      </w:r>
      <w:r>
        <w:t xml:space="preserve">, edited by Christina Borgoni, Dirk Kindermann, and Andrea Onofori, 156–79. Oxford: Oxford University Press.</w:t>
      </w:r>
    </w:p>
    <w:bookmarkEnd w:id="493"/>
    <w:bookmarkStart w:id="495"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494">
        <w:r>
          <w:rPr>
            <w:rStyle w:val="Hyperlink"/>
          </w:rPr>
          <w:t xml:space="preserve">https://doi.org/10.1007/s11098-016-0631-5</w:t>
        </w:r>
      </w:hyperlink>
      <w:r>
        <w:t xml:space="preserve">.</w:t>
      </w:r>
    </w:p>
    <w:bookmarkEnd w:id="495"/>
    <w:bookmarkEnd w:id="496"/>
    <w:bookmarkEnd w:id="4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2">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3">
    <w:p>
      <w:pPr>
        <w:pStyle w:val="FootnoteText"/>
      </w:pPr>
      <w:r>
        <w:rPr>
          <w:rStyle w:val="FootnoteReference"/>
        </w:rPr>
        <w:footnoteRef/>
      </w:r>
      <w:r>
        <w:t xml:space="preserve"> </w:t>
      </w:r>
      <w:r>
        <w:t xml:space="preserve">My main sources here are the Stanford Encyclopaedia of Philosophy encyclopaedia entry on Philo</w:t>
      </w:r>
      <w:r>
        <w:t xml:space="preserve"> </w:t>
      </w:r>
      <w:r>
        <w:t xml:space="preserve">(Brittain and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4">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and Ganeri 2020)</w:t>
      </w:r>
      <w:r>
        <w:t xml:space="preserve">.</w:t>
      </w:r>
    </w:p>
  </w:footnote>
  <w:footnote w:id="25">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6">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7">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idiosyncracies that reflect changes of mind in response to convincing objections to my previous views.</w:t>
      </w:r>
    </w:p>
  </w:footnote>
  <w:footnote w:id="28">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29">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1">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3">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124–25)</w:t>
      </w:r>
      <w:r>
        <w:t xml:space="preserve">. The best form of epistemicism, I’m suggesting, says that Anisa and Blaise are rational but unwise. This isn’t Lasonen-Aarnio’s terminology, but otherwise I’m just coopting her ideas.</w:t>
      </w:r>
    </w:p>
  </w:footnote>
  <w:footnote w:id="34">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8">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0">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3">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4">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7">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49">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1">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2">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5">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7">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8">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0">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3">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5">
    <w:p>
      <w:pPr>
        <w:pStyle w:val="FootnoteText"/>
      </w:pPr>
      <w:r>
        <w:rPr>
          <w:rStyle w:val="FootnoteReference"/>
        </w:rPr>
        <w:footnoteRef/>
      </w:r>
      <w:r>
        <w:t xml:space="preserve"> </w:t>
      </w:r>
      <w:r>
        <w:t xml:space="preserve">See Lewis</w:t>
      </w:r>
      <w:r>
        <w:t xml:space="preserve"> </w:t>
      </w:r>
      <w:r>
        <w:t xml:space="preserve">(1976, 1986b)</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6">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8">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and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9">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0">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1">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2">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4">
    <w:p>
      <w:pPr>
        <w:pStyle w:val="FootnoteText"/>
      </w:pPr>
      <w:r>
        <w:rPr>
          <w:rStyle w:val="FootnoteReference"/>
        </w:rPr>
        <w:footnoteRef/>
      </w:r>
      <w:r>
        <w:t xml:space="preserve"> </w:t>
      </w:r>
      <w:r>
        <w:t xml:space="preserve">Fantl and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subsection 8.4.2</w:t>
        </w:r>
      </w:hyperlink>
      <w:r>
        <w:t xml:space="preserve">.</w:t>
      </w:r>
    </w:p>
  </w:footnote>
  <w:footnote w:id="79">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2">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5">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87">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88">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(Keyens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89">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0">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2">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5">
    <w:p>
      <w:pPr>
        <w:pStyle w:val="FootnoteText"/>
      </w:pPr>
      <w:r>
        <w:rPr>
          <w:rStyle w:val="FootnoteReference"/>
        </w:rPr>
        <w:footnoteRef/>
      </w:r>
      <w:r>
        <w:t xml:space="preserve"> </w:t>
      </w:r>
      <w:r>
        <w:t xml:space="preserve">I’m indebted here to conversations with Eric Swanson.</w:t>
      </w:r>
    </w:p>
  </w:footnote>
  <w:footnote w:id="99">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01">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03">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04">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09">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0">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11">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0">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23">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4.4</w:t>
        </w:r>
      </w:hyperlink>
      <w:r>
        <w:t xml:space="preserve">.</w:t>
      </w:r>
    </w:p>
  </w:footnote>
  <w:footnote w:id="129">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Carribean dollars.</w:t>
      </w:r>
    </w:p>
  </w:footnote>
  <w:footnote w:id="130">
    <w:p>
      <w:pPr>
        <w:pStyle w:val="FootnoteText"/>
      </w:pPr>
      <w:r>
        <w:rPr>
          <w:rStyle w:val="FootnoteReference"/>
        </w:rPr>
        <w:footnoteRef/>
      </w:r>
      <w:r>
        <w:t xml:space="preserve"> </w:t>
      </w:r>
      <w:r>
        <w:t xml:space="preserve">This is true of milk in Australian supermarkets, but not, typically, in American supermarkets.</w:t>
      </w:r>
    </w:p>
  </w:footnote>
  <w:footnote w:id="132">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35">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36">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38">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41">
    <w:p>
      <w:pPr>
        <w:pStyle w:val="FootnoteText"/>
      </w:pPr>
      <w:r>
        <w:rPr>
          <w:rStyle w:val="FootnoteReference"/>
        </w:rPr>
        <w:footnoteRef/>
      </w:r>
      <w:r>
        <w:t xml:space="preserve"> </w:t>
      </w:r>
      <w:r>
        <w:t xml:space="preserve">I first made a version of this reply in my</w:t>
      </w:r>
      <w:r>
        <w:t xml:space="preserve"> </w:t>
      </w:r>
      <w:r>
        <w:t xml:space="preserve">(2016b)</w:t>
      </w:r>
      <w:r>
        <w:t xml:space="preserve">. I earlier replied to Russell and Doris, and to Blome-Tillman, in my</w:t>
      </w:r>
      <w:r>
        <w:t xml:space="preserve"> </w:t>
      </w:r>
      <w:r>
        <w:t xml:space="preserve">(2011)</w:t>
      </w:r>
      <w:r>
        <w:t xml:space="preserve">, but I now think the replies there didn’t really get to the heart of the matter.</w:t>
      </w:r>
    </w:p>
  </w:footnote>
  <w:footnote w:id="144">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45">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47">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50">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51">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54">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55">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58">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60">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61">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67">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76">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79">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186">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187">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w:t>
      </w:r>
    </w:p>
  </w:footnote>
  <w:footnote w:id="195">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199">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and Boylan 2017)</w:t>
      </w:r>
      <w:r>
        <w:t xml:space="preserve">. To say Lupin can unlock the phone is not to say he might unlock the phone - anyone might unlock it hitting random numbers - it’s to say he has a method that would unlock the phone if deployed.</w:t>
      </w:r>
    </w:p>
  </w:footnote>
  <w:footnote w:id="200">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9" Target="http://hdl.handle.net/2027/spo.3521354.0011.006" TargetMode="External" /><Relationship Type="http://schemas.openxmlformats.org/officeDocument/2006/relationships/hyperlink" Id="rId254" Target="http://journal.sjdm.org/8320/jdm8320.pdf" TargetMode="External" /><Relationship Type="http://schemas.openxmlformats.org/officeDocument/2006/relationships/hyperlink" Id="rId448" Target="https://doi.org/10.1006/reec.1999.0200" TargetMode="External" /><Relationship Type="http://schemas.openxmlformats.org/officeDocument/2006/relationships/hyperlink" Id="rId291" Target="https://doi.org/10.1007/BF00183199" TargetMode="External" /><Relationship Type="http://schemas.openxmlformats.org/officeDocument/2006/relationships/hyperlink" Id="rId309" Target="https://doi.org/10.1007/BF00293423" TargetMode="External" /><Relationship Type="http://schemas.openxmlformats.org/officeDocument/2006/relationships/hyperlink" Id="rId442" Target="https://doi.org/10.1007/BF01079205" TargetMode="External" /><Relationship Type="http://schemas.openxmlformats.org/officeDocument/2006/relationships/hyperlink" Id="rId439" Target="https://doi.org/10.1007/bf02379021" TargetMode="External" /><Relationship Type="http://schemas.openxmlformats.org/officeDocument/2006/relationships/hyperlink" Id="rId209" Target="https://doi.org/10.1007/s001820050111" TargetMode="External" /><Relationship Type="http://schemas.openxmlformats.org/officeDocument/2006/relationships/hyperlink" Id="rId368" Target="https://doi.org/10.1007/s10734-010-9309-7" TargetMode="External" /><Relationship Type="http://schemas.openxmlformats.org/officeDocument/2006/relationships/hyperlink" Id="rId458" Target="https://doi.org/10.1007/s11098-004-5218-x" TargetMode="External" /><Relationship Type="http://schemas.openxmlformats.org/officeDocument/2006/relationships/hyperlink" Id="rId281" Target="https://doi.org/10.1007/s11098-005-7779-8" TargetMode="External" /><Relationship Type="http://schemas.openxmlformats.org/officeDocument/2006/relationships/hyperlink" Id="rId278" Target="https://doi.org/10.1007/s11098-007-9133-9" TargetMode="External" /><Relationship Type="http://schemas.openxmlformats.org/officeDocument/2006/relationships/hyperlink" Id="rId426" Target="https://doi.org/10.1007/s11098-008-9200-x" TargetMode="External" /><Relationship Type="http://schemas.openxmlformats.org/officeDocument/2006/relationships/hyperlink" Id="rId262" Target="https://doi.org/10.1007/s11098-008-9225-1" TargetMode="External" /><Relationship Type="http://schemas.openxmlformats.org/officeDocument/2006/relationships/hyperlink" Id="rId364" Target="https://doi.org/10.1007/s11098-010-9542-z" TargetMode="External" /><Relationship Type="http://schemas.openxmlformats.org/officeDocument/2006/relationships/hyperlink" Id="rId301" Target="https://doi.org/10.1007/s11098-012-9880-0" TargetMode="External" /><Relationship Type="http://schemas.openxmlformats.org/officeDocument/2006/relationships/hyperlink" Id="rId260" Target="https://doi.org/10.1007/s11098-015-0461-x" TargetMode="External" /><Relationship Type="http://schemas.openxmlformats.org/officeDocument/2006/relationships/hyperlink" Id="rId296" Target="https://doi.org/10.1007/s11098-015-0553-7" TargetMode="External" /><Relationship Type="http://schemas.openxmlformats.org/officeDocument/2006/relationships/hyperlink" Id="rId494" Target="https://doi.org/10.1007/s11098-016-0631-5" TargetMode="External" /><Relationship Type="http://schemas.openxmlformats.org/officeDocument/2006/relationships/hyperlink" Id="rId219" Target="https://doi.org/10.1007/s11229-015-0878-y" TargetMode="External" /><Relationship Type="http://schemas.openxmlformats.org/officeDocument/2006/relationships/hyperlink" Id="rId370" Target="https://doi.org/10.1007/s11238-017-9592-1" TargetMode="External" /><Relationship Type="http://schemas.openxmlformats.org/officeDocument/2006/relationships/hyperlink" Id="rId401" Target="https://doi.org/10.1016/0167-2681(82)90008-7" TargetMode="External" /><Relationship Type="http://schemas.openxmlformats.org/officeDocument/2006/relationships/hyperlink" Id="rId418" Target="https://doi.org/10.1016/S0004-3702(97)00026-X" TargetMode="External" /><Relationship Type="http://schemas.openxmlformats.org/officeDocument/2006/relationships/hyperlink" Id="rId446" Target="https://doi.org/10.1016/S0165-4896(98)00007-9" TargetMode="External" /><Relationship Type="http://schemas.openxmlformats.org/officeDocument/2006/relationships/hyperlink" Id="rId234" Target="https://doi.org/10.1016/j.jcps.2014.08.002" TargetMode="External" /><Relationship Type="http://schemas.openxmlformats.org/officeDocument/2006/relationships/hyperlink" Id="rId393" Target="https://doi.org/10.1016/j.mathsocsci.2013.08.005" TargetMode="External" /><Relationship Type="http://schemas.openxmlformats.org/officeDocument/2006/relationships/hyperlink" Id="rId388" Target="https://doi.org/10.1016/j.shpsb.2009.08.008" TargetMode="External" /><Relationship Type="http://schemas.openxmlformats.org/officeDocument/2006/relationships/hyperlink" Id="rId337" Target="https://doi.org/10.1017/S0012217317000154" TargetMode="External" /><Relationship Type="http://schemas.openxmlformats.org/officeDocument/2006/relationships/hyperlink" Id="rId444" Target="https://doi.org/10.1017/S0266267100004132" TargetMode="External" /><Relationship Type="http://schemas.openxmlformats.org/officeDocument/2006/relationships/hyperlink" Id="rId344" Target="https://doi.org/10.1017/cbo9780511625237.009" TargetMode="External" /><Relationship Type="http://schemas.openxmlformats.org/officeDocument/2006/relationships/hyperlink" Id="rId429" Target="https://doi.org/10.1037/0022-3514.83.5.1178" TargetMode="External" /><Relationship Type="http://schemas.openxmlformats.org/officeDocument/2006/relationships/hyperlink" Id="rId386" Target="https://doi.org/10.1037/pspp0000141" TargetMode="External" /><Relationship Type="http://schemas.openxmlformats.org/officeDocument/2006/relationships/hyperlink" Id="rId416" Target="https://doi.org/10.1080/00048400802001996" TargetMode="External" /><Relationship Type="http://schemas.openxmlformats.org/officeDocument/2006/relationships/hyperlink" Id="rId409" Target="https://doi.org/10.1080/00048408412341601" TargetMode="External" /><Relationship Type="http://schemas.openxmlformats.org/officeDocument/2006/relationships/hyperlink" Id="rId483" Target="https://doi.org/10.1080/0020174X.2013.775010" TargetMode="External" /><Relationship Type="http://schemas.openxmlformats.org/officeDocument/2006/relationships/hyperlink" Id="rId379" Target="https://doi.org/10.1080/0020174X.2013.775014" TargetMode="External" /><Relationship Type="http://schemas.openxmlformats.org/officeDocument/2006/relationships/hyperlink" Id="rId232" Target="https://doi.org/10.1080/00213624.2017.1391594" TargetMode="External" /><Relationship Type="http://schemas.openxmlformats.org/officeDocument/2006/relationships/hyperlink" Id="rId339" Target="https://doi.org/10.1080/05568641.2017.1364142" TargetMode="External" /><Relationship Type="http://schemas.openxmlformats.org/officeDocument/2006/relationships/hyperlink" Id="rId420" Target="https://doi.org/10.1086/288168" TargetMode="External" /><Relationship Type="http://schemas.openxmlformats.org/officeDocument/2006/relationships/hyperlink" Id="rId361" Target="https://doi.org/10.1086/289906" TargetMode="External" /><Relationship Type="http://schemas.openxmlformats.org/officeDocument/2006/relationships/hyperlink" Id="rId359" Target="https://doi.org/10.1086/392759" TargetMode="External" /><Relationship Type="http://schemas.openxmlformats.org/officeDocument/2006/relationships/hyperlink" Id="rId305" Target="https://doi.org/10.1086/648610" TargetMode="External" /><Relationship Type="http://schemas.openxmlformats.org/officeDocument/2006/relationships/hyperlink" Id="rId422" Target="https://doi.org/10.1086/651235" TargetMode="External" /><Relationship Type="http://schemas.openxmlformats.org/officeDocument/2006/relationships/hyperlink" Id="rId303" Target="https://doi.org/10.1086/671402" TargetMode="External" /><Relationship Type="http://schemas.openxmlformats.org/officeDocument/2006/relationships/hyperlink" Id="rId207" Target="https://doi.org/10.1093/analys/anr083" TargetMode="External" /><Relationship Type="http://schemas.openxmlformats.org/officeDocument/2006/relationships/hyperlink" Id="rId329" Target="https://doi.org/10.1093/analys/anr129" TargetMode="External" /><Relationship Type="http://schemas.openxmlformats.org/officeDocument/2006/relationships/hyperlink" Id="rId351" Target="https://doi.org/10.1093/mind/105.418.303" TargetMode="External" /><Relationship Type="http://schemas.openxmlformats.org/officeDocument/2006/relationships/hyperlink" Id="rId349" Target="https://doi.org/10.1093/mind/xcvii.387.323" TargetMode="External" /><Relationship Type="http://schemas.openxmlformats.org/officeDocument/2006/relationships/hyperlink" Id="rId433" Target="https://doi.org/10.1111/0029-4624.33.s13.7" TargetMode="External" /><Relationship Type="http://schemas.openxmlformats.org/officeDocument/2006/relationships/hyperlink" Id="rId215" Target="https://doi.org/10.1111/j.0031-8094.2004.00350.x" TargetMode="External" /><Relationship Type="http://schemas.openxmlformats.org/officeDocument/2006/relationships/hyperlink" Id="rId479" Target="https://doi.org/10.1111/j.0031-8094.2005.00396.x" TargetMode="External" /><Relationship Type="http://schemas.openxmlformats.org/officeDocument/2006/relationships/hyperlink" Id="rId481" Target="https://doi.org/10.1111/j.1467-8284.2007.00671.x" TargetMode="External" /><Relationship Type="http://schemas.openxmlformats.org/officeDocument/2006/relationships/hyperlink" Id="rId313" Target="https://doi.org/10.1111/j.1467-9280.2006.01677.x" TargetMode="External" /><Relationship Type="http://schemas.openxmlformats.org/officeDocument/2006/relationships/hyperlink" Id="rId435" Target="https://doi.org/10.1111/j.1468-0017.2010.01394.x" TargetMode="External" /><Relationship Type="http://schemas.openxmlformats.org/officeDocument/2006/relationships/hyperlink" Id="rId225" Target="https://doi.org/10.1111/j.1468-0068.2008.00677.x" TargetMode="External" /><Relationship Type="http://schemas.openxmlformats.org/officeDocument/2006/relationships/hyperlink" Id="rId221" Target="https://doi.org/10.1111/j.1468-0262.2008.00835.x" TargetMode="External" /><Relationship Type="http://schemas.openxmlformats.org/officeDocument/2006/relationships/hyperlink" Id="rId456" Target="https://doi.org/10.1111/j.1520-8583.2005.00068.x" TargetMode="External" /><Relationship Type="http://schemas.openxmlformats.org/officeDocument/2006/relationships/hyperlink" Id="rId474" Target="https://doi.org/10.1111/j.1520-8583.2005.00069.x" TargetMode="External" /><Relationship Type="http://schemas.openxmlformats.org/officeDocument/2006/relationships/hyperlink" Id="rId331" Target="https://doi.org/10.1111/j.1520-8583.2010.00183.x" TargetMode="External" /><Relationship Type="http://schemas.openxmlformats.org/officeDocument/2006/relationships/hyperlink" Id="rId377" Target="https://doi.org/10.1111/j.1520-8583.2010.00198.x" TargetMode="External" /><Relationship Type="http://schemas.openxmlformats.org/officeDocument/2006/relationships/hyperlink" Id="rId399" Target="https://doi.org/10.1111/j.1533-6077.2004.00034.x" TargetMode="External" /><Relationship Type="http://schemas.openxmlformats.org/officeDocument/2006/relationships/hyperlink" Id="rId245" Target="https://doi.org/10.1111/j.1533-6077.2004.00040.x" TargetMode="External" /><Relationship Type="http://schemas.openxmlformats.org/officeDocument/2006/relationships/hyperlink" Id="rId243" Target="https://doi.org/10.1111/j.1933-1592.2002.tb00204.x" TargetMode="External" /><Relationship Type="http://schemas.openxmlformats.org/officeDocument/2006/relationships/hyperlink" Id="rId488" Target="https://doi.org/10.1111/j.1933-1592.2002.tb00205.x" TargetMode="External" /><Relationship Type="http://schemas.openxmlformats.org/officeDocument/2006/relationships/hyperlink" Id="rId294" Target="https://doi.org/10.1111/j.1933-1592.2005.tb00540.x" TargetMode="External" /><Relationship Type="http://schemas.openxmlformats.org/officeDocument/2006/relationships/hyperlink" Id="rId384" Target="https://doi.org/10.1111/j.1933-1592.2007.00069.x" TargetMode="External" /><Relationship Type="http://schemas.openxmlformats.org/officeDocument/2006/relationships/hyperlink" Id="rId217" Target="https://doi.org/10.1111/j.1933-1592.2009.00280.x" TargetMode="External" /><Relationship Type="http://schemas.openxmlformats.org/officeDocument/2006/relationships/hyperlink" Id="rId469" Target="https://doi.org/10.1111/j.1933-1592.2010.00448.x" TargetMode="External" /><Relationship Type="http://schemas.openxmlformats.org/officeDocument/2006/relationships/hyperlink" Id="rId413" Target="https://doi.org/10.1111/j.1933-1592.2011.00552.x" TargetMode="External" /><Relationship Type="http://schemas.openxmlformats.org/officeDocument/2006/relationships/hyperlink" Id="rId322" Target="https://doi.org/10.1111/jere.12070" TargetMode="External" /><Relationship Type="http://schemas.openxmlformats.org/officeDocument/2006/relationships/hyperlink" Id="rId424" Target="https://doi.org/10.1111/nous.12006" TargetMode="External" /><Relationship Type="http://schemas.openxmlformats.org/officeDocument/2006/relationships/hyperlink" Id="rId270" Target="https://doi.org/10.1111/nous.12137" TargetMode="External" /><Relationship Type="http://schemas.openxmlformats.org/officeDocument/2006/relationships/hyperlink" Id="rId335" Target="https://doi.org/10.1111/nous.12186" TargetMode="External" /><Relationship Type="http://schemas.openxmlformats.org/officeDocument/2006/relationships/hyperlink" Id="rId274" Target="https://doi.org/10.1111/nous.12222" TargetMode="External" /><Relationship Type="http://schemas.openxmlformats.org/officeDocument/2006/relationships/hyperlink" Id="rId437" Target="https://doi.org/10.1111/nous.12254" TargetMode="External" /><Relationship Type="http://schemas.openxmlformats.org/officeDocument/2006/relationships/hyperlink" Id="rId372" Target="https://doi.org/10.1111/nous.12323" TargetMode="External" /><Relationship Type="http://schemas.openxmlformats.org/officeDocument/2006/relationships/hyperlink" Id="rId272" Target="https://doi.org/10.1111/phis.12141" TargetMode="External" /><Relationship Type="http://schemas.openxmlformats.org/officeDocument/2006/relationships/hyperlink" Id="rId463" Target="https://doi.org/10.1111/phpr.12088" TargetMode="External" /><Relationship Type="http://schemas.openxmlformats.org/officeDocument/2006/relationships/hyperlink" Id="rId333" Target="https://doi.org/10.1111/phpr.12090" TargetMode="External" /><Relationship Type="http://schemas.openxmlformats.org/officeDocument/2006/relationships/hyperlink" Id="rId453" Target="https://doi.org/10.1111/phpr.12191" TargetMode="External" /><Relationship Type="http://schemas.openxmlformats.org/officeDocument/2006/relationships/hyperlink" Id="rId356" Target="https://doi.org/10.1111/phpr.12271" TargetMode="External" /><Relationship Type="http://schemas.openxmlformats.org/officeDocument/2006/relationships/hyperlink" Id="rId491" Target="https://doi.org/10.1111/phpr.12330" TargetMode="External" /><Relationship Type="http://schemas.openxmlformats.org/officeDocument/2006/relationships/hyperlink" Id="rId382" Target="https://doi.org/10.1111/phpr.12431" TargetMode="External" /><Relationship Type="http://schemas.openxmlformats.org/officeDocument/2006/relationships/hyperlink" Id="rId431" Target="https://doi.org/10.1215/00318108-2007-037" TargetMode="External" /><Relationship Type="http://schemas.openxmlformats.org/officeDocument/2006/relationships/hyperlink" Id="rId366" Target="https://doi.org/10.1215/00318108-3878483" TargetMode="External" /><Relationship Type="http://schemas.openxmlformats.org/officeDocument/2006/relationships/hyperlink" Id="rId276" Target="https://doi.org/10.1215/00318108-8540918" TargetMode="External" /><Relationship Type="http://schemas.openxmlformats.org/officeDocument/2006/relationships/hyperlink" Id="rId407" Target="https://doi.org/10.1257/aer.101.2.900" TargetMode="External" /><Relationship Type="http://schemas.openxmlformats.org/officeDocument/2006/relationships/hyperlink" Id="rId228" Target="https://doi.org/10.1257/aer.101.7.2899" TargetMode="External" /><Relationship Type="http://schemas.openxmlformats.org/officeDocument/2006/relationships/hyperlink" Id="rId325" Target="https://doi.org/10.2307/1912320" TargetMode="External" /><Relationship Type="http://schemas.openxmlformats.org/officeDocument/2006/relationships/hyperlink" Id="rId342" Target="https://doi.org/10.2307/2184045" TargetMode="External" /><Relationship Type="http://schemas.openxmlformats.org/officeDocument/2006/relationships/hyperlink" Id="rId347" Target="https://doi.org/10.2307/2185051" TargetMode="External" /><Relationship Type="http://schemas.openxmlformats.org/officeDocument/2006/relationships/hyperlink" Id="rId311" Target="https://doi.org/10.2307/2216304" TargetMode="External" /><Relationship Type="http://schemas.openxmlformats.org/officeDocument/2006/relationships/hyperlink" Id="rId307" Target="https://doi.org/10.2307/2224214" TargetMode="External" /><Relationship Type="http://schemas.openxmlformats.org/officeDocument/2006/relationships/hyperlink" Id="rId319" Target="https://doi.org/10.2307/2224674" TargetMode="External" /><Relationship Type="http://schemas.openxmlformats.org/officeDocument/2006/relationships/hyperlink" Id="rId354" Target="https://doi.org/10.2307/2296233" TargetMode="External" /><Relationship Type="http://schemas.openxmlformats.org/officeDocument/2006/relationships/hyperlink" Id="rId230" Target="https://doi.org/10.2307/2951491" TargetMode="External" /><Relationship Type="http://schemas.openxmlformats.org/officeDocument/2006/relationships/hyperlink" Id="rId266" Target="https://doi.org/10.2307/3182570" TargetMode="External" /><Relationship Type="http://schemas.openxmlformats.org/officeDocument/2006/relationships/hyperlink" Id="rId252" Target="https://doi.org/10.2307/3182618" TargetMode="External" /><Relationship Type="http://schemas.openxmlformats.org/officeDocument/2006/relationships/hyperlink" Id="rId283" Target="https://doi.org/10.2307/3326922" TargetMode="External" /><Relationship Type="http://schemas.openxmlformats.org/officeDocument/2006/relationships/hyperlink" Id="rId286" Target="https://doi.org/10.3765/sp.3.4" TargetMode="External" /><Relationship Type="http://schemas.openxmlformats.org/officeDocument/2006/relationships/hyperlink" Id="rId411" Target="https://doi.org/10.3765/sp.5.6" TargetMode="External" /><Relationship Type="http://schemas.openxmlformats.org/officeDocument/2006/relationships/hyperlink" Id="rId257" Target="https://doi.org/10.3998/ergo.12405314.0002.026" TargetMode="External" /><Relationship Type="http://schemas.openxmlformats.org/officeDocument/2006/relationships/hyperlink" Id="rId299" Target="https://doi.org/10.5840/jphil20081051022" TargetMode="External" /><Relationship Type="http://schemas.openxmlformats.org/officeDocument/2006/relationships/hyperlink" Id="rId460" Target="https://doi.org/10.5840/logos-episteme2011248" TargetMode="External" /><Relationship Type="http://schemas.openxmlformats.org/officeDocument/2006/relationships/hyperlink" Id="rId471" Target="https://doi.org/2027/spo.3521354.0013.022" TargetMode="External" /><Relationship Type="http://schemas.openxmlformats.org/officeDocument/2006/relationships/hyperlink" Id="rId403" Target="https://plato.stanford.edu/archives/spr2018/entries/public-reason/" TargetMode="External" /><Relationship Type="http://schemas.openxmlformats.org/officeDocument/2006/relationships/hyperlink" Id="rId249" Target="https://plato.stanford.edu/archives/spr2018/entries/questions/" TargetMode="External" /><Relationship Type="http://schemas.openxmlformats.org/officeDocument/2006/relationships/hyperlink" Id="rId223" Target="https://plato.stanford.edu/archives/sum2021/entries/philo-larissa/" TargetMode="External" /><Relationship Type="http://schemas.openxmlformats.org/officeDocument/2006/relationships/hyperlink" Id="rId396"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39" Target="http://hdl.handle.net/2027/spo.3521354.0011.006" TargetMode="External" /><Relationship Type="http://schemas.openxmlformats.org/officeDocument/2006/relationships/hyperlink" Id="rId254" Target="http://journal.sjdm.org/8320/jdm8320.pdf" TargetMode="External" /><Relationship Type="http://schemas.openxmlformats.org/officeDocument/2006/relationships/hyperlink" Id="rId448" Target="https://doi.org/10.1006/reec.1999.0200" TargetMode="External" /><Relationship Type="http://schemas.openxmlformats.org/officeDocument/2006/relationships/hyperlink" Id="rId291" Target="https://doi.org/10.1007/BF00183199" TargetMode="External" /><Relationship Type="http://schemas.openxmlformats.org/officeDocument/2006/relationships/hyperlink" Id="rId309" Target="https://doi.org/10.1007/BF00293423" TargetMode="External" /><Relationship Type="http://schemas.openxmlformats.org/officeDocument/2006/relationships/hyperlink" Id="rId442" Target="https://doi.org/10.1007/BF01079205" TargetMode="External" /><Relationship Type="http://schemas.openxmlformats.org/officeDocument/2006/relationships/hyperlink" Id="rId439" Target="https://doi.org/10.1007/bf02379021" TargetMode="External" /><Relationship Type="http://schemas.openxmlformats.org/officeDocument/2006/relationships/hyperlink" Id="rId209" Target="https://doi.org/10.1007/s001820050111" TargetMode="External" /><Relationship Type="http://schemas.openxmlformats.org/officeDocument/2006/relationships/hyperlink" Id="rId368" Target="https://doi.org/10.1007/s10734-010-9309-7" TargetMode="External" /><Relationship Type="http://schemas.openxmlformats.org/officeDocument/2006/relationships/hyperlink" Id="rId458" Target="https://doi.org/10.1007/s11098-004-5218-x" TargetMode="External" /><Relationship Type="http://schemas.openxmlformats.org/officeDocument/2006/relationships/hyperlink" Id="rId281" Target="https://doi.org/10.1007/s11098-005-7779-8" TargetMode="External" /><Relationship Type="http://schemas.openxmlformats.org/officeDocument/2006/relationships/hyperlink" Id="rId278" Target="https://doi.org/10.1007/s11098-007-9133-9" TargetMode="External" /><Relationship Type="http://schemas.openxmlformats.org/officeDocument/2006/relationships/hyperlink" Id="rId426" Target="https://doi.org/10.1007/s11098-008-9200-x" TargetMode="External" /><Relationship Type="http://schemas.openxmlformats.org/officeDocument/2006/relationships/hyperlink" Id="rId262" Target="https://doi.org/10.1007/s11098-008-9225-1" TargetMode="External" /><Relationship Type="http://schemas.openxmlformats.org/officeDocument/2006/relationships/hyperlink" Id="rId364" Target="https://doi.org/10.1007/s11098-010-9542-z" TargetMode="External" /><Relationship Type="http://schemas.openxmlformats.org/officeDocument/2006/relationships/hyperlink" Id="rId301" Target="https://doi.org/10.1007/s11098-012-9880-0" TargetMode="External" /><Relationship Type="http://schemas.openxmlformats.org/officeDocument/2006/relationships/hyperlink" Id="rId260" Target="https://doi.org/10.1007/s11098-015-0461-x" TargetMode="External" /><Relationship Type="http://schemas.openxmlformats.org/officeDocument/2006/relationships/hyperlink" Id="rId296" Target="https://doi.org/10.1007/s11098-015-0553-7" TargetMode="External" /><Relationship Type="http://schemas.openxmlformats.org/officeDocument/2006/relationships/hyperlink" Id="rId494" Target="https://doi.org/10.1007/s11098-016-0631-5" TargetMode="External" /><Relationship Type="http://schemas.openxmlformats.org/officeDocument/2006/relationships/hyperlink" Id="rId219" Target="https://doi.org/10.1007/s11229-015-0878-y" TargetMode="External" /><Relationship Type="http://schemas.openxmlformats.org/officeDocument/2006/relationships/hyperlink" Id="rId370" Target="https://doi.org/10.1007/s11238-017-9592-1" TargetMode="External" /><Relationship Type="http://schemas.openxmlformats.org/officeDocument/2006/relationships/hyperlink" Id="rId401" Target="https://doi.org/10.1016/0167-2681(82)90008-7" TargetMode="External" /><Relationship Type="http://schemas.openxmlformats.org/officeDocument/2006/relationships/hyperlink" Id="rId418" Target="https://doi.org/10.1016/S0004-3702(97)00026-X" TargetMode="External" /><Relationship Type="http://schemas.openxmlformats.org/officeDocument/2006/relationships/hyperlink" Id="rId446" Target="https://doi.org/10.1016/S0165-4896(98)00007-9" TargetMode="External" /><Relationship Type="http://schemas.openxmlformats.org/officeDocument/2006/relationships/hyperlink" Id="rId234" Target="https://doi.org/10.1016/j.jcps.2014.08.002" TargetMode="External" /><Relationship Type="http://schemas.openxmlformats.org/officeDocument/2006/relationships/hyperlink" Id="rId393" Target="https://doi.org/10.1016/j.mathsocsci.2013.08.005" TargetMode="External" /><Relationship Type="http://schemas.openxmlformats.org/officeDocument/2006/relationships/hyperlink" Id="rId388" Target="https://doi.org/10.1016/j.shpsb.2009.08.008" TargetMode="External" /><Relationship Type="http://schemas.openxmlformats.org/officeDocument/2006/relationships/hyperlink" Id="rId337" Target="https://doi.org/10.1017/S0012217317000154" TargetMode="External" /><Relationship Type="http://schemas.openxmlformats.org/officeDocument/2006/relationships/hyperlink" Id="rId444" Target="https://doi.org/10.1017/S0266267100004132" TargetMode="External" /><Relationship Type="http://schemas.openxmlformats.org/officeDocument/2006/relationships/hyperlink" Id="rId344" Target="https://doi.org/10.1017/cbo9780511625237.009" TargetMode="External" /><Relationship Type="http://schemas.openxmlformats.org/officeDocument/2006/relationships/hyperlink" Id="rId429" Target="https://doi.org/10.1037/0022-3514.83.5.1178" TargetMode="External" /><Relationship Type="http://schemas.openxmlformats.org/officeDocument/2006/relationships/hyperlink" Id="rId386" Target="https://doi.org/10.1037/pspp0000141" TargetMode="External" /><Relationship Type="http://schemas.openxmlformats.org/officeDocument/2006/relationships/hyperlink" Id="rId416" Target="https://doi.org/10.1080/00048400802001996" TargetMode="External" /><Relationship Type="http://schemas.openxmlformats.org/officeDocument/2006/relationships/hyperlink" Id="rId409" Target="https://doi.org/10.1080/00048408412341601" TargetMode="External" /><Relationship Type="http://schemas.openxmlformats.org/officeDocument/2006/relationships/hyperlink" Id="rId483" Target="https://doi.org/10.1080/0020174X.2013.775010" TargetMode="External" /><Relationship Type="http://schemas.openxmlformats.org/officeDocument/2006/relationships/hyperlink" Id="rId379" Target="https://doi.org/10.1080/0020174X.2013.775014" TargetMode="External" /><Relationship Type="http://schemas.openxmlformats.org/officeDocument/2006/relationships/hyperlink" Id="rId232" Target="https://doi.org/10.1080/00213624.2017.1391594" TargetMode="External" /><Relationship Type="http://schemas.openxmlformats.org/officeDocument/2006/relationships/hyperlink" Id="rId339" Target="https://doi.org/10.1080/05568641.2017.1364142" TargetMode="External" /><Relationship Type="http://schemas.openxmlformats.org/officeDocument/2006/relationships/hyperlink" Id="rId420" Target="https://doi.org/10.1086/288168" TargetMode="External" /><Relationship Type="http://schemas.openxmlformats.org/officeDocument/2006/relationships/hyperlink" Id="rId361" Target="https://doi.org/10.1086/289906" TargetMode="External" /><Relationship Type="http://schemas.openxmlformats.org/officeDocument/2006/relationships/hyperlink" Id="rId359" Target="https://doi.org/10.1086/392759" TargetMode="External" /><Relationship Type="http://schemas.openxmlformats.org/officeDocument/2006/relationships/hyperlink" Id="rId305" Target="https://doi.org/10.1086/648610" TargetMode="External" /><Relationship Type="http://schemas.openxmlformats.org/officeDocument/2006/relationships/hyperlink" Id="rId422" Target="https://doi.org/10.1086/651235" TargetMode="External" /><Relationship Type="http://schemas.openxmlformats.org/officeDocument/2006/relationships/hyperlink" Id="rId303" Target="https://doi.org/10.1086/671402" TargetMode="External" /><Relationship Type="http://schemas.openxmlformats.org/officeDocument/2006/relationships/hyperlink" Id="rId207" Target="https://doi.org/10.1093/analys/anr083" TargetMode="External" /><Relationship Type="http://schemas.openxmlformats.org/officeDocument/2006/relationships/hyperlink" Id="rId329" Target="https://doi.org/10.1093/analys/anr129" TargetMode="External" /><Relationship Type="http://schemas.openxmlformats.org/officeDocument/2006/relationships/hyperlink" Id="rId351" Target="https://doi.org/10.1093/mind/105.418.303" TargetMode="External" /><Relationship Type="http://schemas.openxmlformats.org/officeDocument/2006/relationships/hyperlink" Id="rId349" Target="https://doi.org/10.1093/mind/xcvii.387.323" TargetMode="External" /><Relationship Type="http://schemas.openxmlformats.org/officeDocument/2006/relationships/hyperlink" Id="rId433" Target="https://doi.org/10.1111/0029-4624.33.s13.7" TargetMode="External" /><Relationship Type="http://schemas.openxmlformats.org/officeDocument/2006/relationships/hyperlink" Id="rId215" Target="https://doi.org/10.1111/j.0031-8094.2004.00350.x" TargetMode="External" /><Relationship Type="http://schemas.openxmlformats.org/officeDocument/2006/relationships/hyperlink" Id="rId479" Target="https://doi.org/10.1111/j.0031-8094.2005.00396.x" TargetMode="External" /><Relationship Type="http://schemas.openxmlformats.org/officeDocument/2006/relationships/hyperlink" Id="rId481" Target="https://doi.org/10.1111/j.1467-8284.2007.00671.x" TargetMode="External" /><Relationship Type="http://schemas.openxmlformats.org/officeDocument/2006/relationships/hyperlink" Id="rId313" Target="https://doi.org/10.1111/j.1467-9280.2006.01677.x" TargetMode="External" /><Relationship Type="http://schemas.openxmlformats.org/officeDocument/2006/relationships/hyperlink" Id="rId435" Target="https://doi.org/10.1111/j.1468-0017.2010.01394.x" TargetMode="External" /><Relationship Type="http://schemas.openxmlformats.org/officeDocument/2006/relationships/hyperlink" Id="rId225" Target="https://doi.org/10.1111/j.1468-0068.2008.00677.x" TargetMode="External" /><Relationship Type="http://schemas.openxmlformats.org/officeDocument/2006/relationships/hyperlink" Id="rId221" Target="https://doi.org/10.1111/j.1468-0262.2008.00835.x" TargetMode="External" /><Relationship Type="http://schemas.openxmlformats.org/officeDocument/2006/relationships/hyperlink" Id="rId456" Target="https://doi.org/10.1111/j.1520-8583.2005.00068.x" TargetMode="External" /><Relationship Type="http://schemas.openxmlformats.org/officeDocument/2006/relationships/hyperlink" Id="rId474" Target="https://doi.org/10.1111/j.1520-8583.2005.00069.x" TargetMode="External" /><Relationship Type="http://schemas.openxmlformats.org/officeDocument/2006/relationships/hyperlink" Id="rId331" Target="https://doi.org/10.1111/j.1520-8583.2010.00183.x" TargetMode="External" /><Relationship Type="http://schemas.openxmlformats.org/officeDocument/2006/relationships/hyperlink" Id="rId377" Target="https://doi.org/10.1111/j.1520-8583.2010.00198.x" TargetMode="External" /><Relationship Type="http://schemas.openxmlformats.org/officeDocument/2006/relationships/hyperlink" Id="rId399" Target="https://doi.org/10.1111/j.1533-6077.2004.00034.x" TargetMode="External" /><Relationship Type="http://schemas.openxmlformats.org/officeDocument/2006/relationships/hyperlink" Id="rId245" Target="https://doi.org/10.1111/j.1533-6077.2004.00040.x" TargetMode="External" /><Relationship Type="http://schemas.openxmlformats.org/officeDocument/2006/relationships/hyperlink" Id="rId243" Target="https://doi.org/10.1111/j.1933-1592.2002.tb00204.x" TargetMode="External" /><Relationship Type="http://schemas.openxmlformats.org/officeDocument/2006/relationships/hyperlink" Id="rId488" Target="https://doi.org/10.1111/j.1933-1592.2002.tb00205.x" TargetMode="External" /><Relationship Type="http://schemas.openxmlformats.org/officeDocument/2006/relationships/hyperlink" Id="rId294" Target="https://doi.org/10.1111/j.1933-1592.2005.tb00540.x" TargetMode="External" /><Relationship Type="http://schemas.openxmlformats.org/officeDocument/2006/relationships/hyperlink" Id="rId384" Target="https://doi.org/10.1111/j.1933-1592.2007.00069.x" TargetMode="External" /><Relationship Type="http://schemas.openxmlformats.org/officeDocument/2006/relationships/hyperlink" Id="rId217" Target="https://doi.org/10.1111/j.1933-1592.2009.00280.x" TargetMode="External" /><Relationship Type="http://schemas.openxmlformats.org/officeDocument/2006/relationships/hyperlink" Id="rId469" Target="https://doi.org/10.1111/j.1933-1592.2010.00448.x" TargetMode="External" /><Relationship Type="http://schemas.openxmlformats.org/officeDocument/2006/relationships/hyperlink" Id="rId413" Target="https://doi.org/10.1111/j.1933-1592.2011.00552.x" TargetMode="External" /><Relationship Type="http://schemas.openxmlformats.org/officeDocument/2006/relationships/hyperlink" Id="rId322" Target="https://doi.org/10.1111/jere.12070" TargetMode="External" /><Relationship Type="http://schemas.openxmlformats.org/officeDocument/2006/relationships/hyperlink" Id="rId424" Target="https://doi.org/10.1111/nous.12006" TargetMode="External" /><Relationship Type="http://schemas.openxmlformats.org/officeDocument/2006/relationships/hyperlink" Id="rId270" Target="https://doi.org/10.1111/nous.12137" TargetMode="External" /><Relationship Type="http://schemas.openxmlformats.org/officeDocument/2006/relationships/hyperlink" Id="rId335" Target="https://doi.org/10.1111/nous.12186" TargetMode="External" /><Relationship Type="http://schemas.openxmlformats.org/officeDocument/2006/relationships/hyperlink" Id="rId274" Target="https://doi.org/10.1111/nous.12222" TargetMode="External" /><Relationship Type="http://schemas.openxmlformats.org/officeDocument/2006/relationships/hyperlink" Id="rId437" Target="https://doi.org/10.1111/nous.12254" TargetMode="External" /><Relationship Type="http://schemas.openxmlformats.org/officeDocument/2006/relationships/hyperlink" Id="rId372" Target="https://doi.org/10.1111/nous.12323" TargetMode="External" /><Relationship Type="http://schemas.openxmlformats.org/officeDocument/2006/relationships/hyperlink" Id="rId272" Target="https://doi.org/10.1111/phis.12141" TargetMode="External" /><Relationship Type="http://schemas.openxmlformats.org/officeDocument/2006/relationships/hyperlink" Id="rId463" Target="https://doi.org/10.1111/phpr.12088" TargetMode="External" /><Relationship Type="http://schemas.openxmlformats.org/officeDocument/2006/relationships/hyperlink" Id="rId333" Target="https://doi.org/10.1111/phpr.12090" TargetMode="External" /><Relationship Type="http://schemas.openxmlformats.org/officeDocument/2006/relationships/hyperlink" Id="rId453" Target="https://doi.org/10.1111/phpr.12191" TargetMode="External" /><Relationship Type="http://schemas.openxmlformats.org/officeDocument/2006/relationships/hyperlink" Id="rId356" Target="https://doi.org/10.1111/phpr.12271" TargetMode="External" /><Relationship Type="http://schemas.openxmlformats.org/officeDocument/2006/relationships/hyperlink" Id="rId491" Target="https://doi.org/10.1111/phpr.12330" TargetMode="External" /><Relationship Type="http://schemas.openxmlformats.org/officeDocument/2006/relationships/hyperlink" Id="rId382" Target="https://doi.org/10.1111/phpr.12431" TargetMode="External" /><Relationship Type="http://schemas.openxmlformats.org/officeDocument/2006/relationships/hyperlink" Id="rId431" Target="https://doi.org/10.1215/00318108-2007-037" TargetMode="External" /><Relationship Type="http://schemas.openxmlformats.org/officeDocument/2006/relationships/hyperlink" Id="rId366" Target="https://doi.org/10.1215/00318108-3878483" TargetMode="External" /><Relationship Type="http://schemas.openxmlformats.org/officeDocument/2006/relationships/hyperlink" Id="rId276" Target="https://doi.org/10.1215/00318108-8540918" TargetMode="External" /><Relationship Type="http://schemas.openxmlformats.org/officeDocument/2006/relationships/hyperlink" Id="rId407" Target="https://doi.org/10.1257/aer.101.2.900" TargetMode="External" /><Relationship Type="http://schemas.openxmlformats.org/officeDocument/2006/relationships/hyperlink" Id="rId228" Target="https://doi.org/10.1257/aer.101.7.2899" TargetMode="External" /><Relationship Type="http://schemas.openxmlformats.org/officeDocument/2006/relationships/hyperlink" Id="rId325" Target="https://doi.org/10.2307/1912320" TargetMode="External" /><Relationship Type="http://schemas.openxmlformats.org/officeDocument/2006/relationships/hyperlink" Id="rId342" Target="https://doi.org/10.2307/2184045" TargetMode="External" /><Relationship Type="http://schemas.openxmlformats.org/officeDocument/2006/relationships/hyperlink" Id="rId347" Target="https://doi.org/10.2307/2185051" TargetMode="External" /><Relationship Type="http://schemas.openxmlformats.org/officeDocument/2006/relationships/hyperlink" Id="rId311" Target="https://doi.org/10.2307/2216304" TargetMode="External" /><Relationship Type="http://schemas.openxmlformats.org/officeDocument/2006/relationships/hyperlink" Id="rId307" Target="https://doi.org/10.2307/2224214" TargetMode="External" /><Relationship Type="http://schemas.openxmlformats.org/officeDocument/2006/relationships/hyperlink" Id="rId319" Target="https://doi.org/10.2307/2224674" TargetMode="External" /><Relationship Type="http://schemas.openxmlformats.org/officeDocument/2006/relationships/hyperlink" Id="rId354" Target="https://doi.org/10.2307/2296233" TargetMode="External" /><Relationship Type="http://schemas.openxmlformats.org/officeDocument/2006/relationships/hyperlink" Id="rId230" Target="https://doi.org/10.2307/2951491" TargetMode="External" /><Relationship Type="http://schemas.openxmlformats.org/officeDocument/2006/relationships/hyperlink" Id="rId266" Target="https://doi.org/10.2307/3182570" TargetMode="External" /><Relationship Type="http://schemas.openxmlformats.org/officeDocument/2006/relationships/hyperlink" Id="rId252" Target="https://doi.org/10.2307/3182618" TargetMode="External" /><Relationship Type="http://schemas.openxmlformats.org/officeDocument/2006/relationships/hyperlink" Id="rId283" Target="https://doi.org/10.2307/3326922" TargetMode="External" /><Relationship Type="http://schemas.openxmlformats.org/officeDocument/2006/relationships/hyperlink" Id="rId286" Target="https://doi.org/10.3765/sp.3.4" TargetMode="External" /><Relationship Type="http://schemas.openxmlformats.org/officeDocument/2006/relationships/hyperlink" Id="rId411" Target="https://doi.org/10.3765/sp.5.6" TargetMode="External" /><Relationship Type="http://schemas.openxmlformats.org/officeDocument/2006/relationships/hyperlink" Id="rId257" Target="https://doi.org/10.3998/ergo.12405314.0002.026" TargetMode="External" /><Relationship Type="http://schemas.openxmlformats.org/officeDocument/2006/relationships/hyperlink" Id="rId299" Target="https://doi.org/10.5840/jphil20081051022" TargetMode="External" /><Relationship Type="http://schemas.openxmlformats.org/officeDocument/2006/relationships/hyperlink" Id="rId460" Target="https://doi.org/10.5840/logos-episteme2011248" TargetMode="External" /><Relationship Type="http://schemas.openxmlformats.org/officeDocument/2006/relationships/hyperlink" Id="rId471" Target="https://doi.org/2027/spo.3521354.0013.022" TargetMode="External" /><Relationship Type="http://schemas.openxmlformats.org/officeDocument/2006/relationships/hyperlink" Id="rId403" Target="https://plato.stanford.edu/archives/spr2018/entries/public-reason/" TargetMode="External" /><Relationship Type="http://schemas.openxmlformats.org/officeDocument/2006/relationships/hyperlink" Id="rId249" Target="https://plato.stanford.edu/archives/spr2018/entries/questions/" TargetMode="External" /><Relationship Type="http://schemas.openxmlformats.org/officeDocument/2006/relationships/hyperlink" Id="rId223" Target="https://plato.stanford.edu/archives/sum2021/entries/philo-larissa/" TargetMode="External" /><Relationship Type="http://schemas.openxmlformats.org/officeDocument/2006/relationships/hyperlink" Id="rId396"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2023-06-06T16:38:57Z</dcterms:created>
  <dcterms:modified xsi:type="dcterms:W3CDTF">2023-06-06T16:38:57Z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6/6/23</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Human Interest Story</vt:lpwstr>
  </property>
  <property fmtid="{D5CDD505-2E9C-101B-9397-08002B2CF9AE}" pid="15" name="toc-title">
    <vt:lpwstr>Table of contents</vt:lpwstr>
  </property>
  <property fmtid="{D5CDD505-2E9C-101B-9397-08002B2CF9AE}" pid="16" name="website">
    <vt:lpwstr/>
  </property>
</Properties>
</file>