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2024-09-07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theoretical reasons from game theory that raise doubts about expected utility maximisation being the full theory of rational choice. Weak dominance reasoning is part of our theory of rational choice, and can’t be modelled as expected utility maximisation. Perhaps some kinds of equilibrium seeking are parts of practical inquiry, and can’t be modelled as expected utility maximisation.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Ichikawa, Jon Kvanvig, Jennifer Lackey, Barry Lam, Harvey Lederman, Matthew McGrath, Sarah Moss, Jennifer Nagel, Shyam Nair, Daniel Nolan, Ángel Pinillos, Jacob Ross, Mark Schroeder, Kieran Setiya, Ernie Sosa, Levi Spectre, Robert Stalnaker, Jason Stanley, and Matthew Weiner. Jonathan Ichikawa also read over the whole manuscript and provided many useful comments.</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28"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w:t>
      </w:r>
    </w:p>
    <w:p>
      <w:pPr>
        <w:pStyle w:val="BodyText"/>
      </w:pPr>
      <w:r>
        <w:t xml:space="preserve">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w:t>
      </w:r>
    </w:p>
    <w:p>
      <w:pPr>
        <w:pStyle w:val="BodyText"/>
      </w:pPr>
      <w:r>
        <w:t xml:space="preserve">The solution is to identify knowledge with a level of certainty which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had a ratio of discussion to endorsement that philosophy hadn’t seen since Lewis put concrete modal realism on the agenda.</w:t>
      </w:r>
    </w:p>
    <w:p>
      <w:pPr>
        <w:pStyle w:val="BodyText"/>
      </w:pPr>
      <w:r>
        <w:t xml:space="preserve">The terminology that is used to describe the debate about interest-relativity is striking. The interest-relative view is usually opposed to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This is a particularly curious choice of word, and I think its curiosity is related to the strange shape of the literature around interest-relativity.</w:t>
      </w:r>
    </w:p>
    <w:p>
      <w:pPr>
        <w:pStyle w:val="BodyText"/>
      </w:pPr>
      <w:r>
        <w:t xml:space="preserve">The recent literature on interest-relativity was kick-started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The difference between the misdeeds,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Buridan isn’tthe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Friedman (2024b)</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w:t>
      </w:r>
      <w:r>
        <w:rPr>
          <w:rStyle w:val="FootnoteReference"/>
        </w:rPr>
        <w:footnoteReference w:id="26"/>
      </w:r>
      <w:r>
        <w:t xml:space="preserve"> </w:t>
      </w:r>
      <w:r>
        <w:t xml:space="preserve">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p>
    <w:p>
      <w:pPr>
        <w:pStyle w:val="BodyText"/>
      </w:pPr>
      <w:r>
        <w:t xml:space="preserve">The next chapter presents a straightforward argument for interest-relative epistemology.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He also wants to be able to act in the world. Action requires a picture of what reality is like. So we need some mental state that aims to fit the world, and which can guide action.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Still, you should expect that the norms of a practical state are typically practical. So you should expect that epistemology, the study of norms for belief, will be shot through with practical considerations. That’s what the interest-relative theorist says is in fact the case.</w:t>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This defence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Nevertheless,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That’s not because it makes the lexicography important. Rather, it’s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Those patterns are, usually, best explained in terms of what those humans know.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w:t>
      </w:r>
    </w:p>
    <w:p>
      <w:pPr>
        <w:pStyle w:val="BodyText"/>
      </w:pPr>
      <w:r>
        <w:t xml:space="preserve">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It can’t be that the trigger is stated in terms of what is absolutely certain because no one can be absolutely certain of contingent things like the price that a supplier is charging for a good. Nor can the trigger be stated in terms of high probability. No matter how probable I think it is that supplier B is cheaper than supplier A, it might still be rational to buy from supplier A if the rest of the probability goes to possibilities where B is much much more expensive.</w:t>
      </w:r>
    </w:p>
    <w:p>
      <w:pPr>
        <w:pStyle w:val="BodyText"/>
      </w:pPr>
      <w:r>
        <w:t xml:space="preserve">Knowledge alone seems to do the trick. The generalisation that people buy from suppliers they know to be cheaper seems both true, and to rationalise their purchasing behavior.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Alternatively, one could hold that knowledge is primitively natural, not natural in virtue of its analysis or parts.</w:t>
      </w:r>
      <w:r>
        <w:rPr>
          <w:rStyle w:val="FootnoteReference"/>
        </w:rPr>
        <w:footnoteReference w:id="27"/>
      </w:r>
      <w:r>
        <w:t xml:space="preserve"> </w:t>
      </w:r>
      <w:r>
        <w:t xml:space="preserve">That’s not completely implausible; it isn’t obvious that the naturalness of social kinds has to be explained in virtue of what metaphysically makes it the case that things satisfy those kinds. Still, it would be nice to have a better explanation of why knowledge is natural.</w:t>
      </w:r>
    </w:p>
    <w:p>
      <w:pPr>
        <w:pStyle w:val="BodyText"/>
      </w:pPr>
      <w:r>
        <w:t xml:space="preserve">On the view defended here, a person knows a proposition if and only if they properly take it to be settled.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While these are motivations, neither of them is strictly speaking an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Accepting 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Ultimately though,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primarily focussed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Knowledge is often lost in these cases. There is somewhat less discussion, however, about how knowledge is also lost in</w:t>
      </w:r>
      <w:r>
        <w:t xml:space="preserve"> </w:t>
      </w:r>
      <w:r>
        <w:t xml:space="preserve">‘</w:t>
      </w:r>
      <w:r>
        <w:t xml:space="preserve">easy checking</w:t>
      </w:r>
      <w:r>
        <w:t xml:space="preserve">’</w:t>
      </w:r>
      <w:r>
        <w:t xml:space="preserve"> </w:t>
      </w:r>
      <w:r>
        <w:t xml:space="preserve">cases, or about how (as Mark</w:t>
      </w:r>
      <w:r>
        <w:t xml:space="preserve"> </w:t>
      </w:r>
      <w:r>
        <w:t xml:space="preserve">Schroeder (2012)</w:t>
      </w:r>
      <w:r>
        <w:t xml:space="preserve"> </w:t>
      </w:r>
      <w:r>
        <w:t xml:space="preserve">notes), knowledge might not be lost in cases where the stakes are high but checking is impossible.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 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 Unfortunately,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I’ve come to see that this isn’t right; depending on what one wants to do in an inquiry one may want to deliberately set aside some premises.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It turns out that the reason the theory of that paper respects closure is that it has absurdly sceptical consequences in cases where there are similar objects to choose between. That’s hardly better than a closure failure. In this chapter I aim to do better.</w:t>
      </w:r>
    </w:p>
    <w:p>
      <w:pPr>
        <w:pStyle w:val="BodyText"/>
      </w:pPr>
      <w:r>
        <w:t xml:space="preserve">I show that the objection relies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In some cases, this means we end up playing a kind of coordination game with the radical interpreter. What our evidence is turns on what the right solution to that game.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We shouldn’t concede that; the saying is true, and interest-relative epistemology explains why it is true.</w:t>
      </w:r>
    </w:p>
    <w:bookmarkEnd w:id="28"/>
    <w:bookmarkStart w:id="54" w:name="sec-interests"/>
    <w:p>
      <w:pPr>
        <w:pStyle w:val="Heading1"/>
      </w:pPr>
      <w:r>
        <w:t xml:space="preserve">2. Interests</w:t>
      </w:r>
    </w:p>
    <w:bookmarkStart w:id="30"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took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These beliefs were correct; the book was reliable and accurate on this point.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29"/>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plausible interest-invariant explanations of the intuitions about Blaise’s case exist. Because these competing explanations exist, it’s hard to argue that interest-relativity is the best explanation of why Blaise’s action is wrong.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This puts a limit on how we can argue. At least one instance of the argument</w:t>
      </w:r>
      <w:r>
        <w:t xml:space="preserve"> </w:t>
      </w:r>
      <w:r>
        <w:rPr>
          <w:iCs/>
          <w:i/>
        </w:rPr>
        <w:t xml:space="preserve">this is counterintuitive, so it is false</w:t>
      </w:r>
      <w:r>
        <w:t xml:space="preserve"> </w:t>
      </w:r>
      <w:r>
        <w:t xml:space="preserve">must fail.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0"/>
    <w:bookmarkStart w:id="32"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1"/>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Our hero, called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Still,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2"/>
    <w:bookmarkStart w:id="41"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4"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Since it would not be true for Chamari to say she knows when the Battle of Agincourt was fought, she can’t responsibly say when it was fought.</w:t>
      </w:r>
      <w:r>
        <w:rPr>
          <w:rStyle w:val="FootnoteReference"/>
        </w:rPr>
        <w:footnoteReference w:id="33"/>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said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Chamari’s position sounds much worse than it should if contextualism is right.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4"/>
    <w:bookmarkStart w:id="36"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they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w:t>
      </w:r>
      <w:r>
        <w:rPr>
          <w:rStyle w:val="FootnoteReference"/>
        </w:rPr>
        <w:footnoteReference w:id="35"/>
      </w:r>
      <w:r>
        <w:t xml:space="preserve"> </w:t>
      </w:r>
      <w:r>
        <w:t xml:space="preserve">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If the super-knowledge based explanation of why she should play Red-True worked, there should be some sense of super-knowledge where 1 is true and 2 is false. There isn’t, so the explanation doesn’t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which means she doesn’t super-know she’ll win if she plays Red-True.</w:t>
      </w:r>
    </w:p>
    <w:bookmarkEnd w:id="36"/>
    <w:bookmarkStart w:id="38"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Assume also that Anisa must, if she is to be rational, maximise expected utility. Then we get the natural result that Anisa should pick the sentence that is more probably true.</w:t>
      </w:r>
      <w:r>
        <w:rPr>
          <w:rStyle w:val="FootnoteReference"/>
        </w:rPr>
        <w:footnoteReference w:id="37"/>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even though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38"/>
    <w:bookmarkStart w:id="40"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9"/>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actually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If we side with the moderns on these questions, i.e., that we do not have infallible access to our own minds, and that there is no theistic proof of the external world, Descartes’s position is intolerably sceptical. The orthodox position ends up being just as badly off.</w:t>
      </w:r>
    </w:p>
    <w:bookmarkEnd w:id="40"/>
    <w:bookmarkEnd w:id="41"/>
    <w:bookmarkStart w:id="45"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2"/>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They also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3"/>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If the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w:r>
        <w:rPr>
          <w:iCs/>
          <w:i/>
        </w:rPr>
        <w:t xml:space="preserve">G</w:t>
      </w:r>
      <w:r>
        <w:t xml:space="preserve">, another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G</w:t>
      </w:r>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4"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4"/>
          <w:p/>
        </w:tc>
      </w:tr>
    </w:tbl>
    <w:p>
      <w:pPr>
        <w:pStyle w:val="BodyText"/>
      </w:pPr>
      <w:r>
        <w:t xml:space="preserve">If Darja has her phone near her, and has cheap easy access to Google, then ε might be really low. In that case she should take the safe option; it’s the one that maximises expected utility.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5"/>
    <w:bookmarkStart w:id="47"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6"/>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7"/>
    <w:bookmarkStart w:id="49"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8"/>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w:t>
      </w:r>
    </w:p>
    <w:bookmarkEnd w:id="49"/>
    <w:bookmarkStart w:id="53" w:name="sec-neutrality"/>
    <w:p>
      <w:pPr>
        <w:pStyle w:val="Heading2"/>
      </w:pPr>
      <w:r>
        <w:t xml:space="preserve">2.7 Neutrality</w:t>
      </w:r>
    </w:p>
    <w:p>
      <w:pPr>
        <w:pStyle w:val="FirstParagraph"/>
      </w:pPr>
      <w:r>
        <w:t xml:space="preserve">This book defends, at some length, the idea that knowledge is interest-relative. I am, however, staying neutral on a number of other topics in the vicinity.</w:t>
      </w:r>
    </w:p>
    <w:bookmarkStart w:id="51"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0"/>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Finally,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1"/>
    <w:bookmarkStart w:id="52"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just defending a particular necessary condition on knowledge. That condition entails that knowledge is interest-relative given some common-sense assumptions about how widespread knowledge is.</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2"/>
    <w:bookmarkEnd w:id="53"/>
    <w:bookmarkEnd w:id="54"/>
    <w:bookmarkStart w:id="85" w:name="sec-belief"/>
    <w:p>
      <w:pPr>
        <w:pStyle w:val="Heading1"/>
      </w:pPr>
      <w:r>
        <w:t xml:space="preserve">3. Belief</w:t>
      </w:r>
    </w:p>
    <w:bookmarkStart w:id="56" w:name="sec-beliefsinterests"/>
    <w:p>
      <w:pPr>
        <w:pStyle w:val="Heading2"/>
      </w:pPr>
      <w:r>
        <w:t xml:space="preserve">3.1 Beliefs and Interests</w:t>
      </w:r>
    </w:p>
    <w:p>
      <w:pPr>
        <w:pStyle w:val="FirstParagraph"/>
      </w:pPr>
      <w:r>
        <w:t xml:space="preserve">One core premise of this book is that someone knows something only if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5"/>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Note though that in the circumstances of the TV show, they could say</w:t>
      </w:r>
      <w:r>
        <w:t xml:space="preserve"> </w:t>
      </w:r>
      <w:r>
        <w:t xml:space="preserve">“</w:t>
      </w:r>
      <w:r>
        <w:t xml:space="preserve">I think Tranmere will win</w:t>
      </w:r>
      <w:r>
        <w:t xml:space="preserve">”</w:t>
      </w:r>
      <w:r>
        <w:t xml:space="preserve"> </w:t>
      </w:r>
      <w:r>
        <w:t xml:space="preserve">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For now though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If the</w:t>
      </w:r>
      <w:r>
        <w:t xml:space="preserve"> </w:t>
      </w:r>
      <w:r>
        <w:t xml:space="preserve">‘</w:t>
      </w:r>
      <w:r>
        <w:t xml:space="preserve">belief is weak</w:t>
      </w:r>
      <w:r>
        <w:t xml:space="preserve">’</w:t>
      </w:r>
      <w:r>
        <w:t xml:space="preserve"> </w:t>
      </w:r>
      <w:r>
        <w:t xml:space="preserve">thesis is correct, however,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6"/>
    <w:bookmarkStart w:id="59"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7"/>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Still, I won’t always do that. For example, I won’t do it when thinking about changes in the minimum wage, because systematic changes like that push simple models beyond their breaking point.</w:t>
      </w:r>
      <w:r>
        <w:rPr>
          <w:rStyle w:val="FootnoteReference"/>
        </w:rPr>
        <w:footnoteReference w:id="58"/>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9"/>
    <w:bookmarkStart w:id="61"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acts as if simple supply-demand models are predictive in complicated situation, and as if the Melways has all the information a hiker needs. Neither of these things are true, and Stubbie should know they aren’t, but our theory of belief had better allow for some irrational practices that could only be rationalised by false assumptions.</w:t>
      </w:r>
    </w:p>
    <w:p>
      <w:pPr>
        <w:pStyle w:val="BodyText"/>
      </w:pPr>
      <w:r>
        <w:t xml:space="preserve">Stubbie’s example shows that while one’s beliefs should be interest-relative, they need not be. One should steer by a map suitable to the circumstances.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0"/>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1"/>
    <w:bookmarkStart w:id="64"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2"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2"/>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3"/>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4"/>
    <w:bookmarkStart w:id="67"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5"/>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6"/>
      </w:r>
      <w:r>
        <w:t xml:space="preserve"> </w:t>
      </w:r>
      <w:r>
        <w:t xml:space="preserve">But they could be part of a theory of belief, and the theory they are part of is helpful for seeing how beliefs and interests fit together.</w:t>
      </w:r>
    </w:p>
    <w:bookmarkEnd w:id="67"/>
    <w:bookmarkStart w:id="73"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8"/>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9"/>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for another day to work out when they occur.)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0"/>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1"/>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I can accept that by simply buying the eggs. There were many other answers I could equally well have accepted, since there were many other cartons I could buy.</w:t>
      </w:r>
      <w:r>
        <w:rPr>
          <w:rStyle w:val="FootnoteReference"/>
        </w:rPr>
        <w:footnoteReference w:id="72"/>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3"/>
    <w:bookmarkStart w:id="81"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Even without those complications, I’ve said enough that you can see the basic view, and perhaps see its problems.</w:t>
      </w:r>
    </w:p>
    <w:p>
      <w:pPr>
        <w:pStyle w:val="BodyText"/>
      </w:pPr>
      <w:r>
        <w:t xml:space="preserve">The biggest change from that view to the one I’m defending here concerns propositions that are not relevant to any question S is considering. I used to say in that case belief required credence above 0.5; I now say that S must be willing, at least sometimes, to take</w:t>
      </w:r>
      <w:r>
        <w:t xml:space="preserve"> </w:t>
      </w:r>
      <w:r>
        <w:rPr>
          <w:iCs/>
          <w:i/>
        </w:rPr>
        <w:t xml:space="preserve">p</w:t>
      </w:r>
      <w:r>
        <w:t xml:space="preserve"> </w:t>
      </w:r>
      <w:r>
        <w:t xml:space="preserve">for granted.</w:t>
      </w:r>
    </w:p>
    <w:p>
      <w:pPr>
        <w:pStyle w:val="BodyText"/>
      </w:pPr>
      <w:r>
        <w:t xml:space="preserve">There are other changes too.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5"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4"/>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Not all mental states are like this. Hoping for something that doesn’t turn out to happen is unfortunate, but not incorrect. To say that a false belief is incorrect is not to just make the trivial point that it is false. It is also to say that the belief failed to meet one important standard of evaluation for beliefs - correctly representing the world. Credences do not have these correctness conditions, so the relatively simple reduction I proposed of belief to credence must be mistaken.</w:t>
      </w:r>
    </w:p>
    <w:p>
      <w:pPr>
        <w:pStyle w:val="BodyText"/>
      </w:pPr>
      <w:r>
        <w:t xml:space="preserve">The new theory does not have this problem. Doing dominance reasoning where all of the situations one considers are non-actual is a mistake. It’s not a mistake because it will inevitably lead to an irrational decision. Rather, it’s a mistake because one draws a conclusion that is not supported by the premises it is based on. Those premises only say that one option is better than another conditional on one or other condition obtaining.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One can make the same mistake by treating a situation that doesn’t obtain, but might, as one that could not obtain. Believing something one doesn’t know will (typically) lead to doing that.</w:t>
      </w:r>
    </w:p>
    <w:bookmarkEnd w:id="75"/>
    <w:bookmarkStart w:id="76"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which I do not.</w:t>
      </w:r>
    </w:p>
    <w:p>
      <w:pPr>
        <w:pStyle w:val="BodyText"/>
      </w:pPr>
      <w:r>
        <w:t xml:space="preserve">I added clause 2 to the theory to try in order to fix this problem, but it turned out only to fix a special case. Here’s a case it doesn’t fix.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That’s absurd, since I know it is just 2/3 likely.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It does seem plausible to say that whether such a choice ever feels like a dominating choice correlates with whether we could ever straight up believe that the remainder is not precisely 537 on purely probabilistic grounds.</w:t>
      </w:r>
    </w:p>
    <w:bookmarkEnd w:id="76"/>
    <w:bookmarkStart w:id="77"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Moreover, she has a stable disposition to choose Red-True over Blue-True; I think that stable disposition is a strict preference.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This now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That distinction matters, and the hybrid pragmatic theory handles it better than my old theory.</w:t>
      </w:r>
    </w:p>
    <w:bookmarkEnd w:id="77"/>
    <w:bookmarkStart w:id="78"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8"/>
    <w:bookmarkStart w:id="80"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9"/>
      </w:r>
      <w:r>
        <w:t xml:space="preserve"> </w:t>
      </w:r>
      <w:r>
        <w:t xml:space="preserve">That’s something that it has in common with everything I’ve written about IRT.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Still, it is a useful enough heuristic to work with.</w:t>
      </w:r>
    </w:p>
    <w:p>
      <w:pPr>
        <w:pStyle w:val="BodyText"/>
      </w:pPr>
      <w:r>
        <w:t xml:space="preserve">What wasn’t originally obvious to me was that there are counterexamples to principle 2 as well.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All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0"/>
    <w:bookmarkEnd w:id="81"/>
    <w:bookmarkStart w:id="84"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2"/>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 Renzi. The details of that case are unimportant; here’s the structure of it.An agent knows that X is better to do if</w:t>
      </w:r>
      <w:r>
        <w:t xml:space="preserve"> </w:t>
      </w:r>
      <w:r>
        <w:rPr>
          <w:iCs/>
          <w:i/>
        </w:rPr>
        <w:t xml:space="preserve">p</w:t>
      </w:r>
      <w:r>
        <w:t xml:space="preserve">, and Y is better to do if ¬</w:t>
      </w:r>
      <w:r>
        <w:rPr>
          <w:iCs/>
          <w:i/>
        </w:rPr>
        <w:t xml:space="preserve">p</w:t>
      </w:r>
      <w:r>
        <w:t xml:space="preserve">. They could work out the relative benefit of each option in these two circumstances, and how that interacts with the probability of</w:t>
      </w:r>
      <w:r>
        <w:t xml:space="preserve"> </w:t>
      </w:r>
      <w:r>
        <w:rPr>
          <w:iCs/>
          <w:i/>
        </w:rPr>
        <w:t xml:space="preserve">p</w:t>
      </w:r>
      <w:r>
        <w:t xml:space="preserve"> </w:t>
      </w:r>
      <w:r>
        <w:t xml:space="preserve">to determine which option is best in expectation. They do not in fact do that. Instead, for some proposition</w:t>
      </w:r>
      <w:r>
        <w:t xml:space="preserve"> </w:t>
      </w:r>
      <w:r>
        <w:rPr>
          <w:iCs/>
          <w:i/>
        </w:rPr>
        <w:t xml:space="preserve">q</w:t>
      </w:r>
      <w:r>
        <w:t xml:space="preserve"> </w:t>
      </w:r>
      <w:r>
        <w:t xml:space="preserve">which is not relevant to the case, and very strongly supported by their evidence, they divide into four possibilities:</w:t>
      </w:r>
      <w:r>
        <w:t xml:space="preserve"> </w:t>
      </w:r>
      <w:r>
        <w:rPr>
          <w:iCs/>
          <w:i/>
        </w:rPr>
        <w:t xml:space="preserve">p</w:t>
      </w:r>
      <w:r>
        <w:t xml:space="preserve"> ∧ </w:t>
      </w:r>
      <w:r>
        <w:rPr>
          <w:iCs/>
          <w:i/>
        </w:rPr>
        <w:t xml:space="preserve">q</w:t>
      </w:r>
      <w:r>
        <w:t xml:space="preserve">,</w:t>
      </w:r>
      <w:r>
        <w:t xml:space="preserve"> </w:t>
      </w:r>
      <w:r>
        <w:rPr>
          <w:iCs/>
          <w:i/>
        </w:rPr>
        <w:t xml:space="preserve">p</w:t>
      </w:r>
      <w:r>
        <w:t xml:space="preserve"> ∧ ¬</w:t>
      </w:r>
      <w:r>
        <w:rPr>
          <w:iCs/>
          <w:i/>
        </w:rPr>
        <w:t xml:space="preserve">q</w:t>
      </w:r>
      <w:r>
        <w:t xml:space="preserve">, ¬</w:t>
      </w:r>
      <w:r>
        <w:rPr>
          <w:iCs/>
          <w:i/>
        </w:rPr>
        <w:t xml:space="preserve">p</w:t>
      </w:r>
      <w:r>
        <w:t xml:space="preserve"> ∧ </w:t>
      </w:r>
      <w:r>
        <w:rPr>
          <w:iCs/>
          <w:i/>
        </w:rPr>
        <w:t xml:space="preserve">q</w:t>
      </w:r>
      <w:r>
        <w:t xml:space="preserve"> </w:t>
      </w:r>
      <w:r>
        <w:t xml:space="preserve">and ¬</w:t>
      </w:r>
      <w:r>
        <w:rPr>
          <w:iCs/>
          <w:i/>
        </w:rPr>
        <w:t xml:space="preserve">p</w:t>
      </w:r>
      <w:r>
        <w:t xml:space="preserve"> ∧ ¬</w:t>
      </w:r>
      <w:r>
        <w:rPr>
          <w:iCs/>
          <w:i/>
        </w:rPr>
        <w:t xml:space="preserve">q</w:t>
      </w:r>
      <w:r>
        <w:t xml:space="preserve">. They then calculate the expected utility of X and Y given that these are the four possibilities.</w:t>
      </w:r>
    </w:p>
    <w:p>
      <w:pPr>
        <w:pStyle w:val="BodyText"/>
      </w:pPr>
      <w:r>
        <w:t xml:space="preserve">This is bad reasoning. Adding this extra division to the possibility space is a waste of time, and increases the chances of making a mistake. They should just use two</w:t>
      </w:r>
      <w:r>
        <w:t xml:space="preserve"> </w:t>
      </w:r>
      <w:r>
        <w:t xml:space="preserve">‘</w:t>
      </w:r>
      <w:r>
        <w:t xml:space="preserve">small worlds</w:t>
      </w:r>
      <w:r>
        <w:t xml:space="preserve">’</w:t>
      </w:r>
      <w:r>
        <w:t xml:space="preserve">:</w:t>
      </w:r>
      <w:r>
        <w:t xml:space="preserve"> </w:t>
      </w:r>
      <w:r>
        <w:rPr>
          <w:iCs/>
          <w:i/>
        </w:rPr>
        <w:t xml:space="preserve">p</w:t>
      </w:r>
      <w:r>
        <w:t xml:space="preserve"> </w:t>
      </w:r>
      <w:r>
        <w:t xml:space="preserve">and ¬</w:t>
      </w:r>
      <w:r>
        <w:rPr>
          <w:iCs/>
          <w:i/>
        </w:rPr>
        <w:t xml:space="preserve">p</w:t>
      </w:r>
      <w:r>
        <w:t xml:space="preserve">. The problem we face as theorists is what to say about someone who makes this kind of mistake.</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w:t>
      </w:r>
      <w:r>
        <w:rPr>
          <w:rStyle w:val="FootnoteReference"/>
        </w:rPr>
        <w:footnoteReference w:id="83"/>
      </w:r>
    </w:p>
    <w:p>
      <w:pPr>
        <w:pStyle w:val="BodyText"/>
      </w:pPr>
      <w:r>
        <w:t xml:space="preserve">So far I agree with Ross and Schroeder. The disagreement starts with a principle they endorse, which they call</w:t>
      </w:r>
      <w:r>
        <w:t xml:space="preserve"> </w:t>
      </w:r>
      <w:r>
        <w:rPr>
          <w:bCs/>
          <w:b/>
        </w:rPr>
        <w:t xml:space="preserve">Stability</w:t>
      </w:r>
      <w:r>
        <w:t xml:space="preserve">.</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Stability is motivated by cases like this one.</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They say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Now I agree that rejecting 1 isn’t the most intuitive philosophical conclusion one has ever seen. But the alternatives are worse.</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 </w:t>
      </w:r>
      <w:r>
        <w:rPr>
          <w:iCs/>
          <w:i/>
        </w:rPr>
        <w:t xml:space="preserve">q</w:t>
      </w:r>
      <w:r>
        <w:t xml:space="preserve">) → </w:t>
      </w:r>
      <w:r>
        <w:rPr>
          <w:iCs/>
          <w:i/>
        </w:rPr>
        <w:t xml:space="preserve">r</w:t>
      </w:r>
      <w:r>
        <w:t xml:space="preserve">. Now it is notoriously hard to come up with a general principle for closure of beliefs. Still, it is hard to see why this particular instance would fail. Further,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Attributing this kind of practical incoherence to Stella is much less plausible than attributing a failure of Stability to her.</w:t>
      </w:r>
    </w:p>
    <w:bookmarkEnd w:id="84"/>
    <w:bookmarkEnd w:id="85"/>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Further,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Finally, with the argument complete, I’ll look at two possible objections to the argument. One objection is that it has implausible consequences about the role of logical reasoning in extending knowledge, and the other is that it leads to implausible results when a source provides both relevant and irrelevant information.</w:t>
      </w:r>
    </w:p>
    <w:bookmarkStart w:id="92"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6"/>
      </w:r>
      <w:r>
        <w:t xml:space="preserve"> </w:t>
      </w:r>
      <w:hyperlink w:anchor="tbl-walkbus">
        <w:r>
          <w:rPr>
            <w:rStyle w:val="Hyperlink"/>
          </w:rPr>
          <w:t xml:space="preserve">Table 4.1</w:t>
        </w:r>
      </w:hyperlink>
      <w:r>
        <w:t xml:space="preserv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7"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7"/>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The key point is that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expected utility calculation.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88"/>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89"/>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and here we have less philosophical work to draw on. Brian Hedden</w:t>
      </w:r>
      <w:r>
        <w:t xml:space="preserve"> </w:t>
      </w:r>
      <w:r>
        <w:t xml:space="preserve">(2012)</w:t>
      </w:r>
      <w:r>
        <w:t xml:space="preserve"> </w:t>
      </w:r>
      <w:r>
        <w:t xml:space="preserve">has a paper arguing that the options should all be decisions, rather than actions. So the first row should say</w:t>
      </w:r>
      <w:r>
        <w:t xml:space="preserve"> </w:t>
      </w:r>
      <w:r>
        <w:t xml:space="preserve">“</w:t>
      </w:r>
      <w:r>
        <w:t xml:space="preserve">Ragnar decides to walk</w:t>
      </w:r>
      <w:r>
        <w:t xml:space="preserve">”</w:t>
      </w:r>
      <w:r>
        <w:t xml:space="preserve"> </w:t>
      </w:r>
      <w:r>
        <w:t xml:space="preserve">rather than</w:t>
      </w:r>
      <w:r>
        <w:t xml:space="preserve"> </w:t>
      </w:r>
      <w:r>
        <w:t xml:space="preserve">“</w:t>
      </w:r>
      <w:r>
        <w:t xml:space="preserve">Ragnar walks</w:t>
      </w:r>
      <w:r>
        <w:t xml:space="preserve">”</w:t>
      </w:r>
      <w:r>
        <w:t xml:space="preserve">. This would be a fairly radical change from practice in decision theory,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0"/>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1"/>
      </w:r>
      <w:r>
        <w:t xml:space="preserve"> </w:t>
      </w:r>
      <w:r>
        <w:t xml:space="preserve">In any case, the conditional will be enough.</w:t>
      </w:r>
    </w:p>
    <w:bookmarkEnd w:id="92"/>
    <w:bookmarkStart w:id="97"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and instead provide the very same product. Hotelling’s observation is that if both parties could differentiate,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Subsequent work revealed that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3"/>
      </w:r>
      <w:r>
        <w:t xml:space="preserve"> </w:t>
      </w:r>
      <w:r>
        <w:t xml:space="preserve">Imagine that two ice cream trucks have to choose (simultaneously) where they will be located on a beach. The beach has seven locations, numbered 1 to 5.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5, so 10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w:t>
      </w:r>
      <w:r>
        <w:t xml:space="preserve"> </w:t>
      </w:r>
      <w:hyperlink w:anchor="tbl-hotelling">
        <w:r>
          <w:rPr>
            <w:rStyle w:val="Hyperlink"/>
          </w:rPr>
          <w:t xml:space="preserve">Table 4.2</w:t>
        </w:r>
      </w:hyperlink>
      <w:r>
        <w:t xml:space="preserve"> </w:t>
      </w:r>
      <w:r>
        <w:t xml:space="preserve">shows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 (So we’ll call the first truck Row, and the second truck Column.)</w:t>
      </w:r>
    </w:p>
    <w:tbl>
      <w:tblPr>
        <w:tblStyle w:val="Table"/>
        <w:tblW w:type="pct" w:w="5000"/>
        <w:tblLook w:firstRow="0" w:lastRow="0" w:firstColumn="0" w:lastColumn="0" w:noHBand="0" w:noVBand="0" w:val="0000"/>
        <w:jc w:val="start"/>
        <w:tblLayout w:type="fixed"/>
      </w:tblPr>
      <w:tblGrid>
        <w:gridCol w:w="7920"/>
      </w:tblGrid>
      <w:tr>
        <w:tc>
          <w:tcPr/>
          <w:bookmarkStart w:id="94"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4"/>
          <w:p/>
        </w:tc>
      </w:tr>
    </w:tbl>
    <w:p>
      <w:pPr>
        <w:pStyle w:val="BodyText"/>
      </w:pPr>
      <w:r>
        <w:t xml:space="preserve">Assume that it is common knowledge, in the sense of</w:t>
      </w:r>
      <w:r>
        <w:t xml:space="preserve"> </w:t>
      </w:r>
      <w:r>
        <w:t xml:space="preserve">Lewis (1969)</w:t>
      </w:r>
      <w:r>
        <w:t xml:space="preserve">, that</w:t>
      </w:r>
      <w:r>
        <w:t xml:space="preserve"> </w:t>
      </w:r>
      <w:hyperlink w:anchor="tbl-hotelling">
        <w:r>
          <w:rPr>
            <w:rStyle w:val="Hyperlink"/>
          </w:rPr>
          <w:t xml:space="preserve">Table 4.2</w:t>
        </w:r>
      </w:hyperlink>
      <w:r>
        <w:t xml:space="preserve"> </w:t>
      </w:r>
      <w:r>
        <w:t xml:space="preserve">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Since the game is symmetric, the same goes for Column’s options 1 and 5. By the common knowledge assumption, this means we can delete those rows, and columns, from the table. The result is</w:t>
      </w:r>
      <w:r>
        <w:t xml:space="preserve"> </w:t>
      </w:r>
      <w:hyperlink w:anchor="tbl-hotelling-iterated">
        <w:r>
          <w:rPr>
            <w:rStyle w:val="Hyperlink"/>
          </w:rPr>
          <w:t xml:space="preserve">Table 4.3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5"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5"/>
          <w:p/>
        </w:tc>
      </w:tr>
    </w:tbl>
    <w:p>
      <w:pPr>
        <w:pStyle w:val="BodyText"/>
      </w:pPr>
      <w:r>
        <w:t xml:space="preserve">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That is all we’ll assume. Since knowledge is factive, we can still rule out the extreme options, i.e., 1 and 5.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6"/>
      </w:r>
      <w:r>
        <w:t xml:space="preserve"> </w:t>
      </w:r>
      <w:r>
        <w:t xml:space="preserve">First, it is meant to show that we theorists can deduce what the players will in fact do, given their evidence, and the assumptions about rationality. Second,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The players themselves will not go to any of those 4 spots, given our assumptions, but we can’t know more about their actions without more knowledge of their mental states.</w:t>
      </w:r>
    </w:p>
    <w:p>
      <w:pPr>
        <w:pStyle w:val="BodyText"/>
      </w:pPr>
      <w:r>
        <w:t xml:space="preserve">But wait a minute! Without KAE, the last two paragraphs consist of one fallacious step after another. The player knows that the other player will not play an extreme option. Also,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7"/>
    <w:bookmarkStart w:id="102" w:name="sec-other-answers"/>
    <w:p>
      <w:pPr>
        <w:pStyle w:val="Heading2"/>
      </w:pPr>
      <w:r>
        <w:t xml:space="preserve">4.3 Other Answers</w:t>
      </w:r>
    </w:p>
    <w:p>
      <w:pPr>
        <w:pStyle w:val="FirstParagraph"/>
      </w:pPr>
      <w:r>
        <w:t xml:space="preserve">If KAE is false, what should go in its place? What could be the state which does allow exclusion?</w:t>
      </w:r>
    </w:p>
    <w:bookmarkStart w:id="98"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I suspect, however, that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The best stories about how probabilities change all involve some kind of interest-relativity.</w:t>
      </w:r>
    </w:p>
    <w:bookmarkEnd w:id="98"/>
    <w:bookmarkStart w:id="99"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Since I’m going to argue in</w:t>
      </w:r>
      <w:r>
        <w:t xml:space="preserve"> </w:t>
      </w:r>
      <w:hyperlink w:anchor="sec-evidence">
        <w:r>
          <w:rPr>
            <w:rStyle w:val="Hyperlink"/>
          </w:rPr>
          <w:t xml:space="preserve">Chapter 9</w:t>
        </w:r>
      </w:hyperlink>
      <w:r>
        <w:t xml:space="preserve"> </w:t>
      </w:r>
      <w:r>
        <w:t xml:space="preserve">that Williamson is wrong about this, I’m committed to EAE and KAE being distinct. So I need an argument against EAE.</w:t>
      </w:r>
    </w:p>
    <w:p>
      <w:pPr>
        <w:pStyle w:val="BodyText"/>
      </w:pPr>
      <w:r>
        <w:t xml:space="preserve">My argument will be by cases.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99"/>
    <w:bookmarkStart w:id="100"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500 chance of being true. When planning what to do a fine sunny day with a clear weather forecast, I simply ignore the chance that there will be a passing shower, even though that still has a 1 in 500 chance. On the other hand, it’s absurd to ignore one in 500 chances when deciding what insurance to buy. About one house in 500 has a fire in a given year; that’s not a conclusive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Since I’ll go over those objections in detail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I won’t double them up here, but assume that they work against PAE.</w:t>
      </w:r>
    </w:p>
    <w:bookmarkEnd w:id="100"/>
    <w:bookmarkStart w:id="101"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1"/>
    <w:bookmarkEnd w:id="102"/>
    <w:bookmarkStart w:id="104" w:name="sec-from-kae-to-irt"/>
    <w:p>
      <w:pPr>
        <w:pStyle w:val="Heading2"/>
      </w:pPr>
      <w:r>
        <w:t xml:space="preserve">4.4 From KAE to Interest-Relativity</w:t>
      </w:r>
    </w:p>
    <w:p>
      <w:pPr>
        <w:pStyle w:val="FirstParagraph"/>
      </w:pPr>
      <w:r>
        <w:t xml:space="preserve">If KAE. Knowledge Allows Exclusion, is true then there is a simple argument that Anisa loses knowledge when playing the Red-Blue game.</w:t>
      </w:r>
      <w:r>
        <w:t xml:space="preserve"> </w:t>
      </w:r>
      <w:hyperlink w:anchor="tbl-assume-agincourt">
        <w:r>
          <w:rPr>
            <w:rStyle w:val="Hyperlink"/>
          </w:rPr>
          <w:t xml:space="preserve">Table 4.4</w:t>
        </w:r>
      </w:hyperlink>
      <w:r>
        <w:t xml:space="preserve"> </w:t>
      </w:r>
      <w:r>
        <w:t xml:space="preserve">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3"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3"/>
          <w:p/>
        </w:tc>
      </w:tr>
    </w:tbl>
    <w:p>
      <w:pPr>
        <w:pStyle w:val="BodyText"/>
      </w:pPr>
      <w:r>
        <w:t xml:space="preserve">If she used that table, then it would look like Blue-True is the weakly dominant option. That would mean that Blue-True is at least a rational choice, and perhaps the rational choice. Since Blue-True is not a rational choice, this table must be wrong.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4"/>
    <w:bookmarkStart w:id="109" w:name="sec-theoreticalknowledge"/>
    <w:p>
      <w:pPr>
        <w:pStyle w:val="Heading2"/>
      </w:pPr>
      <w:r>
        <w:t xml:space="preserve">4.5 Theoretical Knowledge</w:t>
      </w:r>
    </w:p>
    <w:p>
      <w:pPr>
        <w:pStyle w:val="FirstParagraph"/>
      </w:pPr>
      <w:r>
        <w:t xml:space="preserve">Knowledge structures proper practical deliberation.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It also suggests that they should do so in more or less the same way. So it would be good to have a story that assigns to knowledge the role of structuring theoretical deliberation, in just the way that it structures practical deliberation.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The mistake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Again,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moveable type printing press and so records from 1415 might be less reliable, and so on. None of these things are things that she knows with Cartesian certainty. Indeed, some of them are probably all-things-considered less likely than that the Battle of Agincourt was in 1415.</w:t>
      </w:r>
      <w:r>
        <w:rPr>
          <w:rStyle w:val="FootnoteReference"/>
        </w:rPr>
        <w:footnoteReference w:id="105"/>
      </w:r>
      <w:r>
        <w:t xml:space="preserve"> </w:t>
      </w:r>
      <w:r>
        <w:t xml:space="preserve">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w:t>
      </w:r>
      <w:r>
        <w:t xml:space="preserve"> </w:t>
      </w:r>
      <w:r>
        <w:t xml:space="preserve">(Ichikawa, 2012)</w:t>
      </w:r>
      <w:r>
        <w:t xml:space="preserve">. Is there a true claim that’s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That criticism can be sustained even if my mathematical reasoning is impeccable, and I get the correct answer.</w:t>
      </w:r>
      <w:r>
        <w:rPr>
          <w:rStyle w:val="FootnoteReference"/>
        </w:rPr>
        <w:footnoteReference w:id="106"/>
      </w:r>
    </w:p>
    <w:p>
      <w:pPr>
        <w:pStyle w:val="BodyText"/>
      </w:pPr>
      <w:r>
        <w:t xml:space="preserve">Some facts are irrelevant to an inquiry. Others are relevant, but not part of the best path to resolving the inquiry. This can be a ground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Furthermore, this moral prohibition plausibly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w:t>
      </w:r>
    </w:p>
    <w:p>
      <w:pPr>
        <w:pStyle w:val="BodyText"/>
      </w:pPr>
      <w:r>
        <w:t xml:space="preserve">Even if all those things are not true, it might be that Casey can get knowledge this way; the inquiry might be morally wrong without having any epistemic flaws that prevent it generating knowledge. 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7"/>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This doesn’t intuitively undermine her claim to know both 2 and 3.</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The hope was that eventually a full list of such exceptions could be found. This project turned out to be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All of those seemed like legitimate criticisms even though the premise was one she knew before starting the inquiry. That criticism does not seem appropriate in the moral encroachment case, or the transmission failure case, or other cases like them that may be discovered.</w:t>
      </w:r>
    </w:p>
    <w:p>
      <w:pPr>
        <w:pStyle w:val="BodyText"/>
      </w:pPr>
      <w:r>
        <w:t xml:space="preserve">I am assuming here that there is no trivial connection between</w:t>
      </w:r>
      <w:r>
        <w:t xml:space="preserve"> </w:t>
      </w:r>
      <w:r>
        <w:rPr>
          <w:iCs/>
          <w:i/>
        </w:rPr>
        <w:t xml:space="preserve">It might be that not-p</w:t>
      </w:r>
      <w:r>
        <w:t xml:space="preserve">, and</w:t>
      </w:r>
      <w:r>
        <w:t xml:space="preserve"> </w:t>
      </w:r>
      <w:r>
        <w:rPr>
          <w:iCs/>
          <w:i/>
        </w:rPr>
        <w:t xml:space="preserve">The inquirer does not know that p</w:t>
      </w:r>
      <w:r>
        <w:t xml:space="preserve">. If these claims express the same thing, at least in the particular context of evaluating the inquirer, then it would be trivial to say that knowledge provides immunity to criticism on the grounds that one’s premises might not be true. The recent literature on epistemic modals, however, does not inspire confidence that any such trivial connection exists.</w:t>
      </w:r>
      <w:r>
        <w:rPr>
          <w:rStyle w:val="FootnoteReference"/>
        </w:rPr>
        <w:footnoteReference w:id="108"/>
      </w:r>
      <w:r>
        <w:t xml:space="preserve"> </w:t>
      </w:r>
      <w:r>
        <w:t xml:space="preserve">So this immunity seems like a non-trivial claim.</w:t>
      </w:r>
    </w:p>
    <w:p>
      <w:pPr>
        <w:pStyle w:val="BodyText"/>
      </w:pPr>
      <w:r>
        <w:t xml:space="preserve">So the key principle I’ll be working with is that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I’ll spend the rest of this chapter talking about how this principle relates to the idea that knowledge is closed under competent deduction. There are interesting examples that seem to show that the principle leads to several distinct kinds of violations of that principle.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Now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Hence she will take either option, Red-True or Blue-True, as being equivalent to just taking $50, which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It’s a harmless enough idealisation, however,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The argument for that is basically that there isn’t much more to the theory. So I think the argument is sound.</w:t>
      </w:r>
    </w:p>
    <w:p>
      <w:pPr>
        <w:pStyle w:val="BodyText"/>
      </w:pPr>
      <w:r>
        <w:t xml:space="preserve">Still,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This time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2"/>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These are minor points of difference though; I’m still basically relying on Kroedel’s ideas.</w:t>
      </w:r>
    </w:p>
    <w:p>
      <w:pPr>
        <w:pStyle w:val="BodyText"/>
      </w:pPr>
      <w:r>
        <w:t xml:space="preserve">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Inquiring into the first question is incompatible with knowing the second conjunct, while inquiring into the second question is incompatible with knowing the first conjunct. This was a fun way out the problem, but it was also overkill. Player loses one bit of knowledge, not two, so my earlier view must be wrong.</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typically the third option is correct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0"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At first glance,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Unfortunately, neither of these options was particularly successful.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What I’m going to argue is that the problem their cases raise is not due to IRT, which is correct, but to the background assumption that choosers should maximise expected utility.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30"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 2024b)</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w:t>
      </w:r>
    </w:p>
    <w:p>
      <w:pPr>
        <w:pStyle w:val="BodyText"/>
      </w:pPr>
      <w:r>
        <w:t xml:space="preserve">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the newspaper reports the truth. This insensitivity is is removed by proper checking. So checking aims for sensitivity that goes beyond belief, and beyond knowledge.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treat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9"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w:t>
      </w:r>
      <w:r>
        <w:rPr>
          <w:rStyle w:val="FootnoteReference"/>
        </w:rPr>
        <w:footnoteReference w:id="128"/>
      </w:r>
      <w:r>
        <w:t xml:space="preserve"> </w:t>
      </w:r>
      <w:r>
        <w:t xml:space="preserve">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9"/>
    <w:bookmarkEnd w:id="130"/>
    <w:bookmarkStart w:id="131"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1"/>
    <w:bookmarkStart w:id="133"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Still, it seems plausible that something like this should be right. In</w:t>
      </w:r>
      <w:r>
        <w:t xml:space="preserve"> </w:t>
      </w:r>
      <w:r>
        <w:rPr>
          <w:iCs/>
          <w:i/>
        </w:rPr>
        <w:t xml:space="preserve">Normative Externalism</w:t>
      </w:r>
      <w:r>
        <w:t xml:space="preserve"> </w:t>
      </w:r>
      <w:r>
        <w:t xml:space="preserve">I hinted at an inquiry-theoretic proposal about what that similar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2"/>
      </w:r>
    </w:p>
    <w:p>
      <w:pPr>
        <w:pStyle w:val="BodyText"/>
      </w:pPr>
      <w:r>
        <w:t xml:space="preserve">Peer disagreement, or really any other kind of higher order evidence, gives a thinker a reason to conduct an inquiry into whether their earlier thinking was correct. Further,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can be very useful. Getting stuck in a bad epistemic picture can have devastating consequences; it’s good to step back from time to time to look if that’s happening to us.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As I’ve been stressing all chapter, one can double-check one’s beliefs, and even one’s knowledge.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typically do not need to check again.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respond to the disagreement by showing their work.</w:t>
      </w:r>
    </w:p>
    <w:p>
      <w:pPr>
        <w:pStyle w:val="BodyText"/>
      </w:pPr>
      <w:r>
        <w:t xml:space="preserve">With this picture of the relationship between knowledge, inquiry, and checking in place, it’s time (at last) to return to potential counterexamples to IRT.</w:t>
      </w:r>
    </w:p>
    <w:bookmarkEnd w:id="133"/>
    <w:bookmarkStart w:id="136"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w:t>
      </w:r>
      <w:r>
        <w:rPr>
          <w:rStyle w:val="FootnoteReference"/>
        </w:rPr>
        <w:footnoteReference w:id="134"/>
      </w:r>
      <w:r>
        <w:t xml:space="preserve"> </w:t>
      </w:r>
      <w:r>
        <w:t xml:space="preserve">This is one reason why it is so easy to come up with medical counterexamples to act utilitarianism for intro ethics classes. Instead, intuitions about appropriate actions here are more likely to track with rule utilitarianism.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this is a reasonable bit of sensitivity for the surgeon to chase, and for the rule-makers to require be chased.</w:t>
      </w:r>
    </w:p>
    <w:p>
      <w:pPr>
        <w:pStyle w:val="BodyText"/>
      </w:pPr>
      <w:r>
        <w:t xml:space="preserve">All that can be true even if the surgeon knows which kidney is diseased. If they inquired into which kidney should be removed, and used their knowledge about which kidney was diseased, they would get the right answer. In some sense this would be a perfectly conducted inquiry. But it would not be an inquiry that delivered what the surgeon was looking for, and what the regulators require them to look for: a belief that was sensitive to the possibility of an error in memory.</w:t>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5"/>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Either way,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6"/>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highlighting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 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39" w:name="sec-multiple"/>
    <w:p>
      <w:pPr>
        <w:pStyle w:val="Heading2"/>
      </w:pPr>
      <w:r>
        <w:t xml:space="preserve">5.6 Multiple Inquiries</w:t>
      </w:r>
    </w:p>
    <w:p>
      <w:pPr>
        <w:pStyle w:val="FirstParagraph"/>
      </w:pPr>
      <w:r>
        <w:t xml:space="preserve">IRT says that what one knows depends on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 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Further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In normal cases, however, where one knows at least something about one’s audience, one should calibrate one’s assertions to the projects of one’s audience.</w:t>
      </w:r>
    </w:p>
    <w:p>
      <w:pPr>
        <w:pStyle w:val="BodyText"/>
      </w:pPr>
      <w:r>
        <w:t xml:space="preserve">This picture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scientific journal, and all of a sudden it’s possible to assert things with no knowledge of what is at take for one’s audience. How should one react, especially given the usefulness of the scientific journalfor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future research.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39"/>
    <w:bookmarkEnd w:id="140"/>
    <w:bookmarkStart w:id="154" w:name="sec-ties"/>
    <w:p>
      <w:pPr>
        <w:pStyle w:val="Heading1"/>
      </w:pPr>
      <w:r>
        <w:t xml:space="preserve">6. Ties</w:t>
      </w:r>
    </w:p>
    <w:p>
      <w:pPr>
        <w:pStyle w:val="FirstParagraph"/>
      </w:pPr>
      <w:r>
        <w:t xml:space="preserve">I have mentioned a couple of times that a natural version of IRT leads to unpleasant closure failures. Adam</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interest-relative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 know</w:t>
      </w:r>
      <w:r>
        <w:t xml:space="preserve"> </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41"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 … ∧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Since</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result.</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So if</w:t>
      </w:r>
      <w:r>
        <w:t xml:space="preserve"> </w:t>
      </w:r>
      <w:r>
        <w:rPr>
          <w:iCs/>
          <w:i/>
        </w:rPr>
        <w:t xml:space="preserve">i</w:t>
      </w:r>
      <w:r>
        <w:t xml:space="preserve"> ≥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more carefully, it’s good news for some version of IRT. This case is some evidence that the problem is not with the very idea of interest-relativity, but with the implementation of it. We’ll see more such evidence as the chapter goes along.</w:t>
      </w:r>
    </w:p>
    <w:bookmarkEnd w:id="141"/>
    <w:bookmarkStart w:id="142"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does not help with the sceptical problem. To solve that problem we need to rethink our theory of decision. I added, almost as an aside, an assumption in the earlier discussion that Frankie Lee was trying to maximise expected utility. That’s a mistake;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2"/>
    <w:bookmarkStart w:id="145" w:name="sec-backearth"/>
    <w:p>
      <w:pPr>
        <w:pStyle w:val="Heading2"/>
      </w:pPr>
      <w:r>
        <w:t xml:space="preserve">6.3 Back to Earth</w:t>
      </w:r>
    </w:p>
    <w:p>
      <w:pPr>
        <w:pStyle w:val="FirstParagraph"/>
      </w:pPr>
      <w:r>
        <w:t xml:space="preserve">The Frankie Lee and Judas Priest case is weird. Who offers someone money, then asks them to pick which note to take?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3"/>
      </w:r>
      <w:r>
        <w:t xml:space="preserve"> </w:t>
      </w:r>
      <w:r>
        <w:t xml:space="preserve">None of these purchases is entirely risk free. Canned goods are pretty safe, but sometimes they go bad. Milk is normally removed from sale when it goes bad,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w:t>
      </w:r>
    </w:p>
    <w:p>
      <w:pPr>
        <w:pStyle w:val="BodyText"/>
      </w:pPr>
      <w:r>
        <w:t xml:space="preserve">First he gets the chickpeas. That’s simple; he grabs the nearest can, and unless it is badly dented, or leaking, he puts in in his basket.</w:t>
      </w:r>
    </w:p>
    <w:p>
      <w:pPr>
        <w:pStyle w:val="BodyText"/>
      </w:pPr>
      <w:r>
        <w:t xml:space="preserve">Next he goes onto the milk. The milk bottles have sell-by dates printed in big letters on the front.</w:t>
      </w:r>
      <w:r>
        <w:rPr>
          <w:rStyle w:val="FootnoteReference"/>
        </w:rPr>
        <w:footnoteReference w:id="144"/>
      </w:r>
      <w:r>
        <w:t xml:space="preserve"> </w:t>
      </w:r>
      <w:r>
        <w:t xml:space="preserve">David checks that he isn’t picking up one that is about to expire. His store has been known to have adjacent bottles of milk with sell-by dates 10 days apart, so it’s worth checking. But as long as the date is far enough in the future, he takes it and moves on.</w:t>
      </w:r>
    </w:p>
    <w:p>
      <w:pPr>
        <w:pStyle w:val="BodyText"/>
      </w:pPr>
      <w:r>
        <w:t xml:space="preserve">Finally, he comes to the eggs. (Nothing so alike as eggs, he always thinks to himself, a little anachronistically.)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Ignore this complication for now and focus on the ways in which David’s options in the supermarket are like Frankie Lee’s.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5"/>
    <w:bookmarkStart w:id="147"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6"/>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treating the questions as equivalent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7"/>
    <w:bookmarkStart w:id="148"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w:t>
      </w:r>
    </w:p>
    <w:p>
      <w:pPr>
        <w:pStyle w:val="BodyText"/>
      </w:pPr>
      <w:r>
        <w:t xml:space="preserve">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I’m going to call any search procedure that is sensitive to resource considerations a satisficing procedure. This isn’t an uncommon usage. Charles Manski</w:t>
      </w:r>
      <w:r>
        <w:t xml:space="preserve"> </w:t>
      </w:r>
      <w:r>
        <w:t xml:space="preserve">(2017)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(roughly equidistant)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effortless skill alone; it will take effort.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in those works I just cited that maximizing is bad at what it sets out to achieve. But there are both empirical and theoretical reasons to be cautious about accepting these results at face value.</w:t>
      </w:r>
    </w:p>
    <w:p>
      <w:pPr>
        <w:pStyle w:val="BodyText"/>
      </w:pPr>
      <w:r>
        <w:t xml:space="preserve">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tells against this explanation of what is happening, but not nearly enough to rule it out conclusively.</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This will be the key to our resolution of the puzzles about closure.</w:t>
      </w:r>
    </w:p>
    <w:bookmarkEnd w:id="148"/>
    <w:bookmarkStart w:id="151"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his paper in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 appeals now typically come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In their preferred models,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49"/>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0"/>
      </w:r>
    </w:p>
    <w:p>
      <w:pPr>
        <w:pStyle w:val="BodyText"/>
      </w:pPr>
      <w:r>
        <w:t xml:space="preserve">Orthodox defenders of (human versions of) rational choice theory have to think this is a bad argument.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That’s obviously relevant to David in the supermarket. He could, in principle, spend one Saturday afternoon thinking about how carefully to check each of the items in the supermarket before putting it in his shopping cart.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51"/>
    <w:bookmarkStart w:id="153"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the contents of undamaged cans are safe to eat. This model is defeasible, but typically not defeated. (In Joyce’s terms, the small worlds are all ones in which the undamaged cans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In those cases, but only those cases, IRT does have sceptical consequences. In general, the simpler model is the better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container of milk, far from its expiration date,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2"/>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3"/>
    <w:bookmarkEnd w:id="154"/>
    <w:bookmarkStart w:id="163" w:name="sec-changes"/>
    <w:p>
      <w:pPr>
        <w:pStyle w:val="Heading1"/>
      </w:pPr>
      <w:r>
        <w:t xml:space="preserve">7. Changes</w:t>
      </w:r>
    </w:p>
    <w:p>
      <w:pPr>
        <w:pStyle w:val="FirstParagraph"/>
      </w:pPr>
      <w:r>
        <w:t xml:space="preserve">My version of IRT version shares defects with more familiar versions of IRT. For instance, it is subject to the criticism that Crispin Wright makes here.</w:t>
      </w:r>
    </w:p>
    <w:p>
      <w:pPr>
        <w:pStyle w:val="BlockText"/>
      </w:pPr>
      <w:r>
        <w:t xml:space="preserve">[A] situation may arise … 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5"/>
      </w:r>
    </w:p>
    <w:bookmarkStart w:id="156"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IRT.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$2.90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IRT, it will be very hard to state the objection. Consider a version of IRT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such a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I’ll end in</w:t>
      </w:r>
      <w:r>
        <w:t xml:space="preserve"> </w:t>
      </w:r>
      <w:hyperlink w:anchor="sec-das">
        <w:r>
          <w:rPr>
            <w:rStyle w:val="Hyperlink"/>
          </w:rPr>
          <w:t xml:space="preserve">Section 7.4</w:t>
        </w:r>
      </w:hyperlink>
      <w:r>
        <w:t xml:space="preserve"> </w:t>
      </w:r>
      <w:r>
        <w:t xml:space="preserve">by spelling out this response.</w:t>
      </w:r>
    </w:p>
    <w:bookmarkEnd w:id="156"/>
    <w:bookmarkStart w:id="157" w:name="sec-gettier"/>
    <w:p>
      <w:pPr>
        <w:pStyle w:val="Heading2"/>
      </w:pPr>
      <w:r>
        <w:t xml:space="preserve">7.2 So Long JTB</w:t>
      </w:r>
    </w:p>
    <w:p>
      <w:pPr>
        <w:pStyle w:val="FirstParagraph"/>
      </w:pPr>
      <w:r>
        <w:t xml:space="preserve">The story of investigations into knowledge over the last sixty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murderers.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Plausibly, Charlotte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one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including one or other kind of sensitivity.) They just think this one new kind of sensitivity is a bridge too far. It is a bit of a puzzle to me why we should think sensitivity to interests is more philosophically problematic than the other kinds of sensitivity we’ve seen so far.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7"/>
    <w:bookmarkStart w:id="160"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58"/>
      </w:r>
      <w:r>
        <w:t xml:space="preserve"> </w:t>
      </w:r>
      <w:r>
        <w:t xml:space="preserve">It isn’t extensional adequacy; Dharmottara refuted that 1300 years ago. But it can be expressed using the modern</w:t>
      </w:r>
      <w:r>
        <w:rPr>
          <w:rStyle w:val="FootnoteReference"/>
        </w:rPr>
        <w:footnoteReference w:id="159"/>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w:t>
      </w:r>
    </w:p>
    <w:p>
      <w:pPr>
        <w:pStyle w:val="BodyText"/>
      </w:pPr>
      <w:r>
        <w:t xml:space="preserve">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perhaps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0"/>
    <w:bookmarkStart w:id="162"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1"/>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2"/>
    <w:bookmarkEnd w:id="163"/>
    <w:bookmarkStart w:id="190"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6"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4"/>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Since that’s when the battle took place,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Alternatively,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and his collaborators show, we need some notion of vigilance to explain a lot of different aspects of epistemic evaluation. I think that notion can be usefully pressed into service here.</w:t>
      </w:r>
      <w:r>
        <w:rPr>
          <w:rStyle w:val="FootnoteReference"/>
        </w:rPr>
        <w:footnoteReference w:id="165"/>
      </w:r>
    </w:p>
    <w:p>
      <w:pPr>
        <w:pStyle w:val="BodyText"/>
      </w:pPr>
      <w:r>
        <w:t xml:space="preserve">If you need something like vigilance in your theory of belief, then you have to allow that vigilance might fail.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6"/>
    <w:bookmarkStart w:id="167"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i.e., belief is high credence, or a normative claim, i.e.,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it’s physically possible that someone has that belief.)</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7"/>
    <w:bookmarkStart w:id="177"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68"/>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69"/>
      </w:r>
      <w:r>
        <w:t xml:space="preserve"> </w:t>
      </w:r>
      <w:r>
        <w:t xml:space="preserve">So I’ll set the basic points slowly, and then circle back to the puzzle for the Lockeans.</w:t>
      </w:r>
      <w:r>
        <w:rPr>
          <w:rStyle w:val="FootnoteReference"/>
        </w:rPr>
        <w:footnoteReference w:id="170"/>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w:t>
      </w:r>
      <w:r>
        <w:t xml:space="preserve"> </w:t>
      </w:r>
      <w:hyperlink w:anchor="tbl-underspecified">
        <w:r>
          <w:rPr>
            <w:rStyle w:val="Hyperlink"/>
          </w:rPr>
          <w:t xml:space="preserve">Table 8.1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71"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1"/>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w:t>
      </w:r>
    </w:p>
    <w:p>
      <w:pPr>
        <w:pStyle w:val="BodyText"/>
      </w:pPr>
      <w:r>
        <w:t xml:space="preserve">Now compare that to a simple game. The players are Row and Column; Row will choose a row, Column will choose a column, and then the payouts will be given by the cell at the row and column’s intersection.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w:t>
      </w:r>
      <w:r>
        <w:t xml:space="preserve"> </w:t>
      </w:r>
      <w:hyperlink w:anchor="tbl-simple-game">
        <w:r>
          <w:rPr>
            <w:rStyle w:val="Hyperlink"/>
          </w:rPr>
          <w:t xml:space="preserve">Table 8.2</w:t>
        </w:r>
      </w:hyperlink>
      <w:r>
        <w:t xml:space="preserv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2"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2"/>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The game in</w:t>
      </w:r>
      <w:r>
        <w:t xml:space="preserve"> </w:t>
      </w:r>
      <w:hyperlink w:anchor="tbl-simple-game">
        <w:r>
          <w:rPr>
            <w:rStyle w:val="Hyperlink"/>
          </w:rPr>
          <w:t xml:space="preserve">Table 8.2</w:t>
        </w:r>
      </w:hyperlink>
      <w:r>
        <w:t xml:space="preserve"> </w:t>
      </w:r>
      <w:r>
        <w:t xml:space="preserve">is just a variant on the decision problem in</w:t>
      </w:r>
      <w:r>
        <w:t xml:space="preserve"> </w:t>
      </w:r>
      <w:hyperlink w:anchor="tbl-underspecified">
        <w:r>
          <w:rPr>
            <w:rStyle w:val="Hyperlink"/>
          </w:rPr>
          <w:t xml:space="preserve">Table 8.1</w:t>
        </w:r>
      </w:hyperlink>
      <w:r>
        <w:t xml:space="preserve">. The relevant states of the world are choices of Column. Unlike the decision problem, there is a determinate answer to what Row should do in the game. More importantly for present purposes, the game can be solved without explicitly saying anything about probabilities. This is because we deduce all we need to know about probabilities from the assumption that Column is rational. Since Column is rational, they will play</w:t>
      </w:r>
      <w:r>
        <w:t xml:space="preserve"> </w:t>
      </w:r>
      <w:r>
        <w:rPr>
          <w:iCs/>
          <w:i/>
        </w:rPr>
        <w:t xml:space="preserve">S</w:t>
      </w:r>
      <w:r>
        <w:rPr>
          <w:vertAlign w:val="subscript"/>
        </w:rPr>
        <w:t xml:space="preserve">2</w:t>
      </w:r>
      <w:r>
        <w:t xml:space="preserve">. Since Column will play</w:t>
      </w:r>
      <w:r>
        <w:t xml:space="preserve"> </w:t>
      </w:r>
      <w:r>
        <w:rPr>
          <w:iCs/>
          <w:i/>
        </w:rPr>
        <w:t xml:space="preserve">S</w:t>
      </w:r>
      <w:r>
        <w:rPr>
          <w:vertAlign w:val="subscript"/>
        </w:rPr>
        <w:t xml:space="preserve">2</w:t>
      </w:r>
      <w:r>
        <w:t xml:space="preserve">, Row should play</w:t>
      </w:r>
      <w:r>
        <w:t xml:space="preserve"> </w:t>
      </w:r>
      <w:r>
        <w:rPr>
          <w:iCs/>
          <w:i/>
        </w:rPr>
        <w:t xml:space="preserve">A</w:t>
      </w:r>
      <w:r>
        <w:rPr>
          <w:vertAlign w:val="subscript"/>
        </w:rPr>
        <w:t xml:space="preserve">2</w:t>
      </w:r>
      <w:r>
        <w:t xml:space="preserve">.</w:t>
      </w:r>
    </w:p>
    <w:p>
      <w:pPr>
        <w:pStyle w:val="BodyText"/>
      </w:pPr>
      <w:r>
        <w:t xml:space="preserve">Looking at games this way helps understand why theorists sometimes think of game theory as</w:t>
      </w:r>
      <w:r>
        <w:t xml:space="preserve"> </w:t>
      </w:r>
      <w:r>
        <w:t xml:space="preserve">‘</w:t>
      </w:r>
      <w:r>
        <w:t xml:space="preserve">interactive epistemology</w:t>
      </w:r>
      <w:r>
        <w:t xml:space="preserve">’</w:t>
      </w:r>
      <w:r>
        <w:t xml:space="preserve"> </w:t>
      </w:r>
      <w:r>
        <w:t xml:space="preserve">(Aumann, 1999)</w:t>
      </w:r>
      <w:r>
        <w:t xml:space="preserve">. The theorist’s work is to solve for what a rational agent should think other rational agents in the game should do. This is why game theory makes heavy use of equilibrium concepts. As theorists, we adopt a theory of rational choice, and see what happens if that theory is common ground amongst the players. In effect, we treat</w:t>
      </w:r>
      <w:r>
        <w:t xml:space="preserve"> </w:t>
      </w:r>
      <w:r>
        <w:rPr>
          <w:iCs/>
          <w:i/>
        </w:rPr>
        <w:t xml:space="preserve">rationality</w:t>
      </w:r>
      <w:r>
        <w:t xml:space="preserve"> </w:t>
      </w:r>
      <w:r>
        <w:t xml:space="preserve">as an unknown variable that we solve for given premises about which choices are rational in which games.</w:t>
      </w:r>
      <w:r>
        <w:rPr>
          <w:rStyle w:val="FootnoteReference"/>
        </w:rPr>
        <w:footnoteReference w:id="173"/>
      </w:r>
      <w:r>
        <w:t xml:space="preserve"> </w:t>
      </w:r>
      <w:r>
        <w:t xml:space="preserve">Not surprisingly, there are going to be multiple solutions to the puzzles we face.</w:t>
      </w:r>
    </w:p>
    <w:p>
      <w:pPr>
        <w:pStyle w:val="BodyText"/>
      </w:pPr>
      <w:r>
        <w:t xml:space="preserve">This way of thinking naturally leads to the epistemological interpretation of mixed strategies.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w:t>
      </w:r>
      <w:r>
        <w:t xml:space="preserve"> </w:t>
      </w:r>
      <w:hyperlink w:anchor="tbl-death-damascus">
        <w:r>
          <w:rPr>
            <w:rStyle w:val="Hyperlink"/>
          </w:rPr>
          <w:t xml:space="preserve">Table 8.3</w:t>
        </w:r>
      </w:hyperlink>
      <w:r>
        <w:t xml:space="preserve"> </w:t>
      </w:r>
      <w:r>
        <w:t xml:space="preserve">is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4"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4"/>
          <w:p/>
        </w:tc>
      </w:tr>
    </w:tbl>
    <w:p>
      <w:pPr>
        <w:pStyle w:val="BodyText"/>
      </w:pPr>
      <w:r>
        <w:t xml:space="preserve">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The</w:t>
      </w:r>
      <w:r>
        <w:t xml:space="preserve"> </w:t>
      </w:r>
      <w:r>
        <w:rPr>
          <w:iCs/>
          <w:i/>
        </w:rPr>
        <w:t xml:space="preserve">metaphysical</w:t>
      </w:r>
      <w:r>
        <w:t xml:space="preserve"> </w:t>
      </w:r>
      <w:r>
        <w:t xml:space="preserve">interpretation of mixed strategies is that players use some randomising device to pick what to do. This interpretation is often implicit in the way many textbooks introduce mixed strategies.</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 as Stalnaker argues.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For our purposes, the important thing about the epistemological interpretation of mixed strategies is that it allows us to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game I’ll call Up-Down.</w:t>
      </w:r>
      <w:r>
        <w:rPr>
          <w:rStyle w:val="FootnoteReference"/>
        </w:rPr>
        <w:footnoteReference w:id="175"/>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the payouts are given in</w:t>
      </w:r>
      <w:r>
        <w:t xml:space="preserve"> </w:t>
      </w:r>
      <w:hyperlink w:anchor="tbl-up-down">
        <w:r>
          <w:rPr>
            <w:rStyle w:val="Hyperlink"/>
          </w:rPr>
          <w:t xml:space="preserve">Table 8.4</w:t>
        </w:r>
      </w:hyperlink>
      <w:r>
        <w:t xml:space="preserv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6"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6"/>
          <w:p/>
        </w:tc>
      </w:tr>
    </w:tbl>
    <w:p>
      <w:pPr>
        <w:pStyle w:val="BodyText"/>
      </w:pPr>
      <w:r>
        <w:t xml:space="preserve">I’ll first work through Up-Down assuming Uniqueness: the epistemological theory that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I’ll assume it for now because it’s easiest to understand the analysis I’ll offer with this assumption in place; later we’ll relax the assumption.</w:t>
      </w:r>
    </w:p>
    <w:p>
      <w:pPr>
        <w:pStyle w:val="BodyText"/>
      </w:pPr>
      <w:r>
        <w:t xml:space="preserve">Up-Down is symmetric. So given Uniqueness,</w:t>
      </w:r>
      <w:r>
        <w:t xml:space="preserve"> </w:t>
      </w:r>
      <w:r>
        <w:rPr>
          <w:iCs/>
          <w:i/>
        </w:rPr>
        <w:t xml:space="preserve">A</w:t>
      </w:r>
      <w:r>
        <w:t xml:space="preserve"> </w:t>
      </w:r>
      <w:r>
        <w:t xml:space="preserve">and</w:t>
      </w:r>
      <w:r>
        <w:t xml:space="preserve"> </w:t>
      </w:r>
      <w:r>
        <w:rPr>
          <w:iCs/>
          <w:i/>
        </w:rPr>
        <w:t xml:space="preserve">B</w:t>
      </w:r>
      <w:r>
        <w:t xml:space="preserve"> </w:t>
      </w:r>
      <w:r>
        <w:t xml:space="preserve">should have the same probability of playing UP/</w:t>
      </w:r>
      <w:r>
        <w:rPr>
          <w:iCs/>
          <w:i/>
        </w:rPr>
        <w:t xml:space="preserve">up</w:t>
      </w:r>
      <w:r>
        <w:t xml:space="preserve">. Call this common probability</w:t>
      </w:r>
      <w:r>
        <w:t xml:space="preserve"> </w:t>
      </w:r>
      <w:r>
        <w:rPr>
          <w:iCs/>
          <w:i/>
        </w:rPr>
        <w:t xml:space="preserve">x</w:t>
      </w:r>
      <w:r>
        <w:t xml:space="preserve">. It cannot be that x</w:t>
      </w:r>
      <w:r>
        <w:rPr>
          <w:iCs/>
          <w:i/>
        </w:rPr>
        <w:t xml:space="preserve"> &lt; 1.</w:t>
      </w:r>
      <w:r>
        <w:rPr>
          <w:iCs/>
          <w:i/>
        </w:rPr>
        <w:t xml:space="preserve"> </w:t>
      </w:r>
      <w:r>
        <w:t xml:space="preserve">A</w:t>
      </w:r>
      <w:r>
        <w:rPr>
          <w:iCs/>
          <w:i/>
        </w:rPr>
        <w:t xml:space="preserve">’s expected return from UP is 1, while the expected return from DOWN is</w:t>
      </w:r>
      <w:r>
        <w:rPr>
          <w:iCs/>
          <w:i/>
        </w:rPr>
        <w:t xml:space="preserve"> </w:t>
      </w:r>
      <w:r>
        <w:t xml:space="preserve">x</w:t>
      </w:r>
      <w:r>
        <w:rPr>
          <w:iCs/>
          <w:i/>
        </w:rPr>
        <w:t xml:space="preserve">. If</w:t>
      </w:r>
      <w:r>
        <w:rPr>
          <w:iCs/>
          <w:i/>
        </w:rPr>
        <w:t xml:space="preserve"> </w:t>
      </w:r>
      <w:r>
        <w:t xml:space="preserve">x* &lt; 1 and</w:t>
      </w:r>
      <w:r>
        <w:t xml:space="preserve"> </w:t>
      </w:r>
      <w:r>
        <w:rPr>
          <w:iCs/>
          <w:i/>
        </w:rPr>
        <w:t xml:space="preserve">A</w:t>
      </w:r>
      <w:r>
        <w:t xml:space="preserve"> </w:t>
      </w:r>
      <w:r>
        <w:t xml:space="preserve">is rational, they’ll definitely play UP. If</w:t>
      </w:r>
      <w:r>
        <w:t xml:space="preserve"> </w:t>
      </w:r>
      <w:r>
        <w:rPr>
          <w:iCs/>
          <w:i/>
        </w:rPr>
        <w:t xml:space="preserve">A</w:t>
      </w:r>
      <w:r>
        <w:t xml:space="preserve"> </w:t>
      </w:r>
      <w:r>
        <w:t xml:space="preserve">will definitely play UP, the probability they’ll play UP is 1, contradicting the assumption that</w:t>
      </w:r>
      <w:r>
        <w:t xml:space="preserve"> </w:t>
      </w:r>
      <w:r>
        <w:rPr>
          <w:iCs/>
          <w:i/>
        </w:rPr>
        <w:t xml:space="preserve">x</w:t>
      </w:r>
      <w:r>
        <w:t xml:space="preserve"> &lt; 1.</w:t>
      </w:r>
    </w:p>
    <w:p>
      <w:pPr>
        <w:pStyle w:val="BodyText"/>
      </w:pPr>
      <w:r>
        <w:t xml:space="preserve">So we know</w:t>
      </w:r>
      <w:r>
        <w:t xml:space="preserve"> </w:t>
      </w:r>
      <w:r>
        <w:rPr>
          <w:iCs/>
          <w:i/>
        </w:rPr>
        <w:t xml:space="preserve">x</w:t>
      </w:r>
      <w:r>
        <w:t xml:space="preserve"> = 1. Arguably, we don’t know that</w:t>
      </w:r>
      <w:r>
        <w:t xml:space="preserve"> </w:t>
      </w:r>
      <w:r>
        <w:rPr>
          <w:iCs/>
          <w:i/>
        </w:rPr>
        <w:t xml:space="preserve">A</w:t>
      </w:r>
      <w:r>
        <w:t xml:space="preserve"> </w:t>
      </w:r>
      <w:r>
        <w:t xml:space="preserve">will play UP. Assume we could know this. Whatever reason we would have for concluding that would be a reason for any rational person to conclude that</w:t>
      </w:r>
      <w:r>
        <w:t xml:space="preserve"> </w:t>
      </w:r>
      <w:r>
        <w:rPr>
          <w:iCs/>
          <w:i/>
        </w:rPr>
        <w:t xml:space="preserve">B</w:t>
      </w:r>
      <w:r>
        <w:t xml:space="preserve"> </w:t>
      </w:r>
      <w:r>
        <w:t xml:space="preserve">will play</w:t>
      </w:r>
      <w:r>
        <w:t xml:space="preserve"> </w:t>
      </w:r>
      <w:r>
        <w:rPr>
          <w:iCs/>
          <w:i/>
        </w:rPr>
        <w:t xml:space="preserve">up</w:t>
      </w:r>
      <w:r>
        <w:t xml:space="preserve">.</w:t>
      </w:r>
      <w:r>
        <w:t xml:space="preserve"> </w:t>
      </w:r>
      <w:r>
        <w:rPr>
          <w:iCs/>
          <w:i/>
        </w:rPr>
        <w:t xml:space="preserve">A</w:t>
      </w:r>
      <w:r>
        <w:t xml:space="preserve"> </w:t>
      </w:r>
      <w:r>
        <w:t xml:space="preserve">is rational, so</w:t>
      </w:r>
      <w:r>
        <w:t xml:space="preserve"> </w:t>
      </w:r>
      <w:r>
        <w:rPr>
          <w:iCs/>
          <w:i/>
        </w:rPr>
        <w:t xml:space="preserve">A</w:t>
      </w:r>
      <w:r>
        <w:t xml:space="preserve"> </w:t>
      </w:r>
      <w:r>
        <w:t xml:space="preserve">will conclude this. So</w:t>
      </w:r>
      <w:r>
        <w:t xml:space="preserve"> </w:t>
      </w:r>
      <w:r>
        <w:rPr>
          <w:iCs/>
          <w:i/>
        </w:rPr>
        <w:t xml:space="preserve">A</w:t>
      </w:r>
      <w:r>
        <w:t xml:space="preserve">’s expected return from either strategy is 1. So</w:t>
      </w:r>
      <w:r>
        <w:t xml:space="preserve"> </w:t>
      </w:r>
      <w:r>
        <w:rPr>
          <w:iCs/>
          <w:i/>
        </w:rPr>
        <w:t xml:space="preserve">A</w:t>
      </w:r>
      <w:r>
        <w:t xml:space="preserve"> </w:t>
      </w:r>
      <w:r>
        <w:t xml:space="preserve">should be indifferent between UP and DOWN. Since all we know about</w:t>
      </w:r>
      <w:r>
        <w:t xml:space="preserve"> </w:t>
      </w:r>
      <w:r>
        <w:rPr>
          <w:iCs/>
          <w:i/>
        </w:rPr>
        <w:t xml:space="preserve">A</w:t>
      </w:r>
      <w:r>
        <w:t xml:space="preserve"> </w:t>
      </w:r>
      <w:r>
        <w:t xml:space="preserve">is that they are rational, and we know they are indifferent between UP and DOWN, we can’t conclude, i.e., can’t know, they will play UP.</w:t>
      </w:r>
    </w:p>
    <w:p>
      <w:pPr>
        <w:pStyle w:val="BodyText"/>
      </w:pPr>
      <w:r>
        <w:t xml:space="preserve">There is an obvious objection to this argument. At one point I moved from the claim that</w:t>
      </w:r>
      <w:r>
        <w:t xml:space="preserve"> </w:t>
      </w:r>
      <w:r>
        <w:rPr>
          <w:iCs/>
          <w:i/>
        </w:rPr>
        <w:t xml:space="preserve">A</w:t>
      </w:r>
      <w:r>
        <w:t xml:space="preserve">’s expected return from UP and DOWN is the same, to the conclusion that</w:t>
      </w:r>
      <w:r>
        <w:t xml:space="preserve"> </w:t>
      </w:r>
      <w:r>
        <w:rPr>
          <w:iCs/>
          <w:i/>
        </w:rPr>
        <w:t xml:space="preserve">A</w:t>
      </w:r>
      <w:r>
        <w:t xml:space="preserve"> </w:t>
      </w:r>
      <w:r>
        <w:t xml:space="preserve">has just as much reason to play UP and DOWN. That looks like it is assuming that expected utility maximisation is the full theory of rationality. That, in turn, is something we might want to question.</w:t>
      </w:r>
    </w:p>
    <w:p>
      <w:pPr>
        <w:pStyle w:val="BodyText"/>
      </w:pPr>
      <w:r>
        <w:t xml:space="preserve">In</w:t>
      </w:r>
      <w:r>
        <w:t xml:space="preserve"> </w:t>
      </w:r>
      <w:hyperlink w:anchor="sec-ties">
        <w:r>
          <w:rPr>
            <w:rStyle w:val="Hyperlink"/>
          </w:rPr>
          <w:t xml:space="preserve">Chapter 6</w:t>
        </w:r>
      </w:hyperlink>
      <w:r>
        <w:t xml:space="preserve"> </w:t>
      </w:r>
      <w:r>
        <w:t xml:space="preserve">I said that expected utility maximisation can’t be the right theory of decision for agents who face non-trivial comptutational costs. This shouldn’t be relevant here.</w:t>
      </w:r>
      <w:r>
        <w:t xml:space="preserve"> </w:t>
      </w:r>
      <w:r>
        <w:rPr>
          <w:iCs/>
          <w:i/>
        </w:rPr>
        <w:t xml:space="preserve">A</w:t>
      </w:r>
      <w:r>
        <w:t xml:space="preserve"> </w:t>
      </w:r>
      <w:r>
        <w:t xml:space="preserve">and</w:t>
      </w:r>
      <w:r>
        <w:t xml:space="preserve"> </w:t>
      </w:r>
      <w:r>
        <w:rPr>
          <w:iCs/>
          <w:i/>
        </w:rPr>
        <w:t xml:space="preserve">B</w:t>
      </w:r>
      <w:r>
        <w:t xml:space="preserve"> </w:t>
      </w:r>
      <w:r>
        <w:t xml:space="preserve">face pretty simple computations, and we can assume that the cost of those computations is negligible for each of them.</w:t>
      </w:r>
    </w:p>
    <w:p>
      <w:pPr>
        <w:pStyle w:val="BodyText"/>
      </w:pPr>
      <w:r>
        <w:t xml:space="preserve">A more serious objection is that</w:t>
      </w:r>
      <w:r>
        <w:t xml:space="preserve"> </w:t>
      </w:r>
      <w:r>
        <w:rPr>
          <w:iCs/>
          <w:i/>
        </w:rPr>
        <w:t xml:space="preserve">A</w:t>
      </w:r>
      <w:r>
        <w:t xml:space="preserve"> </w:t>
      </w:r>
      <w:r>
        <w:t xml:space="preserve">has a reason beyond utility maximisation to play UP, namely that UP weakly dominates DOWN. After all, there’s one possibility on the table where UP does better than DOWN, and none where RED does better. So perhaps even if UP and DOWN have the same expected utility, there is a reason to play UP.</w:t>
      </w:r>
    </w:p>
    <w:p>
      <w:pPr>
        <w:pStyle w:val="BodyText"/>
      </w:pPr>
      <w:r>
        <w:t xml:space="preserve">At least as I’ve set up this game, this isn’t an extra reason</w:t>
      </w:r>
      <w:r>
        <w:t xml:space="preserve"> </w:t>
      </w:r>
      <w:r>
        <w:rPr>
          <w:iCs/>
          <w:i/>
        </w:rPr>
        <w:t xml:space="preserve">A</w:t>
      </w:r>
      <w:r>
        <w:t xml:space="preserve"> </w:t>
      </w:r>
      <w:r>
        <w:t xml:space="preserve">has. To see this, it helps to compare the case to the kinds of games where Stalnaker (in the papers cited above) thinks that weak dominance does provide a distinct reason to make a choice. He is talking about games where the agents’ attitude towards the possible payouts is different to their attitude towards each other. For example, the players may have common knowledge of the payouts, but only common belief in the rationality of each other. Or perhaps they even have rational, true belief in the rationality of each other, but crucially not knowledge. If that’s right, but only if that’s right, then it makes sense to use weak dominance reasoning.</w:t>
      </w:r>
    </w:p>
    <w:p>
      <w:pPr>
        <w:pStyle w:val="BodyText"/>
      </w:pPr>
      <w:r>
        <w:t xml:space="preserve">The key motivation behind weak dominance reasoning is that taking a weakly dominated option is a needless risk. If UP will definitely return 1, while DOWN may return 0, then DOWN is risky in a way that UP is not. The notion of</w:t>
      </w:r>
      <w:r>
        <w:t xml:space="preserve"> </w:t>
      </w:r>
      <w:r>
        <w:rPr>
          <w:iCs/>
          <w:i/>
        </w:rPr>
        <w:t xml:space="preserve">risk</w:t>
      </w:r>
      <w:r>
        <w:t xml:space="preserve"> </w:t>
      </w:r>
      <w:r>
        <w:t xml:space="preserve">here need not be understood probabilistically. Even if it the probability that DOWN will return 1 is 1, there is still that payout of 0 sitting on the table, and so there is a risk.</w:t>
      </w:r>
    </w:p>
    <w:p>
      <w:pPr>
        <w:pStyle w:val="BodyText"/>
      </w:pPr>
      <w:r>
        <w:t xml:space="preserve">Here we need to slow down. There is no outcome on the table where UP returns 1. But if the table is wrong, then UP might return 0. It might return anything at all. The only way that DOWN is risky while UP is not is if there is no risk that the table is mistaken.</w:t>
      </w:r>
    </w:p>
    <w:p>
      <w:pPr>
        <w:pStyle w:val="BodyText"/>
      </w:pPr>
      <w:r>
        <w:t xml:space="preserve">Now one might object, we stipulated that</w:t>
      </w:r>
      <w:r>
        <w:t xml:space="preserve"> </w:t>
      </w:r>
      <w:r>
        <w:rPr>
          <w:iCs/>
          <w:i/>
        </w:rPr>
        <w:t xml:space="preserve">A</w:t>
      </w:r>
      <w:r>
        <w:t xml:space="preserve"> </w:t>
      </w:r>
      <w:r>
        <w:t xml:space="preserve">knows the table is correct, there is no way it can be mistaken. We also stipulated that</w:t>
      </w:r>
      <w:r>
        <w:t xml:space="preserve"> </w:t>
      </w:r>
      <w:r>
        <w:rPr>
          <w:iCs/>
          <w:i/>
        </w:rPr>
        <w:t xml:space="preserve">A</w:t>
      </w:r>
      <w:r>
        <w:t xml:space="preserve"> </w:t>
      </w:r>
      <w:r>
        <w:t xml:space="preserve">knows that</w:t>
      </w:r>
      <w:r>
        <w:t xml:space="preserve"> </w:t>
      </w:r>
      <w:r>
        <w:rPr>
          <w:iCs/>
          <w:i/>
        </w:rPr>
        <w:t xml:space="preserve">B</w:t>
      </w:r>
      <w:r>
        <w:t xml:space="preserve"> </w:t>
      </w:r>
      <w:r>
        <w:t xml:space="preserve">is rational. So if rationality implies playing UP/</w:t>
      </w:r>
      <w:r>
        <w:rPr>
          <w:iCs/>
          <w:i/>
        </w:rPr>
        <w:t xml:space="preserve">up</w:t>
      </w:r>
      <w:r>
        <w:t xml:space="preserve">, there is no way that DOWN can return 0.</w:t>
      </w:r>
    </w:p>
    <w:p>
      <w:pPr>
        <w:pStyle w:val="BodyText"/>
      </w:pPr>
      <w:r>
        <w:t xml:space="preserve">This is why Stalnaker’s assumption that there is an asymmetry between the players’ attitude towards the table and towards each other matters. If the players have a stronger attitude towards the rationality of each other than towards the correctness of the table, there is a sense in which irrational outcomes on the table are more of a risk than outcomes that are not on the table.</w:t>
      </w:r>
    </w:p>
    <w:p>
      <w:pPr>
        <w:pStyle w:val="BodyText"/>
      </w:pPr>
      <w:r>
        <w:t xml:space="preserve">However, if the players think the players being irrational is exactly as live a possibility as the table being mistaken, then it is unreasonable to treat outcomes on the table which are only reached when the players are irrational as more relevant to decisions than outcomes not on the table at all.</w:t>
      </w:r>
    </w:p>
    <w:p>
      <w:pPr>
        <w:pStyle w:val="BodyText"/>
      </w:pPr>
      <w:r>
        <w:t xml:space="preserve">That’s why weak dominance reasoning is inappropriate in the Up-Down game. In some sense there is a risk DOWN could lead to a payout of 0.</w:t>
      </w:r>
      <w:r>
        <w:t xml:space="preserve"> </w:t>
      </w:r>
      <w:r>
        <w:rPr>
          <w:iCs/>
          <w:i/>
        </w:rPr>
        <w:t xml:space="preserve">B</w:t>
      </w:r>
      <w:r>
        <w:t xml:space="preserve"> </w:t>
      </w:r>
      <w:r>
        <w:t xml:space="preserve">might make an irrational move, even though, by stipulation,</w:t>
      </w:r>
      <w:r>
        <w:t xml:space="preserve"> </w:t>
      </w:r>
      <w:r>
        <w:rPr>
          <w:iCs/>
          <w:i/>
        </w:rPr>
        <w:t xml:space="preserve">A</w:t>
      </w:r>
      <w:r>
        <w:t xml:space="preserve"> </w:t>
      </w:r>
      <w:r>
        <w:t xml:space="preserve">knows that they will not. In the very same sense, there is a risk UP could lead to a payout of 0. The table could be wrong, even though</w:t>
      </w:r>
      <w:r>
        <w:t xml:space="preserve"> </w:t>
      </w:r>
      <w:r>
        <w:rPr>
          <w:iCs/>
          <w:i/>
        </w:rPr>
        <w:t xml:space="preserve">A</w:t>
      </w:r>
      <w:r>
        <w:t xml:space="preserve"> </w:t>
      </w:r>
      <w:r>
        <w:t xml:space="preserve">knows that it is not.</w:t>
      </w:r>
    </w:p>
    <w:p>
      <w:pPr>
        <w:pStyle w:val="BodyText"/>
      </w:pPr>
      <w:r>
        <w:t xml:space="preserve">That’s why the possibility of weak dominance reasoning doesn’t undermine the reductio argument I’ve offered against UP/</w:t>
      </w:r>
      <w:r>
        <w:rPr>
          <w:iCs/>
          <w:i/>
        </w:rPr>
        <w:t xml:space="preserve">up</w:t>
      </w:r>
      <w:r>
        <w:t xml:space="preserve"> </w:t>
      </w:r>
      <w:r>
        <w:t xml:space="preserve">being the uniquely rational play. It also helps us see why ultimately we don’t need the assumption of Uniqueness to generate the objection.</w:t>
      </w:r>
    </w:p>
    <w:p>
      <w:pPr>
        <w:pStyle w:val="BodyText"/>
      </w:pPr>
      <w:r>
        <w:t xml:space="preserve">Let’s state the argument more carefully without Uniqueness. Assume, again for reductio, that some rational person</w:t>
      </w:r>
      <w:r>
        <w:t xml:space="preserve"> </w:t>
      </w:r>
      <w:r>
        <w:rPr>
          <w:iCs/>
          <w:i/>
        </w:rPr>
        <w:t xml:space="preserve">C</w:t>
      </w:r>
      <w:r>
        <w:t xml:space="preserve"> </w:t>
      </w:r>
      <w:r>
        <w:t xml:space="preserve">has credence ε &gt; 0 that</w:t>
      </w:r>
      <w:r>
        <w:t xml:space="preserve"> </w:t>
      </w:r>
      <w:r>
        <w:rPr>
          <w:iCs/>
          <w:i/>
        </w:rPr>
        <w:t xml:space="preserve">A</w:t>
      </w:r>
      <w:r>
        <w:t xml:space="preserve"> </w:t>
      </w:r>
      <w:r>
        <w:t xml:space="preserve">will play DOWN. (It could be that</w:t>
      </w:r>
      <w:r>
        <w:t xml:space="preserve"> </w:t>
      </w:r>
      <w:r>
        <w:rPr>
          <w:iCs/>
          <w:i/>
        </w:rPr>
        <w:t xml:space="preserve">C</w:t>
      </w:r>
      <w:r>
        <w:t xml:space="preserve"> </w:t>
      </w:r>
      <w:r>
        <w:t xml:space="preserve">is a theorist, like us, or they could be one of the players.) We will now try to build a full model of</w:t>
      </w:r>
      <w:r>
        <w:t xml:space="preserve"> </w:t>
      </w:r>
      <w:r>
        <w:rPr>
          <w:iCs/>
          <w:i/>
        </w:rPr>
        <w:t xml:space="preserve">C</w:t>
      </w:r>
      <w:r>
        <w:t xml:space="preserve">’s attitudes towards the game.</w:t>
      </w:r>
    </w:p>
    <w:p>
      <w:pPr>
        <w:pStyle w:val="BodyText"/>
      </w:pPr>
      <w:r>
        <w:t xml:space="preserve">Since it is common ground that</w:t>
      </w:r>
      <w:r>
        <w:t xml:space="preserve"> </w:t>
      </w:r>
      <w:r>
        <w:rPr>
          <w:iCs/>
          <w:i/>
        </w:rPr>
        <w:t xml:space="preserve">A</w:t>
      </w:r>
      <w:r>
        <w:t xml:space="preserve"> </w:t>
      </w:r>
      <w:r>
        <w:t xml:space="preserve">is an expected utility maximiser,</w:t>
      </w:r>
      <w:r>
        <w:t xml:space="preserve"> </w:t>
      </w:r>
      <w:r>
        <w:rPr>
          <w:iCs/>
          <w:i/>
        </w:rPr>
        <w:t xml:space="preserve">C</w:t>
      </w:r>
      <w:r>
        <w:t xml:space="preserve"> </w:t>
      </w:r>
      <w:r>
        <w:t xml:space="preserve">must have at least credence ε that</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Is this coherent?</w:t>
      </w:r>
    </w:p>
    <w:p>
      <w:pPr>
        <w:pStyle w:val="BodyText"/>
      </w:pPr>
      <w:r>
        <w:t xml:space="preserve">One reason to think not is that even without Uniqueness, it is strange to think that one rational agent could regard a possibility as infinitely less likely than another, given the exact same evidence evidence.</w:t>
      </w:r>
    </w:p>
    <w:p>
      <w:pPr>
        <w:pStyle w:val="BodyText"/>
      </w:pPr>
      <w:r>
        <w:t xml:space="preserve">Another reason to think this combination of views is incoherent is that without Uniqueness, the possibility of weak dominance reasoning comes back. If</w:t>
      </w:r>
      <w:r>
        <w:t xml:space="preserve"> </w:t>
      </w:r>
      <w:r>
        <w:rPr>
          <w:iCs/>
          <w:i/>
        </w:rPr>
        <w:t xml:space="preserve">C</w:t>
      </w:r>
      <w:r>
        <w:t xml:space="preserve"> </w:t>
      </w:r>
      <w:r>
        <w:t xml:space="preserve">has credence ε that</w:t>
      </w:r>
      <w:r>
        <w:t xml:space="preserve"> </w:t>
      </w:r>
      <w:r>
        <w:rPr>
          <w:iCs/>
          <w:i/>
        </w:rPr>
        <w:t xml:space="preserve">A</w:t>
      </w:r>
      <w:r>
        <w:t xml:space="preserve"> </w:t>
      </w:r>
      <w:r>
        <w:t xml:space="preserve">will play DOWN, then it is consistent with</w:t>
      </w:r>
      <w:r>
        <w:t xml:space="preserve"> </w:t>
      </w:r>
      <w:r>
        <w:rPr>
          <w:iCs/>
          <w:i/>
        </w:rPr>
        <w:t xml:space="preserve">B</w:t>
      </w:r>
      <w:r>
        <w:t xml:space="preserve">’s rationality that</w:t>
      </w:r>
      <w:r>
        <w:t xml:space="preserve"> </w:t>
      </w:r>
      <w:r>
        <w:rPr>
          <w:iCs/>
          <w:i/>
        </w:rPr>
        <w:t xml:space="preserve">B</w:t>
      </w:r>
      <w:r>
        <w:t xml:space="preserve"> </w:t>
      </w:r>
      <w:r>
        <w:t xml:space="preserve">has credence ε that</w:t>
      </w:r>
      <w:r>
        <w:t xml:space="preserve"> </w:t>
      </w:r>
      <w:r>
        <w:rPr>
          <w:iCs/>
          <w:i/>
        </w:rPr>
        <w:t xml:space="preserve">A</w:t>
      </w:r>
      <w:r>
        <w:t xml:space="preserve"> </w:t>
      </w:r>
      <w:r>
        <w:t xml:space="preserve">will play DOWN. Somehow</w:t>
      </w:r>
      <w:r>
        <w:t xml:space="preserve"> </w:t>
      </w:r>
      <w:r>
        <w:rPr>
          <w:iCs/>
          <w:i/>
        </w:rPr>
        <w:t xml:space="preserve">C</w:t>
      </w:r>
      <w:r>
        <w:t xml:space="preserve"> </w:t>
      </w:r>
      <w:r>
        <w:t xml:space="preserve">must have credence 1 that</w:t>
      </w:r>
      <w:r>
        <w:t xml:space="preserve"> </w:t>
      </w:r>
      <w:r>
        <w:rPr>
          <w:iCs/>
          <w:i/>
        </w:rPr>
        <w:t xml:space="preserve">B</w:t>
      </w:r>
      <w:r>
        <w:t xml:space="preserve"> </w:t>
      </w:r>
      <w:r>
        <w:t xml:space="preserve">does not have the same credences they do about what</w:t>
      </w:r>
      <w:r>
        <w:t xml:space="preserve"> </w:t>
      </w:r>
      <w:r>
        <w:rPr>
          <w:iCs/>
          <w:i/>
        </w:rPr>
        <w:t xml:space="preserve">A</w:t>
      </w:r>
      <w:r>
        <w:t xml:space="preserve"> </w:t>
      </w:r>
      <w:r>
        <w:t xml:space="preserve">will do, even though they and</w:t>
      </w:r>
      <w:r>
        <w:t xml:space="preserve"> </w:t>
      </w:r>
      <w:r>
        <w:rPr>
          <w:iCs/>
          <w:i/>
        </w:rPr>
        <w:t xml:space="preserve">B</w:t>
      </w:r>
      <w:r>
        <w:t xml:space="preserve"> </w:t>
      </w:r>
      <w:r>
        <w:t xml:space="preserve">have exactly the same evidence.</w:t>
      </w:r>
    </w:p>
    <w:p>
      <w:pPr>
        <w:pStyle w:val="BodyText"/>
      </w:pPr>
      <w:r>
        <w:t xml:space="preserve">Uniqueness implies that</w:t>
      </w:r>
      <w:r>
        <w:t xml:space="preserve"> </w:t>
      </w:r>
      <w:r>
        <w:rPr>
          <w:iCs/>
          <w:i/>
        </w:rPr>
        <w:t xml:space="preserve">C</w:t>
      </w:r>
      <w:r>
        <w:t xml:space="preserve"> </w:t>
      </w:r>
      <w:r>
        <w:t xml:space="preserve">should have credence 1 that</w:t>
      </w:r>
      <w:r>
        <w:t xml:space="preserve"> </w:t>
      </w:r>
      <w:r>
        <w:rPr>
          <w:iCs/>
          <w:i/>
        </w:rPr>
        <w:t xml:space="preserve">B</w:t>
      </w:r>
      <w:r>
        <w:t xml:space="preserve"> </w:t>
      </w:r>
      <w:r>
        <w:t xml:space="preserve">will have the same credences as they do. I think Uniqueness is wrong, so I don’t think that’s a plausible constraint. But it’s another thing to say that</w:t>
      </w:r>
      <w:r>
        <w:t xml:space="preserve"> </w:t>
      </w:r>
      <w:r>
        <w:rPr>
          <w:iCs/>
          <w:i/>
        </w:rPr>
        <w:t xml:space="preserve">C</w:t>
      </w:r>
      <w:r>
        <w:t xml:space="preserve"> </w:t>
      </w:r>
      <w:r>
        <w:t xml:space="preserve">should have credence 0 that someone in the same evidential situation as them has the same credences.</w:t>
      </w:r>
    </w:p>
    <w:p>
      <w:pPr>
        <w:pStyle w:val="BodyText"/>
      </w:pPr>
      <w:r>
        <w:t xml:space="preserve">So even without Uniqueness, there are two reasons to think that it is wrong to have credence ε &gt; 0 that</w:t>
      </w:r>
      <w:r>
        <w:t xml:space="preserve"> </w:t>
      </w:r>
      <w:r>
        <w:rPr>
          <w:iCs/>
          <w:i/>
        </w:rPr>
        <w:t xml:space="preserve">A</w:t>
      </w:r>
      <w:r>
        <w:t xml:space="preserve"> </w:t>
      </w:r>
      <w:r>
        <w:t xml:space="preserve">will play DOWN. Further, the argument that we can’t know</w:t>
      </w:r>
      <w:r>
        <w:t xml:space="preserve"> </w:t>
      </w:r>
      <w:r>
        <w:rPr>
          <w:iCs/>
          <w:i/>
        </w:rPr>
        <w:t xml:space="preserve">A</w:t>
      </w:r>
      <w:r>
        <w:t xml:space="preserve"> </w:t>
      </w:r>
      <w:r>
        <w:t xml:space="preserve">will play UP did not rely on Uniqueness. So this is a case where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1.</w:t>
      </w:r>
    </w:p>
    <w:bookmarkEnd w:id="177"/>
    <w:bookmarkStart w:id="184"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79"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 the difference 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is to say that the boundary is vague.</w:t>
      </w:r>
      <w:r>
        <w:rPr>
          <w:rStyle w:val="FootnoteReference"/>
        </w:rPr>
        <w:footnoteReference w:id="178"/>
      </w:r>
      <w:r>
        <w:t xml:space="preserve"> </w:t>
      </w:r>
      <w:r>
        <w:t xml:space="preserve">This won’t help at all on theories of vagueness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w:t>
      </w:r>
    </w:p>
    <w:p>
      <w:pPr>
        <w:pStyle w:val="BodyText"/>
      </w:pPr>
      <w:r>
        <w:t xml:space="preserve">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Even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79"/>
    <w:bookmarkStart w:id="180"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(2017a)</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0"/>
    <w:bookmarkStart w:id="181"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belief,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1"/>
    <w:bookmarkStart w:id="183"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2"/>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On the Lockean view, this happens all the time, and is intelligible. According to the Lockeans, it is easy to find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One argument against the Lockean is that there are no such triples, at least when</w:t>
      </w:r>
      <w:r>
        <w:t xml:space="preserve"> </w:t>
      </w:r>
      <w:r>
        <w:rPr>
          <w:iCs/>
          <w:i/>
        </w:rPr>
        <w:t xml:space="preserve">S</w:t>
      </w:r>
      <w:r>
        <w:t xml:space="preserve"> </w:t>
      </w:r>
      <w:r>
        <w:t xml:space="preserve">is rational. That’s what I think. Even if I’m wrong, there is a separate argument against the Lockean. The Lockean doesn’t just think these triples are possible, they think they are common.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David</w:t>
      </w:r>
      <w:r>
        <w:t xml:space="preserve"> </w:t>
      </w:r>
      <w:r>
        <w:t xml:space="preserve">Christensen (2005)</w:t>
      </w:r>
      <w:r>
        <w:t xml:space="preserve"> </w:t>
      </w:r>
      <w:r>
        <w:t xml:space="preserve">argues from considerations about the preface paradox to the conclusion that triples like〈</w:t>
      </w:r>
      <w:r>
        <w:rPr>
          <w:iCs/>
          <w:i/>
        </w:rPr>
        <w:t xml:space="preserve">S</w:t>
      </w:r>
      <w:r>
        <w:t xml:space="preserve">, </w:t>
      </w:r>
      <w:r>
        <w:rPr>
          <w:iCs/>
          <w:i/>
        </w:rPr>
        <w:t xml:space="preserve">A</w:t>
      </w:r>
      <w:r>
        <w:t xml:space="preserve">, </w:t>
      </w:r>
      <w:r>
        <w:rPr>
          <w:iCs/>
          <w:i/>
        </w:rPr>
        <w:t xml:space="preserve">B</w:t>
      </w:r>
      <w:r>
        <w:t xml:space="preserve">〉are possible. His argument is non-constructive; he doesn’t state a particular triple that clearly satisfies all the constraints, just argues that one must exist. I’m sceptical about that argument, but even if it worked, it wouldn’t show what’s needed. What’s needed is that triples satisfying the constraints I set out for 〈</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I set out for 〈</w:t>
      </w:r>
      <w:r>
        <w:rPr>
          <w:iCs/>
          <w:i/>
        </w:rPr>
        <w:t xml:space="preserve">S</w:t>
      </w:r>
      <w:r>
        <w:t xml:space="preserve">, </w:t>
      </w:r>
      <w:r>
        <w:rPr>
          <w:iCs/>
          <w:i/>
        </w:rPr>
        <w:t xml:space="preserve">C</w:t>
      </w:r>
      <w:r>
        <w:t xml:space="preserve">, </w:t>
      </w:r>
      <w:r>
        <w:rPr>
          <w:iCs/>
          <w:i/>
        </w:rPr>
        <w:t xml:space="preserve">D</w:t>
      </w:r>
      <w:r>
        <w:t xml:space="preserve">〉, for at least some value</w:t>
      </w:r>
      <w:r>
        <w:t xml:space="preserve"> </w:t>
      </w:r>
      <w:r>
        <w:rPr>
          <w:iCs/>
          <w:i/>
        </w:rPr>
        <w:t xml:space="preserve">t</w:t>
      </w:r>
      <w:r>
        <w:t xml:space="preserve">. Considerations about esoteric cases like the preface paradox can’t show that, and I haven’t seen any other argument that even attempts to show it.</w:t>
      </w:r>
    </w:p>
    <w:bookmarkEnd w:id="183"/>
    <w:bookmarkEnd w:id="184"/>
    <w:bookmarkStart w:id="189"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5"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5"/>
    <w:bookmarkStart w:id="186" w:name="games"/>
    <w:p>
      <w:pPr>
        <w:pStyle w:val="Heading3"/>
      </w:pPr>
      <w:r>
        <w:t xml:space="preserve">8.5.2 Games</w:t>
      </w:r>
    </w:p>
    <w:p>
      <w:pPr>
        <w:pStyle w:val="FirstParagraph"/>
      </w:pPr>
      <w:r>
        <w:t xml:space="preserve">In the Up-Down game, if the rational person believed that the other player would play</w:t>
      </w:r>
      <w:r>
        <w:t xml:space="preserve"> </w:t>
      </w:r>
      <w:r>
        <w:rPr>
          <w:iCs/>
          <w:i/>
        </w:rPr>
        <w:t xml:space="preserve">up</w:t>
      </w:r>
      <w:r>
        <w:t xml:space="preserve">,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6"/>
    <w:bookmarkStart w:id="187"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Moreover,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to it are things to be explained, while instances are explained by the underlying pattern.</w:t>
      </w:r>
    </w:p>
    <w:bookmarkEnd w:id="187"/>
    <w:bookmarkStart w:id="188" w:name="moore"/>
    <w:p>
      <w:pPr>
        <w:pStyle w:val="Heading3"/>
      </w:pPr>
      <w:r>
        <w:t xml:space="preserve">8.5.4 Moore</w:t>
      </w:r>
    </w:p>
    <w:p>
      <w:pPr>
        <w:pStyle w:val="FirstParagraph"/>
      </w:pPr>
      <w:r>
        <w:t xml:space="preserve">In many ways the guiding aim of this project was to avoid the kind of Moore-paradoxicality the Lockean falls into.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88"/>
    <w:bookmarkEnd w:id="189"/>
    <w:bookmarkEnd w:id="190"/>
    <w:bookmarkStart w:id="215" w:name="sec-evidence"/>
    <w:p>
      <w:pPr>
        <w:pStyle w:val="Heading1"/>
      </w:pPr>
      <w:r>
        <w:t xml:space="preserve">9. Evidence</w:t>
      </w:r>
    </w:p>
    <w:bookmarkStart w:id="191" w:name="sec-evpuzzle"/>
    <w:p>
      <w:pPr>
        <w:pStyle w:val="Heading2"/>
      </w:pPr>
      <w:r>
        <w:t xml:space="preserve">9.1 A Puzzle About Evidence</w:t>
      </w:r>
    </w:p>
    <w:p>
      <w:pPr>
        <w:pStyle w:val="FirstParagraph"/>
      </w:pPr>
      <w:r>
        <w:t xml:space="preserve">In</w:t>
      </w:r>
      <w:r>
        <w:t xml:space="preserve"> </w:t>
      </w:r>
      <w:hyperlink w:anchor="sec-orthodoxevidence">
        <w:r>
          <w:rPr>
            <w:rStyle w:val="Hyperlink"/>
          </w:rPr>
          <w:t xml:space="preserve">Section 2.3.4</w:t>
        </w:r>
      </w:hyperlink>
      <w:r>
        <w:t xml:space="preserve">, I argued that evidence can be interest-relative. The key example involved someone I called Parveen. Recall that she’s in a restaurant and notices an old friend, Rahul, across the restaurant. The conditions for detecting people aren’t perfect, and she’s surprised Rahul is here.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1"/>
        </w:numPr>
        <w:pStyle w:val="Compact"/>
      </w:pPr>
      <w:r>
        <w:t xml:space="preserve">The red sentence is</w:t>
      </w:r>
      <w:r>
        <w:t xml:space="preserve"> </w:t>
      </w:r>
      <w:r>
        <w:rPr>
          <w:iCs/>
          <w:i/>
        </w:rPr>
        <w:t xml:space="preserve">Two plus two equals four</w:t>
      </w:r>
      <w:r>
        <w:t xml:space="preserve">.</w:t>
      </w:r>
    </w:p>
    <w:p>
      <w:pPr>
        <w:numPr>
          <w:ilvl w:val="0"/>
          <w:numId w:val="1051"/>
        </w:numPr>
        <w:pStyle w:val="Compact"/>
      </w:pPr>
      <w:r>
        <w:t xml:space="preserve">The blue sentence is</w:t>
      </w:r>
      <w:r>
        <w:t xml:space="preserve"> </w:t>
      </w:r>
      <w:r>
        <w:rPr>
          <w:iCs/>
          <w:i/>
        </w:rPr>
        <w:t xml:space="preserve">Rahul is in this restaurant</w:t>
      </w:r>
      <w:r>
        <w:t xml:space="preserve">.</w:t>
      </w:r>
    </w:p>
    <w:p>
      <w:pPr>
        <w:pStyle w:val="FirstParagraph"/>
      </w:pPr>
      <w:r>
        <w:t xml:space="preserve">The key premises for the argument that evidence is interest-relative are:</w:t>
      </w:r>
    </w:p>
    <w:p>
      <w:pPr>
        <w:numPr>
          <w:ilvl w:val="0"/>
          <w:numId w:val="1052"/>
        </w:numPr>
        <w:pStyle w:val="Compact"/>
      </w:pPr>
      <w:r>
        <w:t xml:space="preserve">The unique rational play for Parveen is Red-True; and</w:t>
      </w:r>
    </w:p>
    <w:p>
      <w:pPr>
        <w:numPr>
          <w:ilvl w:val="0"/>
          <w:numId w:val="1052"/>
        </w:numPr>
        <w:pStyle w:val="Compact"/>
      </w:pPr>
      <w:r>
        <w:t xml:space="preserve">If evidence is interest-invariant, it is rational for Parveen to play Blue-True.</w:t>
      </w:r>
    </w:p>
    <w:p>
      <w:pPr>
        <w:pStyle w:val="FirstParagraph"/>
      </w:pPr>
      <w:r>
        <w:t xml:space="preserve">That argument shows that evidence is interest-relative. But it raises, without answering, two big questions:</w:t>
      </w:r>
    </w:p>
    <w:p>
      <w:pPr>
        <w:numPr>
          <w:ilvl w:val="0"/>
          <w:numId w:val="1053"/>
        </w:numPr>
        <w:pStyle w:val="Compact"/>
      </w:pPr>
      <w:r>
        <w:t xml:space="preserve">When do interests matter for evidence?</w:t>
      </w:r>
    </w:p>
    <w:p>
      <w:pPr>
        <w:numPr>
          <w:ilvl w:val="0"/>
          <w:numId w:val="1053"/>
        </w:numPr>
        <w:pStyle w:val="Compact"/>
      </w:pPr>
      <w:r>
        <w:t xml:space="preserve">When do interests matter for knowledge?</w:t>
      </w:r>
    </w:p>
    <w:p>
      <w:pPr>
        <w:pStyle w:val="FirstParagraph"/>
      </w:pPr>
      <w:r>
        <w:t xml:space="preserve">I used to think that there was an easy answer to the second question. A change in interest causes one to lose knowledge that</w:t>
      </w:r>
      <w:r>
        <w:t xml:space="preserve"> </w:t>
      </w:r>
      <w:r>
        <w:rPr>
          <w:iCs/>
          <w:i/>
        </w:rPr>
        <w:t xml:space="preserve">p</w:t>
      </w:r>
      <w:r>
        <w:t xml:space="preserve"> </w:t>
      </w:r>
      <w:r>
        <w:t xml:space="preserve">iff one becomes interested in a question which, given one’s evidence, is rationally answered differently depending on whether or not one answers the question conditional on</w:t>
      </w:r>
      <w:r>
        <w:t xml:space="preserve"> </w:t>
      </w:r>
      <w:r>
        <w:rPr>
          <w:iCs/>
          <w:i/>
        </w:rPr>
        <w:t xml:space="preserve">p</w:t>
      </w:r>
      <w:r>
        <w:t xml:space="preserve">. This answer is true as far as it goes, but it isn’t particularly explanatory unless one holds fixed the evidence between the earlier and later set of interests. And that is just what I said should not be held fixed.</w:t>
      </w:r>
    </w:p>
    <w:p>
      <w:pPr>
        <w:pStyle w:val="BodyText"/>
      </w:pPr>
      <w:r>
        <w:t xml:space="preserve">The aim of this chapter is to answer both questions simultaneously.</w:t>
      </w:r>
    </w:p>
    <w:bookmarkEnd w:id="191"/>
    <w:bookmarkStart w:id="192" w:name="sec-simplesolution"/>
    <w:p>
      <w:pPr>
        <w:pStyle w:val="Heading2"/>
      </w:pPr>
      <w:r>
        <w:t xml:space="preserve">9.2 A Simple, but Incomplete, Solution</w:t>
      </w:r>
    </w:p>
    <w:p>
      <w:pPr>
        <w:pStyle w:val="FirstParagraph"/>
      </w:pPr>
      <w:r>
        <w:t xml:space="preserve">To keep things relatively simple, I’ll assume in this chapter that Parveen is an expected utility maximiser. More carefully, I’ll assume that the reasons covered in</w:t>
      </w:r>
      <w:r>
        <w:t xml:space="preserve"> </w:t>
      </w:r>
      <w:hyperlink w:anchor="sec-ties">
        <w:r>
          <w:rPr>
            <w:rStyle w:val="Hyperlink"/>
          </w:rPr>
          <w:t xml:space="preserve">Chapter 6</w:t>
        </w:r>
      </w:hyperlink>
      <w:r>
        <w:t xml:space="preserve"> </w:t>
      </w:r>
      <w:r>
        <w:t xml:space="preserve">about why expected utility theory is only an approximation to the correct theory of rational choice are not relevant. From here on, we’ll assume we’re in a situation where expected utility theory is close enough to the true theory of rational choice.</w:t>
      </w:r>
    </w:p>
    <w:p>
      <w:pPr>
        <w:pStyle w:val="BodyText"/>
      </w:pPr>
      <w:r>
        <w:t xml:space="preserve">At a very high level of abstraction, we can think about the problem facing Parveen (or anyone else whose evidence might be interest-sensitive), as follows. They have some option</w:t>
      </w:r>
      <w:r>
        <w:t xml:space="preserve"> </w:t>
      </w:r>
      <w:r>
        <w:rPr>
          <w:iCs/>
          <w:i/>
        </w:rPr>
        <w:t xml:space="preserve">o</w:t>
      </w:r>
      <w:r>
        <w:t xml:space="preserve">, and given their interests it matters whether the expected value of</w:t>
      </w:r>
      <w:r>
        <w:t xml:space="preserve"> </w:t>
      </w:r>
      <w:r>
        <w:rPr>
          <w:iCs/>
          <w:i/>
        </w:rPr>
        <w:t xml:space="preserve">o</w:t>
      </w:r>
      <w:r>
        <w:t xml:space="preserve"> </w:t>
      </w:r>
      <w:r>
        <w:t xml:space="preserve">is above or below</w:t>
      </w:r>
      <w:r>
        <w:t xml:space="preserve"> </w:t>
      </w:r>
      <w:r>
        <w:rPr>
          <w:iCs/>
          <w:i/>
        </w:rPr>
        <w:t xml:space="preserve">x</w:t>
      </w:r>
      <w:r>
        <w:t xml:space="preserve">. I’ll write</w:t>
      </w:r>
      <w:r>
        <w:t xml:space="preserve"> </w:t>
      </w:r>
      <w:r>
        <w:rPr>
          <w:iCs/>
          <w:i/>
        </w:rPr>
        <w:t xml:space="preserve">v</w:t>
      </w:r>
      <w:r>
        <w:t xml:space="preserve">(•) for the function from options to their expected value, so the question here is whether or not</w:t>
      </w:r>
      <w:r>
        <w:t xml:space="preserve"> </w:t>
      </w:r>
      <w:r>
        <w:rPr>
          <w:iCs/>
          <w:i/>
        </w:rPr>
        <w:t xml:space="preserve">v</w:t>
      </w:r>
      <w:r>
        <w:t xml:space="preserve">(</w:t>
      </w:r>
      <w:r>
        <w:rPr>
          <w:iCs/>
          <w:i/>
        </w:rPr>
        <w:t xml:space="preserve">o</w:t>
      </w:r>
      <w:r>
        <w:t xml:space="preserve">) us at least</w:t>
      </w:r>
      <w:r>
        <w:t xml:space="preserve"> </w:t>
      </w:r>
      <w:r>
        <w:rPr>
          <w:iCs/>
          <w:i/>
        </w:rPr>
        <w:t xml:space="preserve">x</w:t>
      </w:r>
      <w:r>
        <w:t xml:space="preserve">.</w:t>
      </w:r>
    </w:p>
    <w:p>
      <w:pPr>
        <w:pStyle w:val="BodyText"/>
      </w:pPr>
      <w:r>
        <w:t xml:space="preserve">There is some background</w:t>
      </w:r>
      <w:r>
        <w:t xml:space="preserve"> </w:t>
      </w:r>
      <w:r>
        <w:rPr>
          <w:iCs/>
          <w:i/>
        </w:rPr>
        <w:t xml:space="preserve">K</w:t>
      </w:r>
      <w:r>
        <w:t xml:space="preserve"> </w:t>
      </w:r>
      <w:r>
        <w:t xml:space="preserve">that is uncontroversially in Parveen’s evidence. There is some further proposition</w:t>
      </w:r>
      <w:r>
        <w:t xml:space="preserve"> </w:t>
      </w:r>
      <w:r>
        <w:rPr>
          <w:iCs/>
          <w:i/>
        </w:rPr>
        <w:t xml:space="preserve">p</w:t>
      </w:r>
      <w:r>
        <w:t xml:space="preserve"> </w:t>
      </w:r>
      <w:r>
        <w:t xml:space="preserve">which might or might not be in her evidence; that’s what the change of interests calls into question.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For any</w:t>
      </w:r>
      <w:r>
        <w:t xml:space="preserve"> </w:t>
      </w:r>
      <w:r>
        <w:rPr>
          <w:iCs/>
          <w:i/>
        </w:rPr>
        <w:t xml:space="preserve">q</w:t>
      </w:r>
      <w:r>
        <w:t xml:space="preserve"> </w:t>
      </w:r>
      <w:r>
        <w:t xml:space="preserve">in</w:t>
      </w:r>
      <w:r>
        <w:t xml:space="preserve"> </w:t>
      </w:r>
      <w:r>
        <w:rPr>
          <w:iCs/>
          <w:i/>
        </w:rPr>
        <w:t xml:space="preserve">K</w:t>
      </w:r>
      <w:r>
        <w:t xml:space="preserv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expected values are conditional on evidence.</w:t>
      </w:r>
    </w:p>
    <w:p>
      <w:pPr>
        <w:pStyle w:val="BodyText"/>
      </w:pPr>
      <w:r>
        <w:t xml:space="preserve">A common idealisation helps capture this last idea. Assume there is a prior value function</w:t>
      </w:r>
      <w:r>
        <w:t xml:space="preserve"> </w:t>
      </w:r>
      <w:r>
        <w:rPr>
          <w:iCs/>
          <w:i/>
        </w:rPr>
        <w:t xml:space="preserve">v</w:t>
      </w:r>
      <w:r>
        <w:rPr>
          <w:vertAlign w:val="superscript"/>
        </w:rPr>
        <w:t xml:space="preserve">-</w:t>
      </w:r>
      <w:r>
        <w:t xml:space="preserve">, with a similar metaphysical status to the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to question 2, assuming</w:t>
      </w:r>
      <w:r>
        <w:t xml:space="preserve"> </w:t>
      </w:r>
      <w:r>
        <w:rPr>
          <w:iCs/>
          <w:i/>
        </w:rPr>
        <w:t xml:space="preserve">p</w:t>
      </w:r>
      <w:r>
        <w:t xml:space="preserve"> </w:t>
      </w:r>
      <w:r>
        <w:t xml:space="preserve">is the only proposition whose status as evidence is put into question by the interests-shift, and the only shift in interests is that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is now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if</w:t>
      </w:r>
      <w:r>
        <w:t xml:space="preserve"> </w:t>
      </w:r>
      <w:r>
        <w:rPr>
          <w:iCs/>
          <w:i/>
        </w:rPr>
        <w:t xml:space="preserve">p</w:t>
      </w:r>
      <w:r>
        <w:t xml:space="preserve">’s status as evidence is questionable, the relevant</w:t>
      </w:r>
      <w:r>
        <w:t xml:space="preserve"> </w:t>
      </w:r>
      <w:r>
        <w:t xml:space="preserve">‘</w:t>
      </w:r>
      <w:r>
        <w:t xml:space="preserve">value</w:t>
      </w:r>
      <w:r>
        <w:t xml:space="preserve">’</w:t>
      </w:r>
      <w:r>
        <w:t xml:space="preserve"> </w:t>
      </w:r>
      <w:r>
        <w:t xml:space="preserve">for</w:t>
      </w:r>
      <w:r>
        <w:t xml:space="preserve"> </w:t>
      </w:r>
      <w:r>
        <w:rPr>
          <w:iCs/>
          <w:i/>
        </w:rPr>
        <w:t xml:space="preserve">o</w:t>
      </w:r>
      <w:r>
        <w:t xml:space="preserve"> </w:t>
      </w:r>
      <w:r>
        <w:t xml:space="preserve">is the average of its expected value with and without</w:t>
      </w:r>
      <w:r>
        <w:t xml:space="preserve"> </w:t>
      </w:r>
      <w:r>
        <w:rPr>
          <w:iCs/>
          <w:i/>
        </w:rPr>
        <w:t xml:space="preserve">p</w:t>
      </w:r>
      <w:r>
        <w:t xml:space="preserve"> </w:t>
      </w:r>
      <w:r>
        <w:t xml:space="preserve">being evidence.</w:t>
      </w:r>
    </w:p>
    <w:p>
      <w:pPr>
        <w:pStyle w:val="BodyText"/>
      </w:pPr>
      <w:r>
        <w:t xml:space="preserve">That gets the right answer about what Parveen should do. Her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It would only be rational to play Blue-True if was worth $50. So she shouldn’t play Blue-True.</w:t>
      </w:r>
    </w:p>
    <w:p>
      <w:pPr>
        <w:pStyle w:val="BodyText"/>
      </w:pPr>
      <w:r>
        <w:t xml:space="preserve">Great! Well, great except for two monumental problems. The first is that it only handles this very special case. The second is that the formula used, take the arithmetic mean of the values with and without the evidence, is barely better than arbitrary. It gets one thing right, it says Parveen shouldn’t play Blue-True, but it’s hardly alone in having that virtue.</w:t>
      </w:r>
    </w:p>
    <w:p>
      <w:pPr>
        <w:pStyle w:val="BodyText"/>
      </w:pPr>
      <w:r>
        <w:t xml:space="preserve">Pragmatic encroachment starts with a very elegant, very intuitive, principle: you only know the things you can reasonably take to be settled for the purposes of current deliberation. This arbitrary averaging formula is not elegant or intuitive.</w:t>
      </w:r>
    </w:p>
    <w:p>
      <w:pPr>
        <w:pStyle w:val="BodyText"/>
      </w:pPr>
      <w:r>
        <w:t xml:space="preserve">Happily, the two problems have a common solution. Setting it out requires going over recent work on coordination games.</w:t>
      </w:r>
    </w:p>
    <w:bookmarkEnd w:id="192"/>
    <w:bookmarkStart w:id="195" w:name="sec-radicalinterpretation"/>
    <w:p>
      <w:pPr>
        <w:pStyle w:val="Heading2"/>
      </w:pPr>
      <w:r>
        <w:t xml:space="preserve">9.3 The Radical Interpreter</w:t>
      </w:r>
    </w:p>
    <w:p>
      <w:pPr>
        <w:pStyle w:val="FirstParagraph"/>
      </w:pPr>
      <w:r>
        <w:t xml:space="preserve">William</w:t>
      </w:r>
      <w:r>
        <w:t xml:space="preserve"> </w:t>
      </w:r>
      <w:r>
        <w:t xml:space="preserve">Harper (1986)</w:t>
      </w:r>
      <w:r>
        <w:t xml:space="preserve"> </w:t>
      </w:r>
      <w:r>
        <w:t xml:space="preserve">pointed out that many decision problems are really better thought of as games. For instance, Newcomb’s Problem can be represented by the game in</w:t>
      </w:r>
      <w:r>
        <w:t xml:space="preserve"> </w:t>
      </w:r>
      <w:hyperlink w:anchor="tbl-Newcomb">
        <w:r>
          <w:rPr>
            <w:rStyle w:val="Hyperlink"/>
          </w:rPr>
          <w:t xml:space="preserve">Table 9.1</w:t>
        </w:r>
      </w:hyperlink>
      <w:r>
        <w:t xml:space="preserve">, with the human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3"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3"/>
          <w:p/>
        </w:tc>
      </w:tr>
    </w:tbl>
    <w:p>
      <w:pPr>
        <w:pStyle w:val="BodyText"/>
      </w:pPr>
      <w:r>
        <w:t xml:space="preserve">There is a unique equilibrium of this game: the bottom right corner. The reason it’s the unique equilibrium is similar to the reason that two-boxers say to take two boxes: no other option is ratifiable for both players.</w:t>
      </w:r>
    </w:p>
    <w:p>
      <w:pPr>
        <w:pStyle w:val="BodyText"/>
      </w:pPr>
      <w:r>
        <w:t xml:space="preserve">This section will be centered around a game that is only slightly more complicated. I call it The Interpretation Game. The game has two players. As in Newcomb’s Problem, they are a human and a mythical creature. Here the mythical creature is The Radical Interpreter.</w:t>
      </w:r>
    </w:p>
    <w:p>
      <w:pPr>
        <w:pStyle w:val="BodyText"/>
      </w:pPr>
      <w:r>
        <w:t xml:space="preserve">In any game, the payouts are a function of what will happen to the players in each situation, and the players’ values over those outcomes. To turn a physical situation into a game, we need to know the players’ goals. Here are the goals I’ll assume our players have:</w:t>
      </w:r>
    </w:p>
    <w:p>
      <w:pPr>
        <w:numPr>
          <w:ilvl w:val="0"/>
          <w:numId w:val="1054"/>
        </w:numPr>
        <w:pStyle w:val="Compact"/>
      </w:pPr>
      <w:r>
        <w:t xml:space="preserve">The Radical Interpreter assigns mental states to Human with the aim of making the action Human actually chooses the rational choice. I assume here that the</w:t>
      </w:r>
      <w:r>
        <w:t xml:space="preserve"> </w:t>
      </w:r>
      <w:r>
        <w:t xml:space="preserve">‘</w:t>
      </w:r>
      <w:r>
        <w:t xml:space="preserve">mental states</w:t>
      </w:r>
      <w:r>
        <w:t xml:space="preserve">’</w:t>
      </w:r>
      <w:r>
        <w:t xml:space="preserve"> </w:t>
      </w:r>
      <w:r>
        <w:t xml:space="preserve">include Human’s evidence. Indeed, the main thing I’ll have The Radical Interpreter do is assign evidence to Human.</w:t>
      </w:r>
    </w:p>
    <w:p>
      <w:pPr>
        <w:numPr>
          <w:ilvl w:val="0"/>
          <w:numId w:val="1054"/>
        </w:numPr>
        <w:pStyle w:val="Compact"/>
      </w:pPr>
      <w:r>
        <w:t xml:space="preserve">Human aims to maximise expected utility given their evidence. That last phrase,</w:t>
      </w:r>
      <w:r>
        <w:t xml:space="preserve"> </w:t>
      </w:r>
      <w:r>
        <w:t xml:space="preserve">‘</w:t>
      </w:r>
      <w:r>
        <w:t xml:space="preserve">their evidence</w:t>
      </w:r>
      <w:r>
        <w:t xml:space="preserve">’</w:t>
      </w:r>
      <w:r>
        <w:t xml:space="preserve">, should be read de re. More precisely, they aim to do the thing that is expected utility maximising given the evidence they actually have. (So their own views about their evidence don’t matter; all that matters is what their evidence really is.)</w:t>
      </w:r>
    </w:p>
    <w:p>
      <w:pPr>
        <w:pStyle w:val="FirstParagraph"/>
      </w:pPr>
      <w:r>
        <w:t xml:space="preserve">Given these aims, The Radical Interpreter and Human often play coordination games. They will both achieve their aims if they act the</w:t>
      </w:r>
      <w:r>
        <w:t xml:space="preserve"> </w:t>
      </w:r>
      <w:r>
        <w:t xml:space="preserve">‘</w:t>
      </w:r>
      <w:r>
        <w:t xml:space="preserve">same</w:t>
      </w:r>
      <w:r>
        <w:t xml:space="preserve">’</w:t>
      </w:r>
      <w:r>
        <w:t xml:space="preserve"> </w:t>
      </w:r>
      <w:r>
        <w:t xml:space="preserve">way. That is, when it is uncertain whether</w:t>
      </w:r>
      <w:r>
        <w:t xml:space="preserve"> </w:t>
      </w:r>
      <w:r>
        <w:rPr>
          <w:iCs/>
          <w:i/>
        </w:rPr>
        <w:t xml:space="preserve">p</w:t>
      </w:r>
      <w:r>
        <w:t xml:space="preserve"> </w:t>
      </w:r>
      <w:r>
        <w:t xml:space="preserve">is part of Human’s evidence, the coordination outcomes are:</w:t>
      </w:r>
    </w:p>
    <w:p>
      <w:pPr>
        <w:numPr>
          <w:ilvl w:val="0"/>
          <w:numId w:val="1055"/>
        </w:numPr>
        <w:pStyle w:val="Compact"/>
      </w:pPr>
      <w:r>
        <w:t xml:space="preserve">The Radical Interpreter says that</w:t>
      </w:r>
      <w:r>
        <w:t xml:space="preserve"> </w:t>
      </w:r>
      <w:r>
        <w:rPr>
          <w:iCs/>
          <w:i/>
        </w:rPr>
        <w:t xml:space="preserve">p</w:t>
      </w:r>
      <w:r>
        <w:t xml:space="preserve"> </w:t>
      </w:r>
      <w:r>
        <w:t xml:space="preserve">is part of Human’s evidence, and Human maximises expected utility given</w:t>
      </w:r>
      <w:r>
        <w:t xml:space="preserve"> </w:t>
      </w:r>
      <w:r>
        <w:rPr>
          <w:iCs/>
          <w:i/>
        </w:rPr>
        <w:t xml:space="preserve">K</w:t>
      </w:r>
      <w:r>
        <w:t xml:space="preserve"> </w:t>
      </w:r>
      <w:r>
        <w:t xml:space="preserve">∧ </w:t>
      </w:r>
      <w:r>
        <w:rPr>
          <w:iCs/>
          <w:i/>
        </w:rPr>
        <w:t xml:space="preserve">p</w:t>
      </w:r>
      <w:r>
        <w:t xml:space="preserve">.</w:t>
      </w:r>
    </w:p>
    <w:p>
      <w:pPr>
        <w:numPr>
          <w:ilvl w:val="0"/>
          <w:numId w:val="1055"/>
        </w:numPr>
        <w:pStyle w:val="Compact"/>
      </w:pPr>
      <w:r>
        <w:t xml:space="preserve">The Radical Interpreter says that</w:t>
      </w:r>
      <w:r>
        <w:t xml:space="preserve"> </w:t>
      </w:r>
      <w:r>
        <w:rPr>
          <w:iCs/>
          <w:i/>
        </w:rPr>
        <w:t xml:space="preserve">p</w:t>
      </w:r>
      <w:r>
        <w:t xml:space="preserve"> </w:t>
      </w:r>
      <w:r>
        <w:t xml:space="preserve">is part of Human’s evidence, and Human maximises expected utility given</w:t>
      </w:r>
      <w:r>
        <w:t xml:space="preserve"> </w:t>
      </w:r>
      <w:r>
        <w:rPr>
          <w:iCs/>
          <w:i/>
        </w:rPr>
        <w:t xml:space="preserve">K</w:t>
      </w:r>
      <w:r>
        <w:t xml:space="preserve">.</w:t>
      </w:r>
    </w:p>
    <w:p>
      <w:pPr>
        <w:pStyle w:val="FirstParagraph"/>
      </w:pPr>
      <w:r>
        <w:t xml:space="preserve">Coordination games typically have multiple equilibria, and that will also be the case here.</w:t>
      </w:r>
    </w:p>
    <w:p>
      <w:pPr>
        <w:pStyle w:val="BodyText"/>
      </w:pPr>
      <w:r>
        <w:t xml:space="preserve">Let’s focus on one example.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That is, it is unclear whether it is in Human’s evidence. Again, let</w:t>
      </w:r>
      <w:r>
        <w:t xml:space="preserve"> </w:t>
      </w:r>
      <w:r>
        <w:rPr>
          <w:iCs/>
          <w:i/>
        </w:rPr>
        <w:t xml:space="preserve">K</w:t>
      </w:r>
      <w:r>
        <w:t xml:space="preserve"> </w:t>
      </w:r>
      <w:r>
        <w:t xml:space="preserve">be the rest of Human’s evidence,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6"/>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6"/>
        </w:numPr>
        <w:pStyle w:val="Compact"/>
      </w:pPr>
      <w:r>
        <w:t xml:space="preserve">Human has to decide whether to Take or Decline the bet.</w:t>
      </w:r>
    </w:p>
    <w:p>
      <w:pPr>
        <w:pStyle w:val="FirstParagraph"/>
      </w:pPr>
      <w:r>
        <w:t xml:space="preserve">The payouts for the game are given in</w:t>
      </w:r>
      <w:r>
        <w:t xml:space="preserve"> </w:t>
      </w:r>
      <w:hyperlink w:anchor="tbl-radical-interpreter">
        <w:r>
          <w:rPr>
            <w:rStyle w:val="Hyperlink"/>
          </w:rPr>
          <w:t xml:space="preserve">Table 9.2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4"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4"/>
          <w:p/>
        </w:tc>
      </w:tr>
    </w:tbl>
    <w:p>
      <w:pPr>
        <w:pStyle w:val="BodyText"/>
      </w:pPr>
      <w:r>
        <w:t xml:space="preserve">Why is this the right table? Let’s start with The Radical Interpreter.</w:t>
      </w:r>
    </w:p>
    <w:p>
      <w:pPr>
        <w:pStyle w:val="BodyText"/>
      </w:pPr>
      <w:r>
        <w:t xml:space="preserve">The Radical Interpreter achieves their aim iff the following biconditional obtains: Human takes the bet iff</w:t>
      </w:r>
      <w:r>
        <w:t xml:space="preserve"> </w:t>
      </w:r>
      <w:r>
        <w:rPr>
          <w:iCs/>
          <w:i/>
        </w:rPr>
        <w:t xml:space="preserve">p</w:t>
      </w:r>
      <w:r>
        <w:t xml:space="preserve"> </w:t>
      </w:r>
      <w:r>
        <w:t xml:space="preserve">is part of their evidence. That’s why they get payout 1 in the cells where that obtains, and 0 otherwise.</w:t>
      </w:r>
    </w:p>
    <w:p>
      <w:pPr>
        <w:pStyle w:val="BodyText"/>
      </w:pPr>
      <w:r>
        <w:t xml:space="preserve">Most of Human’s payouts are obvious. In the bottom row, they are guaranteed 0, since the bet is declined. In the top left, the bet wins with probability 1, so their expected return is 1. In the top right, the bet wins with probability 0.9, so the expected return of taking it is 1 × 0.9 - 100 × 0.1 = -9.1.</w:t>
      </w:r>
    </w:p>
    <w:p>
      <w:pPr>
        <w:pStyle w:val="BodyText"/>
      </w:pPr>
      <w:r>
        <w:t xml:space="preserve">There are two Nash equilibria for the game - the top left and the bottom right. We could stop here and say that according to IRT it is indeterminate whether</w:t>
      </w:r>
      <w:r>
        <w:t xml:space="preserve"> </w:t>
      </w:r>
      <w:r>
        <w:rPr>
          <w:iCs/>
          <w:i/>
        </w:rPr>
        <w:t xml:space="preserve">p</w:t>
      </w:r>
      <w:r>
        <w:t xml:space="preserve"> </w:t>
      </w:r>
      <w:r>
        <w:t xml:space="preserve">is part of Human’s evidence. But we can do better.</w:t>
      </w:r>
    </w:p>
    <w:p>
      <w:pPr>
        <w:pStyle w:val="BodyText"/>
      </w:pPr>
      <w:r>
        <w:t xml:space="preserve">But to do that, I need to survey more contested areas of game theory. In particular, I need to introduce some work on equilibrium choice. To do that, it helps to think about a game that is inspired by an example of Rousseau’s.</w:t>
      </w:r>
    </w:p>
    <w:bookmarkEnd w:id="195"/>
    <w:bookmarkStart w:id="207" w:name="sec-globalgame"/>
    <w:p>
      <w:pPr>
        <w:pStyle w:val="Heading2"/>
      </w:pPr>
      <w:r>
        <w:t xml:space="preserve">9.4 Risk-Dominant Equilibria</w:t>
      </w:r>
    </w:p>
    <w:p>
      <w:pPr>
        <w:pStyle w:val="FirstParagraph"/>
      </w:pPr>
      <w:hyperlink w:anchor="tbl-generic-game">
        <w:r>
          <w:rPr>
            <w:rStyle w:val="Hyperlink"/>
          </w:rPr>
          <w:t xml:space="preserve">Table 9.3</w:t>
        </w:r>
      </w:hyperlink>
      <w:r>
        <w:t xml:space="preserve"> </w:t>
      </w:r>
      <w:r>
        <w:t xml:space="preserve">is the abstract version of a two-player, two-option game.</w:t>
      </w:r>
    </w:p>
    <w:tbl>
      <w:tblPr>
        <w:tblStyle w:val="Table"/>
        <w:tblW w:type="pct" w:w="5000"/>
        <w:tblLook w:firstRow="0" w:lastRow="0" w:firstColumn="0" w:lastColumn="0" w:noHBand="0" w:noVBand="0" w:val="0000"/>
        <w:jc w:val="start"/>
        <w:tblLayout w:type="fixed"/>
      </w:tblPr>
      <w:tblGrid>
        <w:gridCol w:w="7920"/>
      </w:tblGrid>
      <w:tr>
        <w:tc>
          <w:tcPr/>
          <w:bookmarkStart w:id="196"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196"/>
          <w:p/>
        </w:tc>
      </w:tr>
    </w:tbl>
    <w:p>
      <w:pPr>
        <w:pStyle w:val="BodyText"/>
      </w:pPr>
      <w:r>
        <w:t xml:space="preserve">What are usually called Stag Hunt games have the following eight characteristics.</w:t>
      </w:r>
    </w:p>
    <w:p>
      <w:pPr>
        <w:numPr>
          <w:ilvl w:val="0"/>
          <w:numId w:val="1057"/>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7"/>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7"/>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7"/>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7"/>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7"/>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7"/>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7"/>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conditions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next two conditions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last two conditions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Hans Carlsson and Eric van Damme</w:t>
      </w:r>
      <w:r>
        <w:t xml:space="preserve"> </w:t>
      </w:r>
      <w:r>
        <w:t xml:space="preserve">(1993)</w:t>
      </w:r>
      <w:r>
        <w:t xml:space="preserve"> </w:t>
      </w:r>
      <w:r>
        <w:t xml:space="preserve">offer an argument that in any such game, rational players will end up at</w:t>
      </w:r>
      <w:r>
        <w:t xml:space="preserve"> </w:t>
      </w:r>
      <w:r>
        <w:rPr>
          <w:iCs/>
          <w:i/>
        </w:rPr>
        <w:t xml:space="preserve">Bb</w:t>
      </w:r>
      <w:r>
        <w:t xml:space="preserve">. The game that Human and The Radical Interpreter are playing fits these eight conditions, and The Radical Interpreter is perfectly rational. So if Carlsson and van Damme are right, The Radical Interpreter will say that</w:t>
      </w:r>
      <w:r>
        <w:t xml:space="preserve"> </w:t>
      </w:r>
      <w:r>
        <w:rPr>
          <w:iCs/>
          <w:i/>
        </w:rPr>
        <w:t xml:space="preserve">p</w:t>
      </w:r>
      <w:r>
        <w:t xml:space="preserve"> ∉ </w:t>
      </w:r>
      <w:r>
        <w:rPr>
          <w:iCs/>
          <w:i/>
        </w:rPr>
        <w:t xml:space="preserve">E</w:t>
      </w:r>
      <w:r>
        <w:t xml:space="preserve">. Indeed, if Carlsson and van Damme are right, the toy theory I offered</w:t>
      </w:r>
      <w:r>
        <w:t xml:space="preserve"> </w:t>
      </w:r>
      <w:hyperlink w:anchor="sec-simplesolution">
        <w:r>
          <w:rPr>
            <w:rStyle w:val="Hyperlink"/>
          </w:rPr>
          <w:t xml:space="preserve">Section 9.2</w:t>
        </w:r>
      </w:hyperlink>
      <w:r>
        <w:t xml:space="preserve"> </w:t>
      </w:r>
      <w:r>
        <w:t xml:space="preserve">will be correct in all cases where it applies.</w:t>
      </w:r>
    </w:p>
    <w:p>
      <w:pPr>
        <w:pStyle w:val="BodyText"/>
      </w:pPr>
      <w:r>
        <w:t xml:space="preserve">The rest of this chapter would be much simpler if I thought Carlsson and van Damme’s argument worked in full generality. Unfortunately, I don’t think it does. In particular, I think it fails in the important case where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That’s getting ahead of the story though; let’s start with their argument.</w:t>
      </w:r>
    </w:p>
    <w:p>
      <w:pPr>
        <w:pStyle w:val="BodyText"/>
      </w:pPr>
      <w:r>
        <w:t xml:space="preserve">I said games satisfying these conditions are called Stag Hunt games.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Brian</w:t>
      </w:r>
      <w:r>
        <w:t xml:space="preserve"> </w:t>
      </w:r>
      <w:r>
        <w:t xml:space="preserve">Skyrms (2001)</w:t>
      </w:r>
      <w:r>
        <w:t xml:space="preserve"> </w:t>
      </w:r>
      <w:r>
        <w:t xml:space="preserve">has argued that these Stag Hunt games are important across philosophy; they are good models for many real-life situations that are often (incorrectly) modeled as Prisoners’ Dilemmas. But going over why that is would be a needless digression. Our focus is on Carlsson and van Damme’s argument that Rousseau was right: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the one in</w:t>
      </w:r>
      <w:r>
        <w:t xml:space="preserve"> </w:t>
      </w:r>
      <w:hyperlink w:anchor="tbl-stag-hunt">
        <w:r>
          <w:rPr>
            <w:rStyle w:val="Hyperlink"/>
          </w:rPr>
          <w:t xml:space="preserve">Table 9.4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7"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197"/>
          <w:p/>
        </w:tc>
      </w:tr>
    </w:tbl>
    <w:p>
      <w:pPr>
        <w:pStyle w:val="BodyText"/>
      </w:pPr>
      <w:r>
        <w:t xml:space="preserve">The equilibrium</w:t>
      </w:r>
      <w:r>
        <w:t xml:space="preserve"> </w:t>
      </w:r>
      <w:r>
        <w:rPr>
          <w:iCs/>
          <w:i/>
        </w:rPr>
        <w:t xml:space="preserve">Aa</w:t>
      </w:r>
      <w:r>
        <w:t xml:space="preserve"> </w:t>
      </w:r>
      <w:r>
        <w:t xml:space="preserve">is Pareto-optimal: it 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w:t>
      </w:r>
      <w:r>
        <w:t xml:space="preserve"> </w:t>
      </w:r>
      <w:hyperlink w:anchor="tbl-stag-hunt">
        <w:r>
          <w:rPr>
            <w:rStyle w:val="Hyperlink"/>
          </w:rPr>
          <w:t xml:space="preserve">Table 9.4</w:t>
        </w:r>
      </w:hyperlink>
      <w:r>
        <w:t xml:space="preserve"> </w:t>
      </w:r>
      <w:r>
        <w:t xml:space="preserve">game in what they call a</w:t>
      </w:r>
      <w:r>
        <w:t xml:space="preserve"> </w:t>
      </w:r>
      <w:r>
        <w:rPr>
          <w:iCs/>
          <w:i/>
        </w:rPr>
        <w:t xml:space="preserve">global game</w:t>
      </w:r>
      <w:r>
        <w:t xml:space="preserve">. Our first version of a global game is that each player knows that they will play</w:t>
      </w:r>
      <w:r>
        <w:t xml:space="preserve"> </w:t>
      </w:r>
      <w:hyperlink w:anchor="tbl-global-game">
        <w:r>
          <w:rPr>
            <w:rStyle w:val="Hyperlink"/>
          </w:rPr>
          <w:t xml:space="preserve">Table 9.5</w:t>
        </w:r>
      </w:hyperlink>
      <w:r>
        <w:t xml:space="preserv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198"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198"/>
          <w:p/>
        </w:tc>
      </w:tr>
    </w:tbl>
    <w:p>
      <w:pPr>
        <w:pStyle w:val="BodyText"/>
      </w:pPr>
      <w:r>
        <w:t xml:space="preserve">There isn’t much to say about</w:t>
      </w:r>
      <w:r>
        <w:t xml:space="preserve"> </w:t>
      </w:r>
      <w:hyperlink w:anchor="tbl-global-game">
        <w:r>
          <w:rPr>
            <w:rStyle w:val="Hyperlink"/>
          </w:rPr>
          <w:t xml:space="preserve">Table 9.5</w:t>
        </w:r>
      </w:hyperlink>
      <w:r>
        <w:t xml:space="preserve"> </w:t>
      </w:r>
      <w:r>
        <w:t xml:space="preserve">with this prior knowledge. Let’s give the players a little more knowledge. (And we’ll call the players Row and Column to make it easier to refer to each of them.)</w:t>
      </w:r>
    </w:p>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They go on to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99"/>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Most importantly, it doesn’t matter that the margin of error in the signal was ¼; as long as it is positive the argument goes through.</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Equivalently, what does it show about the game where the margin of error is zero?</w:t>
      </w:r>
    </w:p>
    <w:p>
      <w:pPr>
        <w:pStyle w:val="BodyText"/>
      </w:pPr>
      <w:r>
        <w:t xml:space="preserve">Carlsson and van Damme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 The limit case, where the players know the value of</w:t>
      </w:r>
      <w:r>
        <w:t xml:space="preserve"> </w:t>
      </w:r>
      <w:r>
        <w:rPr>
          <w:iCs/>
          <w:i/>
        </w:rPr>
        <w:t xml:space="preserve">x</w:t>
      </w:r>
      <w:r>
        <w:t xml:space="preserve">, is special. But, I’ll argue, this doesn’t actually undermine the argument that in the game between Human and The Radical Interpreter, both parties should choose the risk-dominant equilibria.</w:t>
      </w:r>
    </w:p>
    <w:p>
      <w:pPr>
        <w:pStyle w:val="BodyText"/>
      </w:pPr>
      <w:r>
        <w:t xml:space="preserve">If the game between Human and The Radical Interpreter is meant to model a real situation, Human won’t know precisely what the payoffs are. That’s because real Humans don’t know precisely what their evidence is. They only know precisely what their evidence is if both positive and negative introspection hold for evidence, and that’s no more plausible than that positive and negative introspection hold for knowledge. As</w:t>
      </w:r>
      <w:r>
        <w:t xml:space="preserve"> </w:t>
      </w:r>
      <w:r>
        <w:t xml:space="preserve">L. Humberstone (2016: 380–402)</w:t>
      </w:r>
      <w:r>
        <w:t xml:space="preserve"> </w:t>
      </w:r>
      <w:r>
        <w:t xml:space="preserve">shows, that’s not particularly plausible, even if one doesn’t accept the arguments in</w:t>
      </w:r>
      <w:r>
        <w:t xml:space="preserve"> </w:t>
      </w:r>
      <w:r>
        <w:t xml:space="preserve">Williamson (2000)</w:t>
      </w:r>
      <w:r>
        <w:t xml:space="preserve"> </w:t>
      </w:r>
      <w:r>
        <w:t xml:space="preserve">against positive introspection.</w:t>
      </w:r>
    </w:p>
    <w:p>
      <w:pPr>
        <w:pStyle w:val="BodyText"/>
      </w:pPr>
      <w:r>
        <w:t xml:space="preserve">If Human doesn’t know precisely what their evidence is, they don’t know the payoffs in games like</w:t>
      </w:r>
      <w:r>
        <w:t xml:space="preserve"> </w:t>
      </w:r>
      <w:hyperlink w:anchor="tbl-global-game">
        <w:r>
          <w:rPr>
            <w:rStyle w:val="Hyperlink"/>
          </w:rPr>
          <w:t xml:space="preserve">Table 9.5</w:t>
        </w:r>
      </w:hyperlink>
      <w:r>
        <w:t xml:space="preserve">, because those payoffs are expected values. It turns out that’s enough for the iterated dominance argument that Human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Given the failure of at least negative introspection (and, I’d say, positive introspection), that’s something we can assume.</w:t>
      </w:r>
    </w:p>
    <w:p>
      <w:pPr>
        <w:pStyle w:val="BodyText"/>
      </w:pPr>
      <w:r>
        <w:t xml:space="preserve">If Human should play the risk-dominant strategy in</w:t>
      </w:r>
      <w:r>
        <w:t xml:space="preserve"> </w:t>
      </w:r>
      <w:hyperlink w:anchor="tbl-radical-interpreter">
        <w:r>
          <w:rPr>
            <w:rStyle w:val="Hyperlink"/>
          </w:rPr>
          <w:t xml:space="preserve">Table 9.2</w:t>
        </w:r>
      </w:hyperlink>
      <w:r>
        <w:t xml:space="preserve">, they should decline the bet. So The Radical Interpreter, who can figure this out, should say that</w:t>
      </w:r>
      <w:r>
        <w:t xml:space="preserve"> </w:t>
      </w:r>
      <w:r>
        <w:rPr>
          <w:iCs/>
          <w:i/>
        </w:rPr>
        <w:t xml:space="preserve">p</w:t>
      </w:r>
      <w:r>
        <w:t xml:space="preserve"> </w:t>
      </w:r>
      <w:r>
        <w:t xml:space="preserve">is not part of their evidence. Since one’s evidence just is what The Radical Interpreter says it is, that means that in</w:t>
      </w:r>
      <w:r>
        <w:t xml:space="preserve"> </w:t>
      </w:r>
      <w:hyperlink w:anchor="tbl-radical-interpreter">
        <w:r>
          <w:rPr>
            <w:rStyle w:val="Hyperlink"/>
          </w:rPr>
          <w:t xml:space="preserve">Table 9.2</w:t>
        </w:r>
      </w:hyperlink>
      <w:r>
        <w:t xml:space="preserve">,</w:t>
      </w:r>
      <w:r>
        <w:t xml:space="preserve"> </w:t>
      </w:r>
      <w:r>
        <w:rPr>
          <w:iCs/>
          <w:i/>
        </w:rPr>
        <w:t xml:space="preserve">p</w:t>
      </w:r>
      <w:r>
        <w:t xml:space="preserve"> </w:t>
      </w:r>
      <w:r>
        <w:t xml:space="preserve">is not part of Human’s evidence.</w:t>
      </w:r>
    </w:p>
    <w:p>
      <w:pPr>
        <w:pStyle w:val="BodyText"/>
      </w:pPr>
      <w:r>
        <w:t xml:space="preserve">Applied to the case of Parveen and Rahul, that means that The Radical Interpreter is best off saying it is no part of Parveen’s evidence that Rahul is in the restaurant. More generally, in the simple cases described in</w:t>
      </w:r>
      <w:r>
        <w:t xml:space="preserve"> </w:t>
      </w:r>
      <w:hyperlink w:anchor="sec-simplesolution">
        <w:r>
          <w:rPr>
            <w:rStyle w:val="Hyperlink"/>
          </w:rPr>
          <w:t xml:space="preserve">Section 9.2</w:t>
        </w:r>
      </w:hyperlink>
      <w:r>
        <w:t xml:space="preserve">, The Radical Interpreter should say that</w:t>
      </w:r>
      <w:r>
        <w:t xml:space="preserve"> </w:t>
      </w:r>
      <w:r>
        <w:rPr>
          <w:iCs/>
          <w:i/>
        </w:rPr>
        <w:t xml:space="preserve">p</w:t>
      </w:r>
      <w:r>
        <w:t xml:space="preserve"> </w:t>
      </w:r>
      <w:r>
        <w:t xml:space="preserve">is not part of Human’s evidence just in case the equation used there holds.</w:t>
      </w:r>
    </w:p>
    <w:p>
      <w:pPr>
        <w:pStyle w:val="BodyText"/>
      </w:pPr>
      <w:r>
        <w:t xml:space="preserve">The result is an interest-relative theory of evidence that is somewhat well motivated. At least, it can be incorporated into a broader theory of rational action.</w:t>
      </w:r>
    </w:p>
    <w:p>
      <w:pPr>
        <w:pStyle w:val="BodyText"/>
      </w:pPr>
      <w:r>
        <w:t xml:space="preserve">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w:t>
      </w:r>
      <w:r>
        <w:t xml:space="preserve"> </w:t>
      </w:r>
      <w:hyperlink w:anchor="sec-evsolution">
        <w:r>
          <w:rPr>
            <w:rStyle w:val="Hyperlink"/>
          </w:rPr>
          <w:t xml:space="preserve">Section 9.5</w:t>
        </w:r>
      </w:hyperlink>
      <w:r>
        <w:t xml:space="preserve">. In</w:t>
      </w:r>
      <w:r>
        <w:t xml:space="preserve"> </w:t>
      </w:r>
      <w:hyperlink w:anchor="sec-cvdproof">
        <w:r>
          <w:rPr>
            <w:rStyle w:val="Hyperlink"/>
          </w:rPr>
          <w:t xml:space="preserve">Section 9.4.1</w:t>
        </w:r>
      </w:hyperlink>
      <w:r>
        <w:t xml:space="preserve"> </w:t>
      </w:r>
      <w:r>
        <w:t xml:space="preserve">I summarise their argument that we only need iterated deletion of strictly dominated strategies to get the result that rational players will play the risk-dominant strategies. Then in</w:t>
      </w:r>
      <w:r>
        <w:t xml:space="preserve"> </w:t>
      </w:r>
      <w:hyperlink w:anchor="sec-perfectri">
        <w:r>
          <w:rPr>
            <w:rStyle w:val="Hyperlink"/>
          </w:rPr>
          <w:t xml:space="preserve">Section 9.4.2</w:t>
        </w:r>
      </w:hyperlink>
      <w:r>
        <w:t xml:space="preserve"> </w:t>
      </w:r>
      <w:r>
        <w:t xml:space="preserve">I offer a small generalisation of their argument, showing that it still goes through when one of the players gets a precise signal, and the other gets a noisy signal.</w:t>
      </w:r>
    </w:p>
    <w:bookmarkStart w:id="203"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In this context, a strategy is a function from signals to choices. Since the higher the signal is, the better it is to play</w:t>
      </w:r>
      <w:r>
        <w:t xml:space="preserve"> </w:t>
      </w:r>
      <w:r>
        <w:rPr>
          <w:iCs/>
          <w:i/>
        </w:rPr>
        <w:t xml:space="preserve">B</w:t>
      </w:r>
      <w:r>
        <w:t xml:space="preserve">, we can more or less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w:t>
      </w:r>
      <w:r>
        <w:rPr>
          <w:rStyle w:val="FootnoteReference"/>
        </w:rPr>
        <w:footnoteReference w:id="200"/>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this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The only rule that will be used is iterated deletion of strictly dominated strategies.</w:t>
      </w:r>
    </w:p>
    <w:p>
      <w:pPr>
        <w:pStyle w:val="BodyText"/>
      </w:pPr>
      <w:r>
        <w:t xml:space="preserve">The return to a strategy is uncertain, even given the other player’s strategy. But given the strategies of each player, each players’ expected return can be computed.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[-0.75, 4.75],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 [</w:t>
      </w:r>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 iff</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Then by symmetry, we know that</w:t>
      </w:r>
      <w:r>
        <w:t xml:space="preserve"> </w:t>
      </w:r>
      <w:r>
        <w:rPr>
          <w:iCs/>
          <w:i/>
        </w:rPr>
        <w:t xml:space="preserve">T</w:t>
      </w:r>
      <w:r>
        <w:rPr>
          <w:vertAlign w:val="subscript"/>
          <w:iCs/>
          <w:i/>
        </w:rPr>
        <w:t xml:space="preserve">C</w:t>
      </w:r>
      <w:r>
        <w:t xml:space="preserve"> </w:t>
      </w:r>
      <w:r>
        <w:t xml:space="preserve">must be at most as large as that as well.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w:t>
      </w:r>
      <w:r>
        <w:t xml:space="preserve"> </w:t>
      </w:r>
      <w:hyperlink w:anchor="tbl-threshold">
        <w:r>
          <w:rPr>
            <w:rStyle w:val="Hyperlink"/>
          </w:rPr>
          <w:t xml:space="preserve">Table 9.6</w:t>
        </w:r>
      </w:hyperlink>
      <w:r>
        <w:t xml:space="preserve"> </w:t>
      </w:r>
      <w:r>
        <w:t xml:space="preserve">shows the upper bound on the threshold after</w:t>
      </w:r>
      <w:r>
        <w:t xml:space="preserve"> </w:t>
      </w:r>
      <w:r>
        <w:rPr>
          <w:iCs/>
          <w:i/>
        </w:rPr>
        <w:t xml:space="preserve">n</w:t>
      </w:r>
      <w:r>
        <w:t xml:space="preserve"> </w:t>
      </w:r>
      <w:r>
        <w:t xml:space="preserve">rounds of deletion of dominated strategies. (The numbers in</w:t>
      </w:r>
      <w:r>
        <w:t xml:space="preserve"> </w:t>
      </w:r>
      <w:hyperlink w:anchor="tbl-threshold">
        <w:r>
          <w:rPr>
            <w:rStyle w:val="Hyperlink"/>
          </w:rPr>
          <w:t xml:space="preserve">Table 9.6</w:t>
        </w:r>
      </w:hyperlink>
      <w:r>
        <w:t xml:space="preserve"> </w:t>
      </w:r>
      <w:r>
        <w:t xml:space="preserve">are precise for the first two rounds, and correct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1"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1"/>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3.875,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3.599, assuming</w:t>
      </w:r>
      <w:r>
        <w:t xml:space="preserve"> </w:t>
      </w:r>
      <w:r>
        <w:rPr>
          <w:iCs/>
          <w:i/>
        </w:rPr>
        <w:t xml:space="preserve">T</w:t>
      </w:r>
      <w:r>
        <w:rPr>
          <w:vertAlign w:val="subscript"/>
          <w:iCs/>
          <w:i/>
        </w:rPr>
        <w:t xml:space="preserve">C</w:t>
      </w:r>
      <w:r>
        <w:t xml:space="preserve"> ≤ 3.875. And so on.</w:t>
      </w:r>
    </w:p>
    <w:p>
      <w:pPr>
        <w:pStyle w:val="BodyText"/>
      </w:pPr>
      <w:r>
        <w:t xml:space="preserve">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w:t>
      </w:r>
      <w:r>
        <w:rPr>
          <w:rStyle w:val="FootnoteReference"/>
        </w:rPr>
        <w:footnoteReference w:id="202"/>
      </w:r>
      <w:r>
        <w:t xml:space="preserve">.</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We also need the signal to have an error bar to it, so that each round of iteration removes more strategies. But that’s all that was needed; the particular values used are irrelevant to the proof.</w:t>
      </w:r>
    </w:p>
    <w:bookmarkEnd w:id="203"/>
    <w:bookmarkStart w:id="206" w:name="sec-perfectri"/>
    <w:p>
      <w:pPr>
        <w:pStyle w:val="Heading3"/>
      </w:pPr>
      <w:r>
        <w:t xml:space="preserve">9.4.2 Making One Signal Precise</w:t>
      </w:r>
    </w:p>
    <w:p>
      <w:pPr>
        <w:pStyle w:val="FirstParagraph"/>
      </w:pPr>
      <w:r>
        <w:t xml:space="preserve">So far I’ve just been setting out Carlsson and van Damme’s results. It’s time to prove something just slightly stronger. I’ll show that the result in</w:t>
      </w:r>
      <w:r>
        <w:t xml:space="preserve"> </w:t>
      </w:r>
      <w:hyperlink w:anchor="sec-cvdproof">
        <w:r>
          <w:rPr>
            <w:rStyle w:val="Hyperlink"/>
          </w:rPr>
          <w:t xml:space="preserve">Section 9.4.1</w:t>
        </w:r>
      </w:hyperlink>
      <w:r>
        <w:t xml:space="preserve"> </w:t>
      </w:r>
      <w:r>
        <w:t xml:space="preserve">did not require that both parties receive a noisy signal. It’s enough that just one party does.</w:t>
      </w:r>
    </w:p>
    <w:p>
      <w:pPr>
        <w:pStyle w:val="BodyText"/>
      </w:pPr>
      <w:r>
        <w:t xml:space="preserve">More precisely, I’ll change the game so that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 Since the game is no longer symmetric, I can’t just appeal to the symmetry of the game as frequently as in the previous subsection. This slows the proof down, but doesn’t stop it.</w:t>
      </w:r>
    </w:p>
    <w:p>
      <w:pPr>
        <w:pStyle w:val="BodyText"/>
      </w:pPr>
      <w:r>
        <w:t xml:space="preserve">This change actually helps us at the first stage of the argument.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for any</w:t>
      </w:r>
      <w:r>
        <w:t xml:space="preserve"> </w:t>
      </w:r>
      <w:r>
        <w:rPr>
          <w:iCs/>
          <w:i/>
        </w:rPr>
        <w:t xml:space="preserve">y</w:t>
      </w:r>
      <w:r>
        <w:t xml:space="preserve"> &gt; 2 such that we know</w:t>
      </w:r>
      <w:r>
        <w:t xml:space="preserve"> </w:t>
      </w:r>
      <w:r>
        <w:rPr>
          <w:iCs/>
          <w:i/>
        </w:rPr>
        <w:t xml:space="preserve">T</w:t>
      </w:r>
      <w:r>
        <w:rPr>
          <w:vertAlign w:val="subscript"/>
          <w:iCs/>
          <w:i/>
        </w:rPr>
        <w:t xml:space="preserve">C</w:t>
      </w:r>
      <w:r>
        <w:t xml:space="preserve"> ≤ y, the strategy</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w:t>
      </w:r>
      <w:r>
        <w:rPr>
          <w:rStyle w:val="FootnoteReference"/>
        </w:rPr>
        <w:footnoteReference w:id="204"/>
      </w:r>
      <w:r>
        <w:t xml:space="preserve"> </w:t>
      </w:r>
      <w:r>
        <w:t xml:space="preserve">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 probability that Column’s signal is above Column’s tipping point is at least 0.5. So the probability that Column will play</w:t>
      </w:r>
      <w:r>
        <w:t xml:space="preserve"> </w:t>
      </w:r>
      <w:r>
        <w:rPr>
          <w:iCs/>
          <w:i/>
        </w:rPr>
        <w:t xml:space="preserve">b</w:t>
      </w:r>
      <w:r>
        <w:t xml:space="preserve"> </w:t>
      </w:r>
      <w:r>
        <w:t xml:space="preserve">is at least 0.5. So the expected return to Row of playing</w:t>
      </w:r>
      <w:r>
        <w:t xml:space="preserve"> </w:t>
      </w:r>
      <w:r>
        <w:rPr>
          <w:iCs/>
          <w:i/>
        </w:rPr>
        <w:t xml:space="preserve">A</w:t>
      </w:r>
      <w:r>
        <w:t xml:space="preserve">, which is 4 times the probability that Column will play</w:t>
      </w:r>
      <w:r>
        <w:t xml:space="preserve"> </w:t>
      </w:r>
      <w:r>
        <w:rPr>
          <w:iCs/>
          <w:i/>
        </w:rPr>
        <w:t xml:space="preserve">a</w:t>
      </w:r>
      <w:r>
        <w:t xml:space="preserve">, is at most 2. Since the expected return to Row of playing</w:t>
      </w:r>
      <w:r>
        <w:t xml:space="preserve"> </w:t>
      </w:r>
      <w:r>
        <w:rPr>
          <w:iCs/>
          <w:i/>
        </w:rPr>
        <w:t xml:space="preserve">B</w:t>
      </w:r>
      <w:r>
        <w:t xml:space="preserve"> </w:t>
      </w:r>
      <w:r>
        <w:t xml:space="preserve">equals the value of the signal</w:t>
      </w:r>
      <w:r>
        <w:rPr>
          <w:rStyle w:val="FootnoteReference"/>
        </w:rPr>
        <w:footnoteReference w:id="205"/>
      </w:r>
      <w:r>
        <w:t xml:space="preserve">, that means that if the signal is above 2, they should play</w:t>
      </w:r>
      <w:r>
        <w:t xml:space="preserve"> </w:t>
      </w:r>
      <w:r>
        <w:rPr>
          <w:iCs/>
          <w:i/>
        </w:rPr>
        <w:t xml:space="preserve">B</w:t>
      </w:r>
      <w:r>
        <w:t xml:space="preserve">.</w:t>
      </w:r>
    </w:p>
    <w:p>
      <w:pPr>
        <w:pStyle w:val="BodyText"/>
      </w:pPr>
      <w:r>
        <w:t xml:space="preserve">Summing up, if Row knows</w:t>
      </w:r>
      <w:r>
        <w:t xml:space="preserve"> </w:t>
      </w:r>
      <w:r>
        <w:rPr>
          <w:iCs/>
          <w:i/>
        </w:rPr>
        <w:t xml:space="preserve">T</w:t>
      </w:r>
      <w:r>
        <w:rPr>
          <w:vertAlign w:val="subscript"/>
          <w:iCs/>
          <w:i/>
        </w:rPr>
        <w:t xml:space="preserve">C</w:t>
      </w:r>
      <w:r>
        <w:t xml:space="preserve"> ≤ </w:t>
      </w:r>
      <w:r>
        <w:rPr>
          <w:iCs/>
          <w:i/>
        </w:rPr>
        <w:t xml:space="preserve">y</w:t>
      </w:r>
      <w:r>
        <w:t xml:space="preserve">, for any</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That is, if Row knows</w:t>
      </w:r>
      <w:r>
        <w:t xml:space="preserve"> </w:t>
      </w:r>
      <w:r>
        <w:rPr>
          <w:iCs/>
          <w:i/>
        </w:rPr>
        <w:t xml:space="preserve">T</w:t>
      </w:r>
      <w:r>
        <w:rPr>
          <w:vertAlign w:val="subscript"/>
          <w:iCs/>
          <w:i/>
        </w:rPr>
        <w:t xml:space="preserve">C</w:t>
      </w:r>
      <w:r>
        <w:t xml:space="preserve"> ≤ </w:t>
      </w:r>
      <w:r>
        <w:rPr>
          <w:iCs/>
          <w:i/>
        </w:rPr>
        <w:t xml:space="preserve">y</w:t>
      </w:r>
      <w:r>
        <w:t xml:space="preserve">, for any</w:t>
      </w:r>
      <w:r>
        <w:t xml:space="preserve"> </w:t>
      </w:r>
      <w:r>
        <w:rPr>
          <w:iCs/>
          <w:i/>
        </w:rPr>
        <w:t xml:space="preserve">y</w:t>
      </w:r>
      <w:r>
        <w:t xml:space="preserve"> &gt; 2, Row’s tipping point should be at most</w:t>
      </w:r>
      <w:r>
        <w:t xml:space="preserve">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Assume Column’s signal, which we’ll call</w:t>
      </w:r>
      <w:r>
        <w:t xml:space="preserve"> </w:t>
      </w:r>
      <w:r>
        <w:rPr>
          <w:iCs/>
          <w:i/>
        </w:rPr>
        <w:t xml:space="preserve">x</w:t>
      </w:r>
      <w:r>
        <w:t xml:space="preserve">, 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w:t>
      </w:r>
    </w:p>
    <w:p>
      <w:pPr>
        <w:pStyle w:val="BodyText"/>
      </w:pPr>
      <w:r>
        <w:t xml:space="preserve">The expected return to Column of playing</w:t>
      </w:r>
      <w:r>
        <w:t xml:space="preserve"> </w:t>
      </w:r>
      <w:r>
        <w:rPr>
          <w:iCs/>
          <w:i/>
        </w:rPr>
        <w:t xml:space="preserve">a</w:t>
      </w:r>
      <w:r>
        <w:t xml:space="preserve"> </w:t>
      </w:r>
      <w:r>
        <w:t xml:space="preserve">will be highest when</w:t>
      </w:r>
      <w:r>
        <w:t xml:space="preserve"> </w:t>
      </w:r>
      <w:r>
        <w:rPr>
          <w:iCs/>
          <w:i/>
        </w:rPr>
        <w:t xml:space="preserve">T</w:t>
      </w:r>
      <w:r>
        <w:rPr>
          <w:vertAlign w:val="subscript"/>
          <w:iCs/>
          <w:i/>
        </w:rPr>
        <w:t xml:space="preserve">R</w:t>
      </w:r>
      <w:r>
        <w:t xml:space="preserve"> </w:t>
      </w:r>
      <w:r>
        <w:t xml:space="preserve">is highest. So we can work out an upper bound on that expected return by assuming that</w:t>
      </w:r>
      <w:r>
        <w:t xml:space="preserve"> </w:t>
      </w:r>
      <w:r>
        <w:rPr>
          <w:iCs/>
          <w:i/>
        </w:rPr>
        <w:t xml:space="preserve">T</w:t>
      </w:r>
      <w:r>
        <w:rPr>
          <w:vertAlign w:val="subscript"/>
          <w:iCs/>
          <w:i/>
        </w:rPr>
        <w:t xml:space="preserve">R</w:t>
      </w:r>
      <w:r>
        <w:t xml:space="preserve"> = </w:t>
      </w:r>
      <w:r>
        <w:rPr>
          <w:iCs/>
          <w:i/>
        </w:rPr>
        <w:t xml:space="preserve">y</w:t>
      </w:r>
      <w:r>
        <w:t xml:space="preserve">. Given that assumption, the probability that Row plays</w:t>
      </w:r>
      <w:r>
        <w:t xml:space="preserve"> </w:t>
      </w:r>
      <w:r>
        <w:rPr>
          <w:iCs/>
          <w:i/>
        </w:rPr>
        <w:t xml:space="preserve">A</w:t>
      </w:r>
      <w:r>
        <w:t xml:space="preserve"> </w:t>
      </w:r>
      <w:r>
        <w:t xml:space="preserve">is (1 + 2</w:t>
      </w:r>
      <w:r>
        <w:rPr>
          <w:iCs/>
          <w:i/>
        </w:rPr>
        <w:t xml:space="preserve">z</w:t>
      </w:r>
      <w:r>
        <w:t xml:space="preserve">)/2. (That’s the probability that Row’s signal, which is a random draw from [</w:t>
      </w:r>
      <w:r>
        <w:rPr>
          <w:iCs/>
          <w:i/>
        </w:rPr>
        <w:t xml:space="preserve">x</w:t>
      </w:r>
      <w:r>
        <w:t xml:space="preserve"> - ¼, </w:t>
      </w:r>
      <w:r>
        <w:rPr>
          <w:iCs/>
          <w:i/>
        </w:rPr>
        <w:t xml:space="preserve">x</w:t>
      </w:r>
      <w:r>
        <w:t xml:space="preserve"> + ¼], is above</w:t>
      </w:r>
      <w:r>
        <w:t xml:space="preserve"> </w:t>
      </w:r>
      <w:r>
        <w:rPr>
          <w:iCs/>
          <w:i/>
        </w:rPr>
        <w:t xml:space="preserve">y</w:t>
      </w:r>
      <w:r>
        <w:t xml:space="preserve">.)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The rest of the proof proceeds in a zig-zag fashion. At one stage, we show that</w:t>
      </w:r>
      <w:r>
        <w:t xml:space="preserve"> </w:t>
      </w:r>
      <w:r>
        <w:rPr>
          <w:iCs/>
          <w:i/>
        </w:rPr>
        <w:t xml:space="preserve">T</w:t>
      </w:r>
      <w:r>
        <w:rPr>
          <w:vertAlign w:val="subscript"/>
          <w:iCs/>
          <w:i/>
        </w:rPr>
        <w:t xml:space="preserve">R</w:t>
      </w:r>
      <w:r>
        <w:t xml:space="preserve"> </w:t>
      </w:r>
      <w:r>
        <w:t xml:space="preserve">must be no greater than</w:t>
      </w:r>
      <w:r>
        <w:t xml:space="preserve"> </w:t>
      </w:r>
      <w:r>
        <w:rPr>
          <w:iCs/>
          <w:i/>
        </w:rPr>
        <w:t xml:space="preserve">T</w:t>
      </w:r>
      <w:r>
        <w:rPr>
          <w:vertAlign w:val="subscript"/>
          <w:iCs/>
          <w:i/>
        </w:rPr>
        <w:t xml:space="preserve">C</w:t>
      </w:r>
      <w:r>
        <w:t xml:space="preserve">. So whatever value we’ve shown to be an upper bound for</w:t>
      </w:r>
      <w:r>
        <w:t xml:space="preserve"> </w:t>
      </w:r>
      <w:r>
        <w:rPr>
          <w:iCs/>
          <w:i/>
        </w:rPr>
        <w:t xml:space="preserve">T</w:t>
      </w:r>
      <w:r>
        <w:rPr>
          <w:vertAlign w:val="subscript"/>
          <w:iCs/>
          <w:i/>
        </w:rPr>
        <w:t xml:space="preserve">C</w:t>
      </w:r>
      <w:r>
        <w:t xml:space="preserve"> </w:t>
      </w:r>
      <w:r>
        <w:t xml:space="preserve">is also an upper bound for</w:t>
      </w:r>
      <w:r>
        <w:t xml:space="preserve"> </w:t>
      </w:r>
      <w:r>
        <w:rPr>
          <w:iCs/>
          <w:i/>
        </w:rPr>
        <w:t xml:space="preserve">T</w:t>
      </w:r>
      <w:r>
        <w:rPr>
          <w:vertAlign w:val="subscript"/>
          <w:iCs/>
          <w:i/>
        </w:rPr>
        <w:t xml:space="preserve">R</w:t>
      </w:r>
      <w:r>
        <w:t xml:space="preserve">. At the next stage, we show that given any upper bound on</w:t>
      </w:r>
      <w:r>
        <w:t xml:space="preserve"> </w:t>
      </w:r>
      <w:r>
        <w:rPr>
          <w:iCs/>
          <w:i/>
        </w:rPr>
        <w:t xml:space="preserve">T</w:t>
      </w:r>
      <w:r>
        <w:rPr>
          <w:vertAlign w:val="subscript"/>
          <w:iCs/>
          <w:i/>
        </w:rPr>
        <w:t xml:space="preserve">R</w:t>
      </w:r>
      <w:r>
        <w:t xml:space="preserve"> </w:t>
      </w:r>
      <w:r>
        <w:t xml:space="preserve">greater than 2, we can derive a new upper bound on</w:t>
      </w:r>
      <w:r>
        <w:t xml:space="preserve"> </w:t>
      </w:r>
      <w:r>
        <w:rPr>
          <w:iCs/>
          <w:i/>
        </w:rPr>
        <w:t xml:space="preserve">T</w:t>
      </w:r>
      <w:r>
        <w:rPr>
          <w:vertAlign w:val="subscript"/>
          <w:iCs/>
          <w:i/>
        </w:rPr>
        <w:t xml:space="preserve">C</w:t>
      </w:r>
      <w:r>
        <w:t xml:space="preserve"> </w:t>
      </w:r>
      <w:r>
        <w:t xml:space="preserve">which is lower still.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 So just using iterated deletion of dominated strategies, we eventually rule out all strategies that are involve tipping points above 2.</w:t>
      </w:r>
    </w:p>
    <w:p>
      <w:pPr>
        <w:pStyle w:val="BodyText"/>
      </w:pPr>
      <w:r>
        <w:t xml:space="preserve">There is one last point to be careful about. It takes infinitely many steps to rule out all tipping points above 2. Since it isn’t obviously sound to have infinitely many steps of iterated deletion, one might worry about the soundness of the proof at this point. The key thing to note is that for any tipping point above 2, it is ruled out in a finite number of steps. So purely finitary reasoning rules out all tipping points above 2. It’s just that there is no upper bound to the (finite!) number of steps needed.</w:t>
      </w:r>
    </w:p>
    <w:p>
      <w:pPr>
        <w:pStyle w:val="BodyText"/>
      </w:pPr>
      <w:r>
        <w:t xml:space="preserve">This completes the mathematical part of the argument; I’ll return to discussing whether this result matters for thinking about evidence and rational action, and reply to some objections to thinking that it does.</w:t>
      </w:r>
    </w:p>
    <w:bookmarkEnd w:id="206"/>
    <w:bookmarkEnd w:id="207"/>
    <w:bookmarkStart w:id="208"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and not just part of their knowledge,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The next section argues that this is independently plausible.</w:t>
      </w:r>
    </w:p>
    <w:bookmarkEnd w:id="208"/>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Given that,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8"/>
        </w:numPr>
        <w:pStyle w:val="Compact"/>
      </w:pPr>
      <w:r>
        <w:t xml:space="preserve">Γ ⊨ A</w:t>
      </w:r>
    </w:p>
    <w:p>
      <w:pPr>
        <w:numPr>
          <w:ilvl w:val="0"/>
          <w:numId w:val="1058"/>
        </w:numPr>
        <w:pStyle w:val="Compact"/>
      </w:pPr>
      <w:r>
        <w:t xml:space="preserve">{A} ∪ Δ ⊨ B</w:t>
      </w:r>
    </w:p>
    <w:p>
      <w:pPr>
        <w:numPr>
          <w:ilvl w:val="0"/>
          <w:numId w:val="1058"/>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Wwhile</w:t>
      </w:r>
      <w:r>
        <w:t xml:space="preserve"> </w:t>
      </w:r>
      <w:r>
        <w:rPr>
          <w:iCs/>
          <w:i/>
        </w:rPr>
        <w:t xml:space="preserve">Cut</w:t>
      </w:r>
      <w:r>
        <w:t xml:space="preserve"> </w:t>
      </w:r>
      <w:r>
        <w:t xml:space="preserve">seems intuitive in cases like this, Nair argues that it can’t be right in general. (If that’s right we have a duty, one Nair takes up, to explain why cases like Jack and Jill seem like cases of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 is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 (in miles)</w:t>
      </w:r>
      <w:r>
        <w:t xml:space="preserve"> </w:t>
      </w:r>
      <w:r>
        <w:rPr>
          <w:iCs/>
          <w:i/>
        </w:rPr>
        <w:t xml:space="preserve">d</w:t>
      </w:r>
      <w:r>
        <w:t xml:space="preserve"> </w:t>
      </w:r>
      <w:r>
        <w:t xml:space="preserve">of here, we can rationally infer that the pattern extends another mile. That’s just boring induction. But we can’t infer that it extends to infinity, that would be a radical step. If we can’t infer that the pattern goes to infinity, there must be a point beyond which we can’t infer the pattern goes. Let’s say that’s one mile. So if we know the pattern holds within distance</w:t>
      </w:r>
      <w:r>
        <w:t xml:space="preserve"> </w:t>
      </w:r>
      <w:r>
        <w:rPr>
          <w:iCs/>
          <w:i/>
        </w:rPr>
        <w:t xml:space="preserve">d</w:t>
      </w:r>
      <w:r>
        <w:t xml:space="preserve"> </w:t>
      </w:r>
      <w:r>
        <w:t xml:space="preserve">of here, we can infer that it holds within distance</w:t>
      </w:r>
      <w:r>
        <w:t xml:space="preserve"> </w:t>
      </w:r>
      <w:r>
        <w:rPr>
          <w:iCs/>
          <w:i/>
        </w:rPr>
        <w:t xml:space="preserve">d</w:t>
      </w:r>
      <w:r>
        <w:t xml:space="preserve"> + 1, but no more.</w:t>
      </w:r>
      <w:r>
        <w:rPr>
          <w:rStyle w:val="FootnoteReference"/>
        </w:rPr>
        <w:footnoteReference w:id="209"/>
      </w:r>
    </w:p>
    <w:p>
      <w:pPr>
        <w:pStyle w:val="BodyText"/>
      </w:pPr>
      <w:r>
        <w:t xml:space="preserve">To see a case like this, imagine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w:t>
      </w:r>
    </w:p>
    <w:p>
      <w:pPr>
        <w:pStyle w:val="BodyText"/>
      </w:pPr>
      <w:r>
        <w:t xml:space="preserve">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This particular example involving distances was an extreme idealisation. But all we need for the larger argument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The key point now is that this possibility undermines E=K.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If any monotonic instances of failures of Cut exist, we need to distinguish between things the thinker knows by inference, and things they know by observation, in order to assess their inferences. That’s to say, some knowledge will not play the characteristic role of evidence. 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sensitive to the agent’s interests. For example, I think facts reported in a reliable history book are pieces of basic evidence when we are thinking about history, but not when we are thinking about the reliability of that book. But this kind of interest-relativity is inessential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w:t>
      </w:r>
    </w:p>
    <w:p>
      <w:pPr>
        <w:pStyle w:val="BodyText"/>
      </w:pPr>
      <w:r>
        <w:t xml:space="preserve">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suspend judgment on</w:t>
      </w:r>
      <w:r>
        <w:t xml:space="preserve"> </w:t>
      </w:r>
      <w:r>
        <w:rPr>
          <w:iCs/>
          <w:i/>
        </w:rPr>
        <w:t xml:space="preserve">H</w:t>
      </w:r>
      <w:r>
        <w:t xml:space="preserve">’s reliabity,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w:t>
      </w:r>
      <w:r>
        <w:t xml:space="preserve"> </w:t>
      </w:r>
      <w:r>
        <w:rPr>
          <w:iCs/>
          <w:i/>
        </w:rPr>
        <w:t xml:space="preserve">p</w:t>
      </w:r>
      <w:r>
        <w:t xml:space="preserve">?</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(because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Neta is reasoning that since Kate’s life depends on it, then IRT must say that she can’t trust street signs, because the stakes are so high.</w:t>
      </w:r>
    </w:p>
    <w:p>
      <w:pPr>
        <w:pStyle w:val="BodyText"/>
      </w:pPr>
      <w:r>
        <w:t xml:space="preserve">That claim about the relation between stakes and what one can take for granted can’t be right. I often take actions that my life depends on going by the say so of signs. For example, I often turn onto the freeway ramp labelled on ramp, and not the ramp labelled off ramp, without really double checking. If I was wrong about this there is a very high chance I’d be very quickly killed. (Wrong-way crashes on freeways are a very common kind of fatal collisions.) If Kate can’t take the sign for granted, it isn’t just because her life is at stake; somewhat disconcertingly, that doesn’t make the case any different from everyday driving.</w:t>
      </w:r>
    </w:p>
    <w:p>
      <w:pPr>
        <w:pStyle w:val="BodyText"/>
      </w:pPr>
      <w:r>
        <w:t xml:space="preserve">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9"/>
        </w:numPr>
        <w:pStyle w:val="Compact"/>
      </w:pPr>
      <w:r>
        <w:t xml:space="preserve">Both signs supply evidence directly to Kate, so her evidence includes that she is on State and that she is on Main.</w:t>
      </w:r>
    </w:p>
    <w:p>
      <w:pPr>
        <w:numPr>
          <w:ilvl w:val="0"/>
          <w:numId w:val="1059"/>
        </w:numPr>
        <w:pStyle w:val="Compact"/>
      </w:pPr>
      <w:r>
        <w:t xml:space="preserve">Neither sign contributes evidence directly to Kate, so her evidence includes what the signs say, but nothing directly about her location.</w:t>
      </w:r>
    </w:p>
    <w:p>
      <w:pPr>
        <w:numPr>
          <w:ilvl w:val="0"/>
          <w:numId w:val="1059"/>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w:t>
      </w:r>
    </w:p>
    <w:p>
      <w:pPr>
        <w:pStyle w:val="BodyText"/>
      </w:pPr>
      <w:r>
        <w:t xml:space="preserve">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grounds our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the actions which knowing that</w:t>
      </w:r>
      <w:r>
        <w:t xml:space="preserve"> </w:t>
      </w:r>
      <w:r>
        <w:rPr>
          <w:iCs/>
          <w:i/>
        </w:rPr>
        <w:t xml:space="preserve">p</w:t>
      </w:r>
      <w:r>
        <w:t xml:space="preserve"> </w:t>
      </w:r>
      <w:r>
        <w:t xml:space="preserve">makes rational include all the actions whatsoever that make sense if</w:t>
      </w:r>
      <w:r>
        <w:t xml:space="preserve"> </w:t>
      </w:r>
      <w:r>
        <w:rPr>
          <w:iCs/>
          <w:i/>
        </w:rPr>
        <w:t xml:space="preserve">p</w:t>
      </w:r>
      <w:r>
        <w:t xml:space="preserve"> </w:t>
      </w:r>
      <w:r>
        <w:t xml:space="preserve">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that</w:t>
      </w:r>
      <w:r>
        <w:t xml:space="preserve"> </w:t>
      </w:r>
      <w:r>
        <w:rPr>
          <w:iCs/>
          <w:i/>
        </w:rPr>
        <w:t xml:space="preserve">X</w:t>
      </w:r>
      <w:r>
        <w:t xml:space="preserve">’s actions make no difference to which member 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might also be probable enough that</w:t>
      </w:r>
      <w:r>
        <w:t xml:space="preserve"> </w:t>
      </w:r>
      <w:r>
        <w:rPr>
          <w:iCs/>
          <w:i/>
        </w:rPr>
        <w:t xml:space="preserve">A</w:t>
      </w:r>
      <w:r>
        <w:t xml:space="preserve"> </w:t>
      </w:r>
      <w:r>
        <w:t xml:space="preserve">will lead to a disastrous outcome for it to be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previously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1" w:name="references"/>
    <w:p>
      <w:pPr>
        <w:pStyle w:val="Heading1"/>
      </w:pPr>
      <w:r>
        <w:t xml:space="preserve">References</w:t>
      </w:r>
    </w:p>
    <w:bookmarkStart w:id="530" w:name="refs"/>
    <w:bookmarkStart w:id="220"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20"/>
    <w:bookmarkStart w:id="221"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22"/>
    <w:bookmarkStart w:id="223"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23"/>
    <w:bookmarkStart w:id="224"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4"/>
    <w:bookmarkStart w:id="226"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5">
        <w:r>
          <w:rPr>
            <w:rStyle w:val="Hyperlink"/>
          </w:rPr>
          <w:t xml:space="preserve">10.1093/analys/anr083</w:t>
        </w:r>
      </w:hyperlink>
    </w:p>
    <w:bookmarkEnd w:id="226"/>
    <w:bookmarkStart w:id="228"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7">
        <w:r>
          <w:rPr>
            <w:rStyle w:val="Hyperlink"/>
          </w:rPr>
          <w:t xml:space="preserve">10.1007/s001820050111</w:t>
        </w:r>
      </w:hyperlink>
    </w:p>
    <w:bookmarkEnd w:id="228"/>
    <w:bookmarkStart w:id="229"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9"/>
    <w:bookmarkStart w:id="230" w:name="ref-Bennett2017"/>
    <w:p>
      <w:pPr>
        <w:pStyle w:val="Bibliography"/>
      </w:pPr>
      <w:r>
        <w:t xml:space="preserve">Bennett, Karen. (2017).</w:t>
      </w:r>
      <w:r>
        <w:t xml:space="preserve"> </w:t>
      </w:r>
      <w:r>
        <w:rPr>
          <w:iCs/>
          <w:i/>
        </w:rPr>
        <w:t xml:space="preserve">Making things up</w:t>
      </w:r>
      <w:r>
        <w:t xml:space="preserve">. Oxford University Press.</w:t>
      </w:r>
    </w:p>
    <w:bookmarkEnd w:id="230"/>
    <w:bookmarkStart w:id="231"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31"/>
    <w:bookmarkStart w:id="233"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32">
        <w:r>
          <w:rPr>
            <w:rStyle w:val="Hyperlink"/>
          </w:rPr>
          <w:t xml:space="preserve">10.1111/j.0031-8094.2004.00350.x</w:t>
        </w:r>
      </w:hyperlink>
    </w:p>
    <w:bookmarkEnd w:id="233"/>
    <w:bookmarkStart w:id="235"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4">
        <w:r>
          <w:rPr>
            <w:rStyle w:val="Hyperlink"/>
          </w:rPr>
          <w:t xml:space="preserve">10.1111/j.1933-1592.2009.00280.x</w:t>
        </w:r>
      </w:hyperlink>
    </w:p>
    <w:bookmarkEnd w:id="235"/>
    <w:bookmarkStart w:id="237"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6">
        <w:r>
          <w:rPr>
            <w:rStyle w:val="Hyperlink"/>
          </w:rPr>
          <w:t xml:space="preserve">10.1007/s11229-015-0878-y</w:t>
        </w:r>
      </w:hyperlink>
    </w:p>
    <w:bookmarkEnd w:id="237"/>
    <w:bookmarkStart w:id="239"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38">
        <w:r>
          <w:rPr>
            <w:rStyle w:val="Hyperlink"/>
          </w:rPr>
          <w:t xml:space="preserve">https://plato.stanford.edu/archives/sum2021/entries/philo-larissa/</w:t>
        </w:r>
      </w:hyperlink>
      <w:r>
        <w:t xml:space="preserve">; Metaphysics Research Lab, Stanford University.</w:t>
      </w:r>
    </w:p>
    <w:bookmarkEnd w:id="239"/>
    <w:bookmarkStart w:id="241"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40">
        <w:r>
          <w:rPr>
            <w:rStyle w:val="Hyperlink"/>
          </w:rPr>
          <w:t xml:space="preserve">10.1111/j.1468-0068.2008.00677.x</w:t>
        </w:r>
      </w:hyperlink>
    </w:p>
    <w:bookmarkEnd w:id="241"/>
    <w:bookmarkStart w:id="242" w:name="ref-BuchakRisk"/>
    <w:p>
      <w:pPr>
        <w:pStyle w:val="Bibliography"/>
      </w:pPr>
      <w:r>
        <w:t xml:space="preserve">Buchak, Lara. (2013).</w:t>
      </w:r>
      <w:r>
        <w:t xml:space="preserve"> </w:t>
      </w:r>
      <w:r>
        <w:rPr>
          <w:iCs/>
          <w:i/>
        </w:rPr>
        <w:t xml:space="preserve">Risk and rationality</w:t>
      </w:r>
      <w:r>
        <w:t xml:space="preserve">. Oxford University Press.</w:t>
      </w:r>
    </w:p>
    <w:bookmarkEnd w:id="242"/>
    <w:bookmarkStart w:id="244"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3">
        <w:r>
          <w:rPr>
            <w:rStyle w:val="Hyperlink"/>
          </w:rPr>
          <w:t xml:space="preserve">10.1257/aer.101.7.2899</w:t>
        </w:r>
      </w:hyperlink>
    </w:p>
    <w:bookmarkEnd w:id="244"/>
    <w:bookmarkStart w:id="246"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5">
        <w:r>
          <w:rPr>
            <w:rStyle w:val="Hyperlink"/>
          </w:rPr>
          <w:t xml:space="preserve">10.2307/2951491</w:t>
        </w:r>
      </w:hyperlink>
    </w:p>
    <w:bookmarkEnd w:id="246"/>
    <w:bookmarkStart w:id="248"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47">
        <w:r>
          <w:rPr>
            <w:rStyle w:val="Hyperlink"/>
          </w:rPr>
          <w:t xml:space="preserve">10.1080/00213624.2017.1391594</w:t>
        </w:r>
      </w:hyperlink>
    </w:p>
    <w:bookmarkEnd w:id="248"/>
    <w:bookmarkStart w:id="250"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49">
        <w:r>
          <w:rPr>
            <w:rStyle w:val="Hyperlink"/>
          </w:rPr>
          <w:t xml:space="preserve">10.1016/j.jcps.2014.08.002</w:t>
        </w:r>
      </w:hyperlink>
    </w:p>
    <w:bookmarkEnd w:id="250"/>
    <w:bookmarkStart w:id="251" w:name="ref-Cherniak1986"/>
    <w:p>
      <w:pPr>
        <w:pStyle w:val="Bibliography"/>
      </w:pPr>
      <w:r>
        <w:t xml:space="preserve">Cherniak, Christopher. (1986).</w:t>
      </w:r>
      <w:r>
        <w:t xml:space="preserve"> </w:t>
      </w:r>
      <w:r>
        <w:rPr>
          <w:iCs/>
          <w:i/>
        </w:rPr>
        <w:t xml:space="preserve">Minimal rationality</w:t>
      </w:r>
      <w:r>
        <w:t xml:space="preserve">. MIT Press.</w:t>
      </w:r>
    </w:p>
    <w:bookmarkEnd w:id="251"/>
    <w:bookmarkStart w:id="253" w:name="ref-ChoKreps1987"/>
    <w:p>
      <w:pPr>
        <w:pStyle w:val="Bibliography"/>
      </w:pPr>
      <w:r>
        <w:t xml:space="preserve">Cho, In-Koo, and David M. Kreps. (1987). Signalling games and stable equilibria.</w:t>
      </w:r>
      <w:r>
        <w:t xml:space="preserve"> </w:t>
      </w:r>
      <w:r>
        <w:rPr>
          <w:iCs/>
          <w:i/>
        </w:rPr>
        <w:t xml:space="preserve">The Quarterly Journal of Economics</w:t>
      </w:r>
      <w:r>
        <w:t xml:space="preserve">,</w:t>
      </w:r>
      <w:r>
        <w:t xml:space="preserve"> </w:t>
      </w:r>
      <w:r>
        <w:rPr>
          <w:iCs/>
          <w:i/>
        </w:rPr>
        <w:t xml:space="preserve">102</w:t>
      </w:r>
      <w:r>
        <w:t xml:space="preserve">(2), 179–221. doi:</w:t>
      </w:r>
      <w:hyperlink r:id="rId252">
        <w:r>
          <w:rPr>
            <w:rStyle w:val="Hyperlink"/>
          </w:rPr>
          <w:t xml:space="preserve">10.2307/1885060</w:t>
        </w:r>
      </w:hyperlink>
    </w:p>
    <w:bookmarkEnd w:id="253"/>
    <w:bookmarkStart w:id="254"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4"/>
    <w:bookmarkStart w:id="255"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5"/>
    <w:bookmarkStart w:id="257"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6">
        <w:r>
          <w:rPr>
            <w:rStyle w:val="Hyperlink"/>
          </w:rPr>
          <w:t xml:space="preserve">http://hdl.handle.net/2027/spo.3521354.0011.006</w:t>
        </w:r>
      </w:hyperlink>
    </w:p>
    <w:bookmarkEnd w:id="257"/>
    <w:bookmarkStart w:id="258"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8"/>
    <w:bookmarkStart w:id="259"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59"/>
    <w:bookmarkStart w:id="261"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60">
        <w:r>
          <w:rPr>
            <w:rStyle w:val="Hyperlink"/>
          </w:rPr>
          <w:t xml:space="preserve">10.1111/j.1933-1592.2002.tb00204.x</w:t>
        </w:r>
      </w:hyperlink>
    </w:p>
    <w:bookmarkEnd w:id="261"/>
    <w:bookmarkStart w:id="263"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62">
        <w:r>
          <w:rPr>
            <w:rStyle w:val="Hyperlink"/>
          </w:rPr>
          <w:t xml:space="preserve">10.1111/j.1533-6077.2004.00040.x</w:t>
        </w:r>
      </w:hyperlink>
    </w:p>
    <w:bookmarkEnd w:id="263"/>
    <w:bookmarkStart w:id="264"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4"/>
    <w:bookmarkStart w:id="265"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5"/>
    <w:bookmarkStart w:id="267"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6">
        <w:r>
          <w:rPr>
            <w:rStyle w:val="Hyperlink"/>
          </w:rPr>
          <w:t xml:space="preserve">https://plato.stanford.edu/archives/spr2018/entries/questions/</w:t>
        </w:r>
      </w:hyperlink>
      <w:r>
        <w:t xml:space="preserve">; Metaphysics Research Lab, Stanford University.</w:t>
      </w:r>
    </w:p>
    <w:bookmarkEnd w:id="267"/>
    <w:bookmarkStart w:id="268"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8"/>
    <w:bookmarkStart w:id="270"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69">
        <w:r>
          <w:rPr>
            <w:rStyle w:val="Hyperlink"/>
          </w:rPr>
          <w:t xml:space="preserve">10.2307/3182618</w:t>
        </w:r>
      </w:hyperlink>
    </w:p>
    <w:bookmarkEnd w:id="270"/>
    <w:bookmarkStart w:id="272"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71">
        <w:r>
          <w:rPr>
            <w:rStyle w:val="Hyperlink"/>
          </w:rPr>
          <w:t xml:space="preserve">http://journal.sjdm.org/8320/jdm8320.pdf</w:t>
        </w:r>
      </w:hyperlink>
    </w:p>
    <w:bookmarkEnd w:id="272"/>
    <w:bookmarkStart w:id="274"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3">
        <w:r>
          <w:rPr>
            <w:rStyle w:val="Hyperlink"/>
          </w:rPr>
          <w:t xml:space="preserve">10.3998/ergo.12405314.0002.026</w:t>
        </w:r>
      </w:hyperlink>
    </w:p>
    <w:bookmarkEnd w:id="274"/>
    <w:bookmarkStart w:id="275" w:name="ref-Dylan2016"/>
    <w:p>
      <w:pPr>
        <w:pStyle w:val="Bibliography"/>
      </w:pPr>
      <w:r>
        <w:t xml:space="preserve">Dylan, Bob. (2016).</w:t>
      </w:r>
      <w:r>
        <w:t xml:space="preserve"> </w:t>
      </w:r>
      <w:r>
        <w:rPr>
          <w:iCs/>
          <w:i/>
        </w:rPr>
        <w:t xml:space="preserve">The lyrics: 1961-2012</w:t>
      </w:r>
      <w:r>
        <w:t xml:space="preserve">. Simon &amp; Schuster.</w:t>
      </w:r>
    </w:p>
    <w:bookmarkEnd w:id="275"/>
    <w:bookmarkStart w:id="277"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6">
        <w:r>
          <w:rPr>
            <w:rStyle w:val="Hyperlink"/>
          </w:rPr>
          <w:t xml:space="preserve">10.1007/s11098-015-0461-x</w:t>
        </w:r>
      </w:hyperlink>
    </w:p>
    <w:bookmarkEnd w:id="277"/>
    <w:bookmarkStart w:id="279"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78">
        <w:r>
          <w:rPr>
            <w:rStyle w:val="Hyperlink"/>
          </w:rPr>
          <w:t xml:space="preserve">10.1007/s11098-008-9225-1</w:t>
        </w:r>
      </w:hyperlink>
    </w:p>
    <w:bookmarkEnd w:id="279"/>
    <w:bookmarkStart w:id="280"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80"/>
    <w:bookmarkStart w:id="282"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81</w:t>
      </w:r>
      <w:r>
        <w:t xml:space="preserve">(4), 622–631. doi:</w:t>
      </w:r>
      <w:hyperlink r:id="rId281">
        <w:r>
          <w:rPr>
            <w:rStyle w:val="Hyperlink"/>
          </w:rPr>
          <w:t xml:space="preserve">10.1093/analys/anab037</w:t>
        </w:r>
      </w:hyperlink>
    </w:p>
    <w:bookmarkEnd w:id="282"/>
    <w:bookmarkStart w:id="284"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3">
        <w:r>
          <w:rPr>
            <w:rStyle w:val="Hyperlink"/>
          </w:rPr>
          <w:t xml:space="preserve">10.2307/3182570</w:t>
        </w:r>
      </w:hyperlink>
    </w:p>
    <w:bookmarkEnd w:id="284"/>
    <w:bookmarkStart w:id="285"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5"/>
    <w:bookmarkStart w:id="286" w:name="ref-Foley1993"/>
    <w:p>
      <w:pPr>
        <w:pStyle w:val="Bibliography"/>
      </w:pPr>
      <w:r>
        <w:t xml:space="preserve">Foley, Richard. (1993).</w:t>
      </w:r>
      <w:r>
        <w:t xml:space="preserve"> </w:t>
      </w:r>
      <w:r>
        <w:rPr>
          <w:iCs/>
          <w:i/>
        </w:rPr>
        <w:t xml:space="preserve">Working without a net</w:t>
      </w:r>
      <w:r>
        <w:t xml:space="preserve">. Oxford University Press.</w:t>
      </w:r>
    </w:p>
    <w:bookmarkEnd w:id="286"/>
    <w:bookmarkStart w:id="288"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7">
        <w:r>
          <w:rPr>
            <w:rStyle w:val="Hyperlink"/>
          </w:rPr>
          <w:t xml:space="preserve">10.1111/nous.12137</w:t>
        </w:r>
      </w:hyperlink>
    </w:p>
    <w:bookmarkEnd w:id="288"/>
    <w:bookmarkStart w:id="290"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89">
        <w:r>
          <w:rPr>
            <w:rStyle w:val="Hyperlink"/>
          </w:rPr>
          <w:t xml:space="preserve">10.1111/phis.12141</w:t>
        </w:r>
      </w:hyperlink>
    </w:p>
    <w:bookmarkEnd w:id="290"/>
    <w:bookmarkStart w:id="292"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91">
        <w:r>
          <w:rPr>
            <w:rStyle w:val="Hyperlink"/>
          </w:rPr>
          <w:t xml:space="preserve">10.1111/nous.12222</w:t>
        </w:r>
      </w:hyperlink>
    </w:p>
    <w:bookmarkEnd w:id="292"/>
    <w:bookmarkStart w:id="294"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3">
        <w:r>
          <w:rPr>
            <w:rStyle w:val="Hyperlink"/>
          </w:rPr>
          <w:t xml:space="preserve">10.1215/00318108-8540918</w:t>
        </w:r>
      </w:hyperlink>
    </w:p>
    <w:bookmarkEnd w:id="294"/>
    <w:bookmarkStart w:id="295" w:name="ref-Friedman2024debate"/>
    <w:p>
      <w:pPr>
        <w:pStyle w:val="Bibliography"/>
      </w:pPr>
      <w:r>
        <w:t xml:space="preserve">Friedman, Jane. (2024a). Suspension of judgment is a question-directed attitude. In Blake Roeber, Ernest Sosa, Matthias Steup, &amp; John Turri (Eds.),</w:t>
      </w:r>
      <w:r>
        <w:t xml:space="preserve"> </w:t>
      </w:r>
      <w:r>
        <w:rPr>
          <w:iCs/>
          <w:i/>
        </w:rPr>
        <w:t xml:space="preserve">Contemporary debates in epistemology</w:t>
      </w:r>
      <w:r>
        <w:t xml:space="preserve"> </w:t>
      </w:r>
      <w:r>
        <w:t xml:space="preserve">(3rd ed., 66–78). Wiley Blackwell.</w:t>
      </w:r>
    </w:p>
    <w:bookmarkEnd w:id="295"/>
    <w:bookmarkStart w:id="297" w:name="ref-Friedman2024"/>
    <w:p>
      <w:pPr>
        <w:pStyle w:val="Bibliography"/>
      </w:pPr>
      <w:r>
        <w:t xml:space="preserve">Friedman, Jane. (2024b). The aim of inquiry?</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w:t>
      </w:r>
      <w:r>
        <w:t xml:space="preserve"> </w:t>
      </w:r>
      <w:r>
        <w:rPr>
          <w:iCs/>
          <w:i/>
        </w:rPr>
        <w:t xml:space="preserve">108</w:t>
      </w:r>
      <w:r>
        <w:t xml:space="preserve">(2), 506–523. doi:</w:t>
      </w:r>
      <w:hyperlink r:id="rId296">
        <w:r>
          <w:rPr>
            <w:rStyle w:val="Hyperlink"/>
          </w:rPr>
          <w:t xml:space="preserve">10.1111/phpr.12982</w:t>
        </w:r>
      </w:hyperlink>
    </w:p>
    <w:bookmarkEnd w:id="297"/>
    <w:bookmarkStart w:id="299"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8">
        <w:r>
          <w:rPr>
            <w:rStyle w:val="Hyperlink"/>
          </w:rPr>
          <w:t xml:space="preserve">10.1007/s11098-007-9133-9</w:t>
        </w:r>
      </w:hyperlink>
    </w:p>
    <w:bookmarkEnd w:id="299"/>
    <w:bookmarkStart w:id="300"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300"/>
    <w:bookmarkStart w:id="302"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301">
        <w:r>
          <w:rPr>
            <w:rStyle w:val="Hyperlink"/>
          </w:rPr>
          <w:t xml:space="preserve">10.1111/mila.12451</w:t>
        </w:r>
      </w:hyperlink>
    </w:p>
    <w:bookmarkEnd w:id="302"/>
    <w:bookmarkStart w:id="304"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3">
        <w:r>
          <w:rPr>
            <w:rStyle w:val="Hyperlink"/>
          </w:rPr>
          <w:t xml:space="preserve">10.1007/s11098-005-7779-8</w:t>
        </w:r>
      </w:hyperlink>
    </w:p>
    <w:bookmarkEnd w:id="304"/>
    <w:bookmarkStart w:id="306"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5">
        <w:r>
          <w:rPr>
            <w:rStyle w:val="Hyperlink"/>
          </w:rPr>
          <w:t xml:space="preserve">10.2307/3326922</w:t>
        </w:r>
      </w:hyperlink>
    </w:p>
    <w:bookmarkEnd w:id="306"/>
    <w:bookmarkStart w:id="307"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7"/>
    <w:bookmarkStart w:id="309"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8">
        <w:r>
          <w:rPr>
            <w:rStyle w:val="Hyperlink"/>
          </w:rPr>
          <w:t xml:space="preserve">10.3765/sp.3.4</w:t>
        </w:r>
      </w:hyperlink>
    </w:p>
    <w:bookmarkEnd w:id="309"/>
    <w:bookmarkStart w:id="310"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10"/>
    <w:bookmarkStart w:id="311" w:name="ref-Harman1973"/>
    <w:p>
      <w:pPr>
        <w:pStyle w:val="Bibliography"/>
      </w:pPr>
      <w:r>
        <w:t xml:space="preserve">Harman, Gilbert. (1973).</w:t>
      </w:r>
      <w:r>
        <w:t xml:space="preserve"> </w:t>
      </w:r>
      <w:r>
        <w:rPr>
          <w:iCs/>
          <w:i/>
        </w:rPr>
        <w:t xml:space="preserve">Thought</w:t>
      </w:r>
      <w:r>
        <w:t xml:space="preserve">. Princeton University Press.</w:t>
      </w:r>
    </w:p>
    <w:bookmarkEnd w:id="311"/>
    <w:bookmarkStart w:id="312"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12"/>
    <w:bookmarkStart w:id="314"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3">
        <w:r>
          <w:rPr>
            <w:rStyle w:val="Hyperlink"/>
          </w:rPr>
          <w:t xml:space="preserve">10.1007/BF00183199</w:t>
        </w:r>
      </w:hyperlink>
    </w:p>
    <w:bookmarkEnd w:id="314"/>
    <w:bookmarkStart w:id="315" w:name="ref-Hawthorne2004"/>
    <w:p>
      <w:pPr>
        <w:pStyle w:val="Bibliography"/>
      </w:pPr>
      <w:r>
        <w:t xml:space="preserve">Hawthorne, John. (2004).</w:t>
      </w:r>
      <w:r>
        <w:t xml:space="preserve"> </w:t>
      </w:r>
      <w:r>
        <w:rPr>
          <w:iCs/>
          <w:i/>
        </w:rPr>
        <w:t xml:space="preserve">Knowledge and lotteries</w:t>
      </w:r>
      <w:r>
        <w:t xml:space="preserve">. Oxford University Press.</w:t>
      </w:r>
    </w:p>
    <w:bookmarkEnd w:id="315"/>
    <w:bookmarkStart w:id="317"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6">
        <w:r>
          <w:rPr>
            <w:rStyle w:val="Hyperlink"/>
          </w:rPr>
          <w:t xml:space="preserve">10.1111/j.1933-1592.2005.tb00540.x</w:t>
        </w:r>
      </w:hyperlink>
    </w:p>
    <w:bookmarkEnd w:id="317"/>
    <w:bookmarkStart w:id="319"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8">
        <w:r>
          <w:rPr>
            <w:rStyle w:val="Hyperlink"/>
          </w:rPr>
          <w:t xml:space="preserve">10.1007/s11098-015-0553-7</w:t>
        </w:r>
      </w:hyperlink>
    </w:p>
    <w:bookmarkEnd w:id="319"/>
    <w:bookmarkStart w:id="320"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20"/>
    <w:bookmarkStart w:id="322"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21">
        <w:r>
          <w:rPr>
            <w:rStyle w:val="Hyperlink"/>
          </w:rPr>
          <w:t xml:space="preserve">10.5840/jphil20081051022</w:t>
        </w:r>
      </w:hyperlink>
    </w:p>
    <w:bookmarkEnd w:id="322"/>
    <w:bookmarkStart w:id="324"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3">
        <w:r>
          <w:rPr>
            <w:rStyle w:val="Hyperlink"/>
          </w:rPr>
          <w:t xml:space="preserve">10.1007/s11098-012-9880-0</w:t>
        </w:r>
      </w:hyperlink>
    </w:p>
    <w:bookmarkEnd w:id="324"/>
    <w:bookmarkStart w:id="326"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5">
        <w:r>
          <w:rPr>
            <w:rStyle w:val="Hyperlink"/>
          </w:rPr>
          <w:t xml:space="preserve">10.1086/671402</w:t>
        </w:r>
      </w:hyperlink>
    </w:p>
    <w:bookmarkEnd w:id="326"/>
    <w:bookmarkStart w:id="328"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7">
        <w:r>
          <w:rPr>
            <w:rStyle w:val="Hyperlink"/>
          </w:rPr>
          <w:t xml:space="preserve">10.1086/648610</w:t>
        </w:r>
      </w:hyperlink>
    </w:p>
    <w:bookmarkEnd w:id="328"/>
    <w:bookmarkStart w:id="330" w:name="ref-HollidayMandelkern2024"/>
    <w:p>
      <w:pPr>
        <w:pStyle w:val="Bibliography"/>
      </w:pPr>
      <w:r>
        <w:t xml:space="preserve">Holliday, Wesley H., and Matthew Mandelkern. (2024). The orthologic of epistemic modals.</w:t>
      </w:r>
      <w:r>
        <w:t xml:space="preserve"> </w:t>
      </w:r>
      <w:r>
        <w:rPr>
          <w:iCs/>
          <w:i/>
        </w:rPr>
        <w:t xml:space="preserve">Journal of Philosophical Logic</w:t>
      </w:r>
      <w:r>
        <w:t xml:space="preserve">,</w:t>
      </w:r>
      <w:r>
        <w:t xml:space="preserve"> </w:t>
      </w:r>
      <w:r>
        <w:rPr>
          <w:iCs/>
          <w:i/>
        </w:rPr>
        <w:t xml:space="preserve">53</w:t>
      </w:r>
      <w:r>
        <w:t xml:space="preserve">(831-907). doi:</w:t>
      </w:r>
      <w:hyperlink r:id="rId329">
        <w:r>
          <w:rPr>
            <w:rStyle w:val="Hyperlink"/>
          </w:rPr>
          <w:t xml:space="preserve">s10992-024-09746-7</w:t>
        </w:r>
      </w:hyperlink>
    </w:p>
    <w:bookmarkEnd w:id="330"/>
    <w:bookmarkStart w:id="332"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31">
        <w:r>
          <w:rPr>
            <w:rStyle w:val="Hyperlink"/>
          </w:rPr>
          <w:t xml:space="preserve">10.2307/2224214</w:t>
        </w:r>
      </w:hyperlink>
    </w:p>
    <w:bookmarkEnd w:id="332"/>
    <w:bookmarkStart w:id="334"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33">
        <w:r>
          <w:rPr>
            <w:rStyle w:val="Hyperlink"/>
          </w:rPr>
          <w:t xml:space="preserve">10.1007/BF00293423</w:t>
        </w:r>
      </w:hyperlink>
    </w:p>
    <w:bookmarkEnd w:id="334"/>
    <w:bookmarkStart w:id="335" w:name="ref-Humberstone2016"/>
    <w:p>
      <w:pPr>
        <w:pStyle w:val="Bibliography"/>
      </w:pPr>
      <w:r>
        <w:t xml:space="preserve">Humberstone, Lloyd. (2016).</w:t>
      </w:r>
      <w:r>
        <w:t xml:space="preserve"> </w:t>
      </w:r>
      <w:r>
        <w:rPr>
          <w:iCs/>
          <w:i/>
        </w:rPr>
        <w:t xml:space="preserve">Philsophical applications of modal logic</w:t>
      </w:r>
      <w:r>
        <w:t xml:space="preserve">. College Publications.</w:t>
      </w:r>
    </w:p>
    <w:bookmarkEnd w:id="335"/>
    <w:bookmarkStart w:id="337"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6">
        <w:r>
          <w:rPr>
            <w:rStyle w:val="Hyperlink"/>
          </w:rPr>
          <w:t xml:space="preserve">10.2307/2216304</w:t>
        </w:r>
      </w:hyperlink>
    </w:p>
    <w:bookmarkEnd w:id="337"/>
    <w:bookmarkStart w:id="339" w:name="ref-Ichikawa2012a"/>
    <w:p>
      <w:pPr>
        <w:pStyle w:val="Bibliography"/>
      </w:pPr>
      <w:r>
        <w:t xml:space="preserve">Ichikawa, Jonathan. (2012). Knowledge norms and acting well.</w:t>
      </w:r>
      <w:r>
        <w:t xml:space="preserve"> </w:t>
      </w:r>
      <w:r>
        <w:rPr>
          <w:iCs/>
          <w:i/>
        </w:rPr>
        <w:t xml:space="preserve">Thought: A Journal of Philosophy</w:t>
      </w:r>
      <w:r>
        <w:t xml:space="preserve">,</w:t>
      </w:r>
      <w:r>
        <w:t xml:space="preserve"> </w:t>
      </w:r>
      <w:r>
        <w:rPr>
          <w:iCs/>
          <w:i/>
        </w:rPr>
        <w:t xml:space="preserve">1</w:t>
      </w:r>
      <w:r>
        <w:t xml:space="preserve">(1), 49–55. doi:</w:t>
      </w:r>
      <w:hyperlink r:id="rId338">
        <w:r>
          <w:rPr>
            <w:rStyle w:val="Hyperlink"/>
          </w:rPr>
          <w:t xml:space="preserve">10.1002/tht3.7</w:t>
        </w:r>
      </w:hyperlink>
    </w:p>
    <w:bookmarkEnd w:id="339"/>
    <w:bookmarkStart w:id="340" w:name="ref-Ichikawa2017"/>
    <w:p>
      <w:pPr>
        <w:pStyle w:val="Bibliography"/>
      </w:pPr>
      <w:r>
        <w:t xml:space="preserve">Ichikawa, Jonathan. (2017).</w:t>
      </w:r>
      <w:r>
        <w:t xml:space="preserve"> </w:t>
      </w:r>
      <w:r>
        <w:rPr>
          <w:iCs/>
          <w:i/>
        </w:rPr>
        <w:t xml:space="preserve">Contextualising knowledge</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40"/>
    <w:bookmarkStart w:id="342"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41">
        <w:r>
          <w:rPr>
            <w:rStyle w:val="Hyperlink"/>
          </w:rPr>
          <w:t xml:space="preserve">10.1111/j.1467-9280.2006.01677.x</w:t>
        </w:r>
      </w:hyperlink>
    </w:p>
    <w:bookmarkEnd w:id="342"/>
    <w:bookmarkStart w:id="343" w:name="ref-Jackson1987"/>
    <w:p>
      <w:pPr>
        <w:pStyle w:val="Bibliography"/>
      </w:pPr>
      <w:r>
        <w:t xml:space="preserve">Jackson, Frank. (1987).</w:t>
      </w:r>
      <w:r>
        <w:t xml:space="preserve"> </w:t>
      </w:r>
      <w:r>
        <w:rPr>
          <w:iCs/>
          <w:i/>
        </w:rPr>
        <w:t xml:space="preserve">Conditionals</w:t>
      </w:r>
      <w:r>
        <w:t xml:space="preserve">. Oxford.</w:t>
      </w:r>
    </w:p>
    <w:bookmarkEnd w:id="343"/>
    <w:bookmarkStart w:id="344"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44"/>
    <w:bookmarkStart w:id="345"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45"/>
    <w:bookmarkStart w:id="347"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46">
        <w:r>
          <w:rPr>
            <w:rStyle w:val="Hyperlink"/>
          </w:rPr>
          <w:t xml:space="preserve">10.2307/2224674</w:t>
        </w:r>
      </w:hyperlink>
    </w:p>
    <w:bookmarkEnd w:id="347"/>
    <w:bookmarkStart w:id="348"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8"/>
    <w:bookmarkStart w:id="350"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9">
        <w:r>
          <w:rPr>
            <w:rStyle w:val="Hyperlink"/>
          </w:rPr>
          <w:t xml:space="preserve">10.1007/s44204-023-00097-9</w:t>
        </w:r>
      </w:hyperlink>
    </w:p>
    <w:bookmarkEnd w:id="350"/>
    <w:bookmarkStart w:id="352"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51">
        <w:r>
          <w:rPr>
            <w:rStyle w:val="Hyperlink"/>
          </w:rPr>
          <w:t xml:space="preserve">10.1111/jere.12070</w:t>
        </w:r>
      </w:hyperlink>
    </w:p>
    <w:bookmarkEnd w:id="352"/>
    <w:bookmarkStart w:id="353"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53"/>
    <w:bookmarkStart w:id="355"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54">
        <w:r>
          <w:rPr>
            <w:rStyle w:val="Hyperlink"/>
          </w:rPr>
          <w:t xml:space="preserve">10.2307/1912320</w:t>
        </w:r>
      </w:hyperlink>
    </w:p>
    <w:bookmarkEnd w:id="355"/>
    <w:bookmarkStart w:id="356" w:name="ref-Kratzer2012"/>
    <w:p>
      <w:pPr>
        <w:pStyle w:val="Bibliography"/>
      </w:pPr>
      <w:r>
        <w:t xml:space="preserve">Kratzer, Angelika. (2012).</w:t>
      </w:r>
      <w:r>
        <w:t xml:space="preserve"> </w:t>
      </w:r>
      <w:r>
        <w:rPr>
          <w:iCs/>
          <w:i/>
        </w:rPr>
        <w:t xml:space="preserve">Modals and conditionals</w:t>
      </w:r>
      <w:r>
        <w:t xml:space="preserve">. Oxford University Press.</w:t>
      </w:r>
    </w:p>
    <w:bookmarkEnd w:id="356"/>
    <w:bookmarkStart w:id="357"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7"/>
    <w:bookmarkStart w:id="359"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8">
        <w:r>
          <w:rPr>
            <w:rStyle w:val="Hyperlink"/>
          </w:rPr>
          <w:t xml:space="preserve">10.1093/analys/anr129</w:t>
        </w:r>
      </w:hyperlink>
    </w:p>
    <w:bookmarkEnd w:id="359"/>
    <w:bookmarkStart w:id="361"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60">
        <w:r>
          <w:rPr>
            <w:rStyle w:val="Hyperlink"/>
          </w:rPr>
          <w:t xml:space="preserve">10.1111/j.1520-8583.2010.00183.x</w:t>
        </w:r>
      </w:hyperlink>
    </w:p>
    <w:bookmarkEnd w:id="361"/>
    <w:bookmarkStart w:id="363"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62">
        <w:r>
          <w:rPr>
            <w:rStyle w:val="Hyperlink"/>
          </w:rPr>
          <w:t xml:space="preserve">10.1111/phpr.12090</w:t>
        </w:r>
      </w:hyperlink>
    </w:p>
    <w:bookmarkEnd w:id="363"/>
    <w:bookmarkStart w:id="365"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64">
        <w:r>
          <w:rPr>
            <w:rStyle w:val="Hyperlink"/>
          </w:rPr>
          <w:t xml:space="preserve">10.1111/nous.12186</w:t>
        </w:r>
      </w:hyperlink>
    </w:p>
    <w:bookmarkEnd w:id="365"/>
    <w:bookmarkStart w:id="367" w:name="ref-Lee2017a"/>
    <w:p>
      <w:pPr>
        <w:pStyle w:val="Bibliography"/>
      </w:pPr>
      <w:r>
        <w:t xml:space="preserve">Lee, Matthew. (2017a).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6">
        <w:r>
          <w:rPr>
            <w:rStyle w:val="Hyperlink"/>
          </w:rPr>
          <w:t xml:space="preserve">10.1080/05568641.2017.1364142</w:t>
        </w:r>
      </w:hyperlink>
    </w:p>
    <w:bookmarkEnd w:id="367"/>
    <w:bookmarkStart w:id="369" w:name="ref-Lee2017b"/>
    <w:p>
      <w:pPr>
        <w:pStyle w:val="Bibliography"/>
      </w:pPr>
      <w:r>
        <w:t xml:space="preserve">Lee, Matthew. (2017b).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68">
        <w:r>
          <w:rPr>
            <w:rStyle w:val="Hyperlink"/>
          </w:rPr>
          <w:t xml:space="preserve">10.1017/S0012217317000154</w:t>
        </w:r>
      </w:hyperlink>
    </w:p>
    <w:bookmarkEnd w:id="369"/>
    <w:bookmarkStart w:id="370"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70"/>
    <w:bookmarkStart w:id="372"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71">
        <w:r>
          <w:rPr>
            <w:rStyle w:val="Hyperlink"/>
          </w:rPr>
          <w:t xml:space="preserve">10.2307/2184045</w:t>
        </w:r>
      </w:hyperlink>
    </w:p>
    <w:bookmarkEnd w:id="372"/>
    <w:bookmarkStart w:id="374"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73">
        <w:r>
          <w:rPr>
            <w:rStyle w:val="Hyperlink"/>
          </w:rPr>
          <w:t xml:space="preserve">10.1017/cbo9780511625237.009</w:t>
        </w:r>
      </w:hyperlink>
    </w:p>
    <w:bookmarkEnd w:id="374"/>
    <w:bookmarkStart w:id="376"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75">
        <w:r>
          <w:rPr>
            <w:rStyle w:val="Hyperlink"/>
          </w:rPr>
          <w:t xml:space="preserve">10.2307/2185051</w:t>
        </w:r>
      </w:hyperlink>
    </w:p>
    <w:bookmarkEnd w:id="376"/>
    <w:bookmarkStart w:id="378"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77">
        <w:r>
          <w:rPr>
            <w:rStyle w:val="Hyperlink"/>
          </w:rPr>
          <w:t xml:space="preserve">10.1093/mind/xcvii.387.323</w:t>
        </w:r>
      </w:hyperlink>
    </w:p>
    <w:bookmarkEnd w:id="378"/>
    <w:bookmarkStart w:id="380"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9">
        <w:r>
          <w:rPr>
            <w:rStyle w:val="Hyperlink"/>
          </w:rPr>
          <w:t xml:space="preserve">10.1093/mind/105.418.303</w:t>
        </w:r>
      </w:hyperlink>
    </w:p>
    <w:bookmarkEnd w:id="380"/>
    <w:bookmarkStart w:id="381"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81"/>
    <w:bookmarkStart w:id="383"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82">
        <w:r>
          <w:rPr>
            <w:rStyle w:val="Hyperlink"/>
          </w:rPr>
          <w:t xml:space="preserve">10.2307/2296233</w:t>
        </w:r>
      </w:hyperlink>
    </w:p>
    <w:bookmarkEnd w:id="383"/>
    <w:bookmarkStart w:id="385"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84">
        <w:r>
          <w:rPr>
            <w:rStyle w:val="Hyperlink"/>
          </w:rPr>
          <w:t xml:space="preserve">10.1111/phpr.12271</w:t>
        </w:r>
      </w:hyperlink>
    </w:p>
    <w:bookmarkEnd w:id="385"/>
    <w:bookmarkStart w:id="386"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86"/>
    <w:bookmarkStart w:id="388"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87">
        <w:r>
          <w:rPr>
            <w:rStyle w:val="Hyperlink"/>
          </w:rPr>
          <w:t xml:space="preserve">10.1086/392759</w:t>
        </w:r>
      </w:hyperlink>
    </w:p>
    <w:bookmarkEnd w:id="388"/>
    <w:bookmarkStart w:id="390"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9">
        <w:r>
          <w:rPr>
            <w:rStyle w:val="Hyperlink"/>
          </w:rPr>
          <w:t xml:space="preserve">10.1086/289906</w:t>
        </w:r>
      </w:hyperlink>
    </w:p>
    <w:bookmarkEnd w:id="390"/>
    <w:bookmarkStart w:id="391"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91"/>
    <w:bookmarkStart w:id="393"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92">
        <w:r>
          <w:rPr>
            <w:rStyle w:val="Hyperlink"/>
          </w:rPr>
          <w:t xml:space="preserve">10.1007/s11098-010-9542-z</w:t>
        </w:r>
      </w:hyperlink>
    </w:p>
    <w:bookmarkEnd w:id="393"/>
    <w:bookmarkStart w:id="395"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94">
        <w:r>
          <w:rPr>
            <w:rStyle w:val="Hyperlink"/>
          </w:rPr>
          <w:t xml:space="preserve">10.1215/00318108-3878483</w:t>
        </w:r>
      </w:hyperlink>
    </w:p>
    <w:bookmarkEnd w:id="395"/>
    <w:bookmarkStart w:id="397"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96">
        <w:r>
          <w:rPr>
            <w:rStyle w:val="Hyperlink"/>
          </w:rPr>
          <w:t xml:space="preserve">10.1007/s10734-010-9309-7</w:t>
        </w:r>
      </w:hyperlink>
    </w:p>
    <w:bookmarkEnd w:id="397"/>
    <w:bookmarkStart w:id="399"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8">
        <w:r>
          <w:rPr>
            <w:rStyle w:val="Hyperlink"/>
          </w:rPr>
          <w:t xml:space="preserve">10.1007/s11238-017-9592-1</w:t>
        </w:r>
      </w:hyperlink>
    </w:p>
    <w:bookmarkEnd w:id="399"/>
    <w:bookmarkStart w:id="401"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400">
        <w:r>
          <w:rPr>
            <w:rStyle w:val="Hyperlink"/>
          </w:rPr>
          <w:t xml:space="preserve">10.1111/nous.12323</w:t>
        </w:r>
      </w:hyperlink>
    </w:p>
    <w:bookmarkEnd w:id="401"/>
    <w:bookmarkStart w:id="402"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402"/>
    <w:bookmarkStart w:id="403"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403"/>
    <w:bookmarkStart w:id="404"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404"/>
    <w:bookmarkStart w:id="406"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405">
        <w:r>
          <w:rPr>
            <w:rStyle w:val="Hyperlink"/>
          </w:rPr>
          <w:t xml:space="preserve">10.1111/j.1520-8583.2010.00198.x</w:t>
        </w:r>
      </w:hyperlink>
    </w:p>
    <w:bookmarkEnd w:id="406"/>
    <w:bookmarkStart w:id="408"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407">
        <w:r>
          <w:rPr>
            <w:rStyle w:val="Hyperlink"/>
          </w:rPr>
          <w:t xml:space="preserve">10.1080/0020174X.2013.775014</w:t>
        </w:r>
      </w:hyperlink>
    </w:p>
    <w:bookmarkEnd w:id="408"/>
    <w:bookmarkStart w:id="409"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9"/>
    <w:bookmarkStart w:id="411"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10">
        <w:r>
          <w:rPr>
            <w:rStyle w:val="Hyperlink"/>
          </w:rPr>
          <w:t xml:space="preserve">10.1111/phpr.12431</w:t>
        </w:r>
      </w:hyperlink>
    </w:p>
    <w:bookmarkEnd w:id="411"/>
    <w:bookmarkStart w:id="413"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12">
        <w:r>
          <w:rPr>
            <w:rStyle w:val="Hyperlink"/>
          </w:rPr>
          <w:t xml:space="preserve">10.1111/j.1933-1592.2007.00069.x</w:t>
        </w:r>
      </w:hyperlink>
    </w:p>
    <w:bookmarkEnd w:id="413"/>
    <w:bookmarkStart w:id="415"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14">
        <w:r>
          <w:rPr>
            <w:rStyle w:val="Hyperlink"/>
          </w:rPr>
          <w:t xml:space="preserve">10.1037/pspp0000141</w:t>
        </w:r>
      </w:hyperlink>
    </w:p>
    <w:bookmarkEnd w:id="415"/>
    <w:bookmarkStart w:id="417"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16">
        <w:r>
          <w:rPr>
            <w:rStyle w:val="Hyperlink"/>
          </w:rPr>
          <w:t xml:space="preserve">10.1016/j.shpsb.2009.08.008</w:t>
        </w:r>
      </w:hyperlink>
    </w:p>
    <w:bookmarkEnd w:id="417"/>
    <w:bookmarkStart w:id="418" w:name="ref-Nozick1981"/>
    <w:p>
      <w:pPr>
        <w:pStyle w:val="Bibliography"/>
      </w:pPr>
      <w:r>
        <w:t xml:space="preserve">Nozick, Robert. (1981).</w:t>
      </w:r>
      <w:r>
        <w:t xml:space="preserve"> </w:t>
      </w:r>
      <w:r>
        <w:rPr>
          <w:iCs/>
          <w:i/>
        </w:rPr>
        <w:t xml:space="preserve">Philosophical explorations</w:t>
      </w:r>
      <w:r>
        <w:t xml:space="preserve">. Harvard University Press.</w:t>
      </w:r>
    </w:p>
    <w:bookmarkEnd w:id="418"/>
    <w:bookmarkStart w:id="419"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9"/>
    <w:bookmarkStart w:id="420"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20"/>
    <w:bookmarkStart w:id="422"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21">
        <w:r>
          <w:rPr>
            <w:rStyle w:val="Hyperlink"/>
          </w:rPr>
          <w:t xml:space="preserve">10.1016/j.mathsocsci.2013.08.005</w:t>
        </w:r>
      </w:hyperlink>
    </w:p>
    <w:bookmarkEnd w:id="422"/>
    <w:bookmarkStart w:id="423"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23"/>
    <w:bookmarkStart w:id="424"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24"/>
    <w:bookmarkStart w:id="426"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25">
        <w:r>
          <w:rPr>
            <w:rStyle w:val="Hyperlink"/>
          </w:rPr>
          <w:t xml:space="preserve">10.1111/j.1533-6077.2004.00034.x</w:t>
        </w:r>
      </w:hyperlink>
    </w:p>
    <w:bookmarkEnd w:id="426"/>
    <w:bookmarkStart w:id="428"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7">
        <w:r>
          <w:rPr>
            <w:rStyle w:val="Hyperlink"/>
          </w:rPr>
          <w:t xml:space="preserve">10.1016/0167-2681(82)90008-7</w:t>
        </w:r>
      </w:hyperlink>
    </w:p>
    <w:bookmarkEnd w:id="428"/>
    <w:bookmarkStart w:id="430"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9">
        <w:r>
          <w:rPr>
            <w:rStyle w:val="Hyperlink"/>
          </w:rPr>
          <w:t xml:space="preserve">https://plato.stanford.edu/archives/spr2018/entries/public-reason/</w:t>
        </w:r>
      </w:hyperlink>
      <w:r>
        <w:t xml:space="preserve">; Metaphysics Research Lab, Stanford University.</w:t>
      </w:r>
    </w:p>
    <w:bookmarkEnd w:id="430"/>
    <w:bookmarkStart w:id="431"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31"/>
    <w:bookmarkStart w:id="432"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32"/>
    <w:bookmarkStart w:id="434"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33">
        <w:r>
          <w:rPr>
            <w:rStyle w:val="Hyperlink"/>
          </w:rPr>
          <w:t xml:space="preserve">10.1257/aer.101.2.900</w:t>
        </w:r>
      </w:hyperlink>
    </w:p>
    <w:bookmarkEnd w:id="434"/>
    <w:bookmarkStart w:id="436"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5">
        <w:r>
          <w:rPr>
            <w:rStyle w:val="Hyperlink"/>
          </w:rPr>
          <w:t xml:space="preserve">10.3765/sp.5.6</w:t>
        </w:r>
      </w:hyperlink>
    </w:p>
    <w:bookmarkEnd w:id="436"/>
    <w:bookmarkStart w:id="438"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7">
        <w:r>
          <w:rPr>
            <w:rStyle w:val="Hyperlink"/>
          </w:rPr>
          <w:t xml:space="preserve">10.1111/j.1933-1592.2011.00552.x</w:t>
        </w:r>
      </w:hyperlink>
    </w:p>
    <w:bookmarkEnd w:id="438"/>
    <w:bookmarkStart w:id="439"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39"/>
    <w:bookmarkStart w:id="441"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40">
        <w:r>
          <w:rPr>
            <w:rStyle w:val="Hyperlink"/>
          </w:rPr>
          <w:t xml:space="preserve">10.1080/00048400802001996</w:t>
        </w:r>
      </w:hyperlink>
    </w:p>
    <w:bookmarkEnd w:id="441"/>
    <w:bookmarkStart w:id="443"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42">
        <w:r>
          <w:rPr>
            <w:rStyle w:val="Hyperlink"/>
          </w:rPr>
          <w:t xml:space="preserve">10.1016/S0004-3702(97)00026-X</w:t>
        </w:r>
      </w:hyperlink>
    </w:p>
    <w:bookmarkEnd w:id="443"/>
    <w:bookmarkStart w:id="445"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4">
        <w:r>
          <w:rPr>
            <w:rStyle w:val="Hyperlink"/>
          </w:rPr>
          <w:t xml:space="preserve">10.1086/288168</w:t>
        </w:r>
      </w:hyperlink>
    </w:p>
    <w:bookmarkEnd w:id="445"/>
    <w:bookmarkStart w:id="447"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6">
        <w:r>
          <w:rPr>
            <w:rStyle w:val="Hyperlink"/>
          </w:rPr>
          <w:t xml:space="preserve">10.1086/651235</w:t>
        </w:r>
      </w:hyperlink>
    </w:p>
    <w:bookmarkEnd w:id="447"/>
    <w:bookmarkStart w:id="449"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8">
        <w:r>
          <w:rPr>
            <w:rStyle w:val="Hyperlink"/>
          </w:rPr>
          <w:t xml:space="preserve">10.1111/phib.12314</w:t>
        </w:r>
      </w:hyperlink>
    </w:p>
    <w:bookmarkEnd w:id="449"/>
    <w:bookmarkStart w:id="451"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50">
        <w:r>
          <w:rPr>
            <w:rStyle w:val="Hyperlink"/>
          </w:rPr>
          <w:t xml:space="preserve">10.1111/nous.12006</w:t>
        </w:r>
      </w:hyperlink>
    </w:p>
    <w:bookmarkEnd w:id="451"/>
    <w:bookmarkStart w:id="453"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52">
        <w:r>
          <w:rPr>
            <w:rStyle w:val="Hyperlink"/>
          </w:rPr>
          <w:t xml:space="preserve">10.1007/s11098-008-9200-x</w:t>
        </w:r>
      </w:hyperlink>
    </w:p>
    <w:bookmarkEnd w:id="453"/>
    <w:bookmarkStart w:id="455" w:name="ref-Schroeder2012"/>
    <w:p>
      <w:pPr>
        <w:pStyle w:val="Bibliography"/>
      </w:pPr>
      <w:r>
        <w:t xml:space="preserve">Schroeder, Mark. (2012). Stakes, withholding and pragmatic encroachment on knowledge.</w:t>
      </w:r>
      <w:r>
        <w:t xml:space="preserve"> </w:t>
      </w:r>
      <w:r>
        <w:rPr>
          <w:iCs/>
          <w:i/>
        </w:rPr>
        <w:t xml:space="preserve">Philosophical Studies</w:t>
      </w:r>
      <w:r>
        <w:t xml:space="preserve">,</w:t>
      </w:r>
      <w:r>
        <w:t xml:space="preserve"> </w:t>
      </w:r>
      <w:r>
        <w:rPr>
          <w:iCs/>
          <w:i/>
        </w:rPr>
        <w:t xml:space="preserve">160</w:t>
      </w:r>
      <w:r>
        <w:t xml:space="preserve">(2), 265–285. doi:</w:t>
      </w:r>
      <w:hyperlink r:id="rId454">
        <w:r>
          <w:rPr>
            <w:rStyle w:val="Hyperlink"/>
          </w:rPr>
          <w:t xml:space="preserve">10.1007/s11098-011-9718-1</w:t>
        </w:r>
      </w:hyperlink>
    </w:p>
    <w:bookmarkEnd w:id="455"/>
    <w:bookmarkStart w:id="456"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6"/>
    <w:bookmarkStart w:id="458"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7">
        <w:r>
          <w:rPr>
            <w:rStyle w:val="Hyperlink"/>
          </w:rPr>
          <w:t xml:space="preserve">10.1037/0022-3514.83.5.1178</w:t>
        </w:r>
      </w:hyperlink>
    </w:p>
    <w:bookmarkEnd w:id="458"/>
    <w:bookmarkStart w:id="460"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59">
        <w:r>
          <w:rPr>
            <w:rStyle w:val="Hyperlink"/>
          </w:rPr>
          <w:t xml:space="preserve">10.2307/3218711</w:t>
        </w:r>
      </w:hyperlink>
    </w:p>
    <w:bookmarkEnd w:id="460"/>
    <w:bookmarkStart w:id="462"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61">
        <w:r>
          <w:rPr>
            <w:rStyle w:val="Hyperlink"/>
          </w:rPr>
          <w:t xml:space="preserve">10.1111/0029-4624.33.s13.7</w:t>
        </w:r>
      </w:hyperlink>
    </w:p>
    <w:bookmarkEnd w:id="462"/>
    <w:bookmarkStart w:id="464"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3">
        <w:r>
          <w:rPr>
            <w:rStyle w:val="Hyperlink"/>
          </w:rPr>
          <w:t xml:space="preserve">10.1111/j.1468-0017.2010.01394.x</w:t>
        </w:r>
      </w:hyperlink>
    </w:p>
    <w:bookmarkEnd w:id="464"/>
    <w:bookmarkStart w:id="466"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5">
        <w:r>
          <w:rPr>
            <w:rStyle w:val="Hyperlink"/>
          </w:rPr>
          <w:t xml:space="preserve">10.1111/nous.12254</w:t>
        </w:r>
      </w:hyperlink>
    </w:p>
    <w:bookmarkEnd w:id="466"/>
    <w:bookmarkStart w:id="468"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67">
        <w:r>
          <w:rPr>
            <w:rStyle w:val="Hyperlink"/>
          </w:rPr>
          <w:t xml:space="preserve">10.1007/bf02379021</w:t>
        </w:r>
      </w:hyperlink>
    </w:p>
    <w:bookmarkEnd w:id="468"/>
    <w:bookmarkStart w:id="469" w:name="ref-Stalnaker1984"/>
    <w:p>
      <w:pPr>
        <w:pStyle w:val="Bibliography"/>
      </w:pPr>
      <w:r>
        <w:t xml:space="preserve">Stalnaker, Robert. (1984).</w:t>
      </w:r>
      <w:r>
        <w:t xml:space="preserve"> </w:t>
      </w:r>
      <w:r>
        <w:rPr>
          <w:iCs/>
          <w:i/>
        </w:rPr>
        <w:t xml:space="preserve">Inquiry</w:t>
      </w:r>
      <w:r>
        <w:t xml:space="preserve">. MIT Press.</w:t>
      </w:r>
    </w:p>
    <w:bookmarkEnd w:id="469"/>
    <w:bookmarkStart w:id="471"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70">
        <w:r>
          <w:rPr>
            <w:rStyle w:val="Hyperlink"/>
          </w:rPr>
          <w:t xml:space="preserve">10.1007/BF01079205</w:t>
        </w:r>
      </w:hyperlink>
    </w:p>
    <w:bookmarkEnd w:id="471"/>
    <w:bookmarkStart w:id="473"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72">
        <w:r>
          <w:rPr>
            <w:rStyle w:val="Hyperlink"/>
          </w:rPr>
          <w:t xml:space="preserve">10.1017/S0266267100004132</w:t>
        </w:r>
      </w:hyperlink>
    </w:p>
    <w:bookmarkEnd w:id="473"/>
    <w:bookmarkStart w:id="475"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4">
        <w:r>
          <w:rPr>
            <w:rStyle w:val="Hyperlink"/>
          </w:rPr>
          <w:t xml:space="preserve">10.1016/S0165-4896(98)00007-9</w:t>
        </w:r>
      </w:hyperlink>
    </w:p>
    <w:bookmarkEnd w:id="475"/>
    <w:bookmarkStart w:id="477"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6">
        <w:r>
          <w:rPr>
            <w:rStyle w:val="Hyperlink"/>
          </w:rPr>
          <w:t xml:space="preserve">10.1006/reec.1999.0200</w:t>
        </w:r>
      </w:hyperlink>
    </w:p>
    <w:bookmarkEnd w:id="477"/>
    <w:bookmarkStart w:id="478"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8"/>
    <w:bookmarkStart w:id="479" w:name="ref-Stanley2011"/>
    <w:p>
      <w:pPr>
        <w:pStyle w:val="Bibliography"/>
      </w:pPr>
      <w:r>
        <w:t xml:space="preserve">Stanley, Jason. (2011).</w:t>
      </w:r>
      <w:r>
        <w:t xml:space="preserve"> </w:t>
      </w:r>
      <w:r>
        <w:rPr>
          <w:iCs/>
          <w:i/>
        </w:rPr>
        <w:t xml:space="preserve">Know how</w:t>
      </w:r>
      <w:r>
        <w:t xml:space="preserve">. Oxford University Press.</w:t>
      </w:r>
    </w:p>
    <w:bookmarkEnd w:id="479"/>
    <w:bookmarkStart w:id="481" w:name="ref-Steglich-Petersen2024"/>
    <w:p>
      <w:pPr>
        <w:pStyle w:val="Bibliography"/>
      </w:pPr>
      <w:r>
        <w:t xml:space="preserve">Steglich-Petersen, Asbjørn. (2024). An instrumentalist explanation of pragmatic encroachment.</w:t>
      </w:r>
      <w:r>
        <w:t xml:space="preserve"> </w:t>
      </w:r>
      <w:r>
        <w:rPr>
          <w:iCs/>
          <w:i/>
        </w:rPr>
        <w:t xml:space="preserve">Analytic Philosophy</w:t>
      </w:r>
      <w:r>
        <w:t xml:space="preserve">,</w:t>
      </w:r>
      <w:r>
        <w:t xml:space="preserve"> </w:t>
      </w:r>
      <w:r>
        <w:rPr>
          <w:iCs/>
          <w:i/>
        </w:rPr>
        <w:t xml:space="preserve">65</w:t>
      </w:r>
      <w:r>
        <w:t xml:space="preserve">(3), 374–392. doi:</w:t>
      </w:r>
      <w:hyperlink r:id="rId480">
        <w:r>
          <w:rPr>
            <w:rStyle w:val="Hyperlink"/>
          </w:rPr>
          <w:t xml:space="preserve">10.1111/phib.12283</w:t>
        </w:r>
      </w:hyperlink>
    </w:p>
    <w:bookmarkEnd w:id="481"/>
    <w:bookmarkStart w:id="482"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82"/>
    <w:bookmarkStart w:id="484"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3">
        <w:r>
          <w:rPr>
            <w:rStyle w:val="Hyperlink"/>
          </w:rPr>
          <w:t xml:space="preserve">10.1111/phpr.12191</w:t>
        </w:r>
      </w:hyperlink>
    </w:p>
    <w:bookmarkEnd w:id="484"/>
    <w:bookmarkStart w:id="485"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5"/>
    <w:bookmarkStart w:id="487"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6">
        <w:r>
          <w:rPr>
            <w:rStyle w:val="Hyperlink"/>
          </w:rPr>
          <w:t xml:space="preserve">10.1111/j.1520-8583.2005.00068.x</w:t>
        </w:r>
      </w:hyperlink>
    </w:p>
    <w:bookmarkEnd w:id="487"/>
    <w:bookmarkStart w:id="489"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88">
        <w:r>
          <w:rPr>
            <w:rStyle w:val="Hyperlink"/>
          </w:rPr>
          <w:t xml:space="preserve">10.1007/s11098-004-5218-x</w:t>
        </w:r>
      </w:hyperlink>
    </w:p>
    <w:bookmarkEnd w:id="489"/>
    <w:bookmarkStart w:id="491"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90">
        <w:r>
          <w:rPr>
            <w:rStyle w:val="Hyperlink"/>
          </w:rPr>
          <w:t xml:space="preserve">10.5840/logos-episteme2011248</w:t>
        </w:r>
      </w:hyperlink>
    </w:p>
    <w:bookmarkEnd w:id="491"/>
    <w:bookmarkStart w:id="492"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92"/>
    <w:bookmarkStart w:id="494"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3">
        <w:r>
          <w:rPr>
            <w:rStyle w:val="Hyperlink"/>
          </w:rPr>
          <w:t xml:space="preserve">10.1111/phpr.12088</w:t>
        </w:r>
      </w:hyperlink>
    </w:p>
    <w:bookmarkEnd w:id="494"/>
    <w:bookmarkStart w:id="495"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5"/>
    <w:bookmarkStart w:id="496"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6"/>
    <w:bookmarkStart w:id="497"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497"/>
    <w:bookmarkStart w:id="498" w:name="ref-Weatherson2019"/>
    <w:p>
      <w:pPr>
        <w:pStyle w:val="Bibliography"/>
      </w:pPr>
      <w:r>
        <w:t xml:space="preserve">Weatherson, Brian. (2019).</w:t>
      </w:r>
      <w:r>
        <w:t xml:space="preserve"> </w:t>
      </w:r>
      <w:r>
        <w:rPr>
          <w:iCs/>
          <w:i/>
        </w:rPr>
        <w:t xml:space="preserve">Normative externalism</w:t>
      </w:r>
      <w:r>
        <w:t xml:space="preserve">. Oxford University Press.</w:t>
      </w:r>
    </w:p>
    <w:bookmarkEnd w:id="498"/>
    <w:bookmarkStart w:id="500"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499">
        <w:r>
          <w:rPr>
            <w:rStyle w:val="Hyperlink"/>
          </w:rPr>
          <w:t xml:space="preserve">10.1111/j.1933-1592.2010.00448.x</w:t>
        </w:r>
      </w:hyperlink>
    </w:p>
    <w:bookmarkEnd w:id="500"/>
    <w:bookmarkStart w:id="502"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501">
        <w:r>
          <w:rPr>
            <w:rStyle w:val="Hyperlink"/>
          </w:rPr>
          <w:t xml:space="preserve">2027/spo.3521354.0013.022</w:t>
        </w:r>
      </w:hyperlink>
    </w:p>
    <w:bookmarkEnd w:id="502"/>
    <w:bookmarkStart w:id="503"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3"/>
    <w:bookmarkStart w:id="505"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4">
        <w:r>
          <w:rPr>
            <w:rStyle w:val="Hyperlink"/>
          </w:rPr>
          <w:t xml:space="preserve">10.1111/j.1520-8583.2005.00069.x</w:t>
        </w:r>
      </w:hyperlink>
    </w:p>
    <w:bookmarkEnd w:id="505"/>
    <w:bookmarkStart w:id="506"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6"/>
    <w:bookmarkStart w:id="507" w:name="ref-Williamson1994"/>
    <w:p>
      <w:pPr>
        <w:pStyle w:val="Bibliography"/>
      </w:pPr>
      <w:r>
        <w:t xml:space="preserve">Williamson, Timothy. (1994).</w:t>
      </w:r>
      <w:r>
        <w:t xml:space="preserve"> </w:t>
      </w:r>
      <w:r>
        <w:rPr>
          <w:iCs/>
          <w:i/>
        </w:rPr>
        <w:t xml:space="preserve">Vagueness</w:t>
      </w:r>
      <w:r>
        <w:t xml:space="preserve">. Routledge.</w:t>
      </w:r>
    </w:p>
    <w:bookmarkEnd w:id="507"/>
    <w:bookmarkStart w:id="508"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08"/>
    <w:bookmarkStart w:id="510"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09">
        <w:r>
          <w:rPr>
            <w:rStyle w:val="Hyperlink"/>
          </w:rPr>
          <w:t xml:space="preserve">10.1111/j.0031-8094.2005.00396.x</w:t>
        </w:r>
      </w:hyperlink>
    </w:p>
    <w:bookmarkEnd w:id="510"/>
    <w:bookmarkStart w:id="512"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11">
        <w:r>
          <w:rPr>
            <w:rStyle w:val="Hyperlink"/>
          </w:rPr>
          <w:t xml:space="preserve">10.1111/j.1467-8284.2007.00671.x</w:t>
        </w:r>
      </w:hyperlink>
    </w:p>
    <w:bookmarkEnd w:id="512"/>
    <w:bookmarkStart w:id="514"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3">
        <w:r>
          <w:rPr>
            <w:rStyle w:val="Hyperlink"/>
          </w:rPr>
          <w:t xml:space="preserve">10.1080/0020174X.2013.775010</w:t>
        </w:r>
      </w:hyperlink>
    </w:p>
    <w:bookmarkEnd w:id="514"/>
    <w:bookmarkStart w:id="515"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5"/>
    <w:bookmarkStart w:id="516" w:name="ref-Wittgenstein1953"/>
    <w:p>
      <w:pPr>
        <w:pStyle w:val="Bibliography"/>
      </w:pPr>
      <w:r>
        <w:t xml:space="preserve">Wittgenstein, Ludwig. (1953).</w:t>
      </w:r>
      <w:r>
        <w:t xml:space="preserve"> </w:t>
      </w:r>
      <w:r>
        <w:rPr>
          <w:iCs/>
          <w:i/>
        </w:rPr>
        <w:t xml:space="preserve">Philosophical investigations</w:t>
      </w:r>
      <w:r>
        <w:t xml:space="preserve">. Macmillan.</w:t>
      </w:r>
    </w:p>
    <w:bookmarkEnd w:id="516"/>
    <w:bookmarkStart w:id="517" w:name="ref-Woodard2021"/>
    <w:p>
      <w:pPr>
        <w:pStyle w:val="Bibliography"/>
      </w:pPr>
      <w:r>
        <w:t xml:space="preserve">Woodard, Elise. (2020).</w:t>
      </w:r>
      <w:r>
        <w:t xml:space="preserve"> </w:t>
      </w:r>
      <w:r>
        <w:rPr>
          <w:iCs/>
          <w:i/>
        </w:rPr>
        <w:t xml:space="preserve">Why double-check</w:t>
      </w:r>
      <w:r>
        <w:t xml:space="preserve">.</w:t>
      </w:r>
    </w:p>
    <w:bookmarkEnd w:id="517"/>
    <w:bookmarkStart w:id="519"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18">
        <w:r>
          <w:rPr>
            <w:rStyle w:val="Hyperlink"/>
          </w:rPr>
          <w:t xml:space="preserve">10.1111/j.1933-1592.2002.tb00205.x</w:t>
        </w:r>
      </w:hyperlink>
    </w:p>
    <w:bookmarkEnd w:id="519"/>
    <w:bookmarkStart w:id="520"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20"/>
    <w:bookmarkStart w:id="522" w:name="ref-Wu2024"/>
    <w:p>
      <w:pPr>
        <w:pStyle w:val="Bibliography"/>
      </w:pPr>
      <w:r>
        <w:t xml:space="preserve">Wu, Jenny Yi-Chen. (forthcoming). A defense of impurist permissivism.</w:t>
      </w:r>
      <w:r>
        <w:t xml:space="preserve"> </w:t>
      </w:r>
      <w:r>
        <w:rPr>
          <w:iCs/>
          <w:i/>
        </w:rPr>
        <w:t xml:space="preserve">Episteme</w:t>
      </w:r>
      <w:r>
        <w:t xml:space="preserve">, 1–21. doi:</w:t>
      </w:r>
      <w:hyperlink r:id="rId521">
        <w:r>
          <w:rPr>
            <w:rStyle w:val="Hyperlink"/>
          </w:rPr>
          <w:t xml:space="preserve">10.1017/epi.2023.22</w:t>
        </w:r>
      </w:hyperlink>
    </w:p>
    <w:bookmarkEnd w:id="522"/>
    <w:bookmarkStart w:id="524"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3">
        <w:r>
          <w:rPr>
            <w:rStyle w:val="Hyperlink"/>
          </w:rPr>
          <w:t xml:space="preserve">10.1111/phpr.12330</w:t>
        </w:r>
      </w:hyperlink>
    </w:p>
    <w:bookmarkEnd w:id="524"/>
    <w:bookmarkStart w:id="525"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5"/>
    <w:bookmarkStart w:id="527"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6">
        <w:r>
          <w:rPr>
            <w:rStyle w:val="Hyperlink"/>
          </w:rPr>
          <w:t xml:space="preserve">10.1007/s10670-022-00626-7</w:t>
        </w:r>
      </w:hyperlink>
    </w:p>
    <w:bookmarkEnd w:id="527"/>
    <w:bookmarkStart w:id="529"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28">
        <w:r>
          <w:rPr>
            <w:rStyle w:val="Hyperlink"/>
          </w:rPr>
          <w:t xml:space="preserve">10.1007/s11098-016-0631-5</w:t>
        </w:r>
      </w:hyperlink>
    </w:p>
    <w:bookmarkEnd w:id="529"/>
    <w:bookmarkEnd w:id="530"/>
    <w:bookmarkEnd w:id="531"/>
    <w:sectPr w:rsidR="00431377" w:rsidSect="00BE6683">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Schmidt (forthcoming)</w:t>
      </w:r>
      <w:r>
        <w:t xml:space="preserve">,</w:t>
      </w:r>
      <w:r>
        <w:t xml:space="preserve"> </w:t>
      </w:r>
      <w:r>
        <w:t xml:space="preserve">Steglich-Petersen (2024)</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(or tertiary) source. I do hope in the future there will be more work which looks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Note that</w:t>
      </w:r>
      <w:r>
        <w:t xml:space="preserve"> </w:t>
      </w:r>
      <w:r>
        <w:t xml:space="preserve">Friedman (2024b)</w:t>
      </w:r>
      <w:r>
        <w:t xml:space="preserve"> </w:t>
      </w:r>
      <w:r>
        <w:t xml:space="preserve">also rejects 3, but not because she thinks inquiry aims at something else; she is sceptical of the metaphor of</w:t>
      </w:r>
      <w:r>
        <w:t xml:space="preserve"> </w:t>
      </w:r>
      <w:r>
        <w:rPr>
          <w:iCs/>
          <w:i/>
        </w:rPr>
        <w:t xml:space="preserve">aiming</w:t>
      </w:r>
      <w:r>
        <w:t xml:space="preserve"> </w:t>
      </w:r>
      <w:r>
        <w:t xml:space="preserve">in this context. Note also that Falbo and Melchior developed similar arguments to Woodard’s.</w:t>
      </w:r>
    </w:p>
  </w:footnote>
  <w:footnote w:id="27">
    <w:p>
      <w:pPr>
        <w:pStyle w:val="FootnoteText"/>
      </w:pPr>
      <w:r>
        <w:rPr>
          <w:rStyle w:val="FootnoteReference"/>
        </w:rPr>
        <w:footnoteRef/>
      </w:r>
      <w:r>
        <w:t xml:space="preserve"> </w:t>
      </w:r>
      <w:r>
        <w:t xml:space="preserve">Such a view might be inspired by the</w:t>
      </w:r>
      <w:r>
        <w:t xml:space="preserve"> </w:t>
      </w:r>
      <w:r>
        <w:t xml:space="preserve">‘</w:t>
      </w:r>
      <w:r>
        <w:t xml:space="preserve">knowledge first</w:t>
      </w:r>
      <w:r>
        <w:t xml:space="preserve">’</w:t>
      </w:r>
      <w:r>
        <w:t xml:space="preserve"> </w:t>
      </w:r>
      <w:r>
        <w:t xml:space="preserve">program of Williamson</w:t>
      </w:r>
      <w:r>
        <w:t xml:space="preserve"> </w:t>
      </w:r>
      <w:r>
        <w:t xml:space="preserve">(2000)</w:t>
      </w:r>
      <w:r>
        <w:t xml:space="preserve">.</w:t>
      </w:r>
    </w:p>
  </w:footnote>
  <w:footnote w:id="29">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More importantly, this extra knowledge might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1">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3">
    <w:p>
      <w:pPr>
        <w:pStyle w:val="FootnoteText"/>
      </w:pPr>
      <w:r>
        <w:rPr>
          <w:rStyle w:val="FootnoteReference"/>
        </w:rPr>
        <w:footnoteRef/>
      </w:r>
      <w:r>
        <w:t xml:space="preserve"> </w:t>
      </w:r>
      <w:r>
        <w:t xml:space="preserve">The objection I’m making here is really targeted at orthodox forms of contextualism. Other forms of contextualism are not subject to it. The kind of contextualism I will describe in</w:t>
      </w:r>
      <w:r>
        <w:t xml:space="preserve"> </w:t>
      </w:r>
      <w:hyperlink w:anchor="sec-neutrality-contextualism">
        <w:r>
          <w:rPr>
            <w:rStyle w:val="Hyperlink"/>
          </w:rPr>
          <w:t xml:space="preserve">Section 2.7.1</w:t>
        </w:r>
      </w:hyperlink>
      <w:r>
        <w:t xml:space="preserve">, for instance, can agree with IRT about what’s wrong with Chamari’s utterances. For more on this kind of view, see Ichikawa</w:t>
      </w:r>
      <w:r>
        <w:t xml:space="preserve"> </w:t>
      </w:r>
      <w:r>
        <w:t xml:space="preserve">(2017 §1.9)</w:t>
      </w:r>
      <w:r>
        <w:t xml:space="preserve">.</w:t>
      </w:r>
    </w:p>
  </w:footnote>
  <w:footnote w:id="35">
    <w:p>
      <w:pPr>
        <w:pStyle w:val="FootnoteText"/>
      </w:pPr>
      <w:r>
        <w:rPr>
          <w:rStyle w:val="FootnoteReference"/>
        </w:rPr>
        <w:footnoteRef/>
      </w:r>
      <w:r>
        <w:t xml:space="preserve"> </w:t>
      </w:r>
      <w:r>
        <w:t xml:space="preserve">To be sure, she presumably doesn’t know for most people what they know about medieval history. What I’m imagining is that if she was presented with a bunch of people, asked if they know when the Battle of Agincourt was, and was allowed to say</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or</w:t>
      </w:r>
      <w:r>
        <w:t xml:space="preserve"> </w:t>
      </w:r>
      <w:r>
        <w:t xml:space="preserve">“</w:t>
      </w:r>
      <w:r>
        <w:t xml:space="preserve">Don’t Know</w:t>
      </w:r>
      <w:r>
        <w:t xml:space="preserve">”</w:t>
      </w:r>
      <w:r>
        <w:t xml:space="preserve">, then most of the</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answers would be correct, and she would say</w:t>
      </w:r>
      <w:r>
        <w:t xml:space="preserve"> </w:t>
      </w:r>
      <w:r>
        <w:t xml:space="preserve">“</w:t>
      </w:r>
      <w:r>
        <w:t xml:space="preserve">Yes</w:t>
      </w:r>
      <w:r>
        <w:t xml:space="preserve">”</w:t>
      </w:r>
      <w:r>
        <w:t xml:space="preserve"> </w:t>
      </w:r>
      <w:r>
        <w:t xml:space="preserve">about herself.</w:t>
      </w:r>
    </w:p>
  </w:footnote>
  <w:footnote w:id="37">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39">
    <w:p>
      <w:pPr>
        <w:pStyle w:val="FootnoteText"/>
      </w:pPr>
      <w:r>
        <w:rPr>
          <w:rStyle w:val="FootnoteReference"/>
        </w:rPr>
        <w:footnoteRef/>
      </w:r>
      <w:r>
        <w:t xml:space="preserve"> </w:t>
      </w:r>
      <w:r>
        <w:t xml:space="preserve">This subsection is based on my</w:t>
      </w:r>
      <w:r>
        <w:t xml:space="preserve"> </w:t>
      </w:r>
      <w:r>
        <w:t xml:space="preserve">(2018 §2)</w:t>
      </w:r>
      <w:r>
        <w:t xml:space="preserve">.</w:t>
      </w:r>
    </w:p>
  </w:footnote>
  <w:footnote w:id="42">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43">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6">
    <w:p>
      <w:pPr>
        <w:pStyle w:val="FootnoteText"/>
      </w:pPr>
      <w:r>
        <w:rPr>
          <w:rStyle w:val="FootnoteReference"/>
        </w:rPr>
        <w:footnoteRef/>
      </w:r>
      <w:r>
        <w:t xml:space="preserve"> </w:t>
      </w:r>
      <w:r>
        <w:t xml:space="preserve">This section is based on my</w:t>
      </w:r>
      <w:r>
        <w:t xml:space="preserve"> </w:t>
      </w:r>
      <w:r>
        <w:t xml:space="preserve">(2017 §4)</w:t>
      </w:r>
      <w:r>
        <w:t xml:space="preserve">.</w:t>
      </w:r>
    </w:p>
  </w:footnote>
  <w:footnote w:id="48">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0">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The points I’m making in this section aren’t sensitive to this level of technical detail.</w:t>
      </w:r>
    </w:p>
  </w:footnote>
  <w:footnote w:id="55">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7">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8">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Once we allow beliefs to be interest-relative, this role for the belief/acceptance distinction seems to go away. A lot of what are commonly called acceptances are, on my theory, beliefs that are highly sensitive to changes in interests.</w:t>
      </w:r>
    </w:p>
  </w:footnote>
  <w:footnote w:id="60">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3">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Still, it’s often a helpful heuristic, and there isn’t anything wrong with using a model that breaks down when applied outside its appropriate zone.</w:t>
      </w:r>
    </w:p>
  </w:footnote>
  <w:footnote w:id="65">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6">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8">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9">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0">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1">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2">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If</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 the spirit of Stanley’s view is preserved, even if the letter isn’t.</w:t>
      </w:r>
    </w:p>
  </w:footnote>
  <w:footnote w:id="74">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79">
    <w:p>
      <w:pPr>
        <w:pStyle w:val="FootnoteText"/>
      </w:pPr>
      <w:r>
        <w:rPr>
          <w:rStyle w:val="FootnoteReference"/>
        </w:rPr>
        <w:footnoteRef/>
      </w:r>
      <w:r>
        <w:t xml:space="preserve"> </w:t>
      </w:r>
      <w:r>
        <w:t xml:space="preserve">This subsection is based on my</w:t>
      </w:r>
      <w:r>
        <w:t xml:space="preserve"> </w:t>
      </w:r>
      <w:r>
        <w:t xml:space="preserve">(2016a §1)</w:t>
      </w:r>
      <w:r>
        <w:t xml:space="preserve">.</w:t>
      </w:r>
    </w:p>
  </w:footnote>
  <w:footnote w:id="82">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83">
    <w:p>
      <w:pPr>
        <w:pStyle w:val="FootnoteText"/>
      </w:pPr>
      <w:r>
        <w:rPr>
          <w:rStyle w:val="FootnoteReference"/>
        </w:rPr>
        <w:footnoteRef/>
      </w:r>
      <w:r>
        <w:t xml:space="preserve"> </w:t>
      </w:r>
      <w:r>
        <w:t xml:space="preserve">For the record, the theory I defended at the time Ross and Schroeder wrote their paper did not have the resources to make this reply; I’ve changed my view in light of their arguments.</w:t>
      </w:r>
    </w:p>
  </w:footnote>
  <w:footnote w:id="86">
    <w:p>
      <w:pPr>
        <w:pStyle w:val="FootnoteText"/>
      </w:pPr>
      <w:r>
        <w:rPr>
          <w:rStyle w:val="FootnoteReference"/>
        </w:rPr>
        <w:footnoteRef/>
      </w:r>
      <w:r>
        <w:t xml:space="preserve"> </w:t>
      </w:r>
      <w:r>
        <w:t xml:space="preserve">This section and the next are loosely based on my</w:t>
      </w:r>
      <w:r>
        <w:t xml:space="preserve"> </w:t>
      </w:r>
      <w:r>
        <w:t xml:space="preserve">(2012 §1.1)</w:t>
      </w:r>
      <w:r>
        <w:t xml:space="preserve">.</w:t>
      </w:r>
    </w:p>
  </w:footnote>
  <w:footnote w:id="88">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89">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0">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I. L. Humberstone (1981)</w:t>
      </w:r>
      <w:r>
        <w:t xml:space="preserve">.</w:t>
      </w:r>
    </w:p>
  </w:footnote>
  <w:footnote w:id="91">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3">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6">
    <w:p>
      <w:pPr>
        <w:pStyle w:val="FootnoteText"/>
      </w:pPr>
      <w:r>
        <w:rPr>
          <w:rStyle w:val="FootnoteReference"/>
        </w:rPr>
        <w:footnoteRef/>
      </w:r>
      <w:r>
        <w:t xml:space="preserve"> </w:t>
      </w:r>
      <w:r>
        <w:t xml:space="preserve">I’m indebted here to conversations with Eric Swanson.</w:t>
      </w:r>
    </w:p>
  </w:footnote>
  <w:footnote w:id="105">
    <w:p>
      <w:pPr>
        <w:pStyle w:val="FootnoteText"/>
      </w:pPr>
      <w:r>
        <w:rPr>
          <w:rStyle w:val="FootnoteReference"/>
        </w:rPr>
        <w:footnoteRef/>
      </w:r>
      <w:r>
        <w:t xml:space="preserve"> </w:t>
      </w:r>
      <w:r>
        <w:t xml:space="preserve">When I was editing this book I realised I wasn’t sure when the moveable type printing press was invented, and had to double check it was after 1415.</w:t>
      </w:r>
    </w:p>
  </w:footnote>
  <w:footnote w:id="106">
    <w:p>
      <w:pPr>
        <w:pStyle w:val="FootnoteText"/>
      </w:pPr>
      <w:r>
        <w:rPr>
          <w:rStyle w:val="FootnoteReference"/>
        </w:rPr>
        <w:footnoteRef/>
      </w:r>
      <w:r>
        <w:t xml:space="preserve"> </w:t>
      </w:r>
      <w:r>
        <w:t xml:space="preserve">As it turns out, that’s 1,000,003.</w:t>
      </w:r>
    </w:p>
  </w:footnote>
  <w:footnote w:id="107">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08">
    <w:p>
      <w:pPr>
        <w:pStyle w:val="FootnoteText"/>
      </w:pPr>
      <w:r>
        <w:rPr>
          <w:rStyle w:val="FootnoteReference"/>
        </w:rPr>
        <w:footnoteRef/>
      </w:r>
      <w:r>
        <w:t xml:space="preserve"> </w:t>
      </w:r>
      <w:r>
        <w:t xml:space="preserve">See</w:t>
      </w:r>
      <w:r>
        <w:t xml:space="preserve"> </w:t>
      </w:r>
      <w:r>
        <w:t xml:space="preserve">Holliday &amp; Mandelkern (2024)</w:t>
      </w:r>
      <w:r>
        <w:t xml:space="preserve"> </w:t>
      </w:r>
      <w:r>
        <w:t xml:space="preserve">for a survey of how differently the two claims behave in embeddings and inferences, and a radical claim about how to best account for those differences.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I’d also say that one might not treat a question as settled while not inquiring into it, because one treats the question as unworthy of effort, or impossible to make progress on. As</w:t>
      </w:r>
      <w:r>
        <w:t xml:space="preserve"> </w:t>
      </w:r>
      <w:r>
        <w:t xml:space="preserve">Friedman (2024a)</w:t>
      </w:r>
      <w:r>
        <w:t xml:space="preserve"> </w:t>
      </w:r>
      <w:r>
        <w:t xml:space="preserve">notes, it gets complicated to say something coherent about these cases while allowing for the possibility of inquiry to be reopened.</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28">
    <w:p>
      <w:pPr>
        <w:pStyle w:val="FootnoteText"/>
      </w:pPr>
      <w:r>
        <w:rPr>
          <w:rStyle w:val="FootnoteReference"/>
        </w:rPr>
        <w:footnoteRef/>
      </w:r>
      <w:r>
        <w:t xml:space="preserve"> </w:t>
      </w:r>
      <w:r>
        <w:t xml:space="preserve">When I say inquiry is about improving one’s epistemic position, I don’t mean that that’s how inquirers represent what they are doing to themselves. That would be to over-intellectualise things. Rather, inquiry is about doing things that are, as a matter of fact, things that improve one’s epistemic position. One can be improving one’s epistemic position even if one self-represents one’s actions in a more mundane way, e.g., as looking up when the coffee shop opens.</w:t>
      </w:r>
    </w:p>
  </w:footnote>
  <w:footnote w:id="132">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4">
    <w:p>
      <w:pPr>
        <w:pStyle w:val="FootnoteText"/>
      </w:pPr>
      <w:r>
        <w:rPr>
          <w:rStyle w:val="FootnoteReference"/>
        </w:rPr>
        <w:footnoteRef/>
      </w:r>
      <w:r>
        <w:t xml:space="preserve"> </w:t>
      </w:r>
      <w:r>
        <w:t xml:space="preserve">Jonathan Ichikawa</w:t>
      </w:r>
      <w:r>
        <w:t xml:space="preserve"> </w:t>
      </w:r>
      <w:r>
        <w:t xml:space="preserve">(2017: 152ff)</w:t>
      </w:r>
      <w:r>
        <w:t xml:space="preserve"> </w:t>
      </w:r>
      <w:r>
        <w:t xml:space="preserve">makes this point well in responding to Brown.</w:t>
      </w:r>
    </w:p>
  </w:footnote>
  <w:footnote w:id="135">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subject to criticism on the grounds that</w:t>
      </w:r>
      <w:r>
        <w:t xml:space="preserve"> </w:t>
      </w:r>
      <w:r>
        <w:rPr>
          <w:iCs/>
          <w:i/>
        </w:rPr>
        <w:t xml:space="preserve">p</w:t>
      </w:r>
      <w:r>
        <w:t xml:space="preserve"> </w:t>
      </w:r>
      <w:r>
        <w:t xml:space="preserve">might be false. I’ll use the more informal version in the text in what follows to increase readability.</w:t>
      </w:r>
    </w:p>
  </w:footnote>
  <w:footnote w:id="143">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I think this example works tolerably well when understand as involving, for example, East Caribbean dollars.</w:t>
      </w:r>
    </w:p>
  </w:footnote>
  <w:footnote w:id="144">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6">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49">
    <w:p>
      <w:pPr>
        <w:pStyle w:val="FootnoteText"/>
      </w:pPr>
      <w:r>
        <w:rPr>
          <w:rStyle w:val="FootnoteReference"/>
        </w:rPr>
        <w:footnoteRef/>
      </w:r>
      <w:r>
        <w:t xml:space="preserve"> </w:t>
      </w:r>
      <w:r>
        <w:t xml:space="preserve">At this point the Martians might note that all they are relying on here is that agents in their model violate negative introspection: sometimes they don’t know something without knowing that they don’t know it. They could cite</w:t>
      </w:r>
      <w:r>
        <w:t xml:space="preserve"> </w:t>
      </w:r>
      <w:r>
        <w:t xml:space="preserve">L. Humberstone (2016: 380–402)</w:t>
      </w:r>
      <w:r>
        <w:t xml:space="preserve"> </w:t>
      </w:r>
      <w:r>
        <w:t xml:space="preserve">for why this is a sensible modeling assumption.</w:t>
      </w:r>
    </w:p>
  </w:footnote>
  <w:footnote w:id="150">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2">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5">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59">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1">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4">
    <w:p>
      <w:pPr>
        <w:pStyle w:val="FootnoteText"/>
      </w:pPr>
      <w:r>
        <w:rPr>
          <w:rStyle w:val="FootnoteReference"/>
        </w:rPr>
        <w:footnoteRef/>
      </w:r>
      <w:r>
        <w:t xml:space="preserve"> </w:t>
      </w:r>
      <w:r>
        <w:t xml:space="preserve">This section is based on my</w:t>
      </w:r>
      <w:r>
        <w:t xml:space="preserve"> </w:t>
      </w:r>
      <w:r>
        <w:t xml:space="preserve">(2012 )</w:t>
      </w:r>
      <w:r>
        <w:t xml:space="preserve">.</w:t>
      </w:r>
    </w:p>
  </w:footnote>
  <w:footnote w:id="165">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68">
    <w:p>
      <w:pPr>
        <w:pStyle w:val="FootnoteText"/>
      </w:pPr>
      <w:r>
        <w:rPr>
          <w:rStyle w:val="FootnoteReference"/>
        </w:rPr>
        <w:footnoteRef/>
      </w:r>
      <w:r>
        <w:t xml:space="preserve"> </w:t>
      </w:r>
      <w:r>
        <w:t xml:space="preserve">This section is based on material from my</w:t>
      </w:r>
      <w:r>
        <w:t xml:space="preserve"> </w:t>
      </w:r>
      <w:r>
        <w:t xml:space="preserve">(2016a §1)</w:t>
      </w:r>
      <w:r>
        <w:t xml:space="preserve">.</w:t>
      </w:r>
    </w:p>
  </w:footnote>
  <w:footnote w:id="169">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0">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3">
    <w:p>
      <w:pPr>
        <w:pStyle w:val="FootnoteText"/>
      </w:pPr>
      <w:r>
        <w:rPr>
          <w:rStyle w:val="FootnoteReference"/>
        </w:rPr>
        <w:footnoteRef/>
      </w:r>
      <w:r>
        <w:t xml:space="preserve"> </w:t>
      </w:r>
      <w:r>
        <w:t xml:space="preserve">If we’re solving for a variable, what are the equations we’re using as input. The standard methodology is to say they are intuitions. Game theorists make as much use of intuitions analytic philosophers. See, for example,</w:t>
      </w:r>
      <w:r>
        <w:t xml:space="preserve"> </w:t>
      </w:r>
      <w:r>
        <w:t xml:space="preserve">Cho &amp; Kreps (1987)</w:t>
      </w:r>
      <w:r>
        <w:t xml:space="preserve">.</w:t>
      </w:r>
    </w:p>
  </w:footnote>
  <w:footnote w:id="175">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78">
    <w:p>
      <w:pPr>
        <w:pStyle w:val="FootnoteText"/>
      </w:pPr>
      <w:r>
        <w:rPr>
          <w:rStyle w:val="FootnoteReference"/>
        </w:rPr>
        <w:footnoteRef/>
      </w:r>
      <w:r>
        <w:t xml:space="preserve"> </w:t>
      </w:r>
      <w:r>
        <w:t xml:space="preserve">Versions of this response are made by Richard Foley</w:t>
      </w:r>
      <w:r>
        <w:t xml:space="preserve"> </w:t>
      </w:r>
      <w:r>
        <w:t xml:space="preserve">(1993 Ch. 4)</w:t>
      </w:r>
      <w:r>
        <w:t xml:space="preserve">, David</w:t>
      </w:r>
      <w:r>
        <w:t xml:space="preserve"> </w:t>
      </w:r>
      <w:r>
        <w:t xml:space="preserve">Hunter (1996)</w:t>
      </w:r>
      <w:r>
        <w:t xml:space="preserve"> </w:t>
      </w:r>
      <w:r>
        <w:t xml:space="preserve">and Matthew</w:t>
      </w:r>
      <w:r>
        <w:t xml:space="preserve"> </w:t>
      </w:r>
      <w:r>
        <w:t xml:space="preserve">Lee (2017b)</w:t>
      </w:r>
      <w:r>
        <w:t xml:space="preserve">.</w:t>
      </w:r>
    </w:p>
  </w:footnote>
  <w:footnote w:id="182">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9">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0">
    <w:p>
      <w:pPr>
        <w:pStyle w:val="FootnoteText"/>
      </w:pPr>
      <w:r>
        <w:rPr>
          <w:rStyle w:val="FootnoteReference"/>
        </w:rPr>
        <w:footnoteRef/>
      </w:r>
      <w:r>
        <w:t xml:space="preserve"> </w:t>
      </w:r>
      <w:r>
        <w:t xml:space="preserve">I’m ignoring mixed strategies here, and strategies that differ in cases where the signal is right at the tipping point. It’s trivial but tedious to extend the proof to cover these cases.</w:t>
      </w:r>
    </w:p>
  </w:footnote>
  <w:footnote w:id="202">
    <w:p>
      <w:pPr>
        <w:pStyle w:val="FootnoteText"/>
      </w:pPr>
      <w:r>
        <w:rPr>
          <w:rStyle w:val="FootnoteReference"/>
        </w:rPr>
        <w:footnoteRef/>
      </w:r>
      <w:r>
        <w:t xml:space="preserve"> </w:t>
      </w:r>
      <w:r>
        <w:t xml:space="preserve">If we’re careful about how we state this, we can use this to rule out all mixed strategies except those that respond probabilistically to</w:t>
      </w:r>
      <w:r>
        <w:t xml:space="preserve"> </w:t>
      </w:r>
      <w:r>
        <w:rPr>
          <w:iCs/>
          <w:i/>
        </w:rPr>
        <w:t xml:space="preserve">s</w:t>
      </w:r>
      <w:r>
        <w:rPr>
          <w:vertAlign w:val="subscript"/>
          <w:iCs/>
          <w:i/>
        </w:rPr>
        <w:t xml:space="preserve">R</w:t>
      </w:r>
      <w:r>
        <w:t xml:space="preserve"> = 2</w:t>
      </w:r>
    </w:p>
  </w:footnote>
  <w:footnote w:id="204">
    <w:p>
      <w:pPr>
        <w:pStyle w:val="FootnoteText"/>
      </w:pPr>
      <w:r>
        <w:rPr>
          <w:rStyle w:val="FootnoteReference"/>
        </w:rPr>
        <w:footnoteRef/>
      </w:r>
      <w:r>
        <w:t xml:space="preserve"> </w:t>
      </w:r>
      <w:r>
        <w:t xml:space="preserve">This isn’t strictly true if the signal is close enough to 5, but in that case we have an independent reason to think Column will play</w:t>
      </w:r>
      <w:r>
        <w:t xml:space="preserve"> </w:t>
      </w:r>
      <w:r>
        <w:rPr>
          <w:iCs/>
          <w:i/>
        </w:rPr>
        <w:t xml:space="preserve">a</w:t>
      </w:r>
      <w:r>
        <w:t xml:space="preserve">.</w:t>
      </w:r>
    </w:p>
  </w:footnote>
  <w:footnote w:id="205">
    <w:p>
      <w:pPr>
        <w:pStyle w:val="FootnoteText"/>
      </w:pPr>
      <w:r>
        <w:rPr>
          <w:rStyle w:val="FootnoteReference"/>
        </w:rPr>
        <w:footnoteRef/>
      </w:r>
      <w:r>
        <w:t xml:space="preserve"> </w:t>
      </w:r>
      <w:r>
        <w:t xml:space="preserve">Unless the signal is very close to 5, in which case they should play</w:t>
      </w:r>
      <w:r>
        <w:t xml:space="preserve"> </w:t>
      </w:r>
      <w:r>
        <w:rPr>
          <w:iCs/>
          <w:i/>
        </w:rPr>
        <w:t xml:space="preserve">B</w:t>
      </w:r>
      <w:r>
        <w:t xml:space="preserve"> </w:t>
      </w:r>
      <w:r>
        <w:t xml:space="preserve">anyway.</w:t>
      </w:r>
    </w:p>
  </w:footnote>
  <w:footnote w:id="209">
    <w:p>
      <w:pPr>
        <w:pStyle w:val="FootnoteText"/>
      </w:pPr>
      <w:r>
        <w:rPr>
          <w:rStyle w:val="FootnoteReference"/>
        </w:rPr>
        <w:footnoteRef/>
      </w:r>
      <w:r>
        <w:t xml:space="preserve"> </w:t>
      </w:r>
      <w:r>
        <w:t xml:space="preserve">In any remotely realistic case, it would make more sense to say we can infer it holds in some multiple of</w:t>
      </w:r>
      <w:r>
        <w:t xml:space="preserve"> </w:t>
      </w:r>
      <w:r>
        <w:rPr>
          <w:iCs/>
          <w:i/>
        </w:rPr>
        <w:t xml:space="preserve">d</w:t>
      </w:r>
      <w:r>
        <w:t xml:space="preserve"> </w:t>
      </w:r>
      <w:r>
        <w:t xml:space="preserve">rather than adding some value to</w:t>
      </w:r>
      <w:r>
        <w:t xml:space="preserve"> </w:t>
      </w:r>
      <w:r>
        <w:rPr>
          <w:iCs/>
          <w:i/>
        </w:rPr>
        <w:t xml:space="preserve">d</w:t>
      </w:r>
      <w:r>
        <w:t xml:space="preserve">. But I’m simplifying a lot to make a point, and this is just one more simplification.</w:t>
      </w:r>
    </w:p>
  </w:footnote>
  <w:footnote w:id="212">
    <w:p>
      <w:pPr>
        <w:pStyle w:val="FootnoteText"/>
      </w:pPr>
      <w:r>
        <w:rPr>
          <w:rStyle w:val="FootnoteReference"/>
        </w:rPr>
        <w:footnoteRef/>
      </w:r>
      <w:r>
        <w:t xml:space="preserve"> </w:t>
      </w:r>
      <w:r>
        <w:t xml:space="preserve">This section draws my</w:t>
      </w:r>
      <w:r>
        <w:t xml:space="preserve"> </w:t>
      </w:r>
      <w:r>
        <w:t xml:space="preserve">(2011 §5)</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26" w:val="bestFit"/>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A218D7"/>
    <w:pPr>
      <w:keepNext/>
      <w:keepLines/>
      <w:pageBreakBefore/>
      <w:spacing w:after="0" w:before="0"/>
      <w:outlineLvl w:val="0"/>
    </w:pPr>
    <w:rPr>
      <w:rFonts w:cs="Times New Roman (Headings CS)" w:eastAsiaTheme="majorEastAsia"/>
      <w:b/>
      <w:bCs/>
      <w:smallCaps/>
      <w:color w:themeColor="text1" w:val="000000"/>
      <w:sz w:val="36"/>
      <w:szCs w:val="32"/>
    </w:rPr>
  </w:style>
  <w:style w:styleId="Heading2" w:type="paragraph">
    <w:name w:val="heading 2"/>
    <w:basedOn w:val="Heading1"/>
    <w:next w:val="BodyText"/>
    <w:uiPriority w:val="9"/>
    <w:unhideWhenUsed/>
    <w:rsid w:val="00A218D7"/>
    <w:pPr>
      <w:pageBreakBefore w:val="0"/>
      <w:spacing w:before="200"/>
      <w:outlineLvl w:val="1"/>
    </w:pPr>
    <w:rPr>
      <w:i/>
      <w:smallCaps w:val="0"/>
      <w:sz w:val="32"/>
      <w:szCs w:val="24"/>
    </w:rPr>
  </w:style>
  <w:style w:styleId="Heading3" w:type="paragraph">
    <w:name w:val="heading 3"/>
    <w:basedOn w:val="Heading2"/>
    <w:next w:val="BodyText"/>
    <w:uiPriority w:val="9"/>
    <w:unhideWhenUsed/>
    <w:rsid w:val="00A218D7"/>
    <w:pPr>
      <w:outlineLvl w:val="2"/>
    </w:pPr>
    <w:rPr>
      <w:b w:val="0"/>
      <w:bCs w:val="0"/>
      <w:i w:val="0"/>
      <w:sz w:val="28"/>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Title"/>
    <w:next w:val="BodyText"/>
    <w:rsid w:val="00EB2974"/>
    <w:pPr>
      <w:spacing w:before="240"/>
    </w:pPr>
    <w:rPr>
      <w:sz w:val="36"/>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next w:val="BodyText"/>
    <w:rsid w:val="00FA3569"/>
    <w:pPr>
      <w:keepNext/>
      <w:keepLines/>
    </w:pPr>
    <w:rPr>
      <w:rFonts w:ascii="EB Garamond" w:hAnsi="EB Garamond"/>
      <w:b/>
      <w:bCs/>
      <w:sz w:val="28"/>
    </w:rPr>
  </w:style>
  <w:style w:customStyle="1" w:styleId="Abstract" w:type="paragraph">
    <w:name w:val="Abstract"/>
    <w:basedOn w:val="Normal"/>
    <w:next w:val="BodyText"/>
    <w:autoRedefine/>
    <w:qForma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A218D7"/>
    <w:pPr>
      <w:ind w:left="432" w:right="432"/>
    </w:pPr>
    <w:rPr>
      <w:rFonts w:cstheme="majorBidi" w:eastAsiaTheme="majorEastAsia"/>
      <w:sz w:val="20"/>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61450A"/>
    <w:pPr>
      <w:keepNext/>
      <w:keepLines/>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6" Target="http://hdl.handle.net/2027/spo.3521354.0011.006" TargetMode="External" /><Relationship Type="http://schemas.openxmlformats.org/officeDocument/2006/relationships/hyperlink" Id="rId271" Target="http://journal.sjdm.org/8320/jdm8320.pdf" TargetMode="External" /><Relationship Type="http://schemas.openxmlformats.org/officeDocument/2006/relationships/hyperlink" Id="rId338" Target="https://doi.org/10.1002/tht3.7" TargetMode="External" /><Relationship Type="http://schemas.openxmlformats.org/officeDocument/2006/relationships/hyperlink" Id="rId476" Target="https://doi.org/10.1006/reec.1999.0200" TargetMode="External" /><Relationship Type="http://schemas.openxmlformats.org/officeDocument/2006/relationships/hyperlink" Id="rId313" Target="https://doi.org/10.1007/BF00183199" TargetMode="External" /><Relationship Type="http://schemas.openxmlformats.org/officeDocument/2006/relationships/hyperlink" Id="rId333" Target="https://doi.org/10.1007/BF00293423" TargetMode="External" /><Relationship Type="http://schemas.openxmlformats.org/officeDocument/2006/relationships/hyperlink" Id="rId470" Target="https://doi.org/10.1007/BF01079205" TargetMode="External" /><Relationship Type="http://schemas.openxmlformats.org/officeDocument/2006/relationships/hyperlink" Id="rId467"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96" Target="https://doi.org/10.1007/s10734-010-9309-7" TargetMode="External" /><Relationship Type="http://schemas.openxmlformats.org/officeDocument/2006/relationships/hyperlink" Id="rId488" Target="https://doi.org/10.1007/s11098-004-5218-x" TargetMode="External" /><Relationship Type="http://schemas.openxmlformats.org/officeDocument/2006/relationships/hyperlink" Id="rId303" Target="https://doi.org/10.1007/s11098-005-7779-8" TargetMode="External" /><Relationship Type="http://schemas.openxmlformats.org/officeDocument/2006/relationships/hyperlink" Id="rId298" Target="https://doi.org/10.1007/s11098-007-9133-9" TargetMode="External" /><Relationship Type="http://schemas.openxmlformats.org/officeDocument/2006/relationships/hyperlink" Id="rId452" Target="https://doi.org/10.1007/s11098-008-9200-x" TargetMode="External" /><Relationship Type="http://schemas.openxmlformats.org/officeDocument/2006/relationships/hyperlink" Id="rId278" Target="https://doi.org/10.1007/s11098-008-9225-1" TargetMode="External" /><Relationship Type="http://schemas.openxmlformats.org/officeDocument/2006/relationships/hyperlink" Id="rId392" Target="https://doi.org/10.1007/s11098-010-9542-z" TargetMode="External" /><Relationship Type="http://schemas.openxmlformats.org/officeDocument/2006/relationships/hyperlink" Id="rId454" Target="https://doi.org/10.1007/s11098-011-9718-1" TargetMode="External" /><Relationship Type="http://schemas.openxmlformats.org/officeDocument/2006/relationships/hyperlink" Id="rId323" Target="https://doi.org/10.1007/s11098-012-9880-0" TargetMode="External" /><Relationship Type="http://schemas.openxmlformats.org/officeDocument/2006/relationships/hyperlink" Id="rId276" Target="https://doi.org/10.1007/s11098-015-0461-x" TargetMode="External" /><Relationship Type="http://schemas.openxmlformats.org/officeDocument/2006/relationships/hyperlink" Id="rId318"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6" Target="https://doi.org/10.1007/s11229-015-0878-y" TargetMode="External" /><Relationship Type="http://schemas.openxmlformats.org/officeDocument/2006/relationships/hyperlink" Id="rId398" Target="https://doi.org/10.1007/s11238-017-9592-1" TargetMode="External" /><Relationship Type="http://schemas.openxmlformats.org/officeDocument/2006/relationships/hyperlink" Id="rId349" Target="https://doi.org/10.1007/s44204-023-00097-9" TargetMode="External" /><Relationship Type="http://schemas.openxmlformats.org/officeDocument/2006/relationships/hyperlink" Id="rId427" Target="https://doi.org/10.1016/0167-2681(82)90008-7" TargetMode="External" /><Relationship Type="http://schemas.openxmlformats.org/officeDocument/2006/relationships/hyperlink" Id="rId442" Target="https://doi.org/10.1016/S0004-3702(97)00026-X" TargetMode="External" /><Relationship Type="http://schemas.openxmlformats.org/officeDocument/2006/relationships/hyperlink" Id="rId474" Target="https://doi.org/10.1016/S0165-4896(98)00007-9" TargetMode="External" /><Relationship Type="http://schemas.openxmlformats.org/officeDocument/2006/relationships/hyperlink" Id="rId249" Target="https://doi.org/10.1016/j.jcps.2014.08.002" TargetMode="External" /><Relationship Type="http://schemas.openxmlformats.org/officeDocument/2006/relationships/hyperlink" Id="rId421" Target="https://doi.org/10.1016/j.mathsocsci.2013.08.005" TargetMode="External" /><Relationship Type="http://schemas.openxmlformats.org/officeDocument/2006/relationships/hyperlink" Id="rId416" Target="https://doi.org/10.1016/j.shpsb.2009.08.008" TargetMode="External" /><Relationship Type="http://schemas.openxmlformats.org/officeDocument/2006/relationships/hyperlink" Id="rId368" Target="https://doi.org/10.1017/S0012217317000154" TargetMode="External" /><Relationship Type="http://schemas.openxmlformats.org/officeDocument/2006/relationships/hyperlink" Id="rId472" Target="https://doi.org/10.1017/S0266267100004132" TargetMode="External" /><Relationship Type="http://schemas.openxmlformats.org/officeDocument/2006/relationships/hyperlink" Id="rId373"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7" Target="https://doi.org/10.1037/0022-3514.83.5.1178" TargetMode="External" /><Relationship Type="http://schemas.openxmlformats.org/officeDocument/2006/relationships/hyperlink" Id="rId414" Target="https://doi.org/10.1037/pspp0000141" TargetMode="External" /><Relationship Type="http://schemas.openxmlformats.org/officeDocument/2006/relationships/hyperlink" Id="rId440" Target="https://doi.org/10.1080/00048400802001996" TargetMode="External" /><Relationship Type="http://schemas.openxmlformats.org/officeDocument/2006/relationships/hyperlink" Id="rId513" Target="https://doi.org/10.1080/0020174X.2013.775010" TargetMode="External" /><Relationship Type="http://schemas.openxmlformats.org/officeDocument/2006/relationships/hyperlink" Id="rId407" Target="https://doi.org/10.1080/0020174X.2013.775014" TargetMode="External" /><Relationship Type="http://schemas.openxmlformats.org/officeDocument/2006/relationships/hyperlink" Id="rId247" Target="https://doi.org/10.1080/00213624.2017.1391594" TargetMode="External" /><Relationship Type="http://schemas.openxmlformats.org/officeDocument/2006/relationships/hyperlink" Id="rId366" Target="https://doi.org/10.1080/05568641.2017.1364142" TargetMode="External" /><Relationship Type="http://schemas.openxmlformats.org/officeDocument/2006/relationships/hyperlink" Id="rId444" Target="https://doi.org/10.1086/288168" TargetMode="External" /><Relationship Type="http://schemas.openxmlformats.org/officeDocument/2006/relationships/hyperlink" Id="rId389" Target="https://doi.org/10.1086/289906" TargetMode="External" /><Relationship Type="http://schemas.openxmlformats.org/officeDocument/2006/relationships/hyperlink" Id="rId387" Target="https://doi.org/10.1086/392759" TargetMode="External" /><Relationship Type="http://schemas.openxmlformats.org/officeDocument/2006/relationships/hyperlink" Id="rId327" Target="https://doi.org/10.1086/648610" TargetMode="External" /><Relationship Type="http://schemas.openxmlformats.org/officeDocument/2006/relationships/hyperlink" Id="rId446" Target="https://doi.org/10.1086/651235" TargetMode="External" /><Relationship Type="http://schemas.openxmlformats.org/officeDocument/2006/relationships/hyperlink" Id="rId325" Target="https://doi.org/10.1086/671402" TargetMode="External" /><Relationship Type="http://schemas.openxmlformats.org/officeDocument/2006/relationships/hyperlink" Id="rId281" Target="https://doi.org/10.1093/analys/anab037" TargetMode="External" /><Relationship Type="http://schemas.openxmlformats.org/officeDocument/2006/relationships/hyperlink" Id="rId225" Target="https://doi.org/10.1093/analys/anr083" TargetMode="External" /><Relationship Type="http://schemas.openxmlformats.org/officeDocument/2006/relationships/hyperlink" Id="rId358" Target="https://doi.org/10.1093/analys/anr129" TargetMode="External" /><Relationship Type="http://schemas.openxmlformats.org/officeDocument/2006/relationships/hyperlink" Id="rId379" Target="https://doi.org/10.1093/mind/105.418.303" TargetMode="External" /><Relationship Type="http://schemas.openxmlformats.org/officeDocument/2006/relationships/hyperlink" Id="rId377" Target="https://doi.org/10.1093/mind/xcvii.387.323" TargetMode="External" /><Relationship Type="http://schemas.openxmlformats.org/officeDocument/2006/relationships/hyperlink" Id="rId461" Target="https://doi.org/10.1111/0029-4624.33.s13.7" TargetMode="External" /><Relationship Type="http://schemas.openxmlformats.org/officeDocument/2006/relationships/hyperlink" Id="rId232"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41" Target="https://doi.org/10.1111/j.1467-9280.2006.01677.x" TargetMode="External" /><Relationship Type="http://schemas.openxmlformats.org/officeDocument/2006/relationships/hyperlink" Id="rId463" Target="https://doi.org/10.1111/j.1468-0017.2010.01394.x" TargetMode="External" /><Relationship Type="http://schemas.openxmlformats.org/officeDocument/2006/relationships/hyperlink" Id="rId240" Target="https://doi.org/10.1111/j.1468-0068.2008.00677.x" TargetMode="External" /><Relationship Type="http://schemas.openxmlformats.org/officeDocument/2006/relationships/hyperlink" Id="rId486"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60" Target="https://doi.org/10.1111/j.1520-8583.2010.00183.x" TargetMode="External" /><Relationship Type="http://schemas.openxmlformats.org/officeDocument/2006/relationships/hyperlink" Id="rId405" Target="https://doi.org/10.1111/j.1520-8583.2010.00198.x" TargetMode="External" /><Relationship Type="http://schemas.openxmlformats.org/officeDocument/2006/relationships/hyperlink" Id="rId425" Target="https://doi.org/10.1111/j.1533-6077.2004.00034.x" TargetMode="External" /><Relationship Type="http://schemas.openxmlformats.org/officeDocument/2006/relationships/hyperlink" Id="rId262" Target="https://doi.org/10.1111/j.1533-6077.2004.00040.x" TargetMode="External" /><Relationship Type="http://schemas.openxmlformats.org/officeDocument/2006/relationships/hyperlink" Id="rId260"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6" Target="https://doi.org/10.1111/j.1933-1592.2005.tb00540.x" TargetMode="External" /><Relationship Type="http://schemas.openxmlformats.org/officeDocument/2006/relationships/hyperlink" Id="rId412" Target="https://doi.org/10.1111/j.1933-1592.2007.00069.x" TargetMode="External" /><Relationship Type="http://schemas.openxmlformats.org/officeDocument/2006/relationships/hyperlink" Id="rId234"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7" Target="https://doi.org/10.1111/j.1933-1592.2011.00552.x" TargetMode="External" /><Relationship Type="http://schemas.openxmlformats.org/officeDocument/2006/relationships/hyperlink" Id="rId351" Target="https://doi.org/10.1111/jere.12070" TargetMode="External" /><Relationship Type="http://schemas.openxmlformats.org/officeDocument/2006/relationships/hyperlink" Id="rId301" Target="https://doi.org/10.1111/mila.12451" TargetMode="External" /><Relationship Type="http://schemas.openxmlformats.org/officeDocument/2006/relationships/hyperlink" Id="rId450" Target="https://doi.org/10.1111/nous.12006" TargetMode="External" /><Relationship Type="http://schemas.openxmlformats.org/officeDocument/2006/relationships/hyperlink" Id="rId287" Target="https://doi.org/10.1111/nous.12137" TargetMode="External" /><Relationship Type="http://schemas.openxmlformats.org/officeDocument/2006/relationships/hyperlink" Id="rId364" Target="https://doi.org/10.1111/nous.12186" TargetMode="External" /><Relationship Type="http://schemas.openxmlformats.org/officeDocument/2006/relationships/hyperlink" Id="rId291" Target="https://doi.org/10.1111/nous.12222" TargetMode="External" /><Relationship Type="http://schemas.openxmlformats.org/officeDocument/2006/relationships/hyperlink" Id="rId465" Target="https://doi.org/10.1111/nous.12254" TargetMode="External" /><Relationship Type="http://schemas.openxmlformats.org/officeDocument/2006/relationships/hyperlink" Id="rId400" Target="https://doi.org/10.1111/nous.12323" TargetMode="External" /><Relationship Type="http://schemas.openxmlformats.org/officeDocument/2006/relationships/hyperlink" Id="rId480" Target="https://doi.org/10.1111/phib.12283" TargetMode="External" /><Relationship Type="http://schemas.openxmlformats.org/officeDocument/2006/relationships/hyperlink" Id="rId448" Target="https://doi.org/10.1111/phib.12314" TargetMode="External" /><Relationship Type="http://schemas.openxmlformats.org/officeDocument/2006/relationships/hyperlink" Id="rId289"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62" Target="https://doi.org/10.1111/phpr.12090" TargetMode="External" /><Relationship Type="http://schemas.openxmlformats.org/officeDocument/2006/relationships/hyperlink" Id="rId483" Target="https://doi.org/10.1111/phpr.12191" TargetMode="External" /><Relationship Type="http://schemas.openxmlformats.org/officeDocument/2006/relationships/hyperlink" Id="rId384"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10" Target="https://doi.org/10.1111/phpr.12431" TargetMode="External" /><Relationship Type="http://schemas.openxmlformats.org/officeDocument/2006/relationships/hyperlink" Id="rId296" Target="https://doi.org/10.1111/phpr.12982" TargetMode="External" /><Relationship Type="http://schemas.openxmlformats.org/officeDocument/2006/relationships/hyperlink" Id="rId394" Target="https://doi.org/10.1215/00318108-3878483" TargetMode="External" /><Relationship Type="http://schemas.openxmlformats.org/officeDocument/2006/relationships/hyperlink" Id="rId293" Target="https://doi.org/10.1215/00318108-8540918" TargetMode="External" /><Relationship Type="http://schemas.openxmlformats.org/officeDocument/2006/relationships/hyperlink" Id="rId433" Target="https://doi.org/10.1257/aer.101.2.900" TargetMode="External" /><Relationship Type="http://schemas.openxmlformats.org/officeDocument/2006/relationships/hyperlink" Id="rId243" Target="https://doi.org/10.1257/aer.101.7.2899" TargetMode="External" /><Relationship Type="http://schemas.openxmlformats.org/officeDocument/2006/relationships/hyperlink" Id="rId252" Target="https://doi.org/10.2307/1885060" TargetMode="External" /><Relationship Type="http://schemas.openxmlformats.org/officeDocument/2006/relationships/hyperlink" Id="rId354" Target="https://doi.org/10.2307/1912320" TargetMode="External" /><Relationship Type="http://schemas.openxmlformats.org/officeDocument/2006/relationships/hyperlink" Id="rId371" Target="https://doi.org/10.2307/2184045" TargetMode="External" /><Relationship Type="http://schemas.openxmlformats.org/officeDocument/2006/relationships/hyperlink" Id="rId375" Target="https://doi.org/10.2307/2185051" TargetMode="External" /><Relationship Type="http://schemas.openxmlformats.org/officeDocument/2006/relationships/hyperlink" Id="rId336" Target="https://doi.org/10.2307/2216304" TargetMode="External" /><Relationship Type="http://schemas.openxmlformats.org/officeDocument/2006/relationships/hyperlink" Id="rId331" Target="https://doi.org/10.2307/2224214" TargetMode="External" /><Relationship Type="http://schemas.openxmlformats.org/officeDocument/2006/relationships/hyperlink" Id="rId346" Target="https://doi.org/10.2307/2224674" TargetMode="External" /><Relationship Type="http://schemas.openxmlformats.org/officeDocument/2006/relationships/hyperlink" Id="rId382" Target="https://doi.org/10.2307/2296233" TargetMode="External" /><Relationship Type="http://schemas.openxmlformats.org/officeDocument/2006/relationships/hyperlink" Id="rId245" Target="https://doi.org/10.2307/2951491" TargetMode="External" /><Relationship Type="http://schemas.openxmlformats.org/officeDocument/2006/relationships/hyperlink" Id="rId283" Target="https://doi.org/10.2307/3182570" TargetMode="External" /><Relationship Type="http://schemas.openxmlformats.org/officeDocument/2006/relationships/hyperlink" Id="rId269" Target="https://doi.org/10.2307/3182618" TargetMode="External" /><Relationship Type="http://schemas.openxmlformats.org/officeDocument/2006/relationships/hyperlink" Id="rId459" Target="https://doi.org/10.2307/3218711" TargetMode="External" /><Relationship Type="http://schemas.openxmlformats.org/officeDocument/2006/relationships/hyperlink" Id="rId305" Target="https://doi.org/10.2307/3326922" TargetMode="External" /><Relationship Type="http://schemas.openxmlformats.org/officeDocument/2006/relationships/hyperlink" Id="rId308" Target="https://doi.org/10.3765/sp.3.4" TargetMode="External" /><Relationship Type="http://schemas.openxmlformats.org/officeDocument/2006/relationships/hyperlink" Id="rId435" Target="https://doi.org/10.3765/sp.5.6" TargetMode="External" /><Relationship Type="http://schemas.openxmlformats.org/officeDocument/2006/relationships/hyperlink" Id="rId273" Target="https://doi.org/10.3998/ergo.12405314.0002.026" TargetMode="External" /><Relationship Type="http://schemas.openxmlformats.org/officeDocument/2006/relationships/hyperlink" Id="rId321" Target="https://doi.org/10.5840/jphil20081051022" TargetMode="External" /><Relationship Type="http://schemas.openxmlformats.org/officeDocument/2006/relationships/hyperlink" Id="rId490"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329" Target="https://doi.org/s10992-024-09746-7" TargetMode="External" /><Relationship Type="http://schemas.openxmlformats.org/officeDocument/2006/relationships/hyperlink" Id="rId429" Target="https://plato.stanford.edu/archives/spr2018/entries/public-reason/" TargetMode="External" /><Relationship Type="http://schemas.openxmlformats.org/officeDocument/2006/relationships/hyperlink" Id="rId266" Target="https://plato.stanford.edu/archives/spr2018/entries/questions/" TargetMode="External" /><Relationship Type="http://schemas.openxmlformats.org/officeDocument/2006/relationships/hyperlink" Id="rId238" Target="https://plato.stanford.edu/archives/sum2021/entries/philo-larissa/" TargetMode="External" /></Relationships>
</file>

<file path=word/_rels/footnotes.xml.rels><?xml version="1.0" encoding="UTF-8"?><Relationships xmlns="http://schemas.openxmlformats.org/package/2006/relationships"><Relationship Type="http://schemas.openxmlformats.org/officeDocument/2006/relationships/hyperlink" Id="rId256" Target="http://hdl.handle.net/2027/spo.3521354.0011.006" TargetMode="External" /><Relationship Type="http://schemas.openxmlformats.org/officeDocument/2006/relationships/hyperlink" Id="rId271" Target="http://journal.sjdm.org/8320/jdm8320.pdf" TargetMode="External" /><Relationship Type="http://schemas.openxmlformats.org/officeDocument/2006/relationships/hyperlink" Id="rId338" Target="https://doi.org/10.1002/tht3.7" TargetMode="External" /><Relationship Type="http://schemas.openxmlformats.org/officeDocument/2006/relationships/hyperlink" Id="rId476" Target="https://doi.org/10.1006/reec.1999.0200" TargetMode="External" /><Relationship Type="http://schemas.openxmlformats.org/officeDocument/2006/relationships/hyperlink" Id="rId313" Target="https://doi.org/10.1007/BF00183199" TargetMode="External" /><Relationship Type="http://schemas.openxmlformats.org/officeDocument/2006/relationships/hyperlink" Id="rId333" Target="https://doi.org/10.1007/BF00293423" TargetMode="External" /><Relationship Type="http://schemas.openxmlformats.org/officeDocument/2006/relationships/hyperlink" Id="rId470" Target="https://doi.org/10.1007/BF01079205" TargetMode="External" /><Relationship Type="http://schemas.openxmlformats.org/officeDocument/2006/relationships/hyperlink" Id="rId467"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96" Target="https://doi.org/10.1007/s10734-010-9309-7" TargetMode="External" /><Relationship Type="http://schemas.openxmlformats.org/officeDocument/2006/relationships/hyperlink" Id="rId488" Target="https://doi.org/10.1007/s11098-004-5218-x" TargetMode="External" /><Relationship Type="http://schemas.openxmlformats.org/officeDocument/2006/relationships/hyperlink" Id="rId303" Target="https://doi.org/10.1007/s11098-005-7779-8" TargetMode="External" /><Relationship Type="http://schemas.openxmlformats.org/officeDocument/2006/relationships/hyperlink" Id="rId298" Target="https://doi.org/10.1007/s11098-007-9133-9" TargetMode="External" /><Relationship Type="http://schemas.openxmlformats.org/officeDocument/2006/relationships/hyperlink" Id="rId452" Target="https://doi.org/10.1007/s11098-008-9200-x" TargetMode="External" /><Relationship Type="http://schemas.openxmlformats.org/officeDocument/2006/relationships/hyperlink" Id="rId278" Target="https://doi.org/10.1007/s11098-008-9225-1" TargetMode="External" /><Relationship Type="http://schemas.openxmlformats.org/officeDocument/2006/relationships/hyperlink" Id="rId392" Target="https://doi.org/10.1007/s11098-010-9542-z" TargetMode="External" /><Relationship Type="http://schemas.openxmlformats.org/officeDocument/2006/relationships/hyperlink" Id="rId454" Target="https://doi.org/10.1007/s11098-011-9718-1" TargetMode="External" /><Relationship Type="http://schemas.openxmlformats.org/officeDocument/2006/relationships/hyperlink" Id="rId323" Target="https://doi.org/10.1007/s11098-012-9880-0" TargetMode="External" /><Relationship Type="http://schemas.openxmlformats.org/officeDocument/2006/relationships/hyperlink" Id="rId276" Target="https://doi.org/10.1007/s11098-015-0461-x" TargetMode="External" /><Relationship Type="http://schemas.openxmlformats.org/officeDocument/2006/relationships/hyperlink" Id="rId318"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6" Target="https://doi.org/10.1007/s11229-015-0878-y" TargetMode="External" /><Relationship Type="http://schemas.openxmlformats.org/officeDocument/2006/relationships/hyperlink" Id="rId398" Target="https://doi.org/10.1007/s11238-017-9592-1" TargetMode="External" /><Relationship Type="http://schemas.openxmlformats.org/officeDocument/2006/relationships/hyperlink" Id="rId349" Target="https://doi.org/10.1007/s44204-023-00097-9" TargetMode="External" /><Relationship Type="http://schemas.openxmlformats.org/officeDocument/2006/relationships/hyperlink" Id="rId427" Target="https://doi.org/10.1016/0167-2681(82)90008-7" TargetMode="External" /><Relationship Type="http://schemas.openxmlformats.org/officeDocument/2006/relationships/hyperlink" Id="rId442" Target="https://doi.org/10.1016/S0004-3702(97)00026-X" TargetMode="External" /><Relationship Type="http://schemas.openxmlformats.org/officeDocument/2006/relationships/hyperlink" Id="rId474" Target="https://doi.org/10.1016/S0165-4896(98)00007-9" TargetMode="External" /><Relationship Type="http://schemas.openxmlformats.org/officeDocument/2006/relationships/hyperlink" Id="rId249" Target="https://doi.org/10.1016/j.jcps.2014.08.002" TargetMode="External" /><Relationship Type="http://schemas.openxmlformats.org/officeDocument/2006/relationships/hyperlink" Id="rId421" Target="https://doi.org/10.1016/j.mathsocsci.2013.08.005" TargetMode="External" /><Relationship Type="http://schemas.openxmlformats.org/officeDocument/2006/relationships/hyperlink" Id="rId416" Target="https://doi.org/10.1016/j.shpsb.2009.08.008" TargetMode="External" /><Relationship Type="http://schemas.openxmlformats.org/officeDocument/2006/relationships/hyperlink" Id="rId368" Target="https://doi.org/10.1017/S0012217317000154" TargetMode="External" /><Relationship Type="http://schemas.openxmlformats.org/officeDocument/2006/relationships/hyperlink" Id="rId472" Target="https://doi.org/10.1017/S0266267100004132" TargetMode="External" /><Relationship Type="http://schemas.openxmlformats.org/officeDocument/2006/relationships/hyperlink" Id="rId373"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7" Target="https://doi.org/10.1037/0022-3514.83.5.1178" TargetMode="External" /><Relationship Type="http://schemas.openxmlformats.org/officeDocument/2006/relationships/hyperlink" Id="rId414" Target="https://doi.org/10.1037/pspp0000141" TargetMode="External" /><Relationship Type="http://schemas.openxmlformats.org/officeDocument/2006/relationships/hyperlink" Id="rId440" Target="https://doi.org/10.1080/00048400802001996" TargetMode="External" /><Relationship Type="http://schemas.openxmlformats.org/officeDocument/2006/relationships/hyperlink" Id="rId513" Target="https://doi.org/10.1080/0020174X.2013.775010" TargetMode="External" /><Relationship Type="http://schemas.openxmlformats.org/officeDocument/2006/relationships/hyperlink" Id="rId407" Target="https://doi.org/10.1080/0020174X.2013.775014" TargetMode="External" /><Relationship Type="http://schemas.openxmlformats.org/officeDocument/2006/relationships/hyperlink" Id="rId247" Target="https://doi.org/10.1080/00213624.2017.1391594" TargetMode="External" /><Relationship Type="http://schemas.openxmlformats.org/officeDocument/2006/relationships/hyperlink" Id="rId366" Target="https://doi.org/10.1080/05568641.2017.1364142" TargetMode="External" /><Relationship Type="http://schemas.openxmlformats.org/officeDocument/2006/relationships/hyperlink" Id="rId444" Target="https://doi.org/10.1086/288168" TargetMode="External" /><Relationship Type="http://schemas.openxmlformats.org/officeDocument/2006/relationships/hyperlink" Id="rId389" Target="https://doi.org/10.1086/289906" TargetMode="External" /><Relationship Type="http://schemas.openxmlformats.org/officeDocument/2006/relationships/hyperlink" Id="rId387" Target="https://doi.org/10.1086/392759" TargetMode="External" /><Relationship Type="http://schemas.openxmlformats.org/officeDocument/2006/relationships/hyperlink" Id="rId327" Target="https://doi.org/10.1086/648610" TargetMode="External" /><Relationship Type="http://schemas.openxmlformats.org/officeDocument/2006/relationships/hyperlink" Id="rId446" Target="https://doi.org/10.1086/651235" TargetMode="External" /><Relationship Type="http://schemas.openxmlformats.org/officeDocument/2006/relationships/hyperlink" Id="rId325" Target="https://doi.org/10.1086/671402" TargetMode="External" /><Relationship Type="http://schemas.openxmlformats.org/officeDocument/2006/relationships/hyperlink" Id="rId281" Target="https://doi.org/10.1093/analys/anab037" TargetMode="External" /><Relationship Type="http://schemas.openxmlformats.org/officeDocument/2006/relationships/hyperlink" Id="rId225" Target="https://doi.org/10.1093/analys/anr083" TargetMode="External" /><Relationship Type="http://schemas.openxmlformats.org/officeDocument/2006/relationships/hyperlink" Id="rId358" Target="https://doi.org/10.1093/analys/anr129" TargetMode="External" /><Relationship Type="http://schemas.openxmlformats.org/officeDocument/2006/relationships/hyperlink" Id="rId379" Target="https://doi.org/10.1093/mind/105.418.303" TargetMode="External" /><Relationship Type="http://schemas.openxmlformats.org/officeDocument/2006/relationships/hyperlink" Id="rId377" Target="https://doi.org/10.1093/mind/xcvii.387.323" TargetMode="External" /><Relationship Type="http://schemas.openxmlformats.org/officeDocument/2006/relationships/hyperlink" Id="rId461" Target="https://doi.org/10.1111/0029-4624.33.s13.7" TargetMode="External" /><Relationship Type="http://schemas.openxmlformats.org/officeDocument/2006/relationships/hyperlink" Id="rId232"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41" Target="https://doi.org/10.1111/j.1467-9280.2006.01677.x" TargetMode="External" /><Relationship Type="http://schemas.openxmlformats.org/officeDocument/2006/relationships/hyperlink" Id="rId463" Target="https://doi.org/10.1111/j.1468-0017.2010.01394.x" TargetMode="External" /><Relationship Type="http://schemas.openxmlformats.org/officeDocument/2006/relationships/hyperlink" Id="rId240" Target="https://doi.org/10.1111/j.1468-0068.2008.00677.x" TargetMode="External" /><Relationship Type="http://schemas.openxmlformats.org/officeDocument/2006/relationships/hyperlink" Id="rId486"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60" Target="https://doi.org/10.1111/j.1520-8583.2010.00183.x" TargetMode="External" /><Relationship Type="http://schemas.openxmlformats.org/officeDocument/2006/relationships/hyperlink" Id="rId405" Target="https://doi.org/10.1111/j.1520-8583.2010.00198.x" TargetMode="External" /><Relationship Type="http://schemas.openxmlformats.org/officeDocument/2006/relationships/hyperlink" Id="rId425" Target="https://doi.org/10.1111/j.1533-6077.2004.00034.x" TargetMode="External" /><Relationship Type="http://schemas.openxmlformats.org/officeDocument/2006/relationships/hyperlink" Id="rId262" Target="https://doi.org/10.1111/j.1533-6077.2004.00040.x" TargetMode="External" /><Relationship Type="http://schemas.openxmlformats.org/officeDocument/2006/relationships/hyperlink" Id="rId260"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6" Target="https://doi.org/10.1111/j.1933-1592.2005.tb00540.x" TargetMode="External" /><Relationship Type="http://schemas.openxmlformats.org/officeDocument/2006/relationships/hyperlink" Id="rId412" Target="https://doi.org/10.1111/j.1933-1592.2007.00069.x" TargetMode="External" /><Relationship Type="http://schemas.openxmlformats.org/officeDocument/2006/relationships/hyperlink" Id="rId234"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7" Target="https://doi.org/10.1111/j.1933-1592.2011.00552.x" TargetMode="External" /><Relationship Type="http://schemas.openxmlformats.org/officeDocument/2006/relationships/hyperlink" Id="rId351" Target="https://doi.org/10.1111/jere.12070" TargetMode="External" /><Relationship Type="http://schemas.openxmlformats.org/officeDocument/2006/relationships/hyperlink" Id="rId301" Target="https://doi.org/10.1111/mila.12451" TargetMode="External" /><Relationship Type="http://schemas.openxmlformats.org/officeDocument/2006/relationships/hyperlink" Id="rId450" Target="https://doi.org/10.1111/nous.12006" TargetMode="External" /><Relationship Type="http://schemas.openxmlformats.org/officeDocument/2006/relationships/hyperlink" Id="rId287" Target="https://doi.org/10.1111/nous.12137" TargetMode="External" /><Relationship Type="http://schemas.openxmlformats.org/officeDocument/2006/relationships/hyperlink" Id="rId364" Target="https://doi.org/10.1111/nous.12186" TargetMode="External" /><Relationship Type="http://schemas.openxmlformats.org/officeDocument/2006/relationships/hyperlink" Id="rId291" Target="https://doi.org/10.1111/nous.12222" TargetMode="External" /><Relationship Type="http://schemas.openxmlformats.org/officeDocument/2006/relationships/hyperlink" Id="rId465" Target="https://doi.org/10.1111/nous.12254" TargetMode="External" /><Relationship Type="http://schemas.openxmlformats.org/officeDocument/2006/relationships/hyperlink" Id="rId400" Target="https://doi.org/10.1111/nous.12323" TargetMode="External" /><Relationship Type="http://schemas.openxmlformats.org/officeDocument/2006/relationships/hyperlink" Id="rId480" Target="https://doi.org/10.1111/phib.12283" TargetMode="External" /><Relationship Type="http://schemas.openxmlformats.org/officeDocument/2006/relationships/hyperlink" Id="rId448" Target="https://doi.org/10.1111/phib.12314" TargetMode="External" /><Relationship Type="http://schemas.openxmlformats.org/officeDocument/2006/relationships/hyperlink" Id="rId289"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62" Target="https://doi.org/10.1111/phpr.12090" TargetMode="External" /><Relationship Type="http://schemas.openxmlformats.org/officeDocument/2006/relationships/hyperlink" Id="rId483" Target="https://doi.org/10.1111/phpr.12191" TargetMode="External" /><Relationship Type="http://schemas.openxmlformats.org/officeDocument/2006/relationships/hyperlink" Id="rId384"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10" Target="https://doi.org/10.1111/phpr.12431" TargetMode="External" /><Relationship Type="http://schemas.openxmlformats.org/officeDocument/2006/relationships/hyperlink" Id="rId296" Target="https://doi.org/10.1111/phpr.12982" TargetMode="External" /><Relationship Type="http://schemas.openxmlformats.org/officeDocument/2006/relationships/hyperlink" Id="rId394" Target="https://doi.org/10.1215/00318108-3878483" TargetMode="External" /><Relationship Type="http://schemas.openxmlformats.org/officeDocument/2006/relationships/hyperlink" Id="rId293" Target="https://doi.org/10.1215/00318108-8540918" TargetMode="External" /><Relationship Type="http://schemas.openxmlformats.org/officeDocument/2006/relationships/hyperlink" Id="rId433" Target="https://doi.org/10.1257/aer.101.2.900" TargetMode="External" /><Relationship Type="http://schemas.openxmlformats.org/officeDocument/2006/relationships/hyperlink" Id="rId243" Target="https://doi.org/10.1257/aer.101.7.2899" TargetMode="External" /><Relationship Type="http://schemas.openxmlformats.org/officeDocument/2006/relationships/hyperlink" Id="rId252" Target="https://doi.org/10.2307/1885060" TargetMode="External" /><Relationship Type="http://schemas.openxmlformats.org/officeDocument/2006/relationships/hyperlink" Id="rId354" Target="https://doi.org/10.2307/1912320" TargetMode="External" /><Relationship Type="http://schemas.openxmlformats.org/officeDocument/2006/relationships/hyperlink" Id="rId371" Target="https://doi.org/10.2307/2184045" TargetMode="External" /><Relationship Type="http://schemas.openxmlformats.org/officeDocument/2006/relationships/hyperlink" Id="rId375" Target="https://doi.org/10.2307/2185051" TargetMode="External" /><Relationship Type="http://schemas.openxmlformats.org/officeDocument/2006/relationships/hyperlink" Id="rId336" Target="https://doi.org/10.2307/2216304" TargetMode="External" /><Relationship Type="http://schemas.openxmlformats.org/officeDocument/2006/relationships/hyperlink" Id="rId331" Target="https://doi.org/10.2307/2224214" TargetMode="External" /><Relationship Type="http://schemas.openxmlformats.org/officeDocument/2006/relationships/hyperlink" Id="rId346" Target="https://doi.org/10.2307/2224674" TargetMode="External" /><Relationship Type="http://schemas.openxmlformats.org/officeDocument/2006/relationships/hyperlink" Id="rId382" Target="https://doi.org/10.2307/2296233" TargetMode="External" /><Relationship Type="http://schemas.openxmlformats.org/officeDocument/2006/relationships/hyperlink" Id="rId245" Target="https://doi.org/10.2307/2951491" TargetMode="External" /><Relationship Type="http://schemas.openxmlformats.org/officeDocument/2006/relationships/hyperlink" Id="rId283" Target="https://doi.org/10.2307/3182570" TargetMode="External" /><Relationship Type="http://schemas.openxmlformats.org/officeDocument/2006/relationships/hyperlink" Id="rId269" Target="https://doi.org/10.2307/3182618" TargetMode="External" /><Relationship Type="http://schemas.openxmlformats.org/officeDocument/2006/relationships/hyperlink" Id="rId459" Target="https://doi.org/10.2307/3218711" TargetMode="External" /><Relationship Type="http://schemas.openxmlformats.org/officeDocument/2006/relationships/hyperlink" Id="rId305" Target="https://doi.org/10.2307/3326922" TargetMode="External" /><Relationship Type="http://schemas.openxmlformats.org/officeDocument/2006/relationships/hyperlink" Id="rId308" Target="https://doi.org/10.3765/sp.3.4" TargetMode="External" /><Relationship Type="http://schemas.openxmlformats.org/officeDocument/2006/relationships/hyperlink" Id="rId435" Target="https://doi.org/10.3765/sp.5.6" TargetMode="External" /><Relationship Type="http://schemas.openxmlformats.org/officeDocument/2006/relationships/hyperlink" Id="rId273" Target="https://doi.org/10.3998/ergo.12405314.0002.026" TargetMode="External" /><Relationship Type="http://schemas.openxmlformats.org/officeDocument/2006/relationships/hyperlink" Id="rId321" Target="https://doi.org/10.5840/jphil20081051022" TargetMode="External" /><Relationship Type="http://schemas.openxmlformats.org/officeDocument/2006/relationships/hyperlink" Id="rId490"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329" Target="https://doi.org/s10992-024-09746-7" TargetMode="External" /><Relationship Type="http://schemas.openxmlformats.org/officeDocument/2006/relationships/hyperlink" Id="rId429" Target="https://plato.stanford.edu/archives/spr2018/entries/public-reason/" TargetMode="External" /><Relationship Type="http://schemas.openxmlformats.org/officeDocument/2006/relationships/hyperlink" Id="rId266" Target="https://plato.stanford.edu/archives/spr2018/entries/questions/" TargetMode="External" /><Relationship Type="http://schemas.openxmlformats.org/officeDocument/2006/relationships/hyperlink" Id="rId238" Target="https://plato.stanford.edu/archives/sum2021/entries/philo-laris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2024-09-07T12:38:14Z</dcterms:created>
  <dcterms:modified xsi:type="dcterms:W3CDTF">2024-09-07T12:38:14Z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2024-09-07</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emplate-partials">
    <vt:lpwstr/>
  </property>
  <property fmtid="{D5CDD505-2E9C-101B-9397-08002B2CF9AE}" pid="18" name="toc-title">
    <vt:lpwstr>Table of contents</vt:lpwstr>
  </property>
</Properties>
</file>