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2022-10-08</w:t>
      </w:r>
    </w:p>
    <w:bookmarkStart w:id="20" w:name="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 (Or at least it will when it’s done. As you’ll see if you read ahead, chapter 5 is not done, the references are incomplete, and a lot of other parts still need work.)</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them into a story. Some of that plan has been retained in the final version. Most sections in chapters</w:t>
      </w:r>
      <w:r>
        <w:t xml:space="preserve"> </w:t>
      </w:r>
      <w:r>
        <w:t xml:space="preserve">8</w:t>
      </w:r>
      <w:r>
        <w:t xml:space="preserve"> </w:t>
      </w:r>
      <w:r>
        <w:t xml:space="preserve">and</w:t>
      </w:r>
      <w:r>
        <w:t xml:space="preserve"> </w:t>
      </w:r>
      <w:r>
        <w:t xml:space="preserve">9</w:t>
      </w:r>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the whole thing.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main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can go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over those papers.</w:t>
      </w:r>
    </w:p>
    <w:p>
      <w:pPr>
        <w:pStyle w:val="BodyText"/>
      </w:pPr>
      <w:r>
        <w:t xml:space="preserve">I used to identify those practical limits on knowledge with cases where relying on the purported knowledge would get the wrong answer. I focussed,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because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chapter</w:t>
      </w:r>
      <w:r>
        <w:t xml:space="preserve"> </w:t>
      </w:r>
      <w:r>
        <w:t xml:space="preserve">6</w:t>
      </w:r>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But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has been a real privilege to be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5" w:name="background"/>
    <w:p>
      <w:pPr>
        <w:pStyle w:val="Heading1"/>
      </w:pPr>
      <w:r>
        <w:rPr>
          <w:rStyle w:val="SectionNumber"/>
        </w:rPr>
        <w:t xml:space="preserve">1</w:t>
      </w:r>
      <w:r>
        <w:tab/>
      </w:r>
      <w:r>
        <w:t xml:space="preserve">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So let’s say we do not identify knowledge with absolute certainty, and instead pick some particular level of certainty below that. Then there will be propositions that are more certain than that threshold, but which one should not use in inquiry. For instance, there will be cases where one’s evidence that a particular friend is not allergic to peanuts is above that threshold, but this is not something that should be taken as a starting point in inquiry, because it isn’t certain enough to act on.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w:t>
      </w:r>
      <w:hyperlink w:anchor="ref-Lewis1986a">
        <w:r>
          <w:rPr>
            <w:rStyle w:val="Hyperlink"/>
          </w:rPr>
          <w:t xml:space="preserve">1986a</w:t>
        </w:r>
      </w:hyperlink>
      <w:r>
        <w:t xml:space="preserve">)</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and</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I think there are two differences between interest-relativity and safety-relativity that have mattered for their reception. Or, perhaps better, there are two ways of looking at the key difference. First, safety was the same kind of consideration as previous epistemologists had considered. It looks a lot like the sensitity condition that Robert Nozick</w:t>
      </w:r>
      <w:r>
        <w:t xml:space="preserve"> </w:t>
      </w:r>
      <w:r>
        <w:t xml:space="preserve">(</w:t>
      </w:r>
      <w:hyperlink w:anchor="ref-Nozick1981">
        <w:r>
          <w:rPr>
            <w:rStyle w:val="Hyperlink"/>
          </w:rPr>
          <w:t xml:space="preserve">1981</w:t>
        </w:r>
      </w:hyperlink>
      <w:r>
        <w:t xml:space="preserve">)</w:t>
      </w:r>
      <w:r>
        <w:t xml:space="preserve"> </w:t>
      </w:r>
      <w:r>
        <w:t xml:space="preserve">had argued plays a central role in the theory of knowledge. It looks like a kind of reliability condition, so it is continuous with twentieth century work on reliabilism. So this leads to the second point.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I think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I want to focus on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w:t>
      </w:r>
      <w:hyperlink w:anchor="ref-Adamson2015">
        <w:r>
          <w:rPr>
            <w:rStyle w:val="Hyperlink"/>
          </w:rPr>
          <w:t xml:space="preserve">Adamson 2015, 112</w:t>
        </w:r>
      </w:hyperlink>
      <w:r>
        <w:t xml:space="preserve">)</w:t>
      </w:r>
    </w:p>
    <w:p>
      <w:pPr>
        <w:pStyle w:val="FirstParagraph"/>
      </w:pPr>
      <w:r>
        <w:t xml:space="preserve">Now Philo (probably) doesn’t move from this to an interest-relative theory of knowledge. But look how close he gets. He thinks that the norm of belief, or at least of the thing that plays the same role in his philosophical system as belief plays in ours, is interest-relative. All you have to add to get an interest-relative theory of knowledge is that knowledge is the norm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w:t>
      </w:r>
      <w:hyperlink w:anchor="ref-Pasnau2017">
        <w:r>
          <w:rPr>
            <w:rStyle w:val="Hyperlink"/>
          </w:rPr>
          <w:t xml:space="preserve">Pasnau 2017, 32</w:t>
        </w:r>
      </w:hyperlink>
      <w:r>
        <w:t xml:space="preserve">)</w:t>
      </w:r>
      <w:r>
        <w:t xml:space="preserve">. I’m going to focus on the third of these, moral certainty.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w:t>
      </w:r>
      <w:hyperlink w:anchor="ref-Pasnau2017">
        <w:r>
          <w:rPr>
            <w:rStyle w:val="Hyperlink"/>
          </w:rPr>
          <w:t xml:space="preserve">2017, 34</w:t>
        </w:r>
      </w:hyperlink>
      <w:r>
        <w:t xml:space="preserve">)</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w:t>
      </w:r>
      <w:hyperlink w:anchor="ref-Pasnau2017">
        <w:r>
          <w:rPr>
            <w:rStyle w:val="Hyperlink"/>
          </w:rPr>
          <w:t xml:space="preserve">Pasnau 2017, 218</w:t>
        </w:r>
      </w:hyperlink>
      <w:r>
        <w:t xml:space="preserve">)</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w:t>
      </w:r>
      <w:hyperlink w:anchor="ref-Pasnau2017">
        <w:r>
          <w:rPr>
            <w:rStyle w:val="Hyperlink"/>
          </w:rPr>
          <w:t xml:space="preserve">Pasnau 2017, 43</w:t>
        </w:r>
      </w:hyperlink>
      <w:r>
        <w:t xml:space="preserve">)</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that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I’ll have more to say about Buridan, and indeed about Pasnau, in what follows. For now I just want to note that in both Philo of Larissa, and in the tradition that runs from Buridan to Wilkins and beyond, interest-relative epistemic concepts play central roles. I don’t want to say that there is a figure here who literally endorses every aspect of the contemporary interest-relative view. But the predecessors are there. Indeed, they are there at some of the earliest sightings of what we might, in current terminology, call fallible epistemologies. If anything, I suspect the idea that an epistemology can be fallibilist and interest-invariant is the more modern innovation. But rather than dive too deeply into those historical waters, I want to draw out a connection between Buridan’s epistemology and (a particular strand in) Indian epistemology: the role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w:t>
      </w:r>
      <w:hyperlink w:anchor="ref-AdamsonGaneri2020">
        <w:r>
          <w:rPr>
            <w:rStyle w:val="Hyperlink"/>
          </w:rPr>
          <w:t xml:space="preserve">Adamson and Ganeri 2020, 170</w:t>
        </w:r>
      </w:hyperlink>
      <w:r>
        <w:t xml:space="preserve">)</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I think this is an excellent anti-sceptical argument. That’s not just because it’s sound, and persuasive, though I think it’s both. It’s because it derives anti-sceptical conclusions from the practical nature of knowledge. It grounds the anti-scepticism where is should be grounded, in the practical nature of knowledge itself.</w:t>
      </w:r>
    </w:p>
    <w:p>
      <w:pPr>
        <w:pStyle w:val="BodyText"/>
      </w:pPr>
      <w:r>
        <w:t xml:space="preserve">The Nyāya philosophers, like Vātsyāyana, are relevant to our story for another reason. As well as closely connecting knowledge with action, they connect it closely with inquiry. As you can see just by looking at the number of times the word</w:t>
      </w:r>
      <w:r>
        <w:t xml:space="preserve"> </w:t>
      </w:r>
      <w:r>
        <w:t xml:space="preserve">‘</w:t>
      </w:r>
      <w:r>
        <w:t xml:space="preserve">inquiry</w:t>
      </w:r>
      <w:r>
        <w:t xml:space="preserve">’</w:t>
      </w:r>
      <w:r>
        <w:t xml:space="preserve"> </w:t>
      </w:r>
      <w:r>
        <w:t xml:space="preserve">occurs in my initial paragraph, I’m also going to place inquiry at the center of the story. In doing so I’m following a number of contemporary philosophers. Jane Friedman</w:t>
      </w:r>
      <w:r>
        <w:t xml:space="preserve"> </w:t>
      </w:r>
      <w:r>
        <w:t xml:space="preserve">(</w:t>
      </w:r>
      <w:hyperlink w:anchor="ref-Friedman2019a">
        <w:r>
          <w:rPr>
            <w:rStyle w:val="Hyperlink"/>
          </w:rPr>
          <w:t xml:space="preserve">2019b</w:t>
        </w:r>
      </w:hyperlink>
      <w:r>
        <w:t xml:space="preserve">,</w:t>
      </w:r>
      <w:r>
        <w:t xml:space="preserve"> </w:t>
      </w:r>
      <w:hyperlink w:anchor="ref-Friedman2019b">
        <w:r>
          <w:rPr>
            <w:rStyle w:val="Hyperlink"/>
          </w:rPr>
          <w:t xml:space="preserve">2019a</w:t>
        </w:r>
      </w:hyperlink>
      <w:r>
        <w:t xml:space="preserve">,</w:t>
      </w:r>
      <w:r>
        <w:t xml:space="preserve"> </w:t>
      </w:r>
      <w:hyperlink w:anchor="ref-Friedman2020">
        <w:r>
          <w:rPr>
            <w:rStyle w:val="Hyperlink"/>
          </w:rPr>
          <w:t xml:space="preserve">2020</w:t>
        </w:r>
      </w:hyperlink>
      <w:r>
        <w:t xml:space="preserve">)</w:t>
      </w:r>
      <w:r>
        <w:t xml:space="preserve"> </w:t>
      </w:r>
      <w:r>
        <w:t xml:space="preserve">has developed a detailed account of what inquiry is and how it relates to epistemology. I’m not going to adopt her picture in its entirety; I’m persuaded by some criticisms of it by Elise Woodard</w:t>
      </w:r>
      <w:r>
        <w:t xml:space="preserve"> </w:t>
      </w:r>
      <w:r>
        <w:t xml:space="preserve">(</w:t>
      </w:r>
      <w:hyperlink w:anchor="ref-Woodard2021">
        <w:r>
          <w:rPr>
            <w:rStyle w:val="Hyperlink"/>
          </w:rPr>
          <w:t xml:space="preserve">2020</w:t>
        </w:r>
      </w:hyperlink>
      <w:r>
        <w:t xml:space="preserve">)</w:t>
      </w:r>
      <w:r>
        <w:t xml:space="preserve"> </w:t>
      </w:r>
      <w:r>
        <w:t xml:space="preserve">and Arienne Falbo</w:t>
      </w:r>
      <w:r>
        <w:t xml:space="preserve"> </w:t>
      </w:r>
      <w:r>
        <w:t xml:space="preserve">(</w:t>
      </w:r>
      <w:hyperlink w:anchor="ref-Falbo2021">
        <w:r>
          <w:rPr>
            <w:rStyle w:val="Hyperlink"/>
          </w:rPr>
          <w:t xml:space="preserve">2021</w:t>
        </w:r>
      </w:hyperlink>
      <w:r>
        <w:t xml:space="preserve">)</w:t>
      </w:r>
      <w:r>
        <w:t xml:space="preserve">. But I am going to use a fairly similar picture to hers. And Guido Melchior</w:t>
      </w:r>
      <w:r>
        <w:t xml:space="preserve"> </w:t>
      </w:r>
      <w:r>
        <w:t xml:space="preserve">(</w:t>
      </w:r>
      <w:hyperlink w:anchor="ref-Melchior2019">
        <w:r>
          <w:rPr>
            <w:rStyle w:val="Hyperlink"/>
          </w:rPr>
          <w:t xml:space="preserve">2019</w:t>
        </w:r>
      </w:hyperlink>
      <w:r>
        <w:t xml:space="preserve">)</w:t>
      </w:r>
      <w:r>
        <w:t xml:space="preserve"> </w:t>
      </w:r>
      <w:r>
        <w:t xml:space="preserve">has developed a detailed account of what I think of as a special kind of inquiry, namely checking. And I’m going to rely on ideas derived from Melchior’s discussion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This is one of the biggest changes between the version of interest-relative epistemology that I’m defending in this book and the version that I’ve defended over various papers over recent years. I’m disagreeing here with Friedman, whose theory of inquiry gives an important role to 2. I’ve been convinced by arguments by Woodard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w:t>
      </w:r>
      <w:hyperlink w:anchor="ref-Strevens2020">
        <w:r>
          <w:rPr>
            <w:rStyle w:val="Hyperlink"/>
          </w:rPr>
          <w:t xml:space="preserve">2020</w:t>
        </w:r>
      </w:hyperlink>
      <w:r>
        <w:t xml:space="preserve">)</w:t>
      </w:r>
      <w:r>
        <w:t xml:space="preserve"> </w:t>
      </w:r>
      <w:r>
        <w:t xml:space="preserve">offers for some striking features of contemporary science.) And since one might want to understand something one knows, or have a more sensitive belief in what one knows, or convince others of what one knows, it can make sense to inquire into what one knows. In earlier work I’d based my arguments for interest-relative theories in pictures of inquiry that ruled out these kinds of inquiry. This was a mistake, and I’ll say more in chapter</w:t>
      </w:r>
      <w:r>
        <w:t xml:space="preserve"> </w:t>
      </w:r>
      <w:r>
        <w:t xml:space="preserve">5</w:t>
      </w:r>
      <w:r>
        <w:t xml:space="preserve"> </w:t>
      </w:r>
      <w:r>
        <w:t xml:space="preserve">about the picture of inquiry that endorses 1, rejects 2 and 3, and validates the interest-relative picture.</w:t>
      </w:r>
    </w:p>
    <w:p>
      <w:pPr>
        <w:pStyle w:val="BodyText"/>
      </w:pPr>
      <w:r>
        <w:t xml:space="preserve">In the next chapter I’m going to offer a straightforward argument for interest-relative epistemology. But before I get to that, I want to offer two motivations for the view. You could try to turn either of these motivations into a nice, clean, premise-conclusion argument for interest-relativity. I haven’t done that because I think in both cases, the premise-conclusion format would obscure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w:t>
      </w:r>
      <w:hyperlink w:anchor="ref-Mercier2020">
        <w:r>
          <w:rPr>
            <w:rStyle w:val="Hyperlink"/>
          </w:rPr>
          <w:t xml:space="preserve">2020</w:t>
        </w:r>
      </w:hyperlink>
      <w:r>
        <w:t xml:space="preserve">)</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p>
    <w:p>
      <w:pPr>
        <w:pStyle w:val="BodyText"/>
      </w:pPr>
      <w:r>
        <w:t xml:space="preserve">When I first worked on interest-relativity in epistemology, that was the main motivation I was moved by. And I still think it is a good reason to expect that the full truth in epistemology will be interest-relative. But there is another motivation that I now think is stronger.</w:t>
      </w:r>
    </w:p>
    <w:p>
      <w:pPr>
        <w:pStyle w:val="BodyText"/>
      </w:pPr>
      <w:r>
        <w:t xml:space="preserve">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 is like is often very little help in figuring out how to do better. This is a general consequence of the Theory of the Second Best</w:t>
      </w:r>
      <w:r>
        <w:t xml:space="preserve"> </w:t>
      </w:r>
      <w:r>
        <w:t xml:space="preserve">(</w:t>
      </w:r>
      <w:hyperlink w:anchor="ref-LipseyLancaster">
        <w:r>
          <w:rPr>
            <w:rStyle w:val="Hyperlink"/>
          </w:rPr>
          <w:t xml:space="preserve">Lipsey and Lancaster 1956-1957</w:t>
        </w:r>
      </w:hyperlink>
      <w:r>
        <w:t xml:space="preserve">)</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 suspect exploring notions that humans have developed for navigating the world will be more helpful than thinking about ideal beings if our aim is epistemic improvement.</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above the price of others it will fall to 0.) Such an explanation will be good as far as it goes, but we can do better. We can note that there is are mechanisms - in the sense of mechanism developed by Machamer, Darden and Craver</w:t>
      </w:r>
      <w:r>
        <w:t xml:space="preserve"> </w:t>
      </w:r>
      <w:r>
        <w:t xml:space="preserve">(</w:t>
      </w:r>
      <w:hyperlink w:anchor="ref-MachamerEtAl2000">
        <w:r>
          <w:rPr>
            <w:rStyle w:val="Hyperlink"/>
          </w:rPr>
          <w:t xml:space="preserve">2000</w:t>
        </w:r>
      </w:hyperlink>
      <w:r>
        <w:t xml:space="preserve">)</w:t>
      </w:r>
      <w:r>
        <w:t xml:space="preserve"> </w:t>
      </w:r>
      <w:r>
        <w:t xml:space="preserve">- that underlies this pattern of effective demand. The mechanisms are individual consumers -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a shift in purchasing pattern.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triggers. Nor can it be stated in terms of high probability; no matter how probable I think it is that supplier B is cheaper than supplier A, it might still be rational to buy from supplier A if the rest of the probability goes to possibilities where B is much worse. But knowledge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 think,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subsection</w:t>
      </w:r>
      <w:r>
        <w:t xml:space="preserve"> </w:t>
      </w:r>
      <w:r>
        <w:t xml:space="preserve">8.4.1</w:t>
      </w:r>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w:t>
      </w:r>
      <w:hyperlink w:anchor="ref-Nozick1981">
        <w:r>
          <w:rPr>
            <w:rStyle w:val="Hyperlink"/>
          </w:rPr>
          <w:t xml:space="preserve">1981</w:t>
        </w:r>
      </w:hyperlink>
      <w:r>
        <w:t xml:space="preserve">)</w:t>
      </w:r>
      <w:r>
        <w:t xml:space="preserve"> </w:t>
      </w:r>
      <w:r>
        <w:t xml:space="preserve">develops, for instance, plausibly makes knowledge into a natural kind. Whether a belief would be retained were its content false is not a matter of how well the belief does on some scale. I think the best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w:t>
      </w:r>
      <w:hyperlink w:anchor="ref-Williamson2000">
        <w:r>
          <w:rPr>
            <w:rStyle w:val="Hyperlink"/>
          </w:rPr>
          <w:t xml:space="preserve">2000</w:t>
        </w:r>
      </w:hyperlink>
      <w:r>
        <w:t xml:space="preserve">)</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I think that a person knows a proposition if and only if they properly take it to be settled. And what one properly takes to be settled is interest-relative, hence knowledge is interest-relative. I don’t want to assert that this biconditional is an analysis of knowledge, or explains knowledge. It’s more than arguable that the notion of propriety on the right-hand side has to ultimately be explained in terms of knowledge. (If what one properly takes to be settled is explained by what evidence one has, and what evidence one has is explained by what one knows, then the biconditional might be true but not reductive or explanatory.) But even if that’s right, I think the truth of this biconditional might explain why knowledge is natural. And more generally, I think by far the best prospect of a theory of knowledge where knowledge turns out to be a relatively natural kind will involve knowledge being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And this is a challenge, but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w:t>
      </w:r>
    </w:p>
    <w:p>
      <w:pPr>
        <w:pStyle w:val="BodyText"/>
      </w:pPr>
      <w:r>
        <w:t xml:space="preserve">But while these are motivations, neither of them is strictly speaking at argument. The main argument in this book for the interest-relative theory is developed in chapter</w:t>
      </w:r>
      <w:r>
        <w:t xml:space="preserve"> </w:t>
      </w:r>
      <w:r>
        <w:t xml:space="preserve">2</w:t>
      </w:r>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I agree that knowledge is often lost in these cases. But I think the literature has ended up a bit lopsided. Knowledge is also lost in</w:t>
      </w:r>
      <w:r>
        <w:t xml:space="preserve"> </w:t>
      </w:r>
      <w:r>
        <w:t xml:space="preserve">‘</w:t>
      </w:r>
      <w:r>
        <w:t xml:space="preserve">easy checking</w:t>
      </w:r>
      <w:r>
        <w:t xml:space="preserve">’</w:t>
      </w:r>
      <w:r>
        <w:t xml:space="preserve"> </w:t>
      </w:r>
      <w:r>
        <w:t xml:space="preserve">cases. As I’ll put it in section</w:t>
      </w:r>
      <w:r>
        <w:t xml:space="preserve"> </w:t>
      </w:r>
      <w:r>
        <w:t xml:space="preserve">2.4</w:t>
      </w:r>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these two kinds.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my view, lose knowledge in anything when they seriously reflect on how good their evidence is for it. Happily, this knowledge comes back when they return to their normal life.</w:t>
      </w:r>
    </w:p>
    <w:p>
      <w:pPr>
        <w:pStyle w:val="BodyText"/>
      </w:pPr>
      <w:r>
        <w:t xml:space="preserve">The last two paragraphs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this is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I used to think it was the only reason. Indeed, I used to identify things that could be properly taken as settled with things that could be taken as settled without changing the answer to any inquiry. This led to all sorts of complications, and it was just a mistake. Among other things, taking</w:t>
      </w:r>
      <w:r>
        <w:t xml:space="preserve"> </w:t>
      </w:r>
      <w:r>
        <w:rPr>
          <w:iCs/>
          <w:i/>
        </w:rPr>
        <w:t xml:space="preserve">p</w:t>
      </w:r>
      <w:r>
        <w:t xml:space="preserve"> </w:t>
      </w:r>
      <w:r>
        <w:t xml:space="preserve">to be settled might get to the right answer for the wrong reasons. So I now regard this principle, don’t take something to be settled if it will lead to the wrong answer, as a bit of good advice, not an account of when not to take something as settled. I will go over this point in much more detail in sections</w:t>
      </w:r>
      <w:r>
        <w:t xml:space="preserve"> </w:t>
      </w:r>
      <w:r>
        <w:t xml:space="preserve">3.4</w:t>
      </w:r>
      <w:r>
        <w:t xml:space="preserve"> </w:t>
      </w:r>
      <w:r>
        <w:t xml:space="preserve">to</w:t>
      </w:r>
      <w:r>
        <w:t xml:space="preserve"> </w:t>
      </w:r>
      <w:r>
        <w:t xml:space="preserve">3.6</w:t>
      </w:r>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 used to think that we could have an interest-invariant notion of evidence that explained why interests caused people to sometimes lose knowledge. Indeed, my earliest view was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I no longer think that’s right. In particular, as I’ll argue in chapter</w:t>
      </w:r>
      <w:r>
        <w:t xml:space="preserve"> </w:t>
      </w:r>
      <w:r>
        <w:t xml:space="preserve">9</w:t>
      </w:r>
      <w:r>
        <w:t xml:space="preserve">, evidence itself can be interest-relative.</w:t>
      </w:r>
    </w:p>
    <w:p>
      <w:pPr>
        <w:pStyle w:val="BodyText"/>
      </w:pPr>
      <w:r>
        <w:t xml:space="preserve">So far I’ve sketched in the very barest form the kind of theory I’m going to propose. Here’s the plan for how that theory will be laid out, and defended, over the coming chapters.</w:t>
      </w:r>
    </w:p>
    <w:p>
      <w:pPr>
        <w:pStyle w:val="BodyText"/>
      </w:pPr>
      <w:r>
        <w:t xml:space="preserve">In chapter</w:t>
      </w:r>
      <w:r>
        <w:t xml:space="preserve"> </w:t>
      </w:r>
      <w:r>
        <w:t xml:space="preserve">2</w:t>
      </w:r>
      <w:r>
        <w:t xml:space="preserve">, I’ll set out the main argument for the interest-relative theory. The argument turns on how to think about some relatively low stakes bets. I argue that every option other than the interest-relative theory says very implausible things about the case.</w:t>
      </w:r>
    </w:p>
    <w:p>
      <w:pPr>
        <w:pStyle w:val="BodyText"/>
      </w:pPr>
      <w:r>
        <w:t xml:space="preserve">The next two chapters set out the fundamentals of the theory. In chapter</w:t>
      </w:r>
      <w:r>
        <w:t xml:space="preserve"> </w:t>
      </w:r>
      <w:r>
        <w:t xml:space="preserve">3</w:t>
      </w:r>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 chapter</w:t>
      </w:r>
      <w:r>
        <w:t xml:space="preserve"> </w:t>
      </w:r>
      <w:r>
        <w:t xml:space="preserve">4</w:t>
      </w:r>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drafted my book. Chapter</w:t>
      </w:r>
      <w:r>
        <w:t xml:space="preserve"> </w:t>
      </w:r>
      <w:r>
        <w:t xml:space="preserve">4</w:t>
      </w:r>
      <w:r>
        <w:t xml:space="preserve"> </w:t>
      </w:r>
      <w:r>
        <w:t xml:space="preserve">draws heavily on work by Elise Woodard -</w:t>
      </w:r>
      <w:r>
        <w:t xml:space="preserve">Woodard (</w:t>
      </w:r>
      <w:hyperlink w:anchor="ref-Woodard2021">
        <w:r>
          <w:rPr>
            <w:rStyle w:val="Hyperlink"/>
          </w:rPr>
          <w:t xml:space="preserve">2020</w:t>
        </w:r>
      </w:hyperlink>
      <w:r>
        <w:t xml:space="preserve">)</w:t>
      </w:r>
      <w:r>
        <w:t xml:space="preserve"> </w:t>
      </w:r>
      <w:r>
        <w:t xml:space="preserve">and chapter</w:t>
      </w:r>
      <w:r>
        <w:t xml:space="preserve"> </w:t>
      </w:r>
      <w:r>
        <w:t xml:space="preserve">7</w:t>
      </w:r>
      <w:r>
        <w:t xml:space="preserve"> </w:t>
      </w:r>
      <w:r>
        <w:t xml:space="preserve">draws heavily the doctoral dissertation of Nilanjan Das -</w:t>
      </w:r>
      <w:r>
        <w:t xml:space="preserve">Das (</w:t>
      </w:r>
      <w:hyperlink w:anchor="ref-DasThesis">
        <w:r>
          <w:rPr>
            <w:rStyle w:val="Hyperlink"/>
          </w:rPr>
          <w:t xml:space="preserve">2016</w:t>
        </w:r>
      </w:hyperlink>
      <w:r>
        <w:t xml:space="preserve">)</w:t>
      </w:r>
      <w:r>
        <w:t xml:space="preserve">.</w:t>
      </w:r>
    </w:p>
    <w:p>
      <w:pPr>
        <w:pStyle w:val="BodyText"/>
      </w:pPr>
      <w:r>
        <w:t xml:space="preserve">In chapter</w:t>
      </w:r>
      <w:r>
        <w:t xml:space="preserve"> </w:t>
      </w:r>
      <w:r>
        <w:t xml:space="preserve">2</w:t>
      </w:r>
      <w:r>
        <w:t xml:space="preserve"> </w:t>
      </w:r>
      <w:r>
        <w:t xml:space="preserve">I discuss the role that the concept of inquiry plays in my theory. On my theory, if something is known, it is available to use as a starting point in inquiry. I used to think this meant I was committed to Jane Friedman’s thesis that it is incoherent to inquire into something one knows</w:t>
      </w:r>
      <w:r>
        <w:t xml:space="preserve"> </w:t>
      </w:r>
      <w:r>
        <w:t xml:space="preserve">Friedman (</w:t>
      </w:r>
      <w:hyperlink w:anchor="ref-Friedman2019a">
        <w:r>
          <w:rPr>
            <w:rStyle w:val="Hyperlink"/>
          </w:rPr>
          <w:t xml:space="preserve">2019b</w:t>
        </w:r>
      </w:hyperlink>
      <w:r>
        <w:t xml:space="preserve">)</w:t>
      </w:r>
      <w:r>
        <w:t xml:space="preserve">.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w:t>
      </w:r>
      <w:r>
        <w:t xml:space="preserve">Brown (</w:t>
      </w:r>
      <w:hyperlink w:anchor="ref-Brown2008">
        <w:r>
          <w:rPr>
            <w:rStyle w:val="Hyperlink"/>
          </w:rPr>
          <w:t xml:space="preserve">2008</w:t>
        </w:r>
      </w:hyperlink>
      <w:r>
        <w:t xml:space="preserve">)</w:t>
      </w:r>
      <w:r>
        <w:t xml:space="preserve"> </w:t>
      </w:r>
      <w:r>
        <w:t xml:space="preserve">to the style of argument I use in chapter</w:t>
      </w:r>
      <w:r>
        <w:t xml:space="preserve"> </w:t>
      </w:r>
      <w:r>
        <w:t xml:space="preserve">2</w:t>
      </w:r>
      <w:r>
        <w:t xml:space="preserve">.</w:t>
      </w:r>
    </w:p>
    <w:p>
      <w:pPr>
        <w:pStyle w:val="BodyText"/>
      </w:pPr>
      <w:r>
        <w:t xml:space="preserve">In chapter</w:t>
      </w:r>
      <w:r>
        <w:t xml:space="preserve"> </w:t>
      </w:r>
      <w:r>
        <w:t xml:space="preserve">6</w:t>
      </w:r>
      <w:r>
        <w:t xml:space="preserve"> </w:t>
      </w:r>
      <w:r>
        <w:t xml:space="preserve">I respond to a claim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proof works because the theory from that paper has absurdly sceptical consequences in these types of choice situation. That’s hardly better than a closure failure. In this chapter I aim to do better. I show that the objections rely on the assumption that the chooser aims to maximise expected utility, and this can’t be right in close call situations. Rather, the rational chooser will adopt a strategy, like picking arbitrarily when it is clear that investigating which option is best is not worth the hassle, that has the best long-run consequences. And given this theory of rational choice, my preferred epistemological theory is neither absurdly sceptical, nor committed to closure failures.</w:t>
      </w:r>
    </w:p>
    <w:p>
      <w:pPr>
        <w:pStyle w:val="BodyText"/>
      </w:pPr>
      <w:r>
        <w:t xml:space="preserve">In chapter</w:t>
      </w:r>
      <w:r>
        <w:t xml:space="preserve"> </w:t>
      </w:r>
      <w:r>
        <w:t xml:space="preserve">7</w:t>
      </w:r>
      <w:r>
        <w:t xml:space="preserve"> </w:t>
      </w:r>
      <w:r>
        <w:t xml:space="preserve">I respond to the very frequently voiced objection that interest-relative theories lead to implausible verdicts about pairs of situations, where knowledge is lost or gained due to what looks like an irrelevant feature of a situation. I have two responses. One was first offered in</w:t>
      </w:r>
      <w:r>
        <w:t xml:space="preserve"> </w:t>
      </w:r>
      <w:r>
        <w:t xml:space="preserve">“</w:t>
      </w:r>
      <w:r>
        <w:t xml:space="preserve">Defending Interest-Relative Invariantism</w:t>
      </w:r>
      <w:r>
        <w:t xml:space="preserve">”</w:t>
      </w:r>
      <w:r>
        <w:t xml:space="preserve"> </w:t>
      </w:r>
      <w:r>
        <w:t xml:space="preserve">(</w:t>
      </w:r>
      <w:hyperlink w:anchor="ref-Weatherson2011-WEADIR">
        <w:r>
          <w:rPr>
            <w:rStyle w:val="Hyperlink"/>
          </w:rPr>
          <w:t xml:space="preserve">Weatherson 2011</w:t>
        </w:r>
      </w:hyperlink>
      <w:r>
        <w:t xml:space="preserve">)</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r>
        <w:t xml:space="preserve">Chapter</w:t>
      </w:r>
      <w:r>
        <w:t xml:space="preserve"> </w:t>
      </w:r>
      <w:r>
        <w:t xml:space="preserve">8</w:t>
      </w:r>
      <w:r>
        <w:t xml:space="preserve"> </w:t>
      </w:r>
      <w:r>
        <w:t xml:space="preserve">goes over my theory of rational belief. Surprisingly, and in contrast to the view defended by Jeremy Fantl and Matthew McGrath</w:t>
      </w:r>
      <w:r>
        <w:t xml:space="preserve"> </w:t>
      </w:r>
      <w:r>
        <w:t xml:space="preserve">(</w:t>
      </w:r>
      <w:hyperlink w:anchor="ref-FantlMcGrath2009">
        <w:r>
          <w:rPr>
            <w:rStyle w:val="Hyperlink"/>
          </w:rPr>
          <w:t xml:space="preserve">2009</w:t>
        </w:r>
      </w:hyperlink>
      <w:r>
        <w:t xml:space="preserve">)</w:t>
      </w:r>
      <w:r>
        <w:t xml:space="preserve">, on my view interests effect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chapter</w:t>
      </w:r>
      <w:r>
        <w:t xml:space="preserve"> </w:t>
      </w:r>
      <w:r>
        <w:t xml:space="preserve">3</w:t>
      </w:r>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r>
        <w:t xml:space="preserve">Chapter</w:t>
      </w:r>
      <w:r>
        <w:t xml:space="preserve"> </w:t>
      </w:r>
      <w:r>
        <w:t xml:space="preserve">9</w:t>
      </w:r>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evidence is.</w:t>
      </w:r>
    </w:p>
    <w:p>
      <w:pPr>
        <w:pStyle w:val="BodyText"/>
      </w:pPr>
      <w:r>
        <w:t xml:space="preserve">Chapter</w:t>
      </w:r>
      <w:r>
        <w:t xml:space="preserve"> </w:t>
      </w:r>
      <w:r>
        <w:t xml:space="preserve">10</w:t>
      </w:r>
      <w:r>
        <w:t xml:space="preserve"> </w:t>
      </w:r>
      <w:r>
        <w:t xml:space="preserve">ends with a short note connected interest-relativity to the familiar expression</w:t>
      </w:r>
      <w:r>
        <w:t xml:space="preserve"> </w:t>
      </w:r>
      <w:r>
        <w:rPr>
          <w:iCs/>
          <w:i/>
        </w:rPr>
        <w:t xml:space="preserve">Knowledge is Power</w:t>
      </w:r>
      <w:r>
        <w:t xml:space="preserve">. I argue that this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25"/>
    <w:bookmarkStart w:id="45" w:name="interests"/>
    <w:p>
      <w:pPr>
        <w:pStyle w:val="Heading1"/>
      </w:pPr>
      <w:r>
        <w:rPr>
          <w:rStyle w:val="SectionNumber"/>
        </w:rPr>
        <w:t xml:space="preserve">2</w:t>
      </w:r>
      <w:r>
        <w:tab/>
      </w:r>
      <w:r>
        <w:t xml:space="preserve">Interests</w:t>
      </w:r>
    </w:p>
    <w:bookmarkStart w:id="26" w:name="redblue"/>
    <w:p>
      <w:pPr>
        <w:pStyle w:val="Heading2"/>
      </w:pPr>
      <w:r>
        <w:rPr>
          <w:rStyle w:val="SectionNumber"/>
        </w:rPr>
        <w:t xml:space="preserve">2.1</w:t>
      </w:r>
      <w:r>
        <w:tab/>
      </w:r>
      <w:r>
        <w:t xml:space="preserve">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w:t>
      </w:r>
      <w:r>
        <w:t xml:space="preserve"> </w:t>
      </w:r>
      <w:r>
        <w:t xml:space="preserve">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It’s not a new reform proposal. It is set out, and defended, in works by Jeremy Fantl and Matthew McGrath</w:t>
      </w:r>
      <w:r>
        <w:t xml:space="preserve"> </w:t>
      </w:r>
      <w:r>
        <w:t xml:space="preserve">(</w:t>
      </w:r>
      <w:hyperlink w:anchor="ref-FantlMcGrath2002">
        <w:r>
          <w:rPr>
            <w:rStyle w:val="Hyperlink"/>
          </w:rPr>
          <w:t xml:space="preserve">2002</w:t>
        </w:r>
      </w:hyperlink>
      <w:r>
        <w:t xml:space="preserve">,</w:t>
      </w:r>
      <w:r>
        <w:t xml:space="preserve"> </w:t>
      </w:r>
      <w:hyperlink w:anchor="ref-FantlMcGrath2009">
        <w:r>
          <w:rPr>
            <w:rStyle w:val="Hyperlink"/>
          </w:rPr>
          <w:t xml:space="preserve">2009</w:t>
        </w:r>
      </w:hyperlink>
      <w:r>
        <w:t xml:space="preserve">)</w:t>
      </w:r>
      <w:r>
        <w:t xml:space="preserve">, John Hawthorne</w:t>
      </w:r>
      <w:r>
        <w:t xml:space="preserve"> </w:t>
      </w:r>
      <w:r>
        <w:t xml:space="preserve">(</w:t>
      </w:r>
      <w:hyperlink w:anchor="ref-Hawthorne2004">
        <w:r>
          <w:rPr>
            <w:rStyle w:val="Hyperlink"/>
          </w:rPr>
          <w:t xml:space="preserve">2004</w:t>
        </w:r>
      </w:hyperlink>
      <w:r>
        <w:t xml:space="preserve">)</w:t>
      </w:r>
      <w:r>
        <w:t xml:space="preserve">, and Jason Stanley</w:t>
      </w:r>
      <w:r>
        <w:t xml:space="preserve"> </w:t>
      </w:r>
      <w:r>
        <w:t xml:space="preserve">(</w:t>
      </w:r>
      <w:hyperlink w:anchor="ref-Stanley2005">
        <w:r>
          <w:rPr>
            <w:rStyle w:val="Hyperlink"/>
          </w:rPr>
          <w:t xml:space="preserve">2005</w:t>
        </w:r>
      </w:hyperlink>
      <w:r>
        <w:t xml:space="preserve">)</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in the features that matter to me, to the examples of low-cost checking that Bradley Armour-Garb</w:t>
      </w:r>
      <w:r>
        <w:t xml:space="preserve"> </w:t>
      </w:r>
      <w:r>
        <w:t xml:space="preserve">(</w:t>
      </w:r>
      <w:hyperlink w:anchor="ref-ArmourGarb2011">
        <w:r>
          <w:rPr>
            <w:rStyle w:val="Hyperlink"/>
          </w:rPr>
          <w:t xml:space="preserve">2011</w:t>
        </w:r>
      </w:hyperlink>
      <w:r>
        <w:t xml:space="preserve">)</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w:t>
      </w:r>
      <w:hyperlink w:anchor="ref-AndersonHawthorne2019a">
        <w:r>
          <w:rPr>
            <w:rStyle w:val="Hyperlink"/>
          </w:rPr>
          <w:t xml:space="preserve">2019a</w:t>
        </w:r>
      </w:hyperlink>
      <w:r>
        <w:t xml:space="preserve">,</w:t>
      </w:r>
      <w:r>
        <w:t xml:space="preserve"> </w:t>
      </w:r>
      <w:hyperlink w:anchor="ref-AndersonHawthorne2019b">
        <w:r>
          <w:rPr>
            <w:rStyle w:val="Hyperlink"/>
          </w:rPr>
          <w:t xml:space="preserve">2019b</w:t>
        </w:r>
      </w:hyperlink>
      <w:r>
        <w:t xml:space="preserve">)</w:t>
      </w:r>
      <w:r>
        <w:t xml:space="preserve">. But mostly people have focussed on cases like the this one.</w:t>
      </w:r>
    </w:p>
    <w:p>
      <w:pPr>
        <w:pStyle w:val="BodyText"/>
      </w:pPr>
      <w:r>
        <w:t xml:space="preserve">Here is an example that is more familiar from the recent literature. 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best explained, I will argue, by letting knowledge be interest-relative. But the argument that the interest-relativity of knowledge is the very best explanation of what’s going on is, in my view, somewhat weaker in Blaise’s case than in Anisa’s. It’s not that I think the interest-relative explanation of the case is wrong; in fact I think it’s basically correct.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 from what they have said about cases like Blaise. And I suspect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 section</w:t>
      </w:r>
      <w:r>
        <w:t xml:space="preserve"> </w:t>
      </w:r>
      <w:r>
        <w:t xml:space="preserve">2.2</w:t>
      </w:r>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section</w:t>
      </w:r>
      <w:r>
        <w:t xml:space="preserve"> </w:t>
      </w:r>
      <w:r>
        <w:t xml:space="preserve">2.5</w:t>
      </w:r>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 section</w:t>
      </w:r>
      <w:r>
        <w:t xml:space="preserve"> </w:t>
      </w:r>
      <w:r>
        <w:t xml:space="preserve">2.7</w:t>
      </w:r>
      <w:r>
        <w:t xml:space="preserve">, I’m not committed to</w:t>
      </w:r>
      <w:r>
        <w:t xml:space="preserve"> </w:t>
      </w:r>
      <w:r>
        <w:rPr>
          <w:iCs/>
          <w:i/>
        </w:rPr>
        <w:t xml:space="preserve">invariantism</w:t>
      </w:r>
      <w:r>
        <w:t xml:space="preserve"> </w:t>
      </w:r>
      <w:r>
        <w:t xml:space="preserve">in this book. So it’s just the interest-relative theory, or IRT.</w:t>
      </w:r>
    </w:p>
    <w:bookmarkEnd w:id="26"/>
    <w:bookmarkStart w:id="28" w:name="fourfamilies"/>
    <w:p>
      <w:pPr>
        <w:pStyle w:val="Heading2"/>
      </w:pPr>
      <w:r>
        <w:rPr>
          <w:rStyle w:val="SectionNumber"/>
        </w:rPr>
        <w:t xml:space="preserve">2.2</w:t>
      </w:r>
      <w:r>
        <w:tab/>
      </w:r>
      <w:r>
        <w:t xml:space="preserve">Four Families</w:t>
      </w:r>
    </w:p>
    <w:p>
      <w:pPr>
        <w:pStyle w:val="FirstParagraph"/>
      </w:pPr>
      <w:r>
        <w:t xml:space="preserve">A lot of philosophers have written about cases like Anisa and Blaise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w:t>
      </w:r>
      <w:hyperlink w:anchor="ref-Unger1975">
        <w:r>
          <w:rPr>
            <w:rStyle w:val="Hyperlink"/>
          </w:rPr>
          <w:t xml:space="preserve">1975</w:t>
        </w:r>
      </w:hyperlink>
      <w:r>
        <w:t xml:space="preserve">)</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and perhaps Blaise’s reasoning too, is perfectly sound.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as I’m construing it, but one natural form of epistemicism takes on board Maria Lasonen-Aarnio’s point that act-level and agent-level assessments might come apart.</w:t>
      </w:r>
      <w:r>
        <w:rPr>
          <w:rStyle w:val="FootnoteReference"/>
        </w:rPr>
        <w:footnoteReference w:id="27"/>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 as I’m understanding it.</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criteria for testimonial knowledge. And it says she knows it today, since changing practical scenarios or interests like this doesn’t affect knowledge. But it also says that the actions that Anisa and Blaise take are wrong; they are both irrational, and Blaise’s is arguably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I think that the interest-relative treatment of the cases is correct; and if it isn’t, then at least some pragmatist treatment is correct; and if it isn’t, then at least some heterodox treatment is correct.</w:t>
      </w:r>
    </w:p>
    <w:p>
      <w:pPr>
        <w:pStyle w:val="BodyText"/>
      </w:pPr>
      <w:r>
        <w:t xml:space="preserve">And it’s worth laying out the interest-relative case in some detail, because we can only properly assess the options holistically. Every view is going to have some very counterintuitive consequences, and we can only weigh them up when we see them all laid out.</w:t>
      </w:r>
    </w:p>
    <w:p>
      <w:pPr>
        <w:pStyle w:val="BodyText"/>
      </w:pPr>
      <w:r>
        <w:t xml:space="preserve">The last claim, that every view has counterintuitive consequences, deserves some defence. I’ll say much more about the challenges orthodoxy faces in section</w:t>
      </w:r>
      <w:r>
        <w:t xml:space="preserve"> </w:t>
      </w:r>
      <w:r>
        <w:t xml:space="preserve">2.3</w:t>
      </w:r>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And I’m taking pragmatism to be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And 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28"/>
    <w:bookmarkStart w:id="35" w:name="orthodox"/>
    <w:p>
      <w:pPr>
        <w:pStyle w:val="Heading2"/>
      </w:pPr>
      <w:r>
        <w:rPr>
          <w:rStyle w:val="SectionNumber"/>
        </w:rPr>
        <w:t xml:space="preserve">2.3</w:t>
      </w:r>
      <w:r>
        <w:tab/>
      </w:r>
      <w:r>
        <w:t xml:space="preserve">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making so many arguments is not that I think any one of them is particularly week. Rather, it is because the orthodox view is so widespread that we need to appreciate how many strange consequences it has.</w:t>
      </w:r>
    </w:p>
    <w:bookmarkStart w:id="29" w:name="orthodoxmoore"/>
    <w:p>
      <w:pPr>
        <w:pStyle w:val="Heading3"/>
      </w:pPr>
      <w:r>
        <w:rPr>
          <w:rStyle w:val="SectionNumber"/>
        </w:rPr>
        <w:t xml:space="preserve">2.3.1</w:t>
      </w:r>
      <w:r>
        <w:tab/>
      </w:r>
      <w:r>
        <w:t xml:space="preserve">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I think 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w:t>
      </w:r>
      <w:hyperlink w:anchor="ref-MaitraWeatherson2010">
        <w:r>
          <w:rPr>
            <w:rStyle w:val="Hyperlink"/>
          </w:rPr>
          <w:t xml:space="preserve">Maitra and Weatherson 2010</w:t>
        </w:r>
      </w:hyperlink>
      <w:r>
        <w:t xml:space="preserve">)</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w:t>
      </w:r>
      <w:hyperlink w:anchor="ref-ArmourGarb2011">
        <w:r>
          <w:rPr>
            <w:rStyle w:val="Hyperlink"/>
          </w:rPr>
          <w:t xml:space="preserve">2011</w:t>
        </w:r>
      </w:hyperlink>
      <w:r>
        <w:t xml:space="preserve">)</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w:t>
      </w:r>
      <w:hyperlink w:anchor="ref-DeRose2002">
        <w:r>
          <w:rPr>
            <w:rStyle w:val="Hyperlink"/>
          </w:rPr>
          <w:t xml:space="preserve">DeRose 2002</w:t>
        </w:r>
      </w:hyperlink>
      <w:r>
        <w:t xml:space="preserve">;</w:t>
      </w:r>
      <w:r>
        <w:t xml:space="preserve"> </w:t>
      </w:r>
      <w:hyperlink w:anchor="ref-Cohen2004">
        <w:r>
          <w:rPr>
            <w:rStyle w:val="Hyperlink"/>
          </w:rPr>
          <w:t xml:space="preserve">Cohen 2004</w:t>
        </w:r>
      </w:hyperlink>
      <w:r>
        <w:t xml:space="preserve">)</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w:t>
      </w:r>
      <w:hyperlink w:anchor="ref-Nagel2014">
        <w:r>
          <w:rPr>
            <w:rStyle w:val="Hyperlink"/>
          </w:rPr>
          <w:t xml:space="preserve">Nagel 2014</w:t>
        </w:r>
      </w:hyperlink>
      <w:r>
        <w:t xml:space="preserve">)</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the bet that Blaise is offered,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and if you accept it, and the Battle of Agincourt was in 1415, then a small child gets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of course just a version of the argument John MacFarlane</w:t>
      </w:r>
      <w:r>
        <w:t xml:space="preserve"> </w:t>
      </w:r>
      <w:r>
        <w:t xml:space="preserve">(</w:t>
      </w:r>
      <w:hyperlink w:anchor="ref-MacFarlane2005-Knowledge">
        <w:r>
          <w:rPr>
            <w:rStyle w:val="Hyperlink"/>
          </w:rPr>
          <w:t xml:space="preserve">2005</w:t>
        </w:r>
      </w:hyperlink>
      <w:r>
        <w:t xml:space="preserve">)</w:t>
      </w:r>
      <w:r>
        <w:t xml:space="preserve"> </w:t>
      </w:r>
      <w:r>
        <w:t xml:space="preserve">gives arguing that contextualists have a problem with retraction. And Chamari’s position does sound very bad here.</w:t>
      </w:r>
    </w:p>
    <w:p>
      <w:pPr>
        <w:pStyle w:val="BodyText"/>
      </w:pPr>
      <w:r>
        <w:t xml:space="preserve">But I don’t want to lean too much weight on how she sounds. Every position in this area ends up saying some strange things. The very idea that the epistemic standard for assertion could be meta-linguistic is, to my mind, even more implausible than the idea that we should end up where Chamari does.</w:t>
      </w:r>
    </w:p>
    <w:bookmarkEnd w:id="29"/>
    <w:bookmarkStart w:id="30" w:name="superknow"/>
    <w:p>
      <w:pPr>
        <w:pStyle w:val="Heading3"/>
      </w:pPr>
      <w:r>
        <w:rPr>
          <w:rStyle w:val="SectionNumber"/>
        </w:rPr>
        <w:t xml:space="preserve">2.3.2</w:t>
      </w:r>
      <w:r>
        <w:tab/>
      </w:r>
      <w:r>
        <w:t xml:space="preserve">Super Knowledge to the Rescue?</w:t>
      </w:r>
    </w:p>
    <w:p>
      <w:pPr>
        <w:pStyle w:val="FirstParagraph"/>
      </w:pPr>
      <w:r>
        <w:t xml:space="preserve">Let’s leave Blaise and Chamari for a little and return to Anisa. The orthodox view agrees that it is irrational for Anisa to play Blue-True. So it needs to explain why this is so. I think there is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 just gave,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subjection,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I stipulated that she didn’t know anything relevant about the game set up other than what I said there. So she isn’t certain about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w:t>
      </w:r>
      <w:hyperlink w:anchor="ref-Ganson2019">
        <w:r>
          <w:rPr>
            <w:rStyle w:val="Hyperlink"/>
          </w:rPr>
          <w:t xml:space="preserve">2019</w:t>
        </w:r>
      </w:hyperlink>
      <w:r>
        <w:t xml:space="preserve">)</w:t>
      </w:r>
      <w:r>
        <w:t xml:space="preserve"> </w:t>
      </w:r>
      <w:r>
        <w:t xml:space="preserve">uses this point for a very similar purpose, and in turn quotes Robert Nozick</w:t>
      </w:r>
      <w:r>
        <w:t xml:space="preserve"> </w:t>
      </w:r>
      <w:r>
        <w:t xml:space="preserve">(</w:t>
      </w:r>
      <w:hyperlink w:anchor="ref-Nozick1981">
        <w:r>
          <w:rPr>
            <w:rStyle w:val="Hyperlink"/>
          </w:rPr>
          <w:t xml:space="preserve">1981</w:t>
        </w:r>
      </w:hyperlink>
      <w:r>
        <w:t xml:space="preserve">)</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want to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0"/>
    <w:bookmarkStart w:id="32" w:name="probrescue"/>
    <w:p>
      <w:pPr>
        <w:pStyle w:val="Heading3"/>
      </w:pPr>
      <w:r>
        <w:rPr>
          <w:rStyle w:val="SectionNumber"/>
        </w:rPr>
        <w:t xml:space="preserve">2.3.3</w:t>
      </w:r>
      <w:r>
        <w:tab/>
      </w:r>
      <w:r>
        <w:t xml:space="preserve">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1"/>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 subsection</w:t>
      </w:r>
      <w:r>
        <w:t xml:space="preserve"> </w:t>
      </w:r>
      <w:r>
        <w:t xml:space="preserve">2.3.1</w:t>
      </w:r>
      <w:r>
        <w:t xml:space="preserve"> </w:t>
      </w:r>
      <w:r>
        <w:t xml:space="preserve">that separates knowledge from assertion, separating knowledge from action leads to strange consequences. As Timothy Williamson</w:t>
      </w:r>
      <w:r>
        <w:t xml:space="preserve"> </w:t>
      </w:r>
      <w:r>
        <w:t xml:space="preserve">(</w:t>
      </w:r>
      <w:hyperlink w:anchor="ref-Williamson2005">
        <w:r>
          <w:rPr>
            <w:rStyle w:val="Hyperlink"/>
          </w:rPr>
          <w:t xml:space="preserve">2005</w:t>
        </w:r>
      </w:hyperlink>
      <w:r>
        <w:t xml:space="preserve">)</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question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w:t>
      </w:r>
    </w:p>
    <w:p>
      <w:pPr>
        <w:pStyle w:val="BodyText"/>
      </w:pPr>
      <w:r>
        <w:t xml:space="preserve">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r>
        <w:t xml:space="preserve">8.2</w:t>
      </w:r>
      <w:r>
        <w:t xml:space="preserve"> </w:t>
      </w:r>
      <w:r>
        <w:t xml:space="preserve">and</w:t>
      </w:r>
      <w:r>
        <w:t xml:space="preserve"> </w:t>
      </w:r>
      <w:r>
        <w:t xml:space="preserve">8.3</w:t>
      </w:r>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2"/>
    <w:bookmarkStart w:id="34" w:name="orthodoxevidence"/>
    <w:p>
      <w:pPr>
        <w:pStyle w:val="Heading3"/>
      </w:pPr>
      <w:r>
        <w:rPr>
          <w:rStyle w:val="SectionNumber"/>
        </w:rPr>
        <w:t xml:space="preserve">2.3.4</w:t>
      </w:r>
      <w:r>
        <w:tab/>
      </w:r>
      <w:r>
        <w:t xml:space="preserve">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3"/>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 think we should say that it is part of Parveen’s evidence that Rahul is in the restaurant. This isn’t something she infers; it is a fact about the world she simply appreciated. Ordinarily, it is a starting point for her later deliberations, such as deliberations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4"/>
    <w:bookmarkEnd w:id="35"/>
    <w:bookmarkStart w:id="38" w:name="oddsandstakes"/>
    <w:p>
      <w:pPr>
        <w:pStyle w:val="Heading2"/>
      </w:pPr>
      <w:r>
        <w:rPr>
          <w:rStyle w:val="SectionNumber"/>
        </w:rPr>
        <w:t xml:space="preserve">2.4</w:t>
      </w:r>
      <w:r>
        <w:tab/>
      </w:r>
      <w:r>
        <w:t xml:space="preserve">Odds and Stakes</w:t>
      </w:r>
    </w:p>
    <w:p>
      <w:pPr>
        <w:pStyle w:val="FirstParagraph"/>
      </w:pPr>
      <w:r>
        <w:t xml:space="preserve">If orthodox views are wrong, then it is important to get clear on which heterodox view is most plausible.</w:t>
      </w:r>
      <w:r>
        <w:rPr>
          <w:rStyle w:val="FootnoteReference"/>
        </w:rPr>
        <w:footnoteReference w:id="36"/>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w:t>
      </w:r>
      <w:hyperlink w:anchor="ref-Hawthorne2004">
        <w:r>
          <w:rPr>
            <w:rStyle w:val="Hyperlink"/>
          </w:rPr>
          <w:t xml:space="preserve">2004</w:t>
        </w:r>
      </w:hyperlink>
      <w:r>
        <w:t xml:space="preserve">)</w:t>
      </w:r>
      <w:r>
        <w:t xml:space="preserve"> </w:t>
      </w:r>
      <w:r>
        <w:t xml:space="preserve">and Stanley</w:t>
      </w:r>
      <w:r>
        <w:t xml:space="preserve"> </w:t>
      </w:r>
      <w:r>
        <w:t xml:space="preserve">(</w:t>
      </w:r>
      <w:hyperlink w:anchor="ref-Stanley2005">
        <w:r>
          <w:rPr>
            <w:rStyle w:val="Hyperlink"/>
          </w:rPr>
          <w:t xml:space="preserve">2005</w:t>
        </w:r>
      </w:hyperlink>
      <w:r>
        <w:t xml:space="preserve">)</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w:t>
      </w:r>
      <w:hyperlink w:anchor="ref-AndersonHawthorne2019a">
        <w:r>
          <w:rPr>
            <w:rStyle w:val="Hyperlink"/>
          </w:rPr>
          <w:t xml:space="preserve">2019a</w:t>
        </w:r>
      </w:hyperlink>
      <w:r>
        <w:t xml:space="preserve">)</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view I defend. I think</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37"/>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t>p</m:t>
                  </m:r>
                </m:e>
              </m:d>
            </m:num>
            <m:den>
              <m:r>
                <m:t>1</m:t>
              </m:r>
              <m:r>
                <m:rPr>
                  <m:sty m:val="p"/>
                </m:rPr>
                <m:t>‑</m:t>
              </m:r>
              <m:r>
                <m:rPr>
                  <m:sty m:val="p"/>
                </m:rPr>
                <m:t>Pr</m:t>
              </m:r>
              <m:d>
                <m:dPr>
                  <m:begChr m:val="("/>
                  <m:endChr m:val=")"/>
                  <m:sepChr m:val=""/>
                  <m:grow/>
                </m:dPr>
                <m:e>
                  <m:r>
                    <m:t>p</m:t>
                  </m:r>
                </m:e>
              </m:d>
            </m:den>
          </m:f>
          <m:r>
            <m:rPr>
              <m:sty m:val="p"/>
            </m:rPr>
            <m:t>&gt;</m:t>
          </m:r>
          <m:f>
            <m:fPr>
              <m:type m:val="bar"/>
            </m:fPr>
            <m:num>
              <m:r>
                <m:t>L</m:t>
              </m:r>
            </m:num>
            <m:den>
              <m: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 p</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Blaise’s case even clearer, consider Darja’s case. She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m:oMath>
              <m:r>
                <m:t>p</m:t>
              </m:r>
            </m:oMath>
          </w:p>
        </w:tc>
        <w:tc>
          <w:tcPr/>
          <w:p>
            <w:pPr>
              <w:pStyle w:val="Compact"/>
              <w:jc w:val="center"/>
            </w:pPr>
            <w:r>
              <w:t xml:space="preserve">￢</w:t>
            </w:r>
            <w:r>
              <w:t xml:space="preserve"> </w:t>
            </w:r>
            <m:oMath>
              <m:r>
                <m:t>p</m:t>
              </m:r>
            </m:oMath>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 $50 ‑ ε</w:t>
            </w:r>
          </w:p>
        </w:tc>
        <w:tc>
          <w:tcPr/>
          <w:p>
            <w:pPr>
              <w:pStyle w:val="Compact"/>
            </w:pPr>
          </w:p>
        </w:tc>
      </w:tr>
    </w:tbl>
    <w:p>
      <w:pPr>
        <w:pStyle w:val="BodyText"/>
      </w:pPr>
      <w:r>
        <w:t xml:space="preserve">If Darja has her phone near her, and has cheap easy access to Google, then ε might be really low. And then she should take the safe option, unless she is incredibly sure that the book she read is reliable, and that she has precisely remembered it. In a lot of realistic cases, that won’t happen, and the probability of</w:t>
      </w:r>
      <w:r>
        <w:t xml:space="preserve"> </w:t>
      </w:r>
      <w:r>
        <w:rPr>
          <w:iCs/>
          <w:i/>
        </w:rPr>
        <w:t xml:space="preserve">p</w:t>
      </w:r>
      <w:r>
        <w:t xml:space="preserve"> </w:t>
      </w:r>
      <w:r>
        <w:t xml:space="preserve">will be too low for her to take the risky option of saying</w:t>
      </w:r>
      <w:r>
        <w:t xml:space="preserve"> </w:t>
      </w:r>
      <w:r>
        <w:t xml:space="preserve">“</w:t>
      </w:r>
      <w:r>
        <w:t xml:space="preserve">June 28, 1914</w:t>
      </w:r>
      <w:r>
        <w:t xml:space="preserve">”</w:t>
      </w:r>
      <w:r>
        <w:t xml:space="preserve">. She should take the safe option of Googling the answer.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I think Darja loses knowledge in her relatively low stakes situation. But I don’t think that because I think this is the intuitively correct thing to say about her. I’m not starting with any premises about what Darja does or doesn’t know. Rather, I’m starting with a premise about what it is rational for her to do. Rationality requires her to Google the answer rather than just offering it; doing otherwise is a bad risk to take. And the best explanation of why this is risky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w:t>
      </w:r>
      <w:hyperlink w:anchor="ref-Brown2008">
        <w:r>
          <w:rPr>
            <w:rStyle w:val="Hyperlink"/>
          </w:rPr>
          <w:t xml:space="preserve">2008, 176</w:t>
        </w:r>
      </w:hyperlink>
      <w:r>
        <w:t xml:space="preserve">)</w:t>
      </w:r>
      <w:r>
        <w:t xml:space="preserve"> </w:t>
      </w:r>
      <w:r>
        <w:t xml:space="preserve">notes that these cases raise problems for the stakes-centric version of IRT. And Anderson and Hawthorne</w:t>
      </w:r>
      <w:r>
        <w:t xml:space="preserve"> </w:t>
      </w:r>
      <w:r>
        <w:t xml:space="preserve">(</w:t>
      </w:r>
      <w:hyperlink w:anchor="ref-AndersonHawthorne2019a">
        <w:r>
          <w:rPr>
            <w:rStyle w:val="Hyperlink"/>
          </w:rPr>
          <w:t xml:space="preserve">2019a</w:t>
        </w:r>
      </w:hyperlink>
      <w:r>
        <w:t xml:space="preserve">)</w:t>
      </w:r>
      <w:r>
        <w:t xml:space="preserve"> </w:t>
      </w:r>
      <w:r>
        <w:t xml:space="preserve">argue that once we get beyond the simple two-state/two-option choices, it isn’t at all easy to say what situations are and are not high-stakes choices. These cases are not problems for the version of IRT that I defend, since I don’t give any distinctive role to stakes. But there are some related problems that I’ll come back to in chapter</w:t>
      </w:r>
      <w:r>
        <w:t xml:space="preserve"> </w:t>
      </w:r>
      <w:r>
        <w:t xml:space="preserve">7</w:t>
      </w:r>
      <w:r>
        <w:t xml:space="preserve">.</w:t>
      </w:r>
    </w:p>
    <w:bookmarkEnd w:id="38"/>
    <w:bookmarkStart w:id="40" w:name="whatinterests"/>
    <w:p>
      <w:pPr>
        <w:pStyle w:val="Heading2"/>
      </w:pPr>
      <w:r>
        <w:rPr>
          <w:rStyle w:val="SectionNumber"/>
        </w:rPr>
        <w:t xml:space="preserve">2.5</w:t>
      </w:r>
      <w:r>
        <w:tab/>
      </w:r>
      <w:r>
        <w:t xml:space="preserve">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39"/>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 section</w:t>
      </w:r>
      <w:r>
        <w:t xml:space="preserve"> </w:t>
      </w:r>
      <w:r>
        <w:t xml:space="preserve">2.4</w:t>
      </w:r>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If that’s how one thinks of IRT, the question of this section becomes, should we restrict questions the agent is interested in to just being questions about what choice to make? Or should they include questions that turn on her thoeretical interests, but which are irrelevant to choices before her? There are two primary motivations for allowing theoretical interests as well as practical interests to matter.</w:t>
      </w:r>
    </w:p>
    <w:p>
      <w:pPr>
        <w:pStyle w:val="BodyText"/>
      </w:pPr>
      <w:r>
        <w:t xml:space="preserve">The first comes from the arguments for what Jeremy Fantl and Matthew McGrath call the Unity Thesis  </w:t>
      </w:r>
      <w:r>
        <w:t xml:space="preserve">(</w:t>
      </w:r>
      <w:hyperlink w:anchor="ref-FantlMcGrath2009">
        <w:r>
          <w:rPr>
            <w:rStyle w:val="Hyperlink"/>
          </w:rPr>
          <w:t xml:space="preserve">Fantl and McGrath 2009, 73–76</w:t>
        </w:r>
      </w:hyperlink>
      <w:r>
        <w:t xml:space="preserve">)</w:t>
      </w:r>
      <w:r>
        <w:t xml:space="preserve">. They are interested in the thesis that whether or not</w:t>
      </w:r>
      <w:r>
        <w:t xml:space="preserve"> </w:t>
      </w:r>
      <w:r>
        <w:rPr>
          <w:iCs/>
          <w:i/>
        </w:rPr>
        <w:t xml:space="preserve">p</w:t>
      </w:r>
      <w:r>
        <w:t xml:space="preserve"> </w:t>
      </w:r>
      <w:r>
        <w:t xml:space="preserve">is a reason for someone is independent of whether they are engaged in practical or theoretical deliberation. But one doesn’t have to be so invested in the ideology of reasons to appreciate their argument. Note that if only practical interests matter, then one knows different things when considering the question _What to do in situation _S__ in situation</w:t>
      </w:r>
      <w:r>
        <w:t xml:space="preserve"> </w:t>
      </w:r>
      <w:r>
        <w:rPr>
          <w:iCs/>
          <w:i/>
        </w:rPr>
        <w:t xml:space="preserve">S</w:t>
      </w:r>
      <w:r>
        <w:t xml:space="preserve"> </w:t>
      </w:r>
      <w:r>
        <w:t xml:space="preserve">and other situations. And if one knows different things, those differential pieces of knowledge could lead to different answers. And that’s very unintuitive. After all, one might be deliberating about what to do in</w:t>
      </w:r>
      <w:r>
        <w:t xml:space="preserve"> </w:t>
      </w:r>
      <w:r>
        <w:rPr>
          <w:iCs/>
          <w:i/>
        </w:rPr>
        <w:t xml:space="preserve">S</w:t>
      </w:r>
      <w:r>
        <w:t xml:space="preserve"> </w:t>
      </w:r>
      <w:r>
        <w:t xml:space="preserve">because situation</w:t>
      </w:r>
      <w:r>
        <w:t xml:space="preserve"> </w:t>
      </w:r>
      <w:r>
        <w:rPr>
          <w:iCs/>
          <w:i/>
        </w:rPr>
        <w:t xml:space="preserve">S</w:t>
      </w:r>
      <w:r>
        <w:t xml:space="preserve"> </w:t>
      </w:r>
      <w:r>
        <w:t xml:space="preserve">might arise, and one wants to be practically ready for it.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 is precisely 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purely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0"/>
    <w:bookmarkStart w:id="41" w:name="global"/>
    <w:p>
      <w:pPr>
        <w:pStyle w:val="Heading2"/>
      </w:pPr>
      <w:r>
        <w:rPr>
          <w:rStyle w:val="SectionNumber"/>
        </w:rPr>
        <w:t xml:space="preserve">2.6</w:t>
      </w:r>
      <w:r>
        <w:tab/>
      </w:r>
      <w:r>
        <w:t xml:space="preserve">Global Interest Relativity</w:t>
      </w:r>
    </w:p>
    <w:p>
      <w:pPr>
        <w:pStyle w:val="FirstParagraph"/>
      </w:pPr>
      <w:r>
        <w:t xml:space="preserve">IRT was introduced as a thesis about knowledge. I’m going to argue in chapter</w:t>
      </w:r>
      <w:r>
        <w:t xml:space="preserve"> </w:t>
      </w:r>
      <w:r>
        <w:t xml:space="preserve">8</w:t>
      </w:r>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w:t>
      </w:r>
      <w:hyperlink w:anchor="ref-Stanley2005">
        <w:r>
          <w:rPr>
            <w:rStyle w:val="Hyperlink"/>
          </w:rPr>
          <w:t xml:space="preserve">2005</w:t>
        </w:r>
      </w:hyperlink>
      <w:r>
        <w:t xml:space="preserve">)</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t>
      </w:r>
      <w:hyperlink w:anchor="ref-Williamson2000">
        <w:r>
          <w:rPr>
            <w:rStyle w:val="Hyperlink"/>
          </w:rPr>
          <w:t xml:space="preserve">Williamson 2000</w:t>
        </w:r>
      </w:hyperlink>
      <w:r>
        <w:t xml:space="preserve">)</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 chapter</w:t>
      </w:r>
      <w:r>
        <w:t xml:space="preserve"> </w:t>
      </w:r>
      <w:r>
        <w:t xml:space="preserve">9</w:t>
      </w:r>
      <w:r>
        <w:t xml:space="preserve"> </w:t>
      </w:r>
      <w:r>
        <w:t xml:space="preserve">I’m going to argue that evidence is indeed interest-relative, and so all those other notions are interest-relative too. But the version of IRT I’ll put forward implies that evidence is a subset of knowledge.</w:t>
      </w:r>
    </w:p>
    <w:p>
      <w:pPr>
        <w:pStyle w:val="BodyText"/>
      </w:pPr>
      <w:r>
        <w:t xml:space="preserve">There is a deep puzzle here for IRT that for a long time I couldn’t see a way out of. On the one hand, the arguments for IRT look like they will generalise to arguments for the interest-relativity of evidence. (This is something Tom Donaldson convinced me of in conversations some years back.) On the other hand, the explanation I want to offer of cases like Anisa’s presupposes that we can identify Anisa’s evidence independent of her interests. I want to say that Anisa shouldn’t play Blue-True because the evidential probability of the blue sentence being true is lower than the evidential probability of the red sentence being true. And she can’t know the blue sentence is true because she can’t play Blue-True. This turns into a nice story about when changes of interests lead to changes in belief if we can independently identify Anisa’s evidence, and hence the evidential probability of different propositions. But the story looks much less nice if interests also affect evidence.</w:t>
      </w:r>
    </w:p>
    <w:p>
      <w:pPr>
        <w:pStyle w:val="BodyText"/>
      </w:pPr>
      <w:r>
        <w:t xml:space="preserve">The aim of chapter</w:t>
      </w:r>
      <w:r>
        <w:t xml:space="preserve"> </w:t>
      </w:r>
      <w:r>
        <w:t xml:space="preserve">9</w:t>
      </w:r>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I once believed in.</w:t>
      </w:r>
    </w:p>
    <w:bookmarkEnd w:id="41"/>
    <w:bookmarkStart w:id="44" w:name="neutrality"/>
    <w:p>
      <w:pPr>
        <w:pStyle w:val="Heading2"/>
      </w:pPr>
      <w:r>
        <w:rPr>
          <w:rStyle w:val="SectionNumber"/>
        </w:rPr>
        <w:t xml:space="preserve">2.7</w:t>
      </w:r>
      <w:r>
        <w:tab/>
      </w:r>
      <w:r>
        <w:t xml:space="preserve">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chapter</w:t>
      </w:r>
      <w:r>
        <w:t xml:space="preserve"> </w:t>
      </w:r>
      <w:r>
        <w:t xml:space="preserve">7</w:t>
      </w:r>
      <w:r>
        <w:t xml:space="preserve">.</w:t>
      </w:r>
    </w:p>
    <w:bookmarkEnd w:id="44"/>
    <w:bookmarkEnd w:id="45"/>
    <w:bookmarkStart w:id="73" w:name="belief"/>
    <w:p>
      <w:pPr>
        <w:pStyle w:val="Heading1"/>
      </w:pPr>
      <w:r>
        <w:rPr>
          <w:rStyle w:val="SectionNumber"/>
        </w:rPr>
        <w:t xml:space="preserve">3</w:t>
      </w:r>
      <w:r>
        <w:tab/>
      </w:r>
      <w:r>
        <w:t xml:space="preserve">Belief</w:t>
      </w:r>
    </w:p>
    <w:bookmarkStart w:id="47" w:name="beliefsinterests"/>
    <w:p>
      <w:pPr>
        <w:pStyle w:val="Heading2"/>
      </w:pPr>
      <w:r>
        <w:rPr>
          <w:rStyle w:val="SectionNumber"/>
        </w:rPr>
        <w:t xml:space="preserve">3.1</w:t>
      </w:r>
      <w:r>
        <w:tab/>
      </w:r>
      <w:r>
        <w:t xml:space="preserve">Beliefs and Interests</w:t>
      </w:r>
    </w:p>
    <w:p>
      <w:pPr>
        <w:pStyle w:val="FirstParagraph"/>
      </w:pPr>
      <w:r>
        <w:t xml:space="preserve">In my earliest work on interest-relativity, the 2005 paper</w:t>
      </w:r>
      <w:r>
        <w:t xml:space="preserve"> </w:t>
      </w:r>
      <w:r>
        <w:t xml:space="preserve">“</w:t>
      </w:r>
      <w:r>
        <w:t xml:space="preserve">Can We Do Without Pragmatic Encroachment</w:t>
      </w:r>
      <w:r>
        <w:t xml:space="preserve">”</w:t>
      </w:r>
      <w:r>
        <w:t xml:space="preserve">, I argued for a belief-first approach to interest-relativity. In particular, I conceived of that paper as the start of a project where I would argue (a) that belief itself is interest-relative, and (b) that all the interest-relativity in epistemology could trace back to the interest-relativity of belief. The core idea was that the metaphysics of mind should be interest-relative, but the normative theory of mind need not be. Of course, if a state is by its nature interest-relative, then whether one ought be in that state could quite easily turn out to be interest-relative as well. But the thought was that interest-invariant norms, combined with interest-relative metaphysics, could explain all the phenomena.</w:t>
      </w:r>
    </w:p>
    <w:p>
      <w:pPr>
        <w:pStyle w:val="BodyText"/>
      </w:pPr>
      <w:r>
        <w:t xml:space="preserve">This approach did not work out. The model of that paper assumed a very high degree of rationality on the part of the agents being modeled, and it turned out to be impossible to extend the model to less rational agents. (Kieran Setiya was the first to point out this problem to me.) On top of that, 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pointed out that the way the model handled propositions that are irrelevant to one’s practical interests wasn’t working. In</w:t>
      </w:r>
      <w:r>
        <w:t xml:space="preserve"> </w:t>
      </w:r>
      <w:r>
        <w:t xml:space="preserve">“</w:t>
      </w:r>
      <w:r>
        <w:t xml:space="preserve">Games, Beliefs and Credences</w:t>
      </w:r>
      <w:r>
        <w:t xml:space="preserve">”</w:t>
      </w:r>
      <w:r>
        <w:t xml:space="preserve"> </w:t>
      </w:r>
      <w:r>
        <w:t xml:space="preserve">I suggested a</w:t>
      </w:r>
      <w:r>
        <w:t xml:space="preserve"> </w:t>
      </w:r>
      <w:r>
        <w:t xml:space="preserve">‘</w:t>
      </w:r>
      <w:r>
        <w:t xml:space="preserve">fix</w:t>
      </w:r>
      <w:r>
        <w:t xml:space="preserve">’</w:t>
      </w:r>
      <w:r>
        <w:t xml:space="preserve">, but I didn’t really appreciate how much the fix undermined the motivations for the original view.</w:t>
      </w:r>
    </w:p>
    <w:p>
      <w:pPr>
        <w:pStyle w:val="BodyText"/>
      </w:pPr>
      <w:r>
        <w:t xml:space="preserve">In this book I’m taking a different approach. For one thing, I am defending a much more expansive picture of how interests affect epistemology. In chapter</w:t>
      </w:r>
      <w:r>
        <w:t xml:space="preserve"> </w:t>
      </w:r>
      <w:r>
        <w:t xml:space="preserve">9</w:t>
      </w:r>
      <w:r>
        <w:t xml:space="preserve"> </w:t>
      </w:r>
      <w:r>
        <w:t xml:space="preserve">I’m going to argue that evidence itself is interest-relative, and hence so is everything that depends on evidence. And in chapter</w:t>
      </w:r>
      <w:r>
        <w:t xml:space="preserve"> </w:t>
      </w:r>
      <w:r>
        <w:t xml:space="preserve">4</w:t>
      </w:r>
      <w:r>
        <w:t xml:space="preserve">, I’m going to argue that a version of what Jason Stanley</w:t>
      </w:r>
      <w:r>
        <w:t xml:space="preserve"> </w:t>
      </w:r>
      <w:r>
        <w:t xml:space="preserve">(</w:t>
      </w:r>
      <w:hyperlink w:anchor="ref-Stanley2005">
        <w:r>
          <w:rPr>
            <w:rStyle w:val="Hyperlink"/>
          </w:rPr>
          <w:t xml:space="preserve">2005</w:t>
        </w:r>
      </w:hyperlink>
      <w:r>
        <w:t xml:space="preserve">)</w:t>
      </w:r>
      <w:r>
        <w:t xml:space="preserve"> </w:t>
      </w:r>
      <w:r>
        <w:t xml:space="preserve">calls</w:t>
      </w:r>
      <w:r>
        <w:t xml:space="preserve"> </w:t>
      </w:r>
      <w:r>
        <w:t xml:space="preserve">‘</w:t>
      </w:r>
      <w:r>
        <w:t xml:space="preserve">ignorant high stakes</w:t>
      </w:r>
      <w:r>
        <w:t xml:space="preserve">’</w:t>
      </w:r>
      <w:r>
        <w:t xml:space="preserve"> </w:t>
      </w:r>
      <w:r>
        <w:t xml:space="preserve">cases shows that some of the interest-relativity of knowledge is not traceable to the interest-relativity of either belief or of rational belief.</w:t>
      </w:r>
    </w:p>
    <w:p>
      <w:pPr>
        <w:pStyle w:val="BodyText"/>
      </w:pPr>
      <w:r>
        <w:t xml:space="preserve">And I’m going to offer a much more complicated story about the constitutive connection between interests and beliefs than I offered earlier. While I still think there is such a connection, I’m much more sympathetic to the suggestion by Jennifer Nagel</w:t>
      </w:r>
      <w:r>
        <w:t xml:space="preserve"> </w:t>
      </w:r>
      <w:r>
        <w:t xml:space="preserve">(</w:t>
      </w:r>
      <w:hyperlink w:anchor="ref-Nagel2008">
        <w:r>
          <w:rPr>
            <w:rStyle w:val="Hyperlink"/>
          </w:rPr>
          <w:t xml:space="preserve">2008</w:t>
        </w:r>
      </w:hyperlink>
      <w:r>
        <w:t xml:space="preserve">,</w:t>
      </w:r>
      <w:r>
        <w:t xml:space="preserve"> </w:t>
      </w:r>
      <w:hyperlink w:anchor="ref-Nagel2010">
        <w:r>
          <w:rPr>
            <w:rStyle w:val="Hyperlink"/>
          </w:rPr>
          <w:t xml:space="preserve">2010</w:t>
        </w:r>
      </w:hyperlink>
      <w:r>
        <w:t xml:space="preserve">)</w:t>
      </w:r>
      <w:r>
        <w:t xml:space="preserve"> </w:t>
      </w:r>
      <w:r>
        <w:t xml:space="preserve">that often there is a merely causal connection. Some people’s beliefs change when the practical situation changes because the situation causes them to see that it would be a mistake to hold on to their prior beliefs. This isn’t interest-relativity in the sense we’re most interested in. Where I disagree with Nagel is that I think that for at least some people, the change in belief upon change in interests is more direct, and plausibly the change in interests is partially constitutive of the change in belief. But the situation is much messier than I had realised in earlier work, and Nagel’s work revealed how I’d been over-simplifying things.</w:t>
      </w:r>
    </w:p>
    <w:p>
      <w:pPr>
        <w:pStyle w:val="BodyText"/>
      </w:pPr>
      <w:r>
        <w:t xml:space="preserve">The positive theory I’m going to develop owes a lot to proposals by Dorit Ganson</w:t>
      </w:r>
      <w:r>
        <w:t xml:space="preserve"> </w:t>
      </w:r>
      <w:r>
        <w:t xml:space="preserve">(</w:t>
      </w:r>
      <w:hyperlink w:anchor="ref-Ganson2008">
        <w:r>
          <w:rPr>
            <w:rStyle w:val="Hyperlink"/>
          </w:rPr>
          <w:t xml:space="preserve">2008</w:t>
        </w:r>
      </w:hyperlink>
      <w:r>
        <w:t xml:space="preserve">,</w:t>
      </w:r>
      <w:r>
        <w:t xml:space="preserve"> </w:t>
      </w:r>
      <w:hyperlink w:anchor="ref-Ganson2019">
        <w:r>
          <w:rPr>
            <w:rStyle w:val="Hyperlink"/>
          </w:rPr>
          <w:t xml:space="preserve">2019</w:t>
        </w:r>
      </w:hyperlink>
      <w:r>
        <w:t xml:space="preserve">)</w:t>
      </w:r>
      <w:r>
        <w:t xml:space="preserve">. Like her, I’m going to develop a theory where we first say what it is to have a belief in normal cases, then include an exception clause for what happens in special cases, such as high-stakes or long-odds. The details will differ in some respects, but the underlying architecture will be the same.</w:t>
      </w:r>
    </w:p>
    <w:p>
      <w:pPr>
        <w:pStyle w:val="BodyText"/>
      </w:pPr>
      <w:r>
        <w:t xml:space="preserve">But perhaps the biggest difference is one motivated by work by Jonathan Weisberg</w:t>
      </w:r>
      <w:r>
        <w:t xml:space="preserve"> </w:t>
      </w:r>
      <w:r>
        <w:t xml:space="preserve">(</w:t>
      </w:r>
      <w:hyperlink w:anchor="ref-Weisberg2013">
        <w:r>
          <w:rPr>
            <w:rStyle w:val="Hyperlink"/>
          </w:rPr>
          <w:t xml:space="preserve">2013</w:t>
        </w:r>
      </w:hyperlink>
      <w:r>
        <w:t xml:space="preserve">,</w:t>
      </w:r>
      <w:r>
        <w:t xml:space="preserve"> </w:t>
      </w:r>
      <w:hyperlink w:anchor="ref-Weisberg2020">
        <w:r>
          <w:rPr>
            <w:rStyle w:val="Hyperlink"/>
          </w:rPr>
          <w:t xml:space="preserve">2020</w:t>
        </w:r>
      </w:hyperlink>
      <w:r>
        <w:t xml:space="preserve">)</w:t>
      </w:r>
      <w:r>
        <w:t xml:space="preserve">. In the 2005 paper, I argued that what we should say someone believed is something we reconstruct from their patterns of preferences. At a high level of generality, my theory was that you could look at the outputs of someone’s deliberation, and construct from that what they believed. This was a quite radical version of radical interpretation. Following Weisberg, I now think that focussing on outputs in this way was mistaken. What someone believes is a matter of what inputs to deliberation they are willing to accept, not the results of those deliberations. If we assume perfect rationality, this distinction may not matter. The outputs of deliberations (taken collectively) might well imply what inputs had been accepted. But that’s too strong an assumption; and for anything other than perfectly rational thinkers, we can’t infer what starting points they are willing to accept from what points they end up at.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w:t>
      </w:r>
      <w:hyperlink w:anchor="ref-Staffel2019">
        <w:r>
          <w:rPr>
            <w:rStyle w:val="Hyperlink"/>
          </w:rPr>
          <w:t xml:space="preserve">Staffel 2019, 939</w:t>
        </w:r>
      </w:hyperlink>
      <w:r>
        <w:t xml:space="preserve">)</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w:t>
      </w:r>
      <w:hyperlink w:anchor="ref-HawthorneEtAl2015">
        <w:r>
          <w:rPr>
            <w:rStyle w:val="Hyperlink"/>
          </w:rPr>
          <w:t xml:space="preserve">Hawthorne, Rothschild, and Spectre 2016</w:t>
        </w:r>
      </w:hyperlink>
      <w:r>
        <w:t xml:space="preserve">)</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this argument. I wouldn’t want to sign up for either of the two premises that I mentioned in the middle of the paragraph. I’m sympathetic to the criticisms that Timothy Williamson makes in</w:t>
      </w:r>
      <w:r>
        <w:t xml:space="preserve"> </w:t>
      </w:r>
      <w:r>
        <w:t xml:space="preserve">“</w:t>
      </w:r>
      <w:r>
        <w:t xml:space="preserve">Knowledge, Credence, and the Strength of Belief</w:t>
      </w:r>
      <w:r>
        <w:t xml:space="preserve">”</w:t>
      </w:r>
      <w:r>
        <w:t xml:space="preserve"> </w:t>
      </w:r>
      <w:r>
        <w:t xml:space="preserve">(</w:t>
      </w:r>
      <w:hyperlink w:anchor="ref-Williamson2022">
        <w:r>
          <w:rPr>
            <w:rStyle w:val="Hyperlink"/>
          </w:rPr>
          <w:t xml:space="preserve">Williamson 2022</w:t>
        </w:r>
      </w:hyperlink>
      <w:r>
        <w:t xml:space="preserve">)</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w:t>
      </w:r>
      <w:hyperlink w:anchor="ref-Pasnau2017">
        <w:r>
          <w:rPr>
            <w:rStyle w:val="Hyperlink"/>
          </w:rPr>
          <w:t xml:space="preserve">Pasnau 2017, 219</w:t>
        </w:r>
      </w:hyperlink>
      <w:r>
        <w:t xml:space="preserve">)</w:t>
      </w:r>
    </w:p>
    <w:p>
      <w:pPr>
        <w:pStyle w:val="FirstParagraph"/>
      </w:pPr>
      <w:r>
        <w:t xml:space="preserve">The only change I’d make is that I’m not assuming here that belief is strictly speaking a constituent of scientia, or of knowledge. I want to leave open, at least at this stage, a knowledge first account where belief, in the sense we’re interested in, is something like attempted knowledge.</w:t>
      </w:r>
      <w:r>
        <w:rPr>
          <w:rStyle w:val="FootnoteReference"/>
        </w:rPr>
        <w:footnoteReference w:id="46"/>
      </w:r>
      <w:r>
        <w:t xml:space="preserve"> </w:t>
      </w:r>
      <w:r>
        <w:t xml:space="preserve">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w:t>
      </w:r>
      <w:hyperlink w:anchor="ref-Schroeder2009">
        <w:r>
          <w:rPr>
            <w:rStyle w:val="Hyperlink"/>
          </w:rPr>
          <w:t xml:space="preserve">Schroeder 2009, 223</w:t>
        </w:r>
      </w:hyperlink>
      <w:r>
        <w:t xml:space="preserve">)</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47"/>
    <w:bookmarkStart w:id="50" w:name="mapslegends"/>
    <w:p>
      <w:pPr>
        <w:pStyle w:val="Heading2"/>
      </w:pPr>
      <w:r>
        <w:rPr>
          <w:rStyle w:val="SectionNumber"/>
        </w:rPr>
        <w:t xml:space="preserve">3.2</w:t>
      </w:r>
      <w:r>
        <w:tab/>
      </w:r>
      <w:r>
        <w:t xml:space="preserve">Maps and Legends</w:t>
      </w:r>
    </w:p>
    <w:p>
      <w:pPr>
        <w:pStyle w:val="FirstParagraph"/>
      </w:pPr>
      <w:r>
        <w:t xml:space="preserve">Beliefs, Frank Ramsey famously said, are maps by which we steer</w:t>
      </w:r>
      <w:r>
        <w:t xml:space="preserve"> </w:t>
      </w:r>
      <w:r>
        <w:t xml:space="preserve">(</w:t>
      </w:r>
      <w:hyperlink w:anchor="ref-RamseyGeneralProp">
        <w:r>
          <w:rPr>
            <w:rStyle w:val="Hyperlink"/>
          </w:rPr>
          <w:t xml:space="preserve">Ramsey 1990, 146</w:t>
        </w:r>
      </w:hyperlink>
      <w:r>
        <w:t xml:space="preserve">)</w:t>
      </w:r>
      <w:r>
        <w:t xml:space="preserve">. I agree, and I think you can turn this into an argument that belief should be interest-relative as well. I used to think this argument showed that belief must be interest-relative, but this was a mistake, and it’s instructive to see why it goes wrong. But first let’s explore Ramsey’s analogy a bit more closely.</w:t>
      </w:r>
      <w:r>
        <w:rPr>
          <w:rStyle w:val="FootnoteReference"/>
        </w:rPr>
        <w:footnoteReference w:id="48"/>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is a function of one’s interests. And the same, I think, is true of belief. Beliefs are interest 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include the fact that the Battle of Agincourt was in 1415 on the map by which we typically steer, but not on the map we use to steer ourselves through the Red-Blue game.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49"/>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w:t>
      </w:r>
    </w:p>
    <w:bookmarkEnd w:id="50"/>
    <w:bookmarkStart w:id="51" w:name="stubbie"/>
    <w:p>
      <w:pPr>
        <w:pStyle w:val="Heading2"/>
      </w:pPr>
      <w:r>
        <w:rPr>
          <w:rStyle w:val="SectionNumber"/>
        </w:rPr>
        <w:t xml:space="preserve">3.3</w:t>
      </w:r>
      <w:r>
        <w:tab/>
      </w:r>
      <w:r>
        <w:t xml:space="preserve">Belief and Stubbornness</w:t>
      </w:r>
    </w:p>
    <w:p>
      <w:pPr>
        <w:pStyle w:val="FirstParagraph"/>
      </w:pPr>
      <w:r>
        <w:t xml:space="preserve">Things get complicated when we stop focussing on what normal (or normal-ish) people do, and think about less common reactions.</w:t>
      </w:r>
    </w:p>
    <w:p>
      <w:pPr>
        <w:pStyle w:val="BodyText"/>
      </w:pPr>
      <w:r>
        <w:t xml:space="preserve">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w:t>
      </w:r>
    </w:p>
    <w:p>
      <w:pPr>
        <w:pStyle w:val="BodyText"/>
      </w:pPr>
      <w:r>
        <w:t xml:space="preserve">This is not, I think, a case of interest-relativity of belief. Rather, it is like the kind of case Jennifer Nagel</w:t>
      </w:r>
      <w:r>
        <w:t xml:space="preserve"> </w:t>
      </w:r>
      <w:r>
        <w:t xml:space="preserve">(</w:t>
      </w:r>
      <w:hyperlink w:anchor="ref-Nagel2010">
        <w:r>
          <w:rPr>
            <w:rStyle w:val="Hyperlink"/>
          </w:rPr>
          <w:t xml:space="preserve">2010</w:t>
        </w:r>
      </w:hyperlink>
      <w:r>
        <w:t xml:space="preserve">)</w:t>
      </w:r>
      <w:r>
        <w:t xml:space="preserve"> </w:t>
      </w:r>
      <w:r>
        <w:t xml:space="preserve">discusses, when she talks about beliefs being causally sensitive to interests. And this shows we have to be careful, more careful than I was in earlier work, to be sure that a case of interest-sensitivity is really a case where belief is constitutively, and not merely causally, sensitive to interests.</w:t>
      </w:r>
    </w:p>
    <w:p>
      <w:pPr>
        <w:pStyle w:val="BodyText"/>
      </w:pPr>
      <w:r>
        <w:t xml:space="preserve">And actually quite generally, 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causes a change of beliefs.</w:t>
      </w:r>
    </w:p>
    <w:p>
      <w:pPr>
        <w:pStyle w:val="BodyText"/>
      </w:pPr>
      <w:r>
        <w:t xml:space="preserve">But whether we make that distinction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1"/>
    <w:bookmarkStart w:id="53" w:name="given"/>
    <w:p>
      <w:pPr>
        <w:pStyle w:val="Heading2"/>
      </w:pPr>
      <w:r>
        <w:rPr>
          <w:rStyle w:val="SectionNumber"/>
        </w:rPr>
        <w:t xml:space="preserve">3.4</w:t>
      </w:r>
      <w:r>
        <w:tab/>
      </w:r>
      <w:r>
        <w:t xml:space="preserve">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w:t>
      </w:r>
      <w:hyperlink w:anchor="ref-RossSchroeder2014">
        <w:r>
          <w:rPr>
            <w:rStyle w:val="Hyperlink"/>
          </w:rPr>
          <w:t xml:space="preserve">2014</w:t>
        </w:r>
      </w:hyperlink>
      <w:r>
        <w:t xml:space="preserve">)</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w:t>
      </w:r>
      <w:hyperlink w:anchor="ref-Ganson2019">
        <w:r>
          <w:rPr>
            <w:rStyle w:val="Hyperlink"/>
          </w:rPr>
          <w:t xml:space="preserve">2019</w:t>
        </w:r>
      </w:hyperlink>
      <w:r>
        <w:t xml:space="preserve">)</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w:t>
      </w:r>
      <w:hyperlink w:anchor="ref-Humberstone1981">
        <w:r>
          <w:rPr>
            <w:rStyle w:val="Hyperlink"/>
          </w:rPr>
          <w:t xml:space="preserve">1981</w:t>
        </w:r>
      </w:hyperlink>
      <w:r>
        <w:t xml:space="preserve">)</w:t>
      </w:r>
      <w:r>
        <w:t xml:space="preserve">. They have content - in one of them the Red Sox win, in the other they don’t, but they don’t settle all facts. In the right-hand column, there is no fact of the matter about which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2"/>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53"/>
    <w:bookmarkStart w:id="56" w:name="block"/>
    <w:p>
      <w:pPr>
        <w:pStyle w:val="Heading2"/>
      </w:pPr>
      <w:r>
        <w:rPr>
          <w:rStyle w:val="SectionNumber"/>
        </w:rPr>
        <w:t xml:space="preserve">3.5</w:t>
      </w:r>
      <w:r>
        <w:tab/>
      </w:r>
      <w:r>
        <w:t xml:space="preserve">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pStyle w:val="BodyText"/>
      </w:pPr>
      <w:r>
        <w:t xml:space="preserve">H How many (full) centuries has it been since the Battle of Agincourt?</w:t>
      </w:r>
    </w:p>
    <w:p>
      <w:pPr>
        <w:pStyle w:val="BodyText"/>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pStyle w:val="BodyText"/>
      </w:pPr>
      <w:r>
        <w:t xml:space="preserve">I If the Battle of Agincourt was in 1415, how many (full) centuries has it been since the Battle of Agincourt?</w:t>
      </w:r>
    </w:p>
    <w:p>
      <w:pPr>
        <w:pStyle w:val="BodyText"/>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5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r>
        <w:t xml:space="preserve">2.5</w:t>
      </w:r>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55"/>
      </w:r>
      <w:r>
        <w:t xml:space="preserve"> </w:t>
      </w:r>
      <w:r>
        <w:t xml:space="preserve">But they could be part of a theory of belief, and the theory they are part of is helpful for seeing how beliefs and interests fit together.</w:t>
      </w:r>
    </w:p>
    <w:bookmarkEnd w:id="56"/>
    <w:bookmarkStart w:id="62" w:name="questions"/>
    <w:p>
      <w:pPr>
        <w:pStyle w:val="Heading2"/>
      </w:pPr>
      <w:r>
        <w:rPr>
          <w:rStyle w:val="SectionNumber"/>
        </w:rPr>
        <w:t xml:space="preserve">3.6</w:t>
      </w:r>
      <w:r>
        <w:tab/>
      </w:r>
      <w:r>
        <w:t xml:space="preserve">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5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58"/>
      </w:r>
      <w:r>
        <w:t xml:space="preserve"> </w:t>
      </w:r>
      <w:r>
        <w:t xml:space="preserve">One tricky thing about quantitative questions is that they may admit of imprecise answers, but need not.</w:t>
      </w:r>
    </w:p>
    <w:p>
      <w:pPr>
        <w:pStyle w:val="BodyText"/>
      </w:pPr>
      <w:r>
        <w:t xml:space="preserve">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w:t>
      </w:r>
    </w:p>
    <w:p>
      <w:pPr>
        <w:pStyle w:val="BodyText"/>
      </w:pPr>
      <w:r>
        <w:t xml:space="preserve">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4"/>
        </w:numPr>
        <w:pStyle w:val="Compact"/>
      </w:pPr>
    </w:p>
    <w:p>
      <w:pPr>
        <w:numPr>
          <w:ilvl w:val="1"/>
          <w:numId w:val="1015"/>
        </w:numPr>
        <w:pStyle w:val="Compact"/>
      </w:pPr>
      <w:r>
        <w:t xml:space="preserve">Who was in the Beatles?</w:t>
      </w:r>
    </w:p>
    <w:p>
      <w:pPr>
        <w:numPr>
          <w:ilvl w:val="1"/>
          <w:numId w:val="1015"/>
        </w:numPr>
        <w:pStyle w:val="Compact"/>
      </w:pPr>
      <w:r>
        <w:t xml:space="preserve">John Lennon was in the Beatles.</w:t>
      </w:r>
    </w:p>
    <w:p>
      <w:pPr>
        <w:numPr>
          <w:ilvl w:val="0"/>
          <w:numId w:val="1014"/>
        </w:numPr>
        <w:pStyle w:val="Compact"/>
      </w:pPr>
    </w:p>
    <w:p>
      <w:pPr>
        <w:numPr>
          <w:ilvl w:val="1"/>
          <w:numId w:val="1016"/>
        </w:numPr>
        <w:pStyle w:val="Compact"/>
      </w:pPr>
      <w:r>
        <w:t xml:space="preserve">Where can I get good coffee in Melbourne?</w:t>
      </w:r>
    </w:p>
    <w:p>
      <w:pPr>
        <w:numPr>
          <w:ilvl w:val="1"/>
          <w:numId w:val="1016"/>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7"/>
        </w:numPr>
        <w:pStyle w:val="Compact"/>
      </w:pPr>
      <w:r>
        <w:t xml:space="preserve">When to visit Venice?</w:t>
      </w:r>
    </w:p>
    <w:p>
      <w:pPr>
        <w:numPr>
          <w:ilvl w:val="0"/>
          <w:numId w:val="1017"/>
        </w:numPr>
        <w:pStyle w:val="Compact"/>
      </w:pPr>
      <w:r>
        <w:t xml:space="preserve">How to climb Ben Nevis?</w:t>
      </w:r>
    </w:p>
    <w:p>
      <w:pPr>
        <w:numPr>
          <w:ilvl w:val="0"/>
          <w:numId w:val="1017"/>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59"/>
      </w:r>
      <w:r>
        <w:t xml:space="preserve"> </w:t>
      </w:r>
      <w:r>
        <w:t xml:space="preserve">But they can be the complements of any number of verbs. Any of the three questions above, like any number of other questions with infinitivals, can complete sentences like</w:t>
      </w:r>
    </w:p>
    <w:p>
      <w:pPr>
        <w:numPr>
          <w:ilvl w:val="0"/>
          <w:numId w:val="1018"/>
        </w:numPr>
        <w:pStyle w:val="Compact"/>
      </w:pPr>
      <w:r>
        <w:t xml:space="preserve">A doesn’t know …</w:t>
      </w:r>
    </w:p>
    <w:p>
      <w:pPr>
        <w:numPr>
          <w:ilvl w:val="0"/>
          <w:numId w:val="1018"/>
        </w:numPr>
        <w:pStyle w:val="Compact"/>
      </w:pPr>
      <w:r>
        <w:t xml:space="preserve">B is wondering …</w:t>
      </w:r>
    </w:p>
    <w:p>
      <w:pPr>
        <w:numPr>
          <w:ilvl w:val="0"/>
          <w:numId w:val="1018"/>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19"/>
        </w:numPr>
        <w:pStyle w:val="Compact"/>
      </w:pPr>
      <w:r>
        <w:t xml:space="preserve">C wants D to tell him how to climb Ben Nevis.</w:t>
      </w:r>
    </w:p>
    <w:p>
      <w:pPr>
        <w:numPr>
          <w:ilvl w:val="0"/>
          <w:numId w:val="1019"/>
        </w:numPr>
        <w:pStyle w:val="Compact"/>
      </w:pPr>
      <w:r>
        <w:t xml:space="preserve">A doesn’t know what do do.</w:t>
      </w:r>
    </w:p>
    <w:p>
      <w:pPr>
        <w:numPr>
          <w:ilvl w:val="0"/>
          <w:numId w:val="1019"/>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w:t>
      </w:r>
      <w:hyperlink w:anchor="ref-Stanley2011">
        <w:r>
          <w:rPr>
            <w:rStyle w:val="Hyperlink"/>
          </w:rPr>
          <w:t xml:space="preserve">2011</w:t>
        </w:r>
      </w:hyperlink>
      <w:r>
        <w:t xml:space="preserve">)</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0"/>
        </w:numPr>
        <w:pStyle w:val="Compact"/>
      </w:pPr>
      <w:r>
        <w:t xml:space="preserve">E believes …</w:t>
      </w:r>
    </w:p>
    <w:p>
      <w:pPr>
        <w:numPr>
          <w:ilvl w:val="0"/>
          <w:numId w:val="1020"/>
        </w:numPr>
        <w:pStyle w:val="Compact"/>
      </w:pPr>
      <w:r>
        <w:t xml:space="preserve">F suspects …</w:t>
      </w:r>
    </w:p>
    <w:p>
      <w:pPr>
        <w:numPr>
          <w:ilvl w:val="0"/>
          <w:numId w:val="1020"/>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1"/>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2"/>
    <w:bookmarkStart w:id="70" w:name="mychanges"/>
    <w:p>
      <w:pPr>
        <w:pStyle w:val="Heading2"/>
      </w:pPr>
      <w:r>
        <w:rPr>
          <w:rStyle w:val="SectionNumber"/>
        </w:rPr>
        <w:t xml:space="preserve">3.7</w:t>
      </w:r>
      <w:r>
        <w:tab/>
      </w:r>
      <w:r>
        <w:t xml:space="preserve">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2"/>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2"/>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64" w:name="mecorrect"/>
    <w:p>
      <w:pPr>
        <w:pStyle w:val="Heading3"/>
      </w:pPr>
      <w:r>
        <w:rPr>
          <w:rStyle w:val="SectionNumber"/>
        </w:rPr>
        <w:t xml:space="preserve">3.7.1</w:t>
      </w:r>
      <w:r>
        <w:tab/>
      </w:r>
      <w:r>
        <w:t xml:space="preserve">Correctness</w:t>
      </w:r>
    </w:p>
    <w:p>
      <w:pPr>
        <w:pStyle w:val="FirstParagraph"/>
      </w:pPr>
      <w:r>
        <w:t xml:space="preserve">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note that my earlier theory doesn’t have a good story about why false beliefs are incorrect.</w:t>
      </w:r>
      <w:r>
        <w:rPr>
          <w:rStyle w:val="FootnoteReference"/>
        </w:rPr>
        <w:footnoteReference w:id="6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64"/>
    <w:bookmarkStart w:id="65" w:name="meimpractical"/>
    <w:p>
      <w:pPr>
        <w:pStyle w:val="Heading3"/>
      </w:pPr>
      <w:r>
        <w:rPr>
          <w:rStyle w:val="SectionNumber"/>
        </w:rPr>
        <w:t xml:space="preserve">3.7.2</w:t>
      </w:r>
      <w:r>
        <w:tab/>
      </w:r>
      <w:r>
        <w:t xml:space="preserve">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w:t>
      </w:r>
      <w:hyperlink w:anchor="ref-RossSchroeder2014">
        <w:r>
          <w:rPr>
            <w:rStyle w:val="Hyperlink"/>
          </w:rPr>
          <w:t xml:space="preserve">2014</w:t>
        </w:r>
      </w:hyperlink>
      <w:r>
        <w:t xml:space="preserve">)</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65"/>
    <w:bookmarkStart w:id="66" w:name="threeway"/>
    <w:p>
      <w:pPr>
        <w:pStyle w:val="Heading3"/>
      </w:pPr>
      <w:r>
        <w:rPr>
          <w:rStyle w:val="SectionNumber"/>
        </w:rPr>
        <w:t xml:space="preserve">3.7.3</w:t>
      </w:r>
      <w:r>
        <w:tab/>
      </w:r>
      <w:r>
        <w:t xml:space="preserve">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66"/>
    <w:bookmarkStart w:id="67" w:name="meties"/>
    <w:p>
      <w:pPr>
        <w:pStyle w:val="Heading3"/>
      </w:pPr>
      <w:r>
        <w:rPr>
          <w:rStyle w:val="SectionNumber"/>
        </w:rPr>
        <w:t xml:space="preserve">3.7.4</w:t>
      </w:r>
      <w:r>
        <w:tab/>
      </w:r>
      <w:r>
        <w:t xml:space="preserve">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subsection</w:t>
      </w:r>
      <w:r>
        <w:t xml:space="preserve"> </w:t>
      </w:r>
      <w:r>
        <w:t xml:space="preserve">4.3.1</w:t>
      </w:r>
      <w:r>
        <w:t xml:space="preserve"> </w:t>
      </w:r>
      <w:r>
        <w:t xml:space="preserve">and again in chapter</w:t>
      </w:r>
      <w:r>
        <w:t xml:space="preserve"> </w:t>
      </w:r>
      <w:r>
        <w:t xml:space="preserve">6</w:t>
      </w:r>
      <w:r>
        <w:t xml:space="preserve">. The details of the example are new, but it’s a very minor modification of a kind of example that is discussed in Matthew McGrath and Brian Kim</w:t>
      </w:r>
      <w:r>
        <w:t xml:space="preserve"> </w:t>
      </w:r>
      <w:r>
        <w:t xml:space="preserve">(</w:t>
      </w:r>
      <w:hyperlink w:anchor="ref-McGrathKim2019">
        <w:r>
          <w:rPr>
            <w:rStyle w:val="Hyperlink"/>
          </w:rPr>
          <w:t xml:space="preserve">2019</w:t>
        </w:r>
      </w:hyperlink>
      <w:r>
        <w:t xml:space="preserve">)</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w:t>
      </w:r>
      <w:hyperlink w:anchor="ref-Zweber2016">
        <w:r>
          <w:rPr>
            <w:rStyle w:val="Hyperlink"/>
          </w:rPr>
          <w:t xml:space="preserve">2016</w:t>
        </w:r>
      </w:hyperlink>
      <w:r>
        <w:t xml:space="preserve">)</w:t>
      </w:r>
      <w:r>
        <w:t xml:space="preserve"> </w:t>
      </w:r>
      <w:r>
        <w:t xml:space="preserve">and by Charity Anderson and John Hawthorne</w:t>
      </w:r>
      <w:r>
        <w:t xml:space="preserve"> </w:t>
      </w:r>
      <w:r>
        <w:t xml:space="preserve">(</w:t>
      </w:r>
      <w:hyperlink w:anchor="ref-AndersonHawthorne2019b">
        <w:r>
          <w:rPr>
            <w:rStyle w:val="Hyperlink"/>
          </w:rPr>
          <w:t xml:space="preserve">2019b</w:t>
        </w:r>
      </w:hyperlink>
      <w:r>
        <w:t xml:space="preserve">)</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 &gt; 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(1-e**)h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 chapter</w:t>
      </w:r>
      <w:r>
        <w:t xml:space="preserve"> </w:t>
      </w:r>
      <w:r>
        <w:t xml:space="preserve">6</w:t>
      </w:r>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67"/>
    <w:bookmarkStart w:id="69" w:name="modalupdate"/>
    <w:p>
      <w:pPr>
        <w:pStyle w:val="Heading3"/>
      </w:pPr>
      <w:r>
        <w:rPr>
          <w:rStyle w:val="SectionNumber"/>
        </w:rPr>
        <w:t xml:space="preserve">3.7.5</w:t>
      </w:r>
      <w:r>
        <w:tab/>
      </w:r>
      <w:r>
        <w:t xml:space="preserve">Updates and Modals</w:t>
      </w:r>
    </w:p>
    <w:p>
      <w:pPr>
        <w:pStyle w:val="FirstParagraph"/>
      </w:pPr>
      <w:r>
        <w:t xml:space="preserve">The version of IRT that I defend here gives a big role to conditional attitudes.</w:t>
      </w:r>
      <w:r>
        <w:rPr>
          <w:rStyle w:val="FootnoteReference"/>
        </w:rPr>
        <w:footnoteReference w:id="68"/>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3"/>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3"/>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w:t>
      </w:r>
      <w:hyperlink w:anchor="ref-Gillies2010">
        <w:r>
          <w:rPr>
            <w:rStyle w:val="Hyperlink"/>
          </w:rPr>
          <w:t xml:space="preserve">2010</w:t>
        </w:r>
      </w:hyperlink>
      <w:r>
        <w:t xml:space="preserve">)</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w:t>
      </w:r>
      <w:hyperlink w:anchor="ref-Kratzer2012">
        <w:r>
          <w:rPr>
            <w:rStyle w:val="Hyperlink"/>
          </w:rPr>
          <w:t xml:space="preserve">2012, 94</w:t>
        </w:r>
      </w:hyperlink>
      <w:r>
        <w:t xml:space="preserve">)</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r>
        <w:t xml:space="preserve">8.2</w:t>
      </w:r>
      <w:r>
        <w:t xml:space="preserve"> </w:t>
      </w:r>
      <w:r>
        <w:t xml:space="preserve">and</w:t>
      </w:r>
      <w:r>
        <w:t xml:space="preserve"> </w:t>
      </w:r>
      <w:r>
        <w:t xml:space="preserve">8.3</w:t>
      </w:r>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69"/>
    <w:bookmarkEnd w:id="70"/>
    <w:bookmarkStart w:id="72" w:name="usc"/>
    <w:p>
      <w:pPr>
        <w:pStyle w:val="Heading2"/>
      </w:pPr>
      <w:r>
        <w:rPr>
          <w:rStyle w:val="SectionNumber"/>
        </w:rPr>
        <w:t xml:space="preserve">3.8</w:t>
      </w:r>
      <w:r>
        <w:tab/>
      </w:r>
      <w:r>
        <w:t xml:space="preserve">Ross and Schroeder’s Theory</w:t>
      </w:r>
    </w:p>
    <w:p>
      <w:pPr>
        <w:pStyle w:val="FirstParagraph"/>
      </w:pPr>
      <w:r>
        <w:t xml:space="preserve">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have what looks like, on the surface, a rather different view to mine.</w:t>
      </w:r>
      <w:r>
        <w:rPr>
          <w:rStyle w:val="FootnoteReference"/>
        </w:rPr>
        <w:footnoteReference w:id="71"/>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w:t>
      </w:r>
      <w:hyperlink w:anchor="ref-RossSchroeder2014">
        <w:r>
          <w:rPr>
            <w:rStyle w:val="Hyperlink"/>
          </w:rPr>
          <w:t xml:space="preserve">Ross and Schroeder 2014, 9–10</w:t>
        </w:r>
      </w:hyperlink>
      <w:r>
        <w:t xml:space="preserve">)</w:t>
      </w:r>
    </w:p>
    <w:p>
      <w:pPr>
        <w:pStyle w:val="FirstParagraph"/>
      </w:pPr>
      <w:r>
        <w:t xml:space="preserve">There are, relative to what I’m interested in, three striking characteristics of Ross and Schroeder’s view.</w:t>
      </w:r>
    </w:p>
    <w:p>
      <w:pPr>
        <w:numPr>
          <w:ilvl w:val="0"/>
          <w:numId w:val="1024"/>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4"/>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4"/>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w:t>
      </w:r>
      <w:hyperlink w:anchor="ref-Weatherson2005-WEACWD">
        <w:r>
          <w:rPr>
            <w:rStyle w:val="Hyperlink"/>
          </w:rPr>
          <w:t xml:space="preserve">2005a</w:t>
        </w:r>
      </w:hyperlink>
      <w:r>
        <w:t xml:space="preserve">)</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w:t>
      </w:r>
      <w:hyperlink w:anchor="ref-RossSchroeder2014">
        <w:r>
          <w:rPr>
            <w:rStyle w:val="Hyperlink"/>
          </w:rPr>
          <w:t xml:space="preserve">2014, 20</w:t>
        </w:r>
      </w:hyperlink>
      <w:r>
        <w:t xml:space="preserve">)</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w:t>
      </w:r>
      <w:hyperlink w:anchor="ref-RossSchroeder2014">
        <w:r>
          <w:rPr>
            <w:rStyle w:val="Hyperlink"/>
          </w:rPr>
          <w:t xml:space="preserve">2014, 20</w:t>
        </w:r>
      </w:hyperlink>
      <w:r>
        <w:t xml:space="preserve">)</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5"/>
        </w:numPr>
        <w:pStyle w:val="Compact"/>
      </w:pPr>
      <w:r>
        <w:t xml:space="preserve">Stella believes that steel is stronger than Styrofoam.</w:t>
      </w:r>
    </w:p>
    <w:p>
      <w:pPr>
        <w:numPr>
          <w:ilvl w:val="0"/>
          <w:numId w:val="1025"/>
        </w:numPr>
        <w:pStyle w:val="Compact"/>
      </w:pPr>
      <w:r>
        <w:t xml:space="preserve">Stella believes that if steel is stronger than Styrofoam, she’ll win a penny and lose nothing by taking the bet.</w:t>
      </w:r>
    </w:p>
    <w:p>
      <w:pPr>
        <w:numPr>
          <w:ilvl w:val="0"/>
          <w:numId w:val="1025"/>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5"/>
        </w:numPr>
        <w:pStyle w:val="Compact"/>
      </w:pPr>
      <w:r>
        <w:t xml:space="preserve">Stella prefers winning a penny and losing nothing to getting nothing.</w:t>
      </w:r>
    </w:p>
    <w:p>
      <w:pPr>
        <w:numPr>
          <w:ilvl w:val="0"/>
          <w:numId w:val="1025"/>
        </w:numPr>
        <w:pStyle w:val="Compact"/>
      </w:pPr>
      <w:r>
        <w:t xml:space="preserve">If Stella believes that she’ll win a penny and lose nothing by taking the bet, and prefers winning a penny and losing nothing to getting nothing, she’ll take the bet.</w:t>
      </w:r>
    </w:p>
    <w:p>
      <w:pPr>
        <w:numPr>
          <w:ilvl w:val="0"/>
          <w:numId w:val="1025"/>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w:t>
      </w:r>
      <w:hyperlink w:anchor="ref-Kelly2010-KELPDA">
        <w:r>
          <w:rPr>
            <w:rStyle w:val="Hyperlink"/>
          </w:rPr>
          <w:t xml:space="preserve">2010</w:t>
        </w:r>
      </w:hyperlink>
      <w:r>
        <w:t xml:space="preserve">)</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2"/>
    <w:bookmarkEnd w:id="73"/>
    <w:bookmarkStart w:id="86" w:name="knowledge"/>
    <w:p>
      <w:pPr>
        <w:pStyle w:val="Heading1"/>
      </w:pPr>
      <w:r>
        <w:rPr>
          <w:rStyle w:val="SectionNumber"/>
        </w:rPr>
        <w:t xml:space="preserve">4</w:t>
      </w:r>
      <w:r>
        <w:tab/>
      </w:r>
      <w:r>
        <w:t xml:space="preserve">Knowledge</w:t>
      </w:r>
    </w:p>
    <w:p>
      <w:pPr>
        <w:pStyle w:val="FirstParagraph"/>
      </w:pPr>
      <w:r>
        <w:t xml:space="preserve">In chapter</w:t>
      </w:r>
      <w:r>
        <w:t xml:space="preserve"> </w:t>
      </w:r>
      <w:r>
        <w:t xml:space="preserve">3</w:t>
      </w:r>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6"/>
        </w:numPr>
        <w:pStyle w:val="Compact"/>
      </w:pPr>
      <w:r>
        <w:t xml:space="preserve">To believe something is to, inter alia, take it as given for all relevant inquiries.</w:t>
      </w:r>
    </w:p>
    <w:p>
      <w:pPr>
        <w:numPr>
          <w:ilvl w:val="0"/>
          <w:numId w:val="1026"/>
        </w:numPr>
        <w:pStyle w:val="Compact"/>
      </w:pPr>
      <w:r>
        <w:t xml:space="preserve">Whatever is known is correctly believed.</w:t>
      </w:r>
    </w:p>
    <w:p>
      <w:pPr>
        <w:numPr>
          <w:ilvl w:val="0"/>
          <w:numId w:val="1026"/>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chapter</w:t>
      </w:r>
      <w:r>
        <w:t xml:space="preserve"> </w:t>
      </w:r>
      <w:r>
        <w:t xml:space="preserve">3</w:t>
      </w:r>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76" w:name="structure"/>
    <w:p>
      <w:pPr>
        <w:pStyle w:val="Heading2"/>
      </w:pPr>
      <w:r>
        <w:rPr>
          <w:rStyle w:val="SectionNumber"/>
        </w:rPr>
        <w:t xml:space="preserve">4.1</w:t>
      </w:r>
      <w:r>
        <w:tab/>
      </w:r>
      <w:r>
        <w:t xml:space="preserve">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74"/>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t xml:space="preserve">1 and</w:t>
      </w:r>
      <w:r>
        <w:t xml:space="preserve"> </w:t>
      </w:r>
      <w:r>
        <w:rPr>
          <w:iCs/>
          <w:i/>
        </w:rPr>
        <w:t xml:space="preserve">S</w:t>
      </w:r>
      <w:r>
        <w:t xml:space="preserve">2, and two choices,</w:t>
      </w:r>
      <w:r>
        <w:t xml:space="preserve"> </w:t>
      </w:r>
      <w:r>
        <w:rPr>
          <w:iCs/>
          <w:i/>
        </w:rPr>
        <w:t xml:space="preserve">C</w:t>
      </w:r>
      <w:r>
        <w:t xml:space="preserve">1 and</w:t>
      </w:r>
      <w:r>
        <w:t xml:space="preserve"> </w:t>
      </w:r>
      <w:r>
        <w:rPr>
          <w:iCs/>
          <w:i/>
        </w:rPr>
        <w:t xml:space="preserve">C</w:t>
      </w:r>
      <w:r>
        <w:t xml:space="preserve">2, as is normal for introductory problems.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 </w:t>
            </w:r>
          </w:p>
        </w:tc>
        <w:tc>
          <w:tcPr/>
          <w:p>
            <w:pPr>
              <w:pStyle w:val="Compact"/>
              <w:jc w:val="right"/>
            </w:pPr>
            <w:r>
              <w:rPr>
                <w:iCs/>
                <w:i/>
              </w:rPr>
              <w:t xml:space="preserve">S</w:t>
            </w:r>
            <w:r>
              <w:t xml:space="preserve">1$ *S</w:t>
            </w:r>
          </w:p>
        </w:tc>
        <w:tc>
          <w:tcPr/>
          <w:p>
            <w:pPr>
              <w:pStyle w:val="Compact"/>
              <w:jc w:val="left"/>
            </w:pPr>
            <w:r>
              <w:t xml:space="preserve">*2</w:t>
            </w:r>
          </w:p>
        </w:tc>
      </w:tr>
      <w:tr>
        <w:tc>
          <w:tcPr/>
          <w:p>
            <w:pPr>
              <w:pStyle w:val="Compact"/>
              <w:jc w:val="center"/>
            </w:pPr>
            <w:r>
              <w:rPr>
                <w:iCs/>
                <w:i/>
              </w:rPr>
              <w:t xml:space="preserve">C</w:t>
            </w:r>
            <w:r>
              <w:rPr>
                <w:vertAlign w:val="subscript"/>
              </w:rPr>
              <w:t xml:space="preserve">1</w:t>
            </w:r>
            <w:r>
              <w:t xml:space="preserve">$</w:t>
            </w:r>
          </w:p>
        </w:tc>
        <w:tc>
          <w:tcPr/>
          <w:p>
            <w:pPr>
              <w:pStyle w:val="Compact"/>
              <w:jc w:val="right"/>
            </w:pPr>
            <w:r>
              <w:t xml:space="preserve">-$200</w:t>
            </w:r>
          </w:p>
        </w:tc>
        <w:tc>
          <w:tcPr/>
          <w:p>
            <w:pPr>
              <w:pStyle w:val="Compact"/>
              <w:jc w:val="left"/>
            </w:pPr>
            <w:r>
              <w:t xml:space="preserve">$1000</w:t>
            </w:r>
          </w:p>
        </w:tc>
      </w:tr>
      <w:tr>
        <w:tc>
          <w:tcPr/>
          <w:p>
            <w:pPr>
              <w:pStyle w:val="Compact"/>
              <w:jc w:val="center"/>
            </w:pPr>
            <w:r>
              <w:rPr>
                <w:iCs/>
                <w:i/>
              </w:rPr>
              <w:t xml:space="preserve">C</w:t>
            </w:r>
            <w:r>
              <w:rPr>
                <w:vertAlign w:val="subscript"/>
              </w:rPr>
              <w:t xml:space="preserve">2</w:t>
            </w:r>
            <w:r>
              <w:t xml:space="preserve">$</w:t>
            </w:r>
          </w:p>
        </w:tc>
        <w:tc>
          <w:tcPr/>
          <w:p>
            <w:pPr>
              <w:pStyle w:val="Compact"/>
              <w:jc w:val="right"/>
            </w:pPr>
            <w:r>
              <w:t xml:space="preserve">-$100</w:t>
            </w:r>
          </w:p>
        </w:tc>
        <w:tc>
          <w:tcPr/>
          <w:p>
            <w:pPr>
              <w:pStyle w:val="Compact"/>
              <w:jc w:val="left"/>
            </w:pPr>
            <w:r>
              <w:t xml:space="preserve">$1500</w:t>
            </w:r>
          </w:p>
        </w:tc>
      </w:tr>
    </w:tbl>
    <w:p>
      <w:pPr>
        <w:pStyle w:val="BodyText"/>
      </w:pPr>
      <w:r>
        <w:t xml:space="preserve">She’s hoping that the students will see that</w:t>
      </w:r>
      <w:r>
        <w:t xml:space="preserve"> </w:t>
      </w:r>
      <w:r>
        <w:rPr>
          <w:iCs/>
          <w:i/>
        </w:rPr>
        <w:t xml:space="preserve">C</w:t>
      </w:r>
      <w:r>
        <w:t xml:space="preserve">1 and</w:t>
      </w:r>
      <w:r>
        <w:t xml:space="preserve"> </w:t>
      </w:r>
      <w:r>
        <w:rPr>
          <w:iCs/>
          <w:i/>
        </w:rPr>
        <w:t xml:space="preserve">C</w:t>
      </w:r>
      <w:r>
        <w:t xml:space="preserve">2 are bets, but</w:t>
      </w:r>
      <w:r>
        <w:t xml:space="preserve"> </w:t>
      </w:r>
      <w:r>
        <w:rPr>
          <w:iCs/>
          <w:i/>
        </w:rPr>
        <w:t xml:space="preserve">C</w:t>
      </w:r>
      <w:r>
        <w:t xml:space="preserve">2 is clearly the better bet. If</w:t>
      </w:r>
      <w:r>
        <w:t xml:space="preserve"> </w:t>
      </w:r>
      <w:r>
        <w:rPr>
          <w:iCs/>
          <w:i/>
        </w:rPr>
        <w:t xml:space="preserve">S</w:t>
      </w:r>
      <w:r>
        <w:t xml:space="preserve">1 is actual, then both bets lose, but</w:t>
      </w:r>
      <w:r>
        <w:t xml:space="preserve"> </w:t>
      </w:r>
      <w:r>
        <w:rPr>
          <w:iCs/>
          <w:i/>
        </w:rPr>
        <w:t xml:space="preserve">C</w:t>
      </w:r>
      <w:r>
        <w:t xml:space="preserve">2 loses less money. If</w:t>
      </w:r>
      <w:r>
        <w:t xml:space="preserve"> </w:t>
      </w:r>
      <w:r>
        <w:rPr>
          <w:iCs/>
          <w:i/>
        </w:rPr>
        <w:t xml:space="preserve">S</w:t>
      </w:r>
      <w:r>
        <w:t xml:space="preserve">2 is actual, then both bets win, but</w:t>
      </w:r>
      <w:r>
        <w:t xml:space="preserve"> </w:t>
      </w:r>
      <w:r>
        <w:rPr>
          <w:iCs/>
          <w:i/>
        </w:rPr>
        <w:t xml:space="preserve">C</w:t>
      </w:r>
      <w:r>
        <w:t xml:space="preserve">2 wins more. So</w:t>
      </w:r>
      <w:r>
        <w:t xml:space="preserve"> </w:t>
      </w:r>
      <w:r>
        <w:rPr>
          <w:iCs/>
          <w:i/>
        </w:rPr>
        <w:t xml:space="preserve">C</w:t>
      </w:r>
      <w:r>
        <w:t xml:space="preserve">2 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t xml:space="preserve">2 is better than</w:t>
      </w:r>
      <w:r>
        <w:t xml:space="preserve"> </w:t>
      </w:r>
      <w:r>
        <w:rPr>
          <w:iCs/>
          <w:i/>
        </w:rPr>
        <w:t xml:space="preserve">C</w:t>
      </w:r>
      <w:r>
        <w:t xml:space="preserve">1. He thinks, on the basis of his experience, that when more than $1000 is on the line, people aren’t as reliable about paying out on bets. So while</w:t>
      </w:r>
      <w:r>
        <w:t xml:space="preserve"> </w:t>
      </w:r>
      <w:r>
        <w:rPr>
          <w:iCs/>
          <w:i/>
        </w:rPr>
        <w:t xml:space="preserve">C</w:t>
      </w:r>
      <w:r>
        <w:t xml:space="preserve">1 is guaranteed to deliver $1000 if</w:t>
      </w:r>
      <w:r>
        <w:t xml:space="preserve"> </w:t>
      </w:r>
      <w:r>
        <w:rPr>
          <w:iCs/>
          <w:i/>
        </w:rPr>
        <w:t xml:space="preserve">S</w:t>
      </w:r>
      <w:r>
        <w:t xml:space="preserve">2, if the agent bets on</w:t>
      </w:r>
      <w:r>
        <w:t xml:space="preserve"> </w:t>
      </w:r>
      <w:r>
        <w:rPr>
          <w:iCs/>
          <w:i/>
        </w:rPr>
        <w:t xml:space="preserve">C</w:t>
      </w:r>
      <w:r>
        <w:t xml:space="preserve">2,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t xml:space="preserve">2 and is in</w:t>
      </w:r>
      <w:r>
        <w:t xml:space="preserve"> </w:t>
      </w:r>
      <w:r>
        <w:rPr>
          <w:iCs/>
          <w:i/>
        </w:rPr>
        <w:t xml:space="preserve">S</w:t>
      </w:r>
      <w:r>
        <w:t xml:space="preserve">2.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t xml:space="preserve">2 to hell. Since heaven is better than hell,</w:t>
      </w:r>
      <w:r>
        <w:t xml:space="preserve"> </w:t>
      </w:r>
      <w:r>
        <w:rPr>
          <w:iCs/>
          <w:i/>
        </w:rPr>
        <w:t xml:space="preserve">C</w:t>
      </w:r>
      <w:r>
        <w:t xml:space="preserve">2 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7"/>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7"/>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t xml:space="preserve">2 and is in state</w:t>
      </w:r>
      <w:r>
        <w:t xml:space="preserve"> </w:t>
      </w:r>
      <w:r>
        <w:rPr>
          <w:iCs/>
          <w:i/>
        </w:rPr>
        <w:t xml:space="preserve">S</w:t>
      </w:r>
      <w:r>
        <w:t xml:space="preserve">2.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t xml:space="preserve">1 or</w:t>
      </w:r>
      <w:r>
        <w:t xml:space="preserve"> </w:t>
      </w:r>
      <w:r>
        <w:rPr>
          <w:iCs/>
          <w:i/>
        </w:rPr>
        <w:t xml:space="preserve">S</w:t>
      </w:r>
      <w:r>
        <w:t xml:space="preserve">2 obtained. And when she says it is best to take dominating options, she means that it is best to take options that one knows to have better outcomes. So here are the answers to Stu and Dom’s challenges.</w:t>
      </w:r>
    </w:p>
    <w:p>
      <w:pPr>
        <w:numPr>
          <w:ilvl w:val="0"/>
          <w:numId w:val="1028"/>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28"/>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t xml:space="preserve">2 and</w:t>
      </w:r>
      <w:r>
        <w:t xml:space="preserve"> </w:t>
      </w:r>
      <w:r>
        <w:rPr>
          <w:iCs/>
          <w:i/>
        </w:rPr>
        <w:t xml:space="preserve">S</w:t>
      </w:r>
      <w:r>
        <w:t xml:space="preserve">2)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w:t>
      </w:r>
      <w:hyperlink w:anchor="ref-Lewis1969a">
        <w:r>
          <w:rPr>
            <w:rStyle w:val="Hyperlink"/>
          </w:rPr>
          <w:t xml:space="preserve">1969</w:t>
        </w:r>
      </w:hyperlink>
      <w:r>
        <w:t xml:space="preserve">)</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t>
      </w:r>
      <w:hyperlink w:anchor="ref-Williamson2000">
        <w:r>
          <w:rPr>
            <w:rStyle w:val="Hyperlink"/>
          </w:rPr>
          <w:t xml:space="preserve">Williamson 2000</w:t>
        </w:r>
      </w:hyperlink>
      <w:r>
        <w:t xml:space="preserve">,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75"/>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76"/>
    <w:bookmarkStart w:id="78" w:name="theoreticalknowledge"/>
    <w:p>
      <w:pPr>
        <w:pStyle w:val="Heading2"/>
      </w:pPr>
      <w:r>
        <w:rPr>
          <w:rStyle w:val="SectionNumber"/>
        </w:rPr>
        <w:t xml:space="preserve">4.2</w:t>
      </w:r>
      <w:r>
        <w:tab/>
      </w:r>
      <w:r>
        <w:t xml:space="preserve">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w:t>
      </w:r>
      <w:hyperlink w:anchor="ref-Hieronymi2013">
        <w:r>
          <w:rPr>
            <w:rStyle w:val="Hyperlink"/>
          </w:rPr>
          <w:t xml:space="preserve">Hieronymi 2013, 115–16</w:t>
        </w:r>
      </w:hyperlink>
      <w:r>
        <w:t xml:space="preserve">)</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w:t>
      </w:r>
      <w:hyperlink w:anchor="ref-HawthorneStanley2008">
        <w:r>
          <w:rPr>
            <w:rStyle w:val="Hyperlink"/>
          </w:rPr>
          <w:t xml:space="preserve">2008</w:t>
        </w:r>
      </w:hyperlink>
      <w:r>
        <w:t xml:space="preserve">)</w:t>
      </w:r>
      <w:r>
        <w:t xml:space="preserve"> </w:t>
      </w:r>
      <w:r>
        <w:t xml:space="preserve">and Fantl and McGrath</w:t>
      </w:r>
      <w:r>
        <w:t xml:space="preserve"> </w:t>
      </w:r>
      <w:r>
        <w:t xml:space="preserve">(</w:t>
      </w:r>
      <w:hyperlink w:anchor="ref-FantlMcGrath2009">
        <w:r>
          <w:rPr>
            <w:rStyle w:val="Hyperlink"/>
          </w:rPr>
          <w:t xml:space="preserve">2009</w:t>
        </w:r>
      </w:hyperlink>
      <w:r>
        <w:t xml:space="preserve">)</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chapter</w:t>
      </w:r>
      <w:r>
        <w:t xml:space="preserve"> </w:t>
      </w:r>
      <w:r>
        <w:t xml:space="preserve">5</w:t>
      </w:r>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29"/>
        </w:numPr>
        <w:pStyle w:val="Compact"/>
      </w:pPr>
      <w:r>
        <w:t xml:space="preserve">It is worthwhile to conduct the inquiry.</w:t>
      </w:r>
    </w:p>
    <w:p>
      <w:pPr>
        <w:numPr>
          <w:ilvl w:val="0"/>
          <w:numId w:val="1029"/>
        </w:numPr>
        <w:pStyle w:val="Compact"/>
      </w:pPr>
      <w:r>
        <w:t xml:space="preserve">It is sensible, and efficient enough, to choose these particular starting points.</w:t>
      </w:r>
    </w:p>
    <w:p>
      <w:pPr>
        <w:numPr>
          <w:ilvl w:val="0"/>
          <w:numId w:val="1029"/>
        </w:numPr>
        <w:pStyle w:val="Compact"/>
      </w:pPr>
      <w:r>
        <w:t xml:space="preserve">The starting points are all things that are known to be true.</w:t>
      </w:r>
    </w:p>
    <w:p>
      <w:pPr>
        <w:numPr>
          <w:ilvl w:val="0"/>
          <w:numId w:val="1029"/>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w:t>
      </w:r>
      <w:hyperlink w:anchor="ref-BasuSchroeder2019">
        <w:r>
          <w:rPr>
            <w:rStyle w:val="Hyperlink"/>
          </w:rPr>
          <w:t xml:space="preserve">2019</w:t>
        </w:r>
      </w:hyperlink>
      <w:r>
        <w:t xml:space="preserve">)</w:t>
      </w:r>
      <w:r>
        <w:t xml:space="preserve">. Casey is at a fancy fundraising party, where the guests and the wait staff are all wearing suits. The person next to Casey is black, and Casey reasons as follows.</w:t>
      </w:r>
    </w:p>
    <w:p>
      <w:pPr>
        <w:numPr>
          <w:ilvl w:val="0"/>
          <w:numId w:val="1030"/>
        </w:numPr>
        <w:pStyle w:val="Compact"/>
      </w:pPr>
      <w:r>
        <w:t xml:space="preserve">Almost all the black people here are on the wait staff.</w:t>
      </w:r>
    </w:p>
    <w:p>
      <w:pPr>
        <w:numPr>
          <w:ilvl w:val="0"/>
          <w:numId w:val="1030"/>
        </w:numPr>
        <w:pStyle w:val="Compact"/>
      </w:pPr>
      <w:r>
        <w:t xml:space="preserve">The person next to me is black.</w:t>
      </w:r>
    </w:p>
    <w:p>
      <w:pPr>
        <w:numPr>
          <w:ilvl w:val="0"/>
          <w:numId w:val="1030"/>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w:t>
      </w:r>
      <w:hyperlink w:anchor="ref-Wright2002">
        <w:r>
          <w:rPr>
            <w:rStyle w:val="Hyperlink"/>
          </w:rPr>
          <w:t xml:space="preserve">2002</w:t>
        </w:r>
      </w:hyperlink>
      <w:r>
        <w:t xml:space="preserve">)</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1"/>
        </w:numPr>
        <w:pStyle w:val="Compact"/>
      </w:pPr>
      <w:r>
        <w:t xml:space="preserve">The ball was kicked into the net, and no foul or violation was called.</w:t>
      </w:r>
    </w:p>
    <w:p>
      <w:pPr>
        <w:numPr>
          <w:ilvl w:val="0"/>
          <w:numId w:val="1031"/>
        </w:numPr>
        <w:pStyle w:val="Compact"/>
      </w:pPr>
      <w:r>
        <w:t xml:space="preserve">So, a goal was scored.</w:t>
      </w:r>
    </w:p>
    <w:p>
      <w:pPr>
        <w:numPr>
          <w:ilvl w:val="0"/>
          <w:numId w:val="1031"/>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7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 chapter</w:t>
      </w:r>
      <w:r>
        <w:t xml:space="preserve"> </w:t>
      </w:r>
      <w:r>
        <w:t xml:space="preserve">9</w:t>
      </w:r>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 subsection</w:t>
      </w:r>
      <w:r>
        <w:t xml:space="preserve"> </w:t>
      </w:r>
      <w:r>
        <w:t xml:space="preserve">4.3.2</w:t>
      </w:r>
      <w:r>
        <w:t xml:space="preserve">. Until then I’ll be talking about single pieces of knowledge at a time.</w:t>
      </w:r>
    </w:p>
    <w:bookmarkEnd w:id="78"/>
    <w:bookmarkStart w:id="84" w:name="knowledge-and-closure"/>
    <w:p>
      <w:pPr>
        <w:pStyle w:val="Heading2"/>
      </w:pPr>
      <w:r>
        <w:rPr>
          <w:rStyle w:val="SectionNumber"/>
        </w:rPr>
        <w:t xml:space="preserve">4.3</w:t>
      </w:r>
      <w:r>
        <w:tab/>
      </w:r>
      <w:r>
        <w:t xml:space="preserve">Knowledge and Closure</w:t>
      </w:r>
    </w:p>
    <w:p>
      <w:pPr>
        <w:pStyle w:val="FirstParagraph"/>
      </w:pPr>
      <w:r>
        <w:t xml:space="preserve">Here are two very plausible principles about knowledge, both due to John Hawthorne</w:t>
      </w:r>
      <w:r>
        <w:t xml:space="preserve"> </w:t>
      </w:r>
      <w:r>
        <w:t xml:space="preserve">(</w:t>
      </w:r>
      <w:hyperlink w:anchor="ref-Hawthorne2005">
        <w:r>
          <w:rPr>
            <w:rStyle w:val="Hyperlink"/>
          </w:rPr>
          <w:t xml:space="preserve">2005</w:t>
        </w:r>
      </w:hyperlink>
      <w:r>
        <w:t xml:space="preserve">)</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w:t>
      </w:r>
      <w:hyperlink w:anchor="ref-Hawthorne2005">
        <w:r>
          <w:rPr>
            <w:rStyle w:val="Hyperlink"/>
          </w:rPr>
          <w:t xml:space="preserve">Hawthorne 2005, 43</w:t>
        </w:r>
      </w:hyperlink>
      <w:r>
        <w:t xml:space="preserve">)</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w:t>
      </w:r>
      <w:hyperlink w:anchor="ref-Hawthorne2005">
        <w:r>
          <w:rPr>
            <w:rStyle w:val="Hyperlink"/>
          </w:rPr>
          <w:t xml:space="preserve">Hawthorne 2005, 43</w:t>
        </w:r>
      </w:hyperlink>
      <w:r>
        <w:t xml:space="preserve">)</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t>
      </w:r>
      <w:hyperlink w:anchor="ref-Weatherson2005-WEACWD">
        <w:r>
          <w:rPr>
            <w:rStyle w:val="Hyperlink"/>
          </w:rPr>
          <w:t xml:space="preserve">Weatherson 2005a</w:t>
        </w:r>
      </w:hyperlink>
      <w:r>
        <w:t xml:space="preserve">)</w:t>
      </w:r>
      <w:r>
        <w:t xml:space="preserve"> </w:t>
      </w:r>
      <w:r>
        <w:t xml:space="preserve">that concerns about the preface paradox are over-rated, and I think those arguments still hold up. But I have a slightly different qualification than Hawthorne does to Multiple Premise Closure, and I will discuss that more in section</w:t>
      </w:r>
      <w:r>
        <w:t xml:space="preserve"> </w:t>
      </w:r>
      <w:r>
        <w:t xml:space="preserve">4.3.2</w:t>
      </w:r>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0" w:name="andelim"/>
    <w:p>
      <w:pPr>
        <w:pStyle w:val="Heading3"/>
      </w:pPr>
      <w:r>
        <w:rPr>
          <w:rStyle w:val="SectionNumber"/>
        </w:rPr>
        <w:t xml:space="preserve">4.3.1</w:t>
      </w:r>
      <w:r>
        <w:tab/>
      </w:r>
      <w:r>
        <w:t xml:space="preserve">Single Premise Closure</w:t>
      </w:r>
    </w:p>
    <w:p>
      <w:pPr>
        <w:pStyle w:val="FirstParagraph"/>
      </w:pPr>
      <w:r>
        <w:t xml:space="preserve">But it turns out that even showing this is not completely trivial. Imagine yet another version of the red-blue game.</w:t>
      </w:r>
      <w:r>
        <w:rPr>
          <w:rStyle w:val="FootnoteReference"/>
        </w:rPr>
        <w:footnoteReference w:id="79"/>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2"/>
        </w:numPr>
        <w:pStyle w:val="Compact"/>
      </w:pPr>
      <w:r>
        <w:t xml:space="preserve">Unconditionally, the player is indifferent between playing red-true and playing blue-true.</w:t>
      </w:r>
    </w:p>
    <w:p>
      <w:pPr>
        <w:numPr>
          <w:ilvl w:val="0"/>
          <w:numId w:val="1032"/>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2"/>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2"/>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3"/>
        </w:numPr>
        <w:pStyle w:val="Compact"/>
      </w:pPr>
      <w:r>
        <w:t xml:space="preserve">Which option maximises expected returns?</w:t>
      </w:r>
    </w:p>
    <w:p>
      <w:pPr>
        <w:numPr>
          <w:ilvl w:val="0"/>
          <w:numId w:val="1033"/>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chapter</w:t>
      </w:r>
      <w:r>
        <w:t xml:space="preserve"> </w:t>
      </w:r>
      <w:r>
        <w:t xml:space="preserve">6</w:t>
      </w:r>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0"/>
    <w:bookmarkStart w:id="83" w:name="andintro"/>
    <w:p>
      <w:pPr>
        <w:pStyle w:val="Heading3"/>
      </w:pPr>
      <w:r>
        <w:rPr>
          <w:rStyle w:val="SectionNumber"/>
        </w:rPr>
        <w:t xml:space="preserve">4.3.2</w:t>
      </w:r>
      <w:r>
        <w:tab/>
      </w:r>
      <w:r>
        <w:t xml:space="preserve">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4"/>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4"/>
        </w:numPr>
        <w:pStyle w:val="Compact"/>
      </w:pPr>
      <w:r>
        <w:t xml:space="preserve">If, in the course of an inquiry, one knows some premises, then one can take them for granted in that inquiry.</w:t>
      </w:r>
    </w:p>
    <w:p>
      <w:pPr>
        <w:numPr>
          <w:ilvl w:val="0"/>
          <w:numId w:val="1034"/>
        </w:numPr>
        <w:pStyle w:val="Compact"/>
      </w:pPr>
      <w:r>
        <w:t xml:space="preserve">If one can take some premises for granted in an inquiry, then one can take their conjunction for granted in that inquiry.</w:t>
      </w:r>
    </w:p>
    <w:p>
      <w:pPr>
        <w:numPr>
          <w:ilvl w:val="0"/>
          <w:numId w:val="1034"/>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1"/>
      </w:r>
      <w:r>
        <w:t xml:space="preserve"> </w:t>
      </w:r>
      <w:r>
        <w:t xml:space="preserve">Now the following four claims all seem true.</w:t>
      </w:r>
    </w:p>
    <w:p>
      <w:pPr>
        <w:numPr>
          <w:ilvl w:val="0"/>
          <w:numId w:val="1035"/>
        </w:numPr>
        <w:pStyle w:val="Compact"/>
      </w:pPr>
      <w:r>
        <w:t xml:space="preserve">Unconditionally, the only rational play is Red-True.</w:t>
      </w:r>
    </w:p>
    <w:p>
      <w:pPr>
        <w:numPr>
          <w:ilvl w:val="0"/>
          <w:numId w:val="1035"/>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5"/>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5"/>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6"/>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6"/>
        </w:numPr>
        <w:pStyle w:val="Compact"/>
      </w:pPr>
      <w:r>
        <w:t xml:space="preserve">Similarly, they can take</w:t>
      </w:r>
      <w:r>
        <w:t xml:space="preserve"> </w:t>
      </w:r>
      <w:r>
        <w:rPr>
          <w:iCs/>
          <w:i/>
        </w:rPr>
        <w:t xml:space="preserve">B</w:t>
      </w:r>
      <w:r>
        <w:t xml:space="preserve"> </w:t>
      </w:r>
      <w:r>
        <w:t xml:space="preserve">for granted.</w:t>
      </w:r>
    </w:p>
    <w:p>
      <w:pPr>
        <w:numPr>
          <w:ilvl w:val="0"/>
          <w:numId w:val="1036"/>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 section</w:t>
      </w:r>
      <w:r>
        <w:t xml:space="preserve"> </w:t>
      </w:r>
      <w:r>
        <w:t xml:space="preserve">4.2</w:t>
      </w:r>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w:t>
      </w:r>
      <w:hyperlink w:anchor="ref-Kroedel2012">
        <w:r>
          <w:rPr>
            <w:rStyle w:val="Hyperlink"/>
          </w:rPr>
          <w:t xml:space="preserve">2012</w:t>
        </w:r>
      </w:hyperlink>
      <w:r>
        <w:t xml:space="preserve">)</w:t>
      </w:r>
      <w:r>
        <w:t xml:space="preserve"> </w:t>
      </w:r>
      <w:r>
        <w:t xml:space="preserve">offers as a solution to the lottery paradox.</w:t>
      </w:r>
      <w:r>
        <w:rPr>
          <w:rStyle w:val="FootnoteReference"/>
        </w:rPr>
        <w:footnoteReference w:id="82"/>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7"/>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7"/>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7"/>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7"/>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7"/>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83"/>
    <w:bookmarkEnd w:id="84"/>
    <w:bookmarkStart w:id="85" w:name="closuresummary"/>
    <w:p>
      <w:pPr>
        <w:pStyle w:val="Heading2"/>
      </w:pPr>
      <w:r>
        <w:rPr>
          <w:rStyle w:val="SectionNumber"/>
        </w:rPr>
        <w:t xml:space="preserve">4.4</w:t>
      </w:r>
      <w:r>
        <w:tab/>
      </w:r>
      <w:r>
        <w:t xml:space="preserve">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 chapter</w:t>
      </w:r>
      <w:r>
        <w:t xml:space="preserve"> </w:t>
      </w:r>
      <w:r>
        <w:t xml:space="preserve">6</w:t>
      </w:r>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85"/>
    <w:bookmarkEnd w:id="86"/>
    <w:bookmarkStart w:id="102" w:name="inquiry"/>
    <w:p>
      <w:pPr>
        <w:pStyle w:val="Heading1"/>
      </w:pPr>
      <w:r>
        <w:rPr>
          <w:rStyle w:val="SectionNumber"/>
        </w:rPr>
        <w:t xml:space="preserve">5</w:t>
      </w:r>
      <w:r>
        <w:tab/>
      </w:r>
      <w:r>
        <w:t xml:space="preserve">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w:t>
      </w:r>
      <w:hyperlink w:anchor="ref-Brown2008">
        <w:r>
          <w:rPr>
            <w:rStyle w:val="Hyperlink"/>
          </w:rPr>
          <w:t xml:space="preserve">2008</w:t>
        </w:r>
      </w:hyperlink>
      <w:r>
        <w:t xml:space="preserve">)</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w:t>
      </w:r>
      <w:hyperlink w:anchor="ref-Zweber2016">
        <w:r>
          <w:rPr>
            <w:rStyle w:val="Hyperlink"/>
          </w:rPr>
          <w:t xml:space="preserve">2016</w:t>
        </w:r>
      </w:hyperlink>
      <w:r>
        <w:t xml:space="preserve">)</w:t>
      </w:r>
      <w:r>
        <w:t xml:space="preserve"> </w:t>
      </w:r>
      <w:r>
        <w:t xml:space="preserve">and, separately, Charity Anderson and John Hawthorne</w:t>
      </w:r>
      <w:r>
        <w:t xml:space="preserve"> </w:t>
      </w:r>
      <w:r>
        <w:t xml:space="preserve">(</w:t>
      </w:r>
      <w:hyperlink w:anchor="ref-AndersonHawthorne2019a">
        <w:r>
          <w:rPr>
            <w:rStyle w:val="Hyperlink"/>
          </w:rPr>
          <w:t xml:space="preserve">2019a</w:t>
        </w:r>
      </w:hyperlink>
      <w:r>
        <w:t xml:space="preserve">)</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 chapter</w:t>
      </w:r>
      <w:r>
        <w:t xml:space="preserve"> </w:t>
      </w:r>
      <w:r>
        <w:t xml:space="preserve">6</w:t>
      </w:r>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chapter</w:t>
      </w:r>
      <w:r>
        <w:t xml:space="preserve"> </w:t>
      </w:r>
      <w:r>
        <w:t xml:space="preserve">1</w:t>
      </w:r>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chapter</w:t>
      </w:r>
      <w:r>
        <w:t xml:space="preserve"> </w:t>
      </w:r>
      <w:r>
        <w:t xml:space="preserve">7</w:t>
      </w:r>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 chapter</w:t>
      </w:r>
      <w:r>
        <w:t xml:space="preserve"> </w:t>
      </w:r>
      <w:r>
        <w:t xml:space="preserve">7</w:t>
      </w:r>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95" w:name="settling"/>
    <w:p>
      <w:pPr>
        <w:pStyle w:val="Heading2"/>
      </w:pPr>
      <w:r>
        <w:rPr>
          <w:rStyle w:val="SectionNumber"/>
        </w:rPr>
        <w:t xml:space="preserve">5.1</w:t>
      </w:r>
      <w:r>
        <w:tab/>
      </w:r>
      <w:r>
        <w:t xml:space="preserve">Starting and Settling</w:t>
      </w:r>
    </w:p>
    <w:p>
      <w:pPr>
        <w:pStyle w:val="FirstParagraph"/>
      </w:pPr>
      <w:r>
        <w:t xml:space="preserve">At the heart of Jane Friedman’s influential picture of inquiry are a number of distinctive attitudes.</w:t>
      </w:r>
      <w:r>
        <w:t xml:space="preserve"> </w:t>
      </w:r>
      <w:r>
        <w:t xml:space="preserve">(</w:t>
      </w:r>
      <w:hyperlink w:anchor="ref-Friedman2017">
        <w:r>
          <w:rPr>
            <w:rStyle w:val="Hyperlink"/>
          </w:rPr>
          <w:t xml:space="preserve">Friedman 2017</w:t>
        </w:r>
      </w:hyperlink>
      <w:r>
        <w:t xml:space="preserve">,</w:t>
      </w:r>
      <w:r>
        <w:t xml:space="preserve"> </w:t>
      </w:r>
      <w:hyperlink w:anchor="ref-Friedman2019a">
        <w:r>
          <w:rPr>
            <w:rStyle w:val="Hyperlink"/>
          </w:rPr>
          <w:t xml:space="preserve">2019b</w:t>
        </w:r>
      </w:hyperlink>
      <w:r>
        <w:t xml:space="preserve">,</w:t>
      </w:r>
      <w:r>
        <w:t xml:space="preserve"> </w:t>
      </w:r>
      <w:hyperlink w:anchor="ref-Friedman2019b">
        <w:r>
          <w:rPr>
            <w:rStyle w:val="Hyperlink"/>
          </w:rPr>
          <w:t xml:space="preserve">2019a</w:t>
        </w:r>
      </w:hyperlink>
      <w:r>
        <w:t xml:space="preserve">,</w:t>
      </w:r>
      <w:r>
        <w:t xml:space="preserve"> </w:t>
      </w:r>
      <w:hyperlink w:anchor="ref-Friedman2020">
        <w:r>
          <w:rPr>
            <w:rStyle w:val="Hyperlink"/>
          </w:rPr>
          <w:t xml:space="preserve">2020</w:t>
        </w:r>
      </w:hyperlink>
      <w:r>
        <w:t xml:space="preserve">)</w:t>
      </w:r>
      <w:r>
        <w:t xml:space="preserve"> </w:t>
      </w:r>
      <w:r>
        <w:t xml:space="preserve">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87"/>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88"/>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w:t>
      </w:r>
      <w:hyperlink w:anchor="ref-Friedman2017">
        <w:r>
          <w:rPr>
            <w:rStyle w:val="Hyperlink"/>
          </w:rPr>
          <w:t xml:space="preserve">Friedman 2017, 131</w:t>
        </w:r>
      </w:hyperlink>
      <w:r>
        <w:t xml:space="preserve">)</w:t>
      </w:r>
    </w:p>
    <w:p>
      <w:pPr>
        <w:pStyle w:val="BlockText"/>
      </w:pPr>
      <w:r>
        <w:t xml:space="preserve">There is something to be said for the claim that the person who knows they have turned the coffee pot off should not be going back to check.</w:t>
      </w:r>
      <w:r>
        <w:t xml:space="preserve"> </w:t>
      </w:r>
      <w:r>
        <w:t xml:space="preserve">(</w:t>
      </w:r>
      <w:hyperlink w:anchor="ref-HawthorneStanley2008">
        <w:r>
          <w:rPr>
            <w:rStyle w:val="Hyperlink"/>
          </w:rPr>
          <w:t xml:space="preserve">Hawthorne and Stanley 2008</w:t>
        </w:r>
      </w:hyperlink>
      <w:r>
        <w:t xml:space="preserve"> </w:t>
      </w:r>
      <w:r>
        <w:t xml:space="preserve">,587)</w:t>
      </w:r>
    </w:p>
    <w:p>
      <w:pPr>
        <w:pStyle w:val="BlockText"/>
      </w:pPr>
      <w:r>
        <w:t xml:space="preserve">Any such cases [of believing while inquiring] involve peculiarities (such as irrationality or fragmentation).</w:t>
      </w:r>
      <w:r>
        <w:t xml:space="preserve"> </w:t>
      </w:r>
      <w:r>
        <w:t xml:space="preserve">(</w:t>
      </w:r>
      <w:hyperlink w:anchor="ref-McGrath2021">
        <w:r>
          <w:rPr>
            <w:rStyle w:val="Hyperlink"/>
          </w:rPr>
          <w:t xml:space="preserve">McGrath 2021</w:t>
        </w:r>
      </w:hyperlink>
      <w:r>
        <w:t xml:space="preserve"> </w:t>
      </w:r>
      <w:r>
        <w:t xml:space="preserve">,482n37)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89" w:name="sensitiveinquiry"/>
    <w:p>
      <w:pPr>
        <w:pStyle w:val="Heading3"/>
      </w:pPr>
      <w:r>
        <w:rPr>
          <w:rStyle w:val="SectionNumber"/>
        </w:rPr>
        <w:t xml:space="preserve">5.1.1</w:t>
      </w:r>
      <w:r>
        <w:tab/>
      </w:r>
      <w:r>
        <w:t xml:space="preserve">Sensitivity Chasing</w:t>
      </w:r>
    </w:p>
    <w:p>
      <w:pPr>
        <w:pStyle w:val="FirstParagraph"/>
      </w:pPr>
      <w:r>
        <w:t xml:space="preserve">Guido Melchior</w:t>
      </w:r>
      <w:r>
        <w:t xml:space="preserve"> </w:t>
      </w:r>
      <w:r>
        <w:t xml:space="preserve">(</w:t>
      </w:r>
      <w:hyperlink w:anchor="ref-Melchior2019">
        <w:r>
          <w:rPr>
            <w:rStyle w:val="Hyperlink"/>
          </w:rPr>
          <w:t xml:space="preserve">2019</w:t>
        </w:r>
      </w:hyperlink>
      <w:r>
        <w:t xml:space="preserve">)</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w:t>
      </w:r>
      <w:hyperlink w:anchor="ref-Cohen2002">
        <w:r>
          <w:rPr>
            <w:rStyle w:val="Hyperlink"/>
          </w:rPr>
          <w:t xml:space="preserve">Cohen 2002</w:t>
        </w:r>
      </w:hyperlink>
      <w:r>
        <w:t xml:space="preserve">)</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w:t>
      </w:r>
      <w:hyperlink w:anchor="ref-Jackson1987">
        <w:r>
          <w:rPr>
            <w:rStyle w:val="Hyperlink"/>
          </w:rPr>
          <w:t xml:space="preserve">1987</w:t>
        </w:r>
      </w:hyperlink>
      <w:r>
        <w:t xml:space="preserve">)</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89"/>
    <w:bookmarkStart w:id="90" w:name="rulesinquiry"/>
    <w:p>
      <w:pPr>
        <w:pStyle w:val="Heading3"/>
      </w:pPr>
      <w:r>
        <w:rPr>
          <w:rStyle w:val="SectionNumber"/>
        </w:rPr>
        <w:t xml:space="preserve">5.1.2</w:t>
      </w:r>
      <w:r>
        <w:tab/>
      </w:r>
      <w:r>
        <w:t xml:space="preserve">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chapter</w:t>
      </w:r>
      <w:r>
        <w:t xml:space="preserve"> </w:t>
      </w:r>
      <w:r>
        <w:t xml:space="preserve">6</w:t>
      </w:r>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w:t>
      </w:r>
      <w:hyperlink w:anchor="ref-Knight1921">
        <w:r>
          <w:rPr>
            <w:rStyle w:val="Hyperlink"/>
          </w:rPr>
          <w:t xml:space="preserve">Knight 1921, 67fn1</w:t>
        </w:r>
      </w:hyperlink>
      <w:r>
        <w:t xml:space="preserve">)</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w:t>
      </w:r>
      <w:hyperlink w:anchor="ref-HawthorneSrinivasan2013">
        <w:r>
          <w:rPr>
            <w:rStyle w:val="Hyperlink"/>
          </w:rPr>
          <w:t xml:space="preserve">2013</w:t>
        </w:r>
      </w:hyperlink>
      <w:r>
        <w:t xml:space="preserve">)</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0"/>
    <w:bookmarkStart w:id="91" w:name="understandinginquiry"/>
    <w:p>
      <w:pPr>
        <w:pStyle w:val="Heading3"/>
      </w:pPr>
      <w:r>
        <w:rPr>
          <w:rStyle w:val="SectionNumber"/>
        </w:rPr>
        <w:t xml:space="preserve">5.1.3</w:t>
      </w:r>
      <w:r>
        <w:tab/>
      </w:r>
      <w:r>
        <w:t xml:space="preserve">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w:t>
      </w:r>
      <w:hyperlink w:anchor="ref-Hills2009">
        <w:r>
          <w:rPr>
            <w:rStyle w:val="Hyperlink"/>
          </w:rPr>
          <w:t xml:space="preserve">2009</w:t>
        </w:r>
      </w:hyperlink>
      <w:r>
        <w:t xml:space="preserve">)</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1"/>
    <w:bookmarkStart w:id="92" w:name="defraginquiry"/>
    <w:p>
      <w:pPr>
        <w:pStyle w:val="Heading3"/>
      </w:pPr>
      <w:r>
        <w:rPr>
          <w:rStyle w:val="SectionNumber"/>
        </w:rPr>
        <w:t xml:space="preserve">5.1.4</w:t>
      </w:r>
      <w:r>
        <w:tab/>
      </w:r>
      <w:r>
        <w:t xml:space="preserve">Defragmentation</w:t>
      </w:r>
    </w:p>
    <w:p>
      <w:pPr>
        <w:pStyle w:val="FirstParagraph"/>
      </w:pPr>
      <w:r>
        <w:t xml:space="preserve">Recall Professor Paresseux from subsection</w:t>
      </w:r>
      <w:r>
        <w:t xml:space="preserve"> </w:t>
      </w:r>
      <w:r>
        <w:t xml:space="preserve">4.3.2</w:t>
      </w:r>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w:t>
      </w:r>
      <w:hyperlink w:anchor="ref-Egan2008">
        <w:r>
          <w:rPr>
            <w:rStyle w:val="Hyperlink"/>
          </w:rPr>
          <w:t xml:space="preserve">2008</w:t>
        </w:r>
      </w:hyperlink>
      <w:r>
        <w:t xml:space="preserve">)</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w:t>
      </w:r>
      <w:hyperlink w:anchor="ref-Lewis1982c">
        <w:r>
          <w:rPr>
            <w:rStyle w:val="Hyperlink"/>
          </w:rPr>
          <w:t xml:space="preserve">1982</w:t>
        </w:r>
      </w:hyperlink>
      <w:r>
        <w:t xml:space="preserve">)</w:t>
      </w:r>
      <w:r>
        <w:t xml:space="preserve"> </w:t>
      </w:r>
      <w:r>
        <w:t xml:space="preserve">and</w:t>
      </w:r>
      <w:r>
        <w:t xml:space="preserve"> </w:t>
      </w:r>
      <w:r>
        <w:t xml:space="preserve">Stalnaker (</w:t>
      </w:r>
      <w:hyperlink w:anchor="ref-Stalnaker1984">
        <w:r>
          <w:rPr>
            <w:rStyle w:val="Hyperlink"/>
          </w:rPr>
          <w:t xml:space="preserve">1984</w:t>
        </w:r>
      </w:hyperlink>
      <w:r>
        <w:t xml:space="preserve">)</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2"/>
    <w:bookmarkStart w:id="93" w:name="rawlsinquiry"/>
    <w:p>
      <w:pPr>
        <w:pStyle w:val="Heading3"/>
      </w:pPr>
      <w:r>
        <w:rPr>
          <w:rStyle w:val="SectionNumber"/>
        </w:rPr>
        <w:t xml:space="preserve">5.1.5</w:t>
      </w:r>
      <w:r>
        <w:tab/>
      </w:r>
      <w:r>
        <w:t xml:space="preserve">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w:t>
      </w:r>
      <w:hyperlink w:anchor="ref-Strevens2020">
        <w:r>
          <w:rPr>
            <w:rStyle w:val="Hyperlink"/>
          </w:rPr>
          <w:t xml:space="preserve">2020</w:t>
        </w:r>
      </w:hyperlink>
      <w:r>
        <w:t xml:space="preserve">)</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w:t>
      </w:r>
      <w:hyperlink w:anchor="ref-Quong2017">
        <w:r>
          <w:rPr>
            <w:rStyle w:val="Hyperlink"/>
          </w:rPr>
          <w:t xml:space="preserve">Quong 2018</w:t>
        </w:r>
      </w:hyperlink>
      <w:r>
        <w:t xml:space="preserve">)</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93"/>
    <w:bookmarkStart w:id="94" w:name="friedmaninquiry"/>
    <w:p>
      <w:pPr>
        <w:pStyle w:val="Heading3"/>
      </w:pPr>
      <w:r>
        <w:rPr>
          <w:rStyle w:val="SectionNumber"/>
        </w:rPr>
        <w:t xml:space="preserve">5.1.6</w:t>
      </w:r>
      <w:r>
        <w:tab/>
      </w:r>
      <w:r>
        <w:t xml:space="preserve">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w:t>
      </w:r>
      <w:hyperlink w:anchor="ref-Woodard2021">
        <w:r>
          <w:rPr>
            <w:rStyle w:val="Hyperlink"/>
          </w:rPr>
          <w:t xml:space="preserve">2020</w:t>
        </w:r>
      </w:hyperlink>
      <w:r>
        <w:t xml:space="preserve">)</w:t>
      </w:r>
      <w:r>
        <w:t xml:space="preserve"> </w:t>
      </w:r>
      <w:r>
        <w:t xml:space="preserve">and (independently) Arienne Falbo</w:t>
      </w:r>
      <w:r>
        <w:t xml:space="preserve"> </w:t>
      </w:r>
      <w:r>
        <w:t xml:space="preserve">(</w:t>
      </w:r>
      <w:hyperlink w:anchor="ref-Falbo2021">
        <w:r>
          <w:rPr>
            <w:rStyle w:val="Hyperlink"/>
          </w:rPr>
          <w:t xml:space="preserve">2021</w:t>
        </w:r>
      </w:hyperlink>
      <w:r>
        <w:t xml:space="preserve">)</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w:t>
      </w:r>
      <w:hyperlink w:anchor="ref-Melchior2019">
        <w:r>
          <w:rPr>
            <w:rStyle w:val="Hyperlink"/>
          </w:rPr>
          <w:t xml:space="preserve">2019</w:t>
        </w:r>
      </w:hyperlink>
      <w:r>
        <w:t xml:space="preserve">)</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94"/>
    <w:bookmarkEnd w:id="95"/>
    <w:bookmarkStart w:id="96" w:name="irtinquiry"/>
    <w:p>
      <w:pPr>
        <w:pStyle w:val="Heading2"/>
      </w:pPr>
      <w:r>
        <w:rPr>
          <w:rStyle w:val="SectionNumber"/>
        </w:rPr>
        <w:t xml:space="preserve">5.2</w:t>
      </w:r>
      <w:r>
        <w:tab/>
      </w:r>
      <w:r>
        <w:t xml:space="preserve">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 section</w:t>
      </w:r>
      <w:r>
        <w:t xml:space="preserve"> </w:t>
      </w:r>
      <w:r>
        <w:t xml:space="preserve">4.2</w:t>
      </w:r>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w:t>
      </w:r>
      <w:hyperlink w:anchor="ref-FantlMcGrath2009">
        <w:r>
          <w:rPr>
            <w:rStyle w:val="Hyperlink"/>
          </w:rPr>
          <w:t xml:space="preserve">Fantl and McGrath 2009, 64</w:t>
        </w:r>
      </w:hyperlink>
      <w:r>
        <w:t xml:space="preserve">)</w:t>
      </w:r>
    </w:p>
    <w:p>
      <w:pPr>
        <w:pStyle w:val="FirstParagraph"/>
      </w:pPr>
      <w:r>
        <w:t xml:space="preserve">I’m going to come back in section</w:t>
      </w:r>
      <w:r>
        <w:t xml:space="preserve"> </w:t>
      </w:r>
      <w:r>
        <w:t xml:space="preserve">9.9</w:t>
      </w:r>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96"/>
    <w:bookmarkStart w:id="98" w:name="independence"/>
    <w:p>
      <w:pPr>
        <w:pStyle w:val="Heading2"/>
      </w:pPr>
      <w:r>
        <w:rPr>
          <w:rStyle w:val="SectionNumber"/>
        </w:rPr>
        <w:t xml:space="preserve">5.3</w:t>
      </w:r>
      <w:r>
        <w:tab/>
      </w:r>
      <w:r>
        <w:t xml:space="preserve">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t>
      </w:r>
      <w:hyperlink w:anchor="ref-Weatherson2019">
        <w:r>
          <w:rPr>
            <w:rStyle w:val="Hyperlink"/>
          </w:rPr>
          <w:t xml:space="preserve">Weatherson 2019</w:t>
        </w:r>
      </w:hyperlink>
      <w:r>
        <w:t xml:space="preserve">)</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w:t>
      </w:r>
      <w:hyperlink w:anchor="ref-Christensen2011">
        <w:r>
          <w:rPr>
            <w:rStyle w:val="Hyperlink"/>
          </w:rPr>
          <w:t xml:space="preserve">Christensen 2011, 1–2</w:t>
        </w:r>
      </w:hyperlink>
      <w:r>
        <w:t xml:space="preserve">)</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w:t>
      </w:r>
      <w:hyperlink w:anchor="ref-Christensen2019">
        <w:r>
          <w:rPr>
            <w:rStyle w:val="Hyperlink"/>
          </w:rPr>
          <w:t xml:space="preserve">Christensen 2019</w:t>
        </w:r>
      </w:hyperlink>
      <w:r>
        <w:t xml:space="preserve">)</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w:t>
      </w:r>
      <w:hyperlink w:anchor="ref-Littlejohn2015">
        <w:r>
          <w:rPr>
            <w:rStyle w:val="Hyperlink"/>
          </w:rPr>
          <w:t xml:space="preserve">2018</w:t>
        </w:r>
      </w:hyperlink>
      <w:r>
        <w:t xml:space="preserve">)</w:t>
      </w:r>
      <w:r>
        <w:t xml:space="preserve">, at the top of page 178.) But I never really spelled it out. Here’s what I now think the right thing to say is.</w:t>
      </w:r>
      <w:r>
        <w:t xml:space="preserve"> </w:t>
      </w:r>
      <w:r>
        <w:rPr>
          <w:rStyle w:val="FootnoteReference"/>
        </w:rPr>
        <w:footnoteReference w:id="97"/>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w:t>
      </w:r>
      <w:hyperlink w:anchor="ref-Christensen2019">
        <w:r>
          <w:rPr>
            <w:rStyle w:val="Hyperlink"/>
          </w:rPr>
          <w:t xml:space="preserve">2019</w:t>
        </w:r>
      </w:hyperlink>
      <w:r>
        <w:t xml:space="preserve">)</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98"/>
    <w:bookmarkStart w:id="99" w:name="doublecheck"/>
    <w:p>
      <w:pPr>
        <w:pStyle w:val="Heading2"/>
      </w:pPr>
      <w:r>
        <w:rPr>
          <w:rStyle w:val="SectionNumber"/>
        </w:rPr>
        <w:t xml:space="preserve">5.4</w:t>
      </w:r>
      <w:r>
        <w:tab/>
      </w:r>
      <w:r>
        <w:t xml:space="preserve">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w:t>
      </w:r>
      <w:r>
        <w:t xml:space="preserve"> </w:t>
      </w:r>
      <w:r>
        <w:t xml:space="preserve">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8"/>
        </w:numPr>
        <w:pStyle w:val="Compact"/>
      </w:pPr>
      <w:r>
        <w:t xml:space="preserve">It strikes me as less compelling that it is coherent</w:t>
      </w:r>
    </w:p>
    <w:p>
      <w:pPr>
        <w:numPr>
          <w:ilvl w:val="0"/>
          <w:numId w:val="1038"/>
        </w:numPr>
        <w:pStyle w:val="Compact"/>
      </w:pPr>
      <w:r>
        <w:t xml:space="preserve">It’s striking that it gets much less attention than surgeon; I wonder if others share my suspicion (but maybe Surgeon is just first)</w:t>
      </w:r>
    </w:p>
    <w:p>
      <w:pPr>
        <w:numPr>
          <w:ilvl w:val="0"/>
          <w:numId w:val="1038"/>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8"/>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8"/>
        </w:numPr>
        <w:pStyle w:val="Compact"/>
      </w:pPr>
      <w:r>
        <w:t xml:space="preserve">In any case, I’m not committed to ordinary usage being good around here. I’m aiming to find a theoretically interesting notion that fits the roles knowledge should fit.</w:t>
      </w:r>
    </w:p>
    <w:bookmarkEnd w:id="99"/>
    <w:bookmarkStart w:id="100" w:name="need"/>
    <w:p>
      <w:pPr>
        <w:pStyle w:val="Heading2"/>
      </w:pPr>
      <w:r>
        <w:rPr>
          <w:rStyle w:val="SectionNumber"/>
        </w:rPr>
        <w:t xml:space="preserve">5.5</w:t>
      </w:r>
      <w:r>
        <w:tab/>
      </w:r>
      <w:r>
        <w:t xml:space="preserve">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Φ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Φ is first checking whether</w:t>
      </w:r>
      <w:r>
        <w:t xml:space="preserve"> </w:t>
      </w:r>
      <w:r>
        <w:rPr>
          <w:iCs/>
          <w:i/>
        </w:rPr>
        <w:t xml:space="preserve">p</w:t>
      </w:r>
      <w:r>
        <w:t xml:space="preserve">, which would be trivial, and then doing Φ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Φ,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Φ. They know that if</w:t>
      </w:r>
      <w:r>
        <w:t xml:space="preserve"> </w:t>
      </w:r>
      <w:r>
        <w:rPr>
          <w:iCs/>
          <w:i/>
        </w:rPr>
        <w:t xml:space="preserve">p</w:t>
      </w:r>
      <w:r>
        <w:t xml:space="preserve"> </w:t>
      </w:r>
      <w:r>
        <w:t xml:space="preserve">is true, Φ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Φ, and</w:t>
      </w:r>
      <w:r>
        <w:t xml:space="preserve"> </w:t>
      </w:r>
      <w:r>
        <w:rPr>
          <w:iCs/>
          <w:i/>
        </w:rPr>
        <w:t xml:space="preserve">p</w:t>
      </w:r>
      <w:r>
        <w:t xml:space="preserve"> </w:t>
      </w:r>
      <w:r>
        <w:t xml:space="preserve">is false, it will be absolutely catastrophic. And they care about the catastrophe. But they’ve sort of forgotten this fact about Φ. It’s not that it has totally vanished from their mind. But they aren’t attending to it, and it doesn’t form any part of their deliberation when thinking about Φ. So they do Φ,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Φ.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Φ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 section</w:t>
      </w:r>
      <w:r>
        <w:t xml:space="preserve"> </w:t>
      </w:r>
      <w:r>
        <w:t xml:space="preserve">8.1</w:t>
      </w:r>
      <w:r>
        <w:t xml:space="preserve">, where it will be useful for distinguishing one of the few points where I disagree with the theory that Jeremy Fantl and Matthew McGrath</w:t>
      </w:r>
      <w:r>
        <w:t xml:space="preserve"> </w:t>
      </w:r>
      <w:r>
        <w:t xml:space="preserve">(</w:t>
      </w:r>
      <w:hyperlink w:anchor="ref-FantlMcGrath2002">
        <w:r>
          <w:rPr>
            <w:rStyle w:val="Hyperlink"/>
          </w:rPr>
          <w:t xml:space="preserve">Fantl and McGrath 2002</w:t>
        </w:r>
      </w:hyperlink>
      <w:r>
        <w:t xml:space="preserve">,</w:t>
      </w:r>
      <w:r>
        <w:t xml:space="preserve"> </w:t>
      </w:r>
      <w:hyperlink w:anchor="ref-FantlMcGrath2009">
        <w:r>
          <w:rPr>
            <w:rStyle w:val="Hyperlink"/>
          </w:rPr>
          <w:t xml:space="preserve">2009</w:t>
        </w:r>
      </w:hyperlink>
      <w:r>
        <w:t xml:space="preserve">)</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39"/>
        </w:numPr>
        <w:pStyle w:val="Compact"/>
      </w:pPr>
      <w:r>
        <w:t xml:space="preserve">If one should inquire into Q, and were one to inquire into Q, one shouldn’t take p for granted, one doesn’t know p</w:t>
      </w:r>
    </w:p>
    <w:p>
      <w:pPr>
        <w:numPr>
          <w:ilvl w:val="0"/>
          <w:numId w:val="1039"/>
        </w:numPr>
        <w:pStyle w:val="Compact"/>
      </w:pPr>
      <w:r>
        <w:t xml:space="preserve">So there is a kind of moral encroachment into knowledge</w:t>
      </w:r>
    </w:p>
    <w:p>
      <w:pPr>
        <w:numPr>
          <w:ilvl w:val="0"/>
          <w:numId w:val="1039"/>
        </w:numPr>
        <w:pStyle w:val="Compact"/>
      </w:pPr>
      <w:r>
        <w:t xml:space="preserve">Maybe move some chapter 8 stuff here</w:t>
      </w:r>
    </w:p>
    <w:p>
      <w:pPr>
        <w:numPr>
          <w:ilvl w:val="0"/>
          <w:numId w:val="1039"/>
        </w:numPr>
        <w:pStyle w:val="Compact"/>
      </w:pPr>
      <w:r>
        <w:t xml:space="preserve">Note this is asymmetric; inquiries you don’t need to conduct can lose knowledge</w:t>
      </w:r>
    </w:p>
    <w:bookmarkEnd w:id="100"/>
    <w:bookmarkStart w:id="101" w:name="realism"/>
    <w:p>
      <w:pPr>
        <w:pStyle w:val="Heading2"/>
      </w:pPr>
      <w:r>
        <w:rPr>
          <w:rStyle w:val="SectionNumber"/>
        </w:rPr>
        <w:t xml:space="preserve">5.6</w:t>
      </w:r>
      <w:r>
        <w:tab/>
      </w:r>
      <w:r>
        <w:t xml:space="preserve">Inquiry Realism</w:t>
      </w:r>
    </w:p>
    <w:p>
      <w:pPr>
        <w:numPr>
          <w:ilvl w:val="0"/>
          <w:numId w:val="1040"/>
        </w:numPr>
        <w:pStyle w:val="Compact"/>
      </w:pPr>
      <w:r>
        <w:t xml:space="preserve">There’s a fact of the matter about what people are inquiring about - and what they are doing with that inquiry.</w:t>
      </w:r>
    </w:p>
    <w:p>
      <w:pPr>
        <w:numPr>
          <w:ilvl w:val="0"/>
          <w:numId w:val="1040"/>
        </w:numPr>
        <w:pStyle w:val="Compact"/>
      </w:pPr>
      <w:r>
        <w:t xml:space="preserve">This is independent of what their credences are</w:t>
      </w:r>
    </w:p>
    <w:p>
      <w:pPr>
        <w:numPr>
          <w:ilvl w:val="0"/>
          <w:numId w:val="1040"/>
        </w:numPr>
        <w:pStyle w:val="Compact"/>
      </w:pPr>
      <w:r>
        <w:t xml:space="preserve">And there are facts about what they should inquire about; some of these are given by consequentialist considerations, some by (broadly) deontological</w:t>
      </w:r>
    </w:p>
    <w:p>
      <w:pPr>
        <w:numPr>
          <w:ilvl w:val="0"/>
          <w:numId w:val="1040"/>
        </w:numPr>
        <w:pStyle w:val="Compact"/>
      </w:pPr>
      <w:r>
        <w:t xml:space="preserve">They may be inquiring into multiple things; this is ok, they lose a lot of information, but they retain probabilistic information</w:t>
      </w:r>
    </w:p>
    <w:p>
      <w:pPr>
        <w:numPr>
          <w:ilvl w:val="0"/>
          <w:numId w:val="1040"/>
        </w:numPr>
        <w:pStyle w:val="Compact"/>
      </w:pPr>
      <w:r>
        <w:t xml:space="preserve">So this makes the current view sit uneasily in the current dualism/reductionism debate</w:t>
      </w:r>
    </w:p>
    <w:p>
      <w:pPr>
        <w:numPr>
          <w:ilvl w:val="0"/>
          <w:numId w:val="1040"/>
        </w:numPr>
        <w:pStyle w:val="Compact"/>
      </w:pPr>
      <w:r>
        <w:t xml:space="preserve">I do think belief is reducible to credences plus subjects of inquiry</w:t>
      </w:r>
    </w:p>
    <w:p>
      <w:pPr>
        <w:numPr>
          <w:ilvl w:val="0"/>
          <w:numId w:val="1040"/>
        </w:numPr>
        <w:pStyle w:val="Compact"/>
      </w:pPr>
      <w:r>
        <w:t xml:space="preserve">But I don’t think they are reducible to credences alone</w:t>
      </w:r>
    </w:p>
    <w:p>
      <w:pPr>
        <w:numPr>
          <w:ilvl w:val="0"/>
          <w:numId w:val="1040"/>
        </w:numPr>
        <w:pStyle w:val="Compact"/>
      </w:pPr>
      <w:r>
        <w:t xml:space="preserve">Is this dualism or not? I don’t really care.</w:t>
      </w:r>
    </w:p>
    <w:bookmarkEnd w:id="101"/>
    <w:bookmarkEnd w:id="102"/>
    <w:bookmarkStart w:id="116" w:name="ties"/>
    <w:p>
      <w:pPr>
        <w:pStyle w:val="Heading1"/>
      </w:pPr>
      <w:r>
        <w:rPr>
          <w:rStyle w:val="SectionNumber"/>
        </w:rPr>
        <w:t xml:space="preserve">6</w:t>
      </w:r>
      <w:r>
        <w:tab/>
      </w:r>
      <w:r>
        <w:t xml:space="preserve">Ties</w:t>
      </w:r>
    </w:p>
    <w:p>
      <w:pPr>
        <w:pStyle w:val="FirstParagraph"/>
      </w:pPr>
      <w:r>
        <w:t xml:space="preserve">I have mentioned a couple of times that a natural version of IRT leads to unpleasant closure failures. Alex</w:t>
      </w:r>
      <w:r>
        <w:t xml:space="preserve"> </w:t>
      </w:r>
      <w:r>
        <w:t xml:space="preserve">Zweber (</w:t>
      </w:r>
      <w:hyperlink w:anchor="ref-Zweber2016">
        <w:r>
          <w:rPr>
            <w:rStyle w:val="Hyperlink"/>
          </w:rPr>
          <w:t xml:space="preserve">2016</w:t>
        </w:r>
      </w:hyperlink>
      <w:r>
        <w:t xml:space="preserve">)</w:t>
      </w:r>
      <w:r>
        <w:t xml:space="preserve"> </w:t>
      </w:r>
      <w:r>
        <w:t xml:space="preserve">and, separately, Charity Anderson and John Hawthorne</w:t>
      </w:r>
      <w:r>
        <w:t xml:space="preserve"> </w:t>
      </w:r>
      <w:r>
        <w:t xml:space="preserve">(</w:t>
      </w:r>
      <w:hyperlink w:anchor="ref-AndersonHawthorne2019a">
        <w:r>
          <w:rPr>
            <w:rStyle w:val="Hyperlink"/>
          </w:rPr>
          <w:t xml:space="preserve">2019a</w:t>
        </w:r>
      </w:hyperlink>
      <w:r>
        <w:t xml:space="preserve">)</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03" w:name="frankielee"/>
    <w:p>
      <w:pPr>
        <w:pStyle w:val="Heading2"/>
      </w:pPr>
      <w:r>
        <w:rPr>
          <w:rStyle w:val="SectionNumber"/>
        </w:rPr>
        <w:t xml:space="preserve">6.1</w:t>
      </w:r>
      <w:r>
        <w:tab/>
      </w:r>
      <w:r>
        <w:t xml:space="preserve">An Example</w:t>
      </w:r>
    </w:p>
    <w:p>
      <w:pPr>
        <w:pStyle w:val="FirstParagraph"/>
      </w:pPr>
      <w:r>
        <w:t xml:space="preserve">Let’s start with an example from a great thinker. It will require a little exegesis, but that’s not unusual when using classic texts.</w:t>
      </w:r>
    </w:p>
    <w:p>
      <w:pPr>
        <w:pStyle w:val="BlockText"/>
      </w:pPr>
      <w:r>
        <w:t xml:space="preserve"> | Well Frankie Lee and Judas Priest</w:t>
      </w:r>
      <w:r>
        <w:t xml:space="preserve"> </w:t>
      </w:r>
      <w:r>
        <w:t xml:space="preserve"> | They were the best of friends</w:t>
      </w:r>
      <w:r>
        <w:t xml:space="preserve"> </w:t>
      </w:r>
      <w:r>
        <w:t xml:space="preserve"> | So when Frankie Lee needed money one day</w:t>
      </w:r>
      <w:r>
        <w:t xml:space="preserve"> </w:t>
      </w:r>
      <w:r>
        <w:t xml:space="preserve"> | Judas quickly pulled out a roll of tens</w:t>
      </w:r>
      <w:r>
        <w:t xml:space="preserve"> </w:t>
      </w:r>
      <w:r>
        <w:t xml:space="preserve"> | And placed them on the footstool</w:t>
      </w:r>
      <w:r>
        <w:t xml:space="preserve"> </w:t>
      </w:r>
      <w:r>
        <w:t xml:space="preserve"> | Just above the potted plain</w:t>
      </w:r>
      <w:r>
        <w:t xml:space="preserve"> </w:t>
      </w:r>
      <w:r>
        <w:t xml:space="preserve"> | Saying</w:t>
      </w:r>
      <w:r>
        <w:t xml:space="preserve"> </w:t>
      </w:r>
      <w:r>
        <w:t xml:space="preserve">“</w:t>
      </w:r>
      <w:r>
        <w:t xml:space="preserve">Take your pick, Frankie boy,</w:t>
      </w:r>
      <w:r>
        <w:t xml:space="preserve"> </w:t>
      </w:r>
      <w:r>
        <w:t xml:space="preserve"> | My loss will be your gain.</w:t>
      </w:r>
      <w:r>
        <w:t xml:space="preserve">”</w:t>
      </w:r>
      <w:r>
        <w:t xml:space="preserve"> </w:t>
      </w:r>
      <w:r>
        <w:t xml:space="preserve"> |  (</w:t>
      </w:r>
      <w:r>
        <w:t xml:space="preserve">“</w:t>
      </w:r>
      <w:r>
        <w:t xml:space="preserve">The Ballad of Frankie Lee and Judas Priest</w:t>
      </w:r>
      <w:r>
        <w:t xml:space="preserve">”</w:t>
      </w:r>
      <w:r>
        <w:t xml:space="preserve">, 1968. Lyrics from Dylan</w:t>
      </w:r>
      <w:r>
        <w:t xml:space="preserve"> </w:t>
      </w:r>
      <w:r>
        <w:t xml:space="preserve">(</w:t>
      </w:r>
      <w:hyperlink w:anchor="ref-Dylan2016">
        <w:r>
          <w:rPr>
            <w:rStyle w:val="Hyperlink"/>
          </w:rPr>
          <w:t xml:space="preserve">2016, 225</w:t>
        </w:r>
      </w:hyperlink>
      <w:r>
        <w:t xml:space="preserve">)</w:t>
      </w:r>
      <w:r>
        <w:t xml:space="preserve">)</w:t>
      </w:r>
    </w:p>
    <w:p>
      <w:pPr>
        <w:pStyle w:val="FirstParagraph"/>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1"/>
        </w:numPr>
        <w:pStyle w:val="Compact"/>
      </w:pPr>
      <w:r>
        <w:t xml:space="preserve">In the case where Frankie Lee has no reason to choose one note rather than another, he doesn’t know of any note that it is genuine. And this is surprisingly sceptical.</w:t>
      </w:r>
    </w:p>
    <w:p>
      <w:pPr>
        <w:numPr>
          <w:ilvl w:val="0"/>
          <w:numId w:val="1041"/>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1"/>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03"/>
    <w:bookmarkStart w:id="104" w:name="tiesresponse"/>
    <w:p>
      <w:pPr>
        <w:pStyle w:val="Heading2"/>
      </w:pPr>
      <w:r>
        <w:rPr>
          <w:rStyle w:val="SectionNumber"/>
        </w:rPr>
        <w:t xml:space="preserve">6.2</w:t>
      </w:r>
      <w:r>
        <w:tab/>
      </w:r>
      <w:r>
        <w:t xml:space="preserve">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 section</w:t>
      </w:r>
      <w:r>
        <w:t xml:space="preserve"> </w:t>
      </w:r>
      <w:r>
        <w:t xml:space="preserve">3.5</w:t>
      </w:r>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04"/>
    <w:bookmarkStart w:id="107" w:name="backearth"/>
    <w:p>
      <w:pPr>
        <w:pStyle w:val="Heading2"/>
      </w:pPr>
      <w:r>
        <w:rPr>
          <w:rStyle w:val="SectionNumber"/>
        </w:rPr>
        <w:t xml:space="preserve">6.3</w:t>
      </w:r>
      <w:r>
        <w:tab/>
      </w:r>
      <w:r>
        <w:t xml:space="preserve">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05"/>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06"/>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07"/>
    <w:bookmarkStart w:id="109" w:name="supermarketquestions"/>
    <w:p>
      <w:pPr>
        <w:pStyle w:val="Heading2"/>
      </w:pPr>
      <w:r>
        <w:rPr>
          <w:rStyle w:val="SectionNumber"/>
        </w:rPr>
        <w:t xml:space="preserve">6.4</w:t>
      </w:r>
      <w:r>
        <w:tab/>
      </w:r>
      <w:r>
        <w:t xml:space="preserve">I Have Questions</w:t>
      </w:r>
    </w:p>
    <w:p>
      <w:pPr>
        <w:pStyle w:val="FirstParagraph"/>
      </w:pPr>
      <w:r>
        <w:t xml:space="preserve">So far in this chapter I’ve mostly assumed that these two questions are equivalent:</w:t>
      </w:r>
    </w:p>
    <w:p>
      <w:pPr>
        <w:numPr>
          <w:ilvl w:val="0"/>
          <w:numId w:val="1042"/>
        </w:numPr>
        <w:pStyle w:val="Compact"/>
      </w:pPr>
      <w:r>
        <w:t xml:space="preserve">Which option has highest expected utility?</w:t>
      </w:r>
    </w:p>
    <w:p>
      <w:pPr>
        <w:numPr>
          <w:ilvl w:val="0"/>
          <w:numId w:val="1042"/>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 section</w:t>
      </w:r>
      <w:r>
        <w:t xml:space="preserve"> </w:t>
      </w:r>
      <w:r>
        <w:t xml:space="preserve">3.6</w:t>
      </w:r>
      <w:r>
        <w:t xml:space="preserve">. I’ll rehearse that difference, briefly mention a second difference, then spend some time on a third difference.</w:t>
      </w:r>
    </w:p>
    <w:p>
      <w:pPr>
        <w:pStyle w:val="BodyText"/>
      </w:pPr>
      <w:r>
        <w:t xml:space="preserve">The point I made much of back in section</w:t>
      </w:r>
      <w:r>
        <w:t xml:space="preserve"> </w:t>
      </w:r>
      <w:r>
        <w:t xml:space="preserve">3.6</w:t>
      </w:r>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08"/>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w:t>
      </w:r>
      <w:hyperlink w:anchor="ref-Quiggin1982">
        <w:r>
          <w:rPr>
            <w:rStyle w:val="Hyperlink"/>
          </w:rPr>
          <w:t xml:space="preserve">1982</w:t>
        </w:r>
      </w:hyperlink>
      <w:r>
        <w:t xml:space="preserve">)</w:t>
      </w:r>
      <w:r>
        <w:t xml:space="preserve"> </w:t>
      </w:r>
      <w:r>
        <w:t xml:space="preserve">and</w:t>
      </w:r>
      <w:r>
        <w:t xml:space="preserve"> </w:t>
      </w:r>
      <w:r>
        <w:t xml:space="preserve">Buchak (</w:t>
      </w:r>
      <w:hyperlink w:anchor="ref-BuchakRisk">
        <w:r>
          <w:rPr>
            <w:rStyle w:val="Hyperlink"/>
          </w:rPr>
          <w:t xml:space="preserve">2013</w:t>
        </w:r>
      </w:hyperlink>
      <w:r>
        <w:t xml:space="preserve">)</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09"/>
    <w:bookmarkStart w:id="110" w:name="satisfied"/>
    <w:p>
      <w:pPr>
        <w:pStyle w:val="Heading2"/>
      </w:pPr>
      <w:r>
        <w:rPr>
          <w:rStyle w:val="SectionNumber"/>
        </w:rPr>
        <w:t xml:space="preserve">6.5</w:t>
      </w:r>
      <w:r>
        <w:tab/>
      </w:r>
      <w:r>
        <w:t xml:space="preserve">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w:t>
      </w:r>
      <w:hyperlink w:anchor="ref-Manski2017">
        <w:r>
          <w:rPr>
            <w:rStyle w:val="Hyperlink"/>
          </w:rPr>
          <w:t xml:space="preserve">2017</w:t>
        </w:r>
      </w:hyperlink>
      <w:r>
        <w:t xml:space="preserve">)</w:t>
      </w:r>
      <w:r>
        <w:t xml:space="preserve"> </w:t>
      </w:r>
      <w:r>
        <w:t xml:space="preserve">uses the term this way, and notes that it has rarely been defined more precisely than that. But it isn’t the only way that it is used. Mauro Papi</w:t>
      </w:r>
      <w:r>
        <w:t xml:space="preserve"> </w:t>
      </w:r>
      <w:r>
        <w:t xml:space="preserve">(</w:t>
      </w:r>
      <w:hyperlink w:anchor="ref-Papi2013">
        <w:r>
          <w:rPr>
            <w:rStyle w:val="Hyperlink"/>
          </w:rPr>
          <w:t xml:space="preserve">2013</w:t>
        </w:r>
      </w:hyperlink>
      <w:r>
        <w:t xml:space="preserve">)</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w:t>
      </w:r>
      <w:hyperlink w:anchor="ref-Tucker2016">
        <w:r>
          <w:rPr>
            <w:rStyle w:val="Hyperlink"/>
          </w:rPr>
          <w:t xml:space="preserve">2016</w:t>
        </w:r>
      </w:hyperlink>
      <w:r>
        <w:t xml:space="preserve">)</w:t>
      </w:r>
      <w:r>
        <w:t xml:space="preserve">, following a long tradition in philosophy of religion, uses it to mean any choice procedure that does not optimize. Elena Reutskaja et al</w:t>
      </w:r>
      <w:r>
        <w:t xml:space="preserve"> </w:t>
      </w:r>
      <w:r>
        <w:t xml:space="preserve">(</w:t>
      </w:r>
      <w:hyperlink w:anchor="ref-Reutskaja2011">
        <w:r>
          <w:rPr>
            <w:rStyle w:val="Hyperlink"/>
          </w:rPr>
          <w:t xml:space="preserve">2011</w:t>
        </w:r>
      </w:hyperlink>
      <w:r>
        <w:t xml:space="preserve">)</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w:t>
      </w:r>
      <w:hyperlink w:anchor="ref-Caplin2011">
        <w:r>
          <w:rPr>
            <w:rStyle w:val="Hyperlink"/>
          </w:rPr>
          <w:t xml:space="preserve">2011</w:t>
        </w:r>
      </w:hyperlink>
      <w:r>
        <w:t xml:space="preserve">)</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w:t>
      </w:r>
      <w:hyperlink w:anchor="ref-Savage1967">
        <w:r>
          <w:rPr>
            <w:rStyle w:val="Hyperlink"/>
          </w:rPr>
          <w:t xml:space="preserve">Savage 1967</w:t>
        </w:r>
      </w:hyperlink>
      <w:r>
        <w:t xml:space="preserve">)</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w:t>
      </w:r>
      <w:hyperlink w:anchor="ref-SchwartzEtAl2002">
        <w:r>
          <w:rPr>
            <w:rStyle w:val="Hyperlink"/>
          </w:rPr>
          <w:t xml:space="preserve">2002</w:t>
        </w:r>
      </w:hyperlink>
      <w:r>
        <w:t xml:space="preserve">)</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w:t>
      </w:r>
      <w:hyperlink w:anchor="ref-IyengarEtAl2006">
        <w:r>
          <w:rPr>
            <w:rStyle w:val="Hyperlink"/>
          </w:rPr>
          <w:t xml:space="preserve">Iyengar, Wells, and Schwartz 2006</w:t>
        </w:r>
      </w:hyperlink>
      <w:r>
        <w:t xml:space="preserve">)</w:t>
      </w:r>
      <w:r>
        <w:t xml:space="preserve"> </w:t>
      </w:r>
      <w:r>
        <w:t xml:space="preserve">where the maximisers end up with higher salaries but less job satisfaction, and to friend choice</w:t>
      </w:r>
      <w:r>
        <w:t xml:space="preserve"> </w:t>
      </w:r>
      <w:r>
        <w:t xml:space="preserve">(</w:t>
      </w:r>
      <w:hyperlink w:anchor="ref-NewmanEtAl2018">
        <w:r>
          <w:rPr>
            <w:rStyle w:val="Hyperlink"/>
          </w:rPr>
          <w:t xml:space="preserve">Newman et al. 2018</w:t>
        </w:r>
      </w:hyperlink>
      <w:r>
        <w:t xml:space="preserve">)</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w:t>
      </w:r>
      <w:hyperlink w:anchor="ref-Schwartz2004">
        <w:r>
          <w:rPr>
            <w:rStyle w:val="Hyperlink"/>
          </w:rPr>
          <w:t xml:space="preserve">Schwartz 2004</w:t>
        </w:r>
      </w:hyperlink>
      <w:r>
        <w:t xml:space="preserve">)</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w:t>
      </w:r>
      <w:hyperlink w:anchor="ref-ScheibehenneEtAl2010">
        <w:r>
          <w:rPr>
            <w:rStyle w:val="Hyperlink"/>
          </w:rPr>
          <w:t xml:space="preserve">Scheibehenne, Greifeneder, and Todd 2010</w:t>
        </w:r>
      </w:hyperlink>
      <w:r>
        <w:t xml:space="preserve">)</w:t>
      </w:r>
      <w:r>
        <w:t xml:space="preserve"> </w:t>
      </w:r>
      <w:r>
        <w:t xml:space="preserve">did not show the effect existing at all, though a later meta-analysis finds a significant mediated effect</w:t>
      </w:r>
      <w:r>
        <w:t xml:space="preserve"> </w:t>
      </w:r>
      <w:r>
        <w:t xml:space="preserve">(</w:t>
      </w:r>
      <w:hyperlink w:anchor="ref-ChernevEtAl2015">
        <w:r>
          <w:rPr>
            <w:rStyle w:val="Hyperlink"/>
          </w:rPr>
          <w:t xml:space="preserve">Chernev, Böckenholt, and Goodman 2015</w:t>
        </w:r>
      </w:hyperlink>
      <w:r>
        <w:t xml:space="preserve">)</w:t>
      </w:r>
      <w:r>
        <w:t xml:space="preserve">. But it could also be that the result is a feature of an idiosyncratic way of carving up the maximizers from the satisficers. Another way of dividing them up produces no effect at all</w:t>
      </w:r>
      <w:r>
        <w:t xml:space="preserve"> </w:t>
      </w:r>
      <w:r>
        <w:t xml:space="preserve">(</w:t>
      </w:r>
      <w:hyperlink w:anchor="ref-DiabEtAl2008">
        <w:r>
          <w:rPr>
            <w:rStyle w:val="Hyperlink"/>
          </w:rPr>
          <w:t xml:space="preserve">Diab, Gillespie, and Highhouse 2008</w:t>
        </w:r>
      </w:hyperlink>
      <w:r>
        <w:t xml:space="preserve">)</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w:t>
      </w:r>
      <w:hyperlink w:anchor="ref-IyengarEtAl2006">
        <w:r>
          <w:rPr>
            <w:rStyle w:val="Hyperlink"/>
          </w:rPr>
          <w:t xml:space="preserve">2006</w:t>
        </w:r>
      </w:hyperlink>
      <w:r>
        <w:t xml:space="preserve">)</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0"/>
    <w:bookmarkStart w:id="113" w:name="deliberationcosts"/>
    <w:p>
      <w:pPr>
        <w:pStyle w:val="Heading2"/>
      </w:pPr>
      <w:r>
        <w:rPr>
          <w:rStyle w:val="SectionNumber"/>
        </w:rPr>
        <w:t xml:space="preserve">6.6</w:t>
      </w:r>
      <w:r>
        <w:tab/>
      </w:r>
      <w:r>
        <w:t xml:space="preserve">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w:t>
      </w:r>
      <w:hyperlink w:anchor="ref-Reutskaja2011">
        <w:r>
          <w:rPr>
            <w:rStyle w:val="Hyperlink"/>
          </w:rPr>
          <w:t xml:space="preserve">2011</w:t>
        </w:r>
      </w:hyperlink>
      <w:r>
        <w:t xml:space="preserve">)</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w:t>
      </w:r>
      <w:hyperlink w:anchor="ref-Knight1921">
        <w:r>
          <w:rPr>
            <w:rStyle w:val="Hyperlink"/>
          </w:rPr>
          <w:t xml:space="preserve">Knight 1921, 66–67</w:t>
        </w:r>
      </w:hyperlink>
      <w:r>
        <w:t xml:space="preserve">)</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w:t>
      </w:r>
      <w:hyperlink w:anchor="ref-Knight1921">
        <w:r>
          <w:rPr>
            <w:rStyle w:val="Hyperlink"/>
          </w:rPr>
          <w:t xml:space="preserve">Knight 1921, 67fn1</w:t>
        </w:r>
      </w:hyperlink>
      <w:r>
        <w:t xml:space="preserve">)</w:t>
      </w:r>
    </w:p>
    <w:p>
      <w:pPr>
        <w:pStyle w:val="FirstParagraph"/>
      </w:pPr>
      <w:r>
        <w:t xml:space="preserve">Knight doesn’t really give an argument for the claim that these effects will offset. And as John Conlisk</w:t>
      </w:r>
      <w:r>
        <w:t xml:space="preserve"> </w:t>
      </w:r>
      <w:r>
        <w:t xml:space="preserve">(</w:t>
      </w:r>
      <w:hyperlink w:anchor="ref-Conlisk1996">
        <w:r>
          <w:rPr>
            <w:rStyle w:val="Hyperlink"/>
          </w:rPr>
          <w:t xml:space="preserve">1996</w:t>
        </w:r>
      </w:hyperlink>
      <w:r>
        <w:t xml:space="preserve">)</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w:t>
      </w:r>
      <w:hyperlink w:anchor="ref-Christensen2007">
        <w:r>
          <w:rPr>
            <w:rStyle w:val="Hyperlink"/>
          </w:rPr>
          <w:t xml:space="preserve">2007</w:t>
        </w:r>
      </w:hyperlink>
      <w:r>
        <w:t xml:space="preserve">,)</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w:t>
      </w:r>
      <w:hyperlink w:anchor="ref-Conlisk1996">
        <w:r>
          <w:rPr>
            <w:rStyle w:val="Hyperlink"/>
          </w:rPr>
          <w:t xml:space="preserve">Conlisk 1996, 687</w:t>
        </w:r>
      </w:hyperlink>
      <w:r>
        <w:t xml:space="preserve">)</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w:t>
      </w:r>
      <w:hyperlink w:anchor="ref-GigerenzerSelton2001">
        <w:r>
          <w:rPr>
            <w:rStyle w:val="Hyperlink"/>
          </w:rPr>
          <w:t xml:space="preserve">2001</w:t>
        </w:r>
      </w:hyperlink>
      <w:r>
        <w:t xml:space="preserve">)</w:t>
      </w:r>
      <w:r>
        <w:t xml:space="preserve">,</w:t>
      </w:r>
      <w:r>
        <w:t xml:space="preserve"> </w:t>
      </w:r>
      <w:r>
        <w:t xml:space="preserve">Odell (</w:t>
      </w:r>
      <w:hyperlink w:anchor="ref-Odell2002">
        <w:r>
          <w:rPr>
            <w:rStyle w:val="Hyperlink"/>
          </w:rPr>
          <w:t xml:space="preserve">2002</w:t>
        </w:r>
      </w:hyperlink>
      <w:r>
        <w:t xml:space="preserve">)</w:t>
      </w:r>
      <w:r>
        <w:t xml:space="preserve">,</w:t>
      </w:r>
      <w:r>
        <w:t xml:space="preserve"> </w:t>
      </w:r>
      <w:r>
        <w:t xml:space="preserve">Pingle (</w:t>
      </w:r>
      <w:hyperlink w:anchor="ref-Pingle2006">
        <w:r>
          <w:rPr>
            <w:rStyle w:val="Hyperlink"/>
          </w:rPr>
          <w:t xml:space="preserve">2006</w:t>
        </w:r>
      </w:hyperlink>
      <w:r>
        <w:t xml:space="preserve">)</w:t>
      </w:r>
      <w:r>
        <w:t xml:space="preserve">,</w:t>
      </w:r>
      <w:r>
        <w:t xml:space="preserve"> </w:t>
      </w:r>
      <w:r>
        <w:t xml:space="preserve">Mangan, Hughes, and Slack (</w:t>
      </w:r>
      <w:hyperlink w:anchor="ref-ManganEtAl2010">
        <w:r>
          <w:rPr>
            <w:rStyle w:val="Hyperlink"/>
          </w:rPr>
          <w:t xml:space="preserve">2010</w:t>
        </w:r>
      </w:hyperlink>
      <w:r>
        <w:t xml:space="preserve">)</w:t>
      </w:r>
      <w:r>
        <w:t xml:space="preserve">,</w:t>
      </w:r>
      <w:r>
        <w:t xml:space="preserve"> </w:t>
      </w:r>
      <w:r>
        <w:t xml:space="preserve">Ogaki and Tanaka (</w:t>
      </w:r>
      <w:hyperlink w:anchor="ref-OgakiTanaka2017">
        <w:r>
          <w:rPr>
            <w:rStyle w:val="Hyperlink"/>
          </w:rPr>
          <w:t xml:space="preserve">2017</w:t>
        </w:r>
      </w:hyperlink>
      <w:r>
        <w:t xml:space="preserve">)</w:t>
      </w:r>
      <w:r>
        <w:t xml:space="preserve"> </w:t>
      </w:r>
      <w:r>
        <w:t xml:space="preserve">and</w:t>
      </w:r>
      <w:r>
        <w:t xml:space="preserve"> </w:t>
      </w:r>
      <w:r>
        <w:t xml:space="preserve">Chakravarti (</w:t>
      </w:r>
      <w:hyperlink w:anchor="ref-Chakravarti2017">
        <w:r>
          <w:rPr>
            <w:rStyle w:val="Hyperlink"/>
          </w:rPr>
          <w:t xml:space="preserve">2017</w:t>
        </w:r>
      </w:hyperlink>
      <w:r>
        <w:t xml:space="preserve">)</w:t>
      </w:r>
      <w:r>
        <w:t xml:space="preserve">. And proponents of taking deliberation costs seriously within broadly optimizing approaches, like Miles Kimball</w:t>
      </w:r>
      <w:r>
        <w:t xml:space="preserve"> </w:t>
      </w:r>
      <w:r>
        <w:t xml:space="preserve">(</w:t>
      </w:r>
      <w:hyperlink w:anchor="ref-Kimball2015">
        <w:r>
          <w:rPr>
            <w:rStyle w:val="Hyperlink"/>
          </w:rPr>
          <w:t xml:space="preserve">2015</w:t>
        </w:r>
      </w:hyperlink>
      <w:r>
        <w:t xml:space="preserve">)</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3"/>
        </w:numPr>
        <w:pStyle w:val="Compact"/>
      </w:pPr>
      <w:r>
        <w:t xml:space="preserve">Why should we allow this kind of unreflective rule-following in our solution to the regress?</w:t>
      </w:r>
    </w:p>
    <w:p>
      <w:pPr>
        <w:numPr>
          <w:ilvl w:val="0"/>
          <w:numId w:val="1043"/>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w:t>
      </w:r>
      <w:hyperlink w:anchor="ref-Russell1997">
        <w:r>
          <w:rPr>
            <w:rStyle w:val="Hyperlink"/>
          </w:rPr>
          <w:t xml:space="preserve">1997</w:t>
        </w:r>
      </w:hyperlink>
      <w:r>
        <w:t xml:space="preserve">)</w:t>
      </w:r>
      <w:r>
        <w:t xml:space="preserve">. (Although really it starts with the philosophers Russell cites as inspiration, such as</w:t>
      </w:r>
      <w:r>
        <w:t xml:space="preserve"> </w:t>
      </w:r>
      <w:r>
        <w:t xml:space="preserve">Cherniak (</w:t>
      </w:r>
      <w:hyperlink w:anchor="ref-Cherniak1986">
        <w:r>
          <w:rPr>
            <w:rStyle w:val="Hyperlink"/>
          </w:rPr>
          <w:t xml:space="preserve">1986</w:t>
        </w:r>
      </w:hyperlink>
      <w:r>
        <w:t xml:space="preserve">)</w:t>
      </w:r>
      <w:r>
        <w:t xml:space="preserve"> </w:t>
      </w:r>
      <w:r>
        <w:t xml:space="preserve">and</w:t>
      </w:r>
      <w:r>
        <w:t xml:space="preserve"> </w:t>
      </w:r>
      <w:r>
        <w:t xml:space="preserve">Harman (</w:t>
      </w:r>
      <w:hyperlink w:anchor="ref-Harman1973">
        <w:r>
          <w:rPr>
            <w:rStyle w:val="Hyperlink"/>
          </w:rPr>
          <w:t xml:space="preserve">1973</w:t>
        </w:r>
      </w:hyperlink>
      <w:r>
        <w:t xml:space="preserve">)</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w:t>
      </w:r>
      <w:hyperlink w:anchor="ref-Wittgenstein1953">
        <w:r>
          <w:rPr>
            <w:rStyle w:val="Hyperlink"/>
          </w:rPr>
          <w:t xml:space="preserve">1953</w:t>
        </w:r>
      </w:hyperlink>
      <w:r>
        <w:t xml:space="preserve">)</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w:t>
      </w:r>
      <w:hyperlink w:anchor="ref-Conlisk1996">
        <w:r>
          <w:rPr>
            <w:rStyle w:val="Hyperlink"/>
          </w:rPr>
          <w:t xml:space="preserve">Conlisk 1996, 691</w:t>
        </w:r>
      </w:hyperlink>
      <w:r>
        <w:t xml:space="preserve">)</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1"/>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2"/>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w:t>
      </w:r>
      <w:hyperlink w:anchor="ref-Kimball2015">
        <w:r>
          <w:rPr>
            <w:rStyle w:val="Hyperlink"/>
          </w:rPr>
          <w:t xml:space="preserve">2015</w:t>
        </w:r>
      </w:hyperlink>
      <w:r>
        <w:t xml:space="preserve">)</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w:t>
      </w:r>
      <w:hyperlink w:anchor="ref-Kimball2015">
        <w:r>
          <w:rPr>
            <w:rStyle w:val="Hyperlink"/>
          </w:rPr>
          <w:t xml:space="preserve">Kimball 2015, 174</w:t>
        </w:r>
      </w:hyperlink>
      <w:r>
        <w:t xml:space="preserve">)</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w:t>
      </w:r>
      <w:hyperlink w:anchor="ref-Kimball2015">
        <w:r>
          <w:rPr>
            <w:rStyle w:val="Hyperlink"/>
          </w:rPr>
          <w:t xml:space="preserve">Kimball 2015, 175</w:t>
        </w:r>
      </w:hyperlink>
      <w:r>
        <w:t xml:space="preserve">)</w:t>
      </w:r>
    </w:p>
    <w:p>
      <w:pPr>
        <w:pStyle w:val="FirstParagraph"/>
      </w:pPr>
      <w:r>
        <w:t xml:space="preserve">It’s this last idea I plan to explore in more detail. (It has some similarities to the discussion of small worlds in</w:t>
      </w:r>
      <w:r>
        <w:t xml:space="preserve"> </w:t>
      </w:r>
      <w:r>
        <w:t xml:space="preserve">(</w:t>
      </w:r>
      <w:hyperlink w:anchor="ref-Joyce1999">
        <w:r>
          <w:rPr>
            <w:rStyle w:val="Hyperlink"/>
          </w:rPr>
          <w:t xml:space="preserve">J. M. Joyce 1999, 70–77</w:t>
        </w:r>
      </w:hyperlink>
      <w:r>
        <w:t xml:space="preserve">)</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13"/>
    <w:bookmarkStart w:id="115" w:name="ignorancebliss"/>
    <w:p>
      <w:pPr>
        <w:pStyle w:val="Heading2"/>
      </w:pPr>
      <w:r>
        <w:rPr>
          <w:rStyle w:val="SectionNumber"/>
        </w:rPr>
        <w:t xml:space="preserve">6.7</w:t>
      </w:r>
      <w:r>
        <w:tab/>
      </w:r>
      <w:r>
        <w:t xml:space="preserve">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w:t>
      </w:r>
      <w:hyperlink w:anchor="ref-SperberEtAl2010">
        <w:r>
          <w:rPr>
            <w:rStyle w:val="Hyperlink"/>
          </w:rPr>
          <w:t xml:space="preserve">2010</w:t>
        </w:r>
      </w:hyperlink>
      <w:r>
        <w:t xml:space="preserve">)</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14"/>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15"/>
    <w:bookmarkEnd w:id="116"/>
    <w:bookmarkStart w:id="125" w:name="changes"/>
    <w:p>
      <w:pPr>
        <w:pStyle w:val="Heading1"/>
      </w:pPr>
      <w:r>
        <w:rPr>
          <w:rStyle w:val="SectionNumber"/>
        </w:rPr>
        <w:t xml:space="preserve">7</w:t>
      </w:r>
      <w:r>
        <w:tab/>
      </w:r>
      <w:r>
        <w:t xml:space="preserve">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w:t>
      </w:r>
      <w:hyperlink w:anchor="ref-Wright2018">
        <w:r>
          <w:rPr>
            <w:rStyle w:val="Hyperlink"/>
          </w:rPr>
          <w:t xml:space="preserve">2018</w:t>
        </w:r>
      </w:hyperlink>
      <w:r>
        <w:t xml:space="preserve">)</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&gt;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&gt;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t>
      </w:r>
      <w:hyperlink w:anchor="ref-Wright2018">
        <w:r>
          <w:rPr>
            <w:rStyle w:val="Hyperlink"/>
          </w:rPr>
          <w:t xml:space="preserve">Wright 2018, 368</w:t>
        </w:r>
      </w:hyperlink>
      <w:r>
        <w:t xml:space="preserve">)</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w:t>
      </w:r>
      <w:hyperlink w:anchor="ref-RussellDoris2008">
        <w:r>
          <w:rPr>
            <w:rStyle w:val="Hyperlink"/>
          </w:rPr>
          <w:t xml:space="preserve">2009</w:t>
        </w:r>
      </w:hyperlink>
      <w:r>
        <w:t xml:space="preserve">)</w:t>
      </w:r>
      <w:r>
        <w:t xml:space="preserve">, and by Michael</w:t>
      </w:r>
      <w:r>
        <w:t xml:space="preserve"> </w:t>
      </w:r>
      <w:r>
        <w:t xml:space="preserve">Blome-Tillmann (</w:t>
      </w:r>
      <w:hyperlink w:anchor="ref-BlomeTillmann2009">
        <w:r>
          <w:rPr>
            <w:rStyle w:val="Hyperlink"/>
          </w:rPr>
          <w:t xml:space="preserve">2009</w:t>
        </w:r>
      </w:hyperlink>
      <w:r>
        <w:t xml:space="preserve">)</w:t>
      </w:r>
      <w:r>
        <w:t xml:space="preserve">. David Eaton and Timothy Pickavance</w:t>
      </w:r>
      <w:r>
        <w:t xml:space="preserve"> </w:t>
      </w:r>
      <w:r>
        <w:t xml:space="preserve">(</w:t>
      </w:r>
      <w:hyperlink w:anchor="ref-EatonPickavance2015">
        <w:r>
          <w:rPr>
            <w:rStyle w:val="Hyperlink"/>
          </w:rPr>
          <w:t xml:space="preserve">2015</w:t>
        </w:r>
      </w:hyperlink>
      <w:r>
        <w:t xml:space="preserve">)</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17"/>
      </w:r>
    </w:p>
    <w:bookmarkStart w:id="118" w:name="overview"/>
    <w:p>
      <w:pPr>
        <w:pStyle w:val="Heading2"/>
      </w:pPr>
      <w:r>
        <w:rPr>
          <w:rStyle w:val="SectionNumber"/>
        </w:rPr>
        <w:t xml:space="preserve">7.1</w:t>
      </w:r>
      <w:r>
        <w:tab/>
      </w:r>
      <w:r>
        <w:t xml:space="preserve">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w:t>
      </w:r>
      <w:hyperlink w:anchor="ref-Lewis1982c">
        <w:r>
          <w:rPr>
            <w:rStyle w:val="Hyperlink"/>
          </w:rPr>
          <w:t xml:space="preserve">Lewis 1982</w:t>
        </w:r>
      </w:hyperlink>
      <w:r>
        <w:t xml:space="preserve">)</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w:t>
      </w:r>
      <w:hyperlink w:anchor="ref-Stanley2005">
        <w:r>
          <w:rPr>
            <w:rStyle w:val="Hyperlink"/>
          </w:rPr>
          <w:t xml:space="preserve">2005</w:t>
        </w:r>
      </w:hyperlink>
      <w:r>
        <w:t xml:space="preserve">)</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section</w:t>
      </w:r>
      <w:r>
        <w:t xml:space="preserve"> </w:t>
      </w:r>
      <w:r>
        <w:t xml:space="preserve">7.2</w:t>
      </w:r>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w:t>
      </w:r>
      <w:hyperlink w:anchor="ref-Bennett2017">
        <w:r>
          <w:rPr>
            <w:rStyle w:val="Hyperlink"/>
          </w:rPr>
          <w:t xml:space="preserve">2017</w:t>
        </w:r>
      </w:hyperlink>
      <w:r>
        <w:t xml:space="preserve">)</w:t>
      </w:r>
      <w:r>
        <w:t xml:space="preserve">, out of those three components, justification, truth and belief. Now this needs a notion of building that doesn’t involve necessitation, and spelling that out would be a task for a different (and longer!) book. I’ll try and say enough in section</w:t>
      </w:r>
      <w:r>
        <w:t xml:space="preserve"> </w:t>
      </w:r>
      <w:r>
        <w:t xml:space="preserve">7.3</w:t>
      </w:r>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w:t>
      </w:r>
      <w:hyperlink w:anchor="ref-DasThesis">
        <w:r>
          <w:rPr>
            <w:rStyle w:val="Hyperlink"/>
          </w:rPr>
          <w:t xml:space="preserve">2016</w:t>
        </w:r>
      </w:hyperlink>
      <w:r>
        <w:t xml:space="preserve">)</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 section</w:t>
      </w:r>
      <w:r>
        <w:t xml:space="preserve"> </w:t>
      </w:r>
      <w:r>
        <w:t xml:space="preserve">7.4</w:t>
      </w:r>
      <w:r>
        <w:t xml:space="preserve"> </w:t>
      </w:r>
      <w:r>
        <w:t xml:space="preserve">by spelling out this response.</w:t>
      </w:r>
    </w:p>
    <w:bookmarkEnd w:id="118"/>
    <w:bookmarkStart w:id="119" w:name="gettier"/>
    <w:p>
      <w:pPr>
        <w:pStyle w:val="Heading2"/>
      </w:pPr>
      <w:r>
        <w:rPr>
          <w:rStyle w:val="SectionNumber"/>
        </w:rPr>
        <w:t xml:space="preserve">7.2</w:t>
      </w:r>
      <w:r>
        <w:tab/>
      </w:r>
      <w:r>
        <w:t xml:space="preserve">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w:t>
      </w:r>
      <w:hyperlink w:anchor="ref-Clark2012">
        <w:r>
          <w:rPr>
            <w:rStyle w:val="Hyperlink"/>
          </w:rPr>
          <w:t xml:space="preserve">Clark 2012</w:t>
        </w:r>
      </w:hyperlink>
      <w:r>
        <w:t xml:space="preserve">)</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 chapter</w:t>
      </w:r>
      <w:r>
        <w:t xml:space="preserve"> </w:t>
      </w:r>
      <w:r>
        <w:t xml:space="preserve">3</w:t>
      </w:r>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w:t>
      </w:r>
      <w:hyperlink w:anchor="ref-Gettier1963">
        <w:r>
          <w:rPr>
            <w:rStyle w:val="Hyperlink"/>
          </w:rPr>
          <w:t xml:space="preserve">1963</w:t>
        </w:r>
      </w:hyperlink>
      <w:r>
        <w:t xml:space="preserve">)</w:t>
      </w:r>
      <w:r>
        <w:t xml:space="preserve">. But Gettier’s criticism was not original; he had independently rediscovered a point made by the 8th century philosopher Dharmottara</w:t>
      </w:r>
      <w:r>
        <w:t xml:space="preserve"> </w:t>
      </w:r>
      <w:r>
        <w:t xml:space="preserve">(</w:t>
      </w:r>
      <w:hyperlink w:anchor="ref-Nagel2014">
        <w:r>
          <w:rPr>
            <w:rStyle w:val="Hyperlink"/>
          </w:rPr>
          <w:t xml:space="preserve">Nagel 2014</w:t>
        </w:r>
      </w:hyperlink>
      <w:r>
        <w:t xml:space="preserve">)</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w:t>
      </w:r>
      <w:hyperlink w:anchor="ref-Harman1973">
        <w:r>
          <w:rPr>
            <w:rStyle w:val="Hyperlink"/>
          </w:rPr>
          <w:t xml:space="preserve">1973, 143ff</w:t>
        </w:r>
      </w:hyperlink>
      <w:r>
        <w:t xml:space="preserve">)</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t>
      </w:r>
      <w:hyperlink w:anchor="ref-Williamson2000">
        <w:r>
          <w:rPr>
            <w:rStyle w:val="Hyperlink"/>
          </w:rPr>
          <w:t xml:space="preserve">Williamson 2000</w:t>
        </w:r>
      </w:hyperlink>
      <w:r>
        <w:t xml:space="preserve">)</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 section</w:t>
      </w:r>
      <w:r>
        <w:t xml:space="preserve"> </w:t>
      </w:r>
      <w:r>
        <w:t xml:space="preserve">7.4</w:t>
      </w:r>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 section</w:t>
      </w:r>
      <w:r>
        <w:t xml:space="preserve"> </w:t>
      </w:r>
      <w:r>
        <w:t xml:space="preserve">7.3</w:t>
      </w:r>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w:t>
      </w:r>
      <w:hyperlink w:anchor="ref-FantlMcGrath2002">
        <w:r>
          <w:rPr>
            <w:rStyle w:val="Hyperlink"/>
          </w:rPr>
          <w:t xml:space="preserve">Fantl and McGrath 2002</w:t>
        </w:r>
      </w:hyperlink>
      <w:r>
        <w:t xml:space="preserve">)</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odyText"/>
      </w:pPr>
      <w:r>
        <w:t xml:space="preserve"> &gt; X didn’t (have enough evidence to) know P at t but does at t* and has exactly the same body of P-relevant evidence at t* as at t.</w:t>
      </w:r>
      <w:r>
        <w:t xml:space="preserve"> </w:t>
      </w:r>
      <w:r>
        <w:t xml:space="preserve">(</w:t>
      </w:r>
      <w:hyperlink w:anchor="ref-Wright2018">
        <w:r>
          <w:rPr>
            <w:rStyle w:val="Hyperlink"/>
          </w:rPr>
          <w:t xml:space="preserve">Wright 2018, 368</w:t>
        </w:r>
      </w:hyperlink>
      <w:r>
        <w:t xml:space="preserve">)</w:t>
      </w:r>
    </w:p>
    <w:p>
      <w:pPr>
        <w:pStyle w:val="BodyText"/>
      </w:pPr>
      <w:r>
        <w:t xml:space="preserve">If evidence goes primarily to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t0.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19"/>
    <w:bookmarkStart w:id="122" w:name="building"/>
    <w:p>
      <w:pPr>
        <w:pStyle w:val="Heading2"/>
      </w:pPr>
      <w:r>
        <w:rPr>
          <w:rStyle w:val="SectionNumber"/>
        </w:rPr>
        <w:t xml:space="preserve">7.3</w:t>
      </w:r>
      <w:r>
        <w:tab/>
      </w:r>
      <w:r>
        <w:t xml:space="preserve">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0"/>
      </w:r>
      <w:r>
        <w:t xml:space="preserve"> </w:t>
      </w:r>
      <w:r>
        <w:t xml:space="preserve">It isn’t extensional adequacy; Dharmottara refuted that 1300 years ago. But it can be expressed using the modern</w:t>
      </w:r>
      <w:r>
        <w:rPr>
          <w:rStyle w:val="FootnoteReference"/>
        </w:rPr>
        <w:footnoteReference w:id="12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w:t>
      </w:r>
      <w:hyperlink w:anchor="ref-Bennett2017">
        <w:r>
          <w:rPr>
            <w:rStyle w:val="Hyperlink"/>
          </w:rPr>
          <w:t xml:space="preserve">2017</w:t>
        </w:r>
      </w:hyperlink>
      <w:r>
        <w:t xml:space="preserve">)</w:t>
      </w:r>
      <w:r>
        <w:t xml:space="preserve"> </w:t>
      </w:r>
      <w:r>
        <w:t xml:space="preserve">describes.</w:t>
      </w:r>
    </w:p>
    <w:p>
      <w:pPr>
        <w:pStyle w:val="BodyText"/>
      </w:pPr>
      <w:r>
        <w:t xml:space="preserve">Consider a very abstractly described case where all of 1-4 are true.</w:t>
      </w:r>
    </w:p>
    <w:p>
      <w:pPr>
        <w:numPr>
          <w:ilvl w:val="0"/>
          <w:numId w:val="1044"/>
        </w:numPr>
        <w:pStyle w:val="Compact"/>
      </w:pPr>
      <w:r>
        <w:t xml:space="preserve">S knows that</w:t>
      </w:r>
      <w:r>
        <w:t xml:space="preserve"> </w:t>
      </w:r>
      <w:r>
        <w:rPr>
          <w:iCs/>
          <w:i/>
        </w:rPr>
        <w:t xml:space="preserve">p</w:t>
      </w:r>
      <w:r>
        <w:t xml:space="preserve">.</w:t>
      </w:r>
    </w:p>
    <w:p>
      <w:pPr>
        <w:numPr>
          <w:ilvl w:val="0"/>
          <w:numId w:val="1044"/>
        </w:numPr>
        <w:pStyle w:val="Compact"/>
      </w:pPr>
      <w:r>
        <w:rPr>
          <w:iCs/>
          <w:i/>
        </w:rPr>
        <w:t xml:space="preserve">p</w:t>
      </w:r>
      <w:r>
        <w:t xml:space="preserve">.</w:t>
      </w:r>
    </w:p>
    <w:p>
      <w:pPr>
        <w:numPr>
          <w:ilvl w:val="0"/>
          <w:numId w:val="1044"/>
        </w:numPr>
        <w:pStyle w:val="Compact"/>
      </w:pPr>
      <w:r>
        <w:t xml:space="preserve">S’s attitude to</w:t>
      </w:r>
      <w:r>
        <w:t xml:space="preserve"> </w:t>
      </w:r>
      <w:r>
        <w:rPr>
          <w:iCs/>
          <w:i/>
        </w:rPr>
        <w:t xml:space="preserve">p</w:t>
      </w:r>
      <w:r>
        <w:t xml:space="preserve"> </w:t>
      </w:r>
      <w:r>
        <w:t xml:space="preserve">is rational.</w:t>
      </w:r>
    </w:p>
    <w:p>
      <w:pPr>
        <w:numPr>
          <w:ilvl w:val="0"/>
          <w:numId w:val="1044"/>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t>
      </w:r>
      <w:hyperlink w:anchor="ref-Williams1976">
        <w:r>
          <w:rPr>
            <w:rStyle w:val="Hyperlink"/>
          </w:rPr>
          <w:t xml:space="preserve">Williams 1976</w:t>
        </w:r>
      </w:hyperlink>
      <w:r>
        <w:t xml:space="preserve">)</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w:t>
      </w:r>
      <w:hyperlink w:anchor="ref-RussellDoris2008">
        <w:r>
          <w:rPr>
            <w:rStyle w:val="Hyperlink"/>
          </w:rPr>
          <w:t xml:space="preserve">2009</w:t>
        </w:r>
      </w:hyperlink>
      <w:r>
        <w:t xml:space="preserve">)</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2"/>
    <w:bookmarkStart w:id="124" w:name="das"/>
    <w:p>
      <w:pPr>
        <w:pStyle w:val="Heading2"/>
      </w:pPr>
      <w:r>
        <w:rPr>
          <w:rStyle w:val="SectionNumber"/>
        </w:rPr>
        <w:t xml:space="preserve">7.4</w:t>
      </w:r>
      <w:r>
        <w:tab/>
      </w:r>
      <w:r>
        <w:t xml:space="preserve">Every Theory is Interest-Relative</w:t>
      </w:r>
    </w:p>
    <w:p>
      <w:pPr>
        <w:pStyle w:val="FirstParagraph"/>
      </w:pPr>
      <w:r>
        <w:t xml:space="preserve">Think about the difference between Variant S and Variant K.</w:t>
      </w:r>
      <w:r>
        <w:rPr>
          <w:rStyle w:val="FootnoteReference"/>
        </w:rPr>
        <w:footnoteReference w:id="12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w:t>
      </w:r>
      <w:hyperlink w:anchor="ref-DasThesis">
        <w:r>
          <w:rPr>
            <w:rStyle w:val="Hyperlink"/>
          </w:rPr>
          <w:t xml:space="preserve">2016, 116</w:t>
        </w:r>
      </w:hyperlink>
      <w:r>
        <w:t xml:space="preserve">)</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24"/>
    <w:bookmarkEnd w:id="125"/>
    <w:bookmarkStart w:id="147" w:name="ratbel"/>
    <w:p>
      <w:pPr>
        <w:pStyle w:val="Heading1"/>
      </w:pPr>
      <w:r>
        <w:rPr>
          <w:rStyle w:val="SectionNumber"/>
        </w:rPr>
        <w:t xml:space="preserve">8</w:t>
      </w:r>
      <w:r>
        <w:tab/>
      </w:r>
      <w:r>
        <w:t xml:space="preserve">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28" w:name="atomism"/>
    <w:p>
      <w:pPr>
        <w:pStyle w:val="Heading2"/>
      </w:pPr>
      <w:r>
        <w:rPr>
          <w:rStyle w:val="SectionNumber"/>
        </w:rPr>
        <w:t xml:space="preserve">8.1</w:t>
      </w:r>
      <w:r>
        <w:tab/>
      </w:r>
      <w:r>
        <w:t xml:space="preserve">Atomism about Rational Belief</w:t>
      </w:r>
    </w:p>
    <w:p>
      <w:pPr>
        <w:pStyle w:val="FirstParagraph"/>
      </w:pPr>
      <w:r>
        <w:t xml:space="preserve">In chapter</w:t>
      </w:r>
      <w:r>
        <w:t xml:space="preserve"> </w:t>
      </w:r>
      <w:r>
        <w:t xml:space="preserve">3</w:t>
      </w:r>
      <w:r>
        <w:t xml:space="preserve"> </w:t>
      </w:r>
      <w:r>
        <w:t xml:space="preserve">I argued for two individually necessary and jointly sufficient conditions for belief.</w:t>
      </w:r>
      <w:r>
        <w:rPr>
          <w:rStyle w:val="FootnoteReference"/>
        </w:rPr>
        <w:footnoteReference w:id="126"/>
      </w:r>
      <w:r>
        <w:t xml:space="preserve"> </w:t>
      </w:r>
      <w:r>
        <w:t xml:space="preserve">They are</w:t>
      </w:r>
    </w:p>
    <w:p>
      <w:pPr>
        <w:numPr>
          <w:ilvl w:val="0"/>
          <w:numId w:val="1045"/>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5"/>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6"/>
        </w:numPr>
        <w:pStyle w:val="Compact"/>
      </w:pPr>
      <w:r>
        <w:t xml:space="preserve">If she declines the bet, nothing happens.</w:t>
      </w:r>
    </w:p>
    <w:p>
      <w:pPr>
        <w:numPr>
          <w:ilvl w:val="0"/>
          <w:numId w:val="1046"/>
        </w:numPr>
        <w:pStyle w:val="Compact"/>
      </w:pPr>
      <w:r>
        <w:t xml:space="preserve">If she accepts the bet, and the Battle of Agincourt was in 1415, she wins $1.</w:t>
      </w:r>
    </w:p>
    <w:p>
      <w:pPr>
        <w:numPr>
          <w:ilvl w:val="0"/>
          <w:numId w:val="1046"/>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7"/>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7"/>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t>
      </w:r>
      <w:hyperlink w:anchor="ref-Weatherson2012">
        <w:r>
          <w:rPr>
            <w:rStyle w:val="Hyperlink"/>
          </w:rPr>
          <w:t xml:space="preserve">Weatherson 2012</w:t>
        </w:r>
      </w:hyperlink>
      <w:r>
        <w:t xml:space="preserve">)</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w:t>
      </w:r>
      <w:hyperlink w:anchor="ref-Lewis2004a">
        <w:r>
          <w:rPr>
            <w:rStyle w:val="Hyperlink"/>
          </w:rPr>
          <w:t xml:space="preserve">Lewis 2004</w:t>
        </w:r>
      </w:hyperlink>
      <w:r>
        <w:t xml:space="preserve">)</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8"/>
        </w:numPr>
        <w:pStyle w:val="Compact"/>
      </w:pPr>
      <w:r>
        <w:t xml:space="preserve">It has been her life goal to lose a billion dollars in a day, so taking the bet strictly dominates not taking it.</w:t>
      </w:r>
    </w:p>
    <w:p>
      <w:pPr>
        <w:numPr>
          <w:ilvl w:val="0"/>
          <w:numId w:val="1048"/>
        </w:numPr>
        <w:pStyle w:val="Compact"/>
      </w:pPr>
      <w:r>
        <w:t xml:space="preserve">She believes (irrationally) that anyone who loses a billion dollars in a day goes to heaven, and she (rationally) values heaven above any monetary amount.</w:t>
      </w:r>
    </w:p>
    <w:p>
      <w:pPr>
        <w:numPr>
          <w:ilvl w:val="0"/>
          <w:numId w:val="1048"/>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w:t>
      </w:r>
      <w:hyperlink w:anchor="ref-SperberEtAl2010">
        <w:r>
          <w:rPr>
            <w:rStyle w:val="Hyperlink"/>
          </w:rPr>
          <w:t xml:space="preserve">Sperber et al. 2010</w:t>
        </w:r>
      </w:hyperlink>
      <w:r>
        <w:t xml:space="preserve">)</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27"/>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w:t>
      </w:r>
      <w:hyperlink w:anchor="ref-WilliamsonLofoten">
        <w:r>
          <w:rPr>
            <w:rStyle w:val="Hyperlink"/>
          </w:rPr>
          <w:t xml:space="preserve">2013</w:t>
        </w:r>
      </w:hyperlink>
      <w:r>
        <w:t xml:space="preserve">)</w:t>
      </w:r>
      <w:r>
        <w:t xml:space="preserve"> </w:t>
      </w:r>
      <w:r>
        <w:t xml:space="preserve">and</w:t>
      </w:r>
      <w:r>
        <w:t xml:space="preserve"> </w:t>
      </w:r>
      <w:r>
        <w:t xml:space="preserve">Nagel (</w:t>
      </w:r>
      <w:hyperlink w:anchor="ref-Nagel2013-Williamson">
        <w:r>
          <w:rPr>
            <w:rStyle w:val="Hyperlink"/>
          </w:rPr>
          <w:t xml:space="preserve">2013</w:t>
        </w:r>
      </w:hyperlink>
      <w:r>
        <w:t xml:space="preserve">)</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28"/>
    <w:bookmarkStart w:id="129" w:name="lockecoin"/>
    <w:p>
      <w:pPr>
        <w:pStyle w:val="Heading2"/>
      </w:pPr>
      <w:r>
        <w:rPr>
          <w:rStyle w:val="SectionNumber"/>
        </w:rPr>
        <w:t xml:space="preserve">8.2</w:t>
      </w:r>
      <w:r>
        <w:tab/>
      </w:r>
      <w:r>
        <w:t xml:space="preserve">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w:t>
      </w:r>
      <w:hyperlink w:anchor="ref-Williamson2007">
        <w:r>
          <w:rPr>
            <w:rStyle w:val="Hyperlink"/>
          </w:rPr>
          <w:t xml:space="preserve">2007</w:t>
        </w:r>
      </w:hyperlink>
      <w:r>
        <w:t xml:space="preserve">)</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9"/>
        </w:numPr>
        <w:pStyle w:val="Compact"/>
      </w:pPr>
      <w:r>
        <w:t xml:space="preserve">At least one of the coin tosses will land either heads or tails.</w:t>
      </w:r>
    </w:p>
    <w:p>
      <w:pPr>
        <w:numPr>
          <w:ilvl w:val="0"/>
          <w:numId w:val="1049"/>
        </w:numPr>
        <w:pStyle w:val="Compact"/>
      </w:pPr>
      <w:r>
        <w:t xml:space="preserve">At least one of the coin tosses will land heads.</w:t>
      </w:r>
    </w:p>
    <w:p>
      <w:pPr>
        <w:numPr>
          <w:ilvl w:val="0"/>
          <w:numId w:val="1049"/>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29"/>
    <w:bookmarkStart w:id="135" w:name="lockegames"/>
    <w:p>
      <w:pPr>
        <w:pStyle w:val="Heading2"/>
      </w:pPr>
      <w:r>
        <w:rPr>
          <w:rStyle w:val="SectionNumber"/>
        </w:rPr>
        <w:t xml:space="preserve">8.3</w:t>
      </w:r>
      <w:r>
        <w:tab/>
      </w:r>
      <w:r>
        <w:t xml:space="preserve">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w:t>
      </w:r>
      <w:hyperlink w:anchor="ref-KohlbergMertens1986">
        <w:r>
          <w:rPr>
            <w:rStyle w:val="Hyperlink"/>
          </w:rPr>
          <w:t xml:space="preserve">1986</w:t>
        </w:r>
      </w:hyperlink>
      <w:r>
        <w:t xml:space="preserve">)</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w:t>
      </w:r>
      <w:hyperlink w:anchor="ref-Stalnaker1994">
        <w:r>
          <w:rPr>
            <w:rStyle w:val="Hyperlink"/>
          </w:rPr>
          <w:t xml:space="preserve">1994</w:t>
        </w:r>
      </w:hyperlink>
      <w:r>
        <w:t xml:space="preserve">,</w:t>
      </w:r>
      <w:r>
        <w:t xml:space="preserve"> </w:t>
      </w:r>
      <w:hyperlink w:anchor="ref-Stalnaker1996">
        <w:r>
          <w:rPr>
            <w:rStyle w:val="Hyperlink"/>
          </w:rPr>
          <w:t xml:space="preserve">1996</w:t>
        </w:r>
      </w:hyperlink>
      <w:r>
        <w:t xml:space="preserve">,</w:t>
      </w:r>
      <w:r>
        <w:t xml:space="preserve"> </w:t>
      </w:r>
      <w:hyperlink w:anchor="ref-Stalnaker1998">
        <w:r>
          <w:rPr>
            <w:rStyle w:val="Hyperlink"/>
          </w:rPr>
          <w:t xml:space="preserve">1998</w:t>
        </w:r>
      </w:hyperlink>
      <w:r>
        <w:t xml:space="preserve">,</w:t>
      </w:r>
      <w:r>
        <w:t xml:space="preserve"> </w:t>
      </w:r>
      <w:hyperlink w:anchor="ref-Stalnaker1999">
        <w:r>
          <w:rPr>
            <w:rStyle w:val="Hyperlink"/>
          </w:rPr>
          <w:t xml:space="preserve">1999</w:t>
        </w:r>
      </w:hyperlink>
      <w:r>
        <w:t xml:space="preserve">)</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1"/>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2"/>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w:t>
      </w:r>
      <w:hyperlink w:anchor="ref-Aumann1999">
        <w:r>
          <w:rPr>
            <w:rStyle w:val="Hyperlink"/>
          </w:rPr>
          <w:t xml:space="preserve">Aumann 1999</w:t>
        </w:r>
      </w:hyperlink>
      <w:r>
        <w:t xml:space="preserve">)</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w:t>
      </w:r>
      <w:hyperlink w:anchor="ref-Richter1984">
        <w:r>
          <w:rPr>
            <w:rStyle w:val="Hyperlink"/>
          </w:rPr>
          <w:t xml:space="preserve">Richter 1984</w:t>
        </w:r>
      </w:hyperlink>
      <w:r>
        <w:t xml:space="preserve">)</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or</w:t>
      </w:r>
      <w:r>
        <w:t xml:space="preserve"> </w:t>
      </w:r>
      <w:r>
        <w:rPr>
          <w:iCs/>
          <w:i/>
          <w:vertAlign w:val="subscript"/>
        </w:rPr>
        <w:t xml:space="preserve">A</w:t>
      </w:r>
      <w:r>
        <w:t xml:space="preserve">2~ 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w:t>
      </w:r>
      <w:hyperlink w:anchor="ref-DixitSkeath2004">
        <w:r>
          <w:rPr>
            <w:rStyle w:val="Hyperlink"/>
          </w:rPr>
          <w:t xml:space="preserve">Dixit and Skeath 2004, 186</w:t>
        </w:r>
      </w:hyperlink>
      <w:r>
        <w:t xml:space="preserve">)</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w:t>
      </w:r>
      <w:hyperlink w:anchor="ref-Stalnaker1994">
        <w:r>
          <w:rPr>
            <w:rStyle w:val="Hyperlink"/>
          </w:rPr>
          <w:t xml:space="preserve">Stalnaker 1994, 57–58</w:t>
        </w:r>
      </w:hyperlink>
      <w:r>
        <w:t xml:space="preserve">)</w:t>
      </w:r>
    </w:p>
    <w:p>
      <w:pPr>
        <w:pStyle w:val="FirstParagraph"/>
      </w:pPr>
      <w:r>
        <w:t xml:space="preserve">One nice advantage of the epistemological interpretation, as noted by Binmore</w:t>
      </w:r>
      <w:r>
        <w:t xml:space="preserve"> </w:t>
      </w:r>
      <w:r>
        <w:t xml:space="preserve">(</w:t>
      </w:r>
      <w:hyperlink w:anchor="ref-Binmore2007">
        <w:r>
          <w:rPr>
            <w:rStyle w:val="Hyperlink"/>
          </w:rPr>
          <w:t xml:space="preserve">2007, 185</w:t>
        </w:r>
      </w:hyperlink>
      <w:r>
        <w:t xml:space="preserve">)</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33"/>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34"/>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_1. If two cards with arrows facing down are played, each gets nothing. Each cares just about their own wealth, so getting _1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t>
      </w:r>
      <w:hyperlink w:anchor="ref-White2005-WHIEP">
        <w:r>
          <w:rPr>
            <w:rStyle w:val="Hyperlink"/>
          </w:rPr>
          <w:t xml:space="preserve">White 2005</w:t>
        </w:r>
      </w:hyperlink>
      <w:r>
        <w:t xml:space="preserve">)</w:t>
      </w:r>
      <w:r>
        <w:t xml:space="preserve">. I join with those such as North</w:t>
      </w:r>
      <w:r>
        <w:t xml:space="preserve"> </w:t>
      </w:r>
      <w:r>
        <w:t xml:space="preserve">(</w:t>
      </w:r>
      <w:hyperlink w:anchor="ref-North2010">
        <w:r>
          <w:rPr>
            <w:rStyle w:val="Hyperlink"/>
          </w:rPr>
          <w:t xml:space="preserve">2010</w:t>
        </w:r>
      </w:hyperlink>
      <w:r>
        <w:t xml:space="preserve">)</w:t>
      </w:r>
      <w:r>
        <w:t xml:space="preserve"> </w:t>
      </w:r>
      <w:r>
        <w:t xml:space="preserve">and Schoenfield</w:t>
      </w:r>
      <w:r>
        <w:t xml:space="preserve"> </w:t>
      </w:r>
      <w:r>
        <w:t xml:space="preserve">(</w:t>
      </w:r>
      <w:hyperlink w:anchor="ref-Schoenfield2013">
        <w:r>
          <w:rPr>
            <w:rStyle w:val="Hyperlink"/>
          </w:rPr>
          <w:t xml:space="preserve">2013</w:t>
        </w:r>
      </w:hyperlink>
      <w:r>
        <w:t xml:space="preserve">)</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insist on expected utility maximisation as the only rule for rational decision making. Sometimes, I think some kind of tie-breaker procedure is part of rationality. In the papers by Stalnaker I mentioned above, he often appeals to this kind of weak dominance reasoning to resolve various hard cases. But I don’t think weak dominance provides a reason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But that’s not what we’ve got here. Assuming that rationality requires playing UP/</w:t>
      </w:r>
      <w:r>
        <w:rPr>
          <w:iCs/>
          <w:i/>
        </w:rPr>
        <w:t xml:space="preserve">up</w:t>
      </w:r>
      <w:r>
        <w:t xml:space="preserve">, the players know we’ll end up in the top left corner of the table. There’s no chance that we’ll end up elsewhere. Or, perhaps better, there is just as much chance we’ll end up</w:t>
      </w:r>
      <w:r>
        <w:t xml:space="preserve"> </w:t>
      </w:r>
      <w:r>
        <w:t xml:space="preserve">‘</w:t>
      </w:r>
      <w:r>
        <w:t xml:space="preserve">off the table</w:t>
      </w:r>
      <w:r>
        <w:t xml:space="preserve">’</w:t>
      </w:r>
      <w:r>
        <w:t xml:space="preserve">, as that we’ll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35"/>
    <w:bookmarkStart w:id="141" w:name="lockepuzzles"/>
    <w:p>
      <w:pPr>
        <w:pStyle w:val="Heading2"/>
      </w:pPr>
      <w:r>
        <w:rPr>
          <w:rStyle w:val="SectionNumber"/>
        </w:rPr>
        <w:t xml:space="preserve">8.4</w:t>
      </w:r>
      <w:r>
        <w:tab/>
      </w:r>
      <w:r>
        <w:t xml:space="preserve">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36" w:name="lockearb"/>
    <w:p>
      <w:pPr>
        <w:pStyle w:val="Heading3"/>
      </w:pPr>
      <w:r>
        <w:rPr>
          <w:rStyle w:val="SectionNumber"/>
        </w:rPr>
        <w:t xml:space="preserve">8.4.1</w:t>
      </w:r>
      <w:r>
        <w:tab/>
      </w:r>
      <w:r>
        <w:t xml:space="preserve">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w:t>
      </w:r>
      <w:hyperlink w:anchor="ref-Stalnaker1984">
        <w:r>
          <w:rPr>
            <w:rStyle w:val="Hyperlink"/>
          </w:rPr>
          <w:t xml:space="preserve">1984, 91</w:t>
        </w:r>
      </w:hyperlink>
      <w:r>
        <w:t xml:space="preserve">)</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w:t>
      </w:r>
      <w:hyperlink w:anchor="ref-Foley1993">
        <w:r>
          <w:rPr>
            <w:rStyle w:val="Hyperlink"/>
          </w:rPr>
          <w:t xml:space="preserve">1993</w:t>
        </w:r>
      </w:hyperlink>
      <w:r>
        <w:t xml:space="preserve"> </w:t>
      </w:r>
      <w:r>
        <w:t xml:space="preserve">Ch. 4)</w:t>
      </w:r>
      <w:r>
        <w:t xml:space="preserve">, Hunter</w:t>
      </w:r>
      <w:r>
        <w:t xml:space="preserve"> </w:t>
      </w:r>
      <w:r>
        <w:t xml:space="preserve">(</w:t>
      </w:r>
      <w:hyperlink w:anchor="ref-Hunter1996">
        <w:r>
          <w:rPr>
            <w:rStyle w:val="Hyperlink"/>
          </w:rPr>
          <w:t xml:space="preserve">1996</w:t>
        </w:r>
      </w:hyperlink>
      <w:r>
        <w:t xml:space="preserve">)</w:t>
      </w:r>
      <w:r>
        <w:t xml:space="preserve"> </w:t>
      </w:r>
      <w:r>
        <w:t xml:space="preserve">and Lee</w:t>
      </w:r>
      <w:r>
        <w:t xml:space="preserve"> </w:t>
      </w:r>
      <w:r>
        <w:t xml:space="preserve">(</w:t>
      </w:r>
      <w:hyperlink w:anchor="ref-Lee2017b">
        <w:r>
          <w:rPr>
            <w:rStyle w:val="Hyperlink"/>
          </w:rPr>
          <w:t xml:space="preserve">2017</w:t>
        </w:r>
      </w:hyperlink>
      <w:r>
        <w:t xml:space="preserve">)</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t>
      </w:r>
      <w:hyperlink w:anchor="ref-Weatherson2005b">
        <w:r>
          <w:rPr>
            <w:rStyle w:val="Hyperlink"/>
          </w:rPr>
          <w:t xml:space="preserve">Weatherson 2005b</w:t>
        </w:r>
      </w:hyperlink>
      <w:r>
        <w:t xml:space="preserve">)</w:t>
      </w:r>
      <w:r>
        <w:t xml:space="preserve">, there will still be an arbitrary point which marks the difference between belief and non-belief. This won’t be the case on various kinds of degree of truth theories. But, as Williamson</w:t>
      </w:r>
      <w:r>
        <w:t xml:space="preserve"> </w:t>
      </w:r>
      <w:r>
        <w:t xml:space="preserve">(</w:t>
      </w:r>
      <w:hyperlink w:anchor="ref-Williamson1994">
        <w:r>
          <w:rPr>
            <w:rStyle w:val="Hyperlink"/>
          </w:rPr>
          <w:t xml:space="preserve">1994</w:t>
        </w:r>
      </w:hyperlink>
      <w:r>
        <w:t xml:space="preserve">)</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0"/>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36"/>
    <w:bookmarkStart w:id="137" w:name="lockecorrect"/>
    <w:p>
      <w:pPr>
        <w:pStyle w:val="Heading3"/>
      </w:pPr>
      <w:r>
        <w:rPr>
          <w:rStyle w:val="SectionNumber"/>
        </w:rPr>
        <w:t xml:space="preserve">8.4.2</w:t>
      </w:r>
      <w:r>
        <w:tab/>
      </w:r>
      <w:r>
        <w:t xml:space="preserve">Correctness</w:t>
      </w:r>
    </w:p>
    <w:p>
      <w:pPr>
        <w:pStyle w:val="FirstParagraph"/>
      </w:pPr>
      <w:r>
        <w:t xml:space="preserve">I’ve talked about this one a bit in subsection</w:t>
      </w:r>
      <w:r>
        <w:t xml:space="preserve"> </w:t>
      </w:r>
      <w:r>
        <w:t xml:space="preserve">3.7.1</w:t>
      </w:r>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w:t>
      </w:r>
      <w:hyperlink w:anchor="ref-Lee2017a">
        <w:r>
          <w:rPr>
            <w:rStyle w:val="Hyperlink"/>
          </w:rPr>
          <w:t xml:space="preserve">2017</w:t>
        </w:r>
      </w:hyperlink>
      <w:r>
        <w:t xml:space="preserve">)</w:t>
      </w:r>
      <w:r>
        <w:t xml:space="preserve"> </w:t>
      </w:r>
      <w:r>
        <w:t xml:space="preserve">argues that the versions of this argument by Ross and Schroeder</w:t>
      </w:r>
      <w:r>
        <w:t xml:space="preserve"> </w:t>
      </w:r>
      <w:r>
        <w:t xml:space="preserve">(</w:t>
      </w:r>
      <w:hyperlink w:anchor="ref-RossSchroeder2014">
        <w:r>
          <w:rPr>
            <w:rStyle w:val="Hyperlink"/>
          </w:rPr>
          <w:t xml:space="preserve">2014</w:t>
        </w:r>
      </w:hyperlink>
      <w:r>
        <w:t xml:space="preserve">)</w:t>
      </w:r>
      <w:r>
        <w:t xml:space="preserve"> </w:t>
      </w:r>
      <w:r>
        <w:t xml:space="preserve">and Fantl and McGrath</w:t>
      </w:r>
      <w:r>
        <w:t xml:space="preserve"> </w:t>
      </w:r>
      <w:r>
        <w:t xml:space="preserve">(</w:t>
      </w:r>
      <w:hyperlink w:anchor="ref-FantlMcGrath2009">
        <w:r>
          <w:rPr>
            <w:rStyle w:val="Hyperlink"/>
          </w:rPr>
          <w:t xml:space="preserve">2009</w:t>
        </w:r>
      </w:hyperlink>
      <w:r>
        <w:t xml:space="preserve">)</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37"/>
    <w:bookmarkStart w:id="138" w:name="lockemoore"/>
    <w:p>
      <w:pPr>
        <w:pStyle w:val="Heading3"/>
      </w:pPr>
      <w:r>
        <w:rPr>
          <w:rStyle w:val="SectionNumber"/>
        </w:rPr>
        <w:t xml:space="preserve">8.4.3</w:t>
      </w:r>
      <w:r>
        <w:tab/>
      </w:r>
      <w:r>
        <w:t xml:space="preserve">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 subsection</w:t>
      </w:r>
      <w:r>
        <w:t xml:space="preserve"> </w:t>
      </w:r>
      <w:r>
        <w:t xml:space="preserve">2.3.1</w:t>
      </w:r>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38"/>
    <w:bookmarkStart w:id="140" w:name="closure"/>
    <w:p>
      <w:pPr>
        <w:pStyle w:val="Heading3"/>
      </w:pPr>
      <w:r>
        <w:rPr>
          <w:rStyle w:val="SectionNumber"/>
        </w:rPr>
        <w:t xml:space="preserve">8.4.4</w:t>
      </w:r>
      <w:r>
        <w:tab/>
      </w:r>
      <w:r>
        <w:t xml:space="preserve">Closure and the Lockean Theory</w:t>
      </w:r>
    </w:p>
    <w:p>
      <w:pPr>
        <w:pStyle w:val="FirstParagraph"/>
      </w:pPr>
      <w:r>
        <w:t xml:space="preserve">The Lockean theory makes an implausible prediction about conjunction.</w:t>
      </w:r>
      <w:r>
        <w:rPr>
          <w:rStyle w:val="FootnoteReference"/>
        </w:rPr>
        <w:footnoteReference w:id="13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w:t>
      </w:r>
      <w:hyperlink w:anchor="ref-Stalnaker1984">
        <w:r>
          <w:rPr>
            <w:rStyle w:val="Hyperlink"/>
          </w:rPr>
          <w:t xml:space="preserve">Stalnaker 1984, 92</w:t>
        </w:r>
      </w:hyperlink>
      <w:r>
        <w:t xml:space="preserve">)</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1"/>
        </w:numPr>
        <w:pStyle w:val="Compact"/>
      </w:pPr>
      <w:r>
        <w:rPr>
          <w:iCs/>
          <w:i/>
        </w:rPr>
        <w:t xml:space="preserve">S</w:t>
      </w:r>
      <w:r>
        <w:t xml:space="preserve"> </w:t>
      </w:r>
      <w:r>
        <w:t xml:space="preserve">is a rational agent.</w:t>
      </w:r>
    </w:p>
    <w:p>
      <w:pPr>
        <w:numPr>
          <w:ilvl w:val="0"/>
          <w:numId w:val="1051"/>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1"/>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knows that she has all these states, and consciously reflectively</w:t>
      </w:r>
      <w:r>
        <w:t xml:space="preserve"> </w:t>
      </w:r>
      <w:r>
        <w:t xml:space="preserve">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2"/>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w:t>
      </w:r>
      <w:hyperlink w:anchor="ref-Christensen2005">
        <w:r>
          <w:rPr>
            <w:rStyle w:val="Hyperlink"/>
          </w:rPr>
          <w:t xml:space="preserve">2005</w:t>
        </w:r>
      </w:hyperlink>
      <w:r>
        <w:t xml:space="preserve">)</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0"/>
    <w:bookmarkEnd w:id="141"/>
    <w:bookmarkStart w:id="146" w:name="solving"/>
    <w:p>
      <w:pPr>
        <w:pStyle w:val="Heading2"/>
      </w:pPr>
      <w:r>
        <w:rPr>
          <w:rStyle w:val="SectionNumber"/>
        </w:rPr>
        <w:t xml:space="preserve">8.5</w:t>
      </w:r>
      <w:r>
        <w:tab/>
      </w:r>
      <w:r>
        <w:t xml:space="preserve">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 subsection</w:t>
      </w:r>
      <w:r>
        <w:t xml:space="preserve"> </w:t>
      </w:r>
      <w:r>
        <w:t xml:space="preserve">3.7.1</w:t>
      </w:r>
      <w:r>
        <w:t xml:space="preserve">, and about closure in chapters</w:t>
      </w:r>
      <w:r>
        <w:t xml:space="preserve"> </w:t>
      </w:r>
      <w:r>
        <w:t xml:space="preserve">4</w:t>
      </w:r>
      <w:r>
        <w:t xml:space="preserve"> </w:t>
      </w:r>
      <w:r>
        <w:t xml:space="preserve">and</w:t>
      </w:r>
      <w:r>
        <w:t xml:space="preserve"> </w:t>
      </w:r>
      <w:r>
        <w:t xml:space="preserve">6</w:t>
      </w:r>
      <w:r>
        <w:t xml:space="preserve">, and there isn’t much to be added. But it’s worth saying a few words about the other four problems.</w:t>
      </w:r>
    </w:p>
    <w:bookmarkStart w:id="142" w:name="coins"/>
    <w:p>
      <w:pPr>
        <w:pStyle w:val="Heading3"/>
      </w:pPr>
      <w:r>
        <w:rPr>
          <w:rStyle w:val="SectionNumber"/>
        </w:rPr>
        <w:t xml:space="preserve">8.5.1</w:t>
      </w:r>
      <w:r>
        <w:tab/>
      </w:r>
      <w:r>
        <w:t xml:space="preserve">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2"/>
    <w:bookmarkStart w:id="143" w:name="games"/>
    <w:p>
      <w:pPr>
        <w:pStyle w:val="Heading3"/>
      </w:pPr>
      <w:r>
        <w:rPr>
          <w:rStyle w:val="SectionNumber"/>
        </w:rPr>
        <w:t xml:space="preserve">8.5.2</w:t>
      </w:r>
      <w:r>
        <w:tab/>
      </w:r>
      <w:r>
        <w:t xml:space="preserve">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43"/>
    <w:bookmarkStart w:id="144" w:name="arbitrariness"/>
    <w:p>
      <w:pPr>
        <w:pStyle w:val="Heading3"/>
      </w:pPr>
      <w:r>
        <w:rPr>
          <w:rStyle w:val="SectionNumber"/>
        </w:rPr>
        <w:t xml:space="preserve">8.5.3</w:t>
      </w:r>
      <w:r>
        <w:tab/>
      </w:r>
      <w:r>
        <w:t xml:space="preserve">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44"/>
    <w:bookmarkStart w:id="145" w:name="moore"/>
    <w:p>
      <w:pPr>
        <w:pStyle w:val="Heading3"/>
      </w:pPr>
      <w:r>
        <w:rPr>
          <w:rStyle w:val="SectionNumber"/>
        </w:rPr>
        <w:t xml:space="preserve">8.5.4</w:t>
      </w:r>
      <w:r>
        <w:tab/>
      </w:r>
      <w:r>
        <w:t xml:space="preserve">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45"/>
    <w:bookmarkEnd w:id="146"/>
    <w:bookmarkEnd w:id="147"/>
    <w:bookmarkStart w:id="163" w:name="evidence"/>
    <w:p>
      <w:pPr>
        <w:pStyle w:val="Heading1"/>
      </w:pPr>
      <w:r>
        <w:rPr>
          <w:rStyle w:val="SectionNumber"/>
        </w:rPr>
        <w:t xml:space="preserve">9</w:t>
      </w:r>
      <w:r>
        <w:tab/>
      </w:r>
      <w:r>
        <w:t xml:space="preserve">Evidence</w:t>
      </w:r>
    </w:p>
    <w:bookmarkStart w:id="149" w:name="evpuzzle"/>
    <w:p>
      <w:pPr>
        <w:pStyle w:val="Heading2"/>
      </w:pPr>
      <w:r>
        <w:rPr>
          <w:rStyle w:val="SectionNumber"/>
        </w:rPr>
        <w:t xml:space="preserve">9.1</w:t>
      </w:r>
      <w:r>
        <w:tab/>
      </w:r>
      <w:r>
        <w:t xml:space="preserve">A Puzzle About Evidence</w:t>
      </w:r>
    </w:p>
    <w:p>
      <w:pPr>
        <w:pStyle w:val="FirstParagraph"/>
      </w:pPr>
      <w:r>
        <w:t xml:space="preserve">Think back to the red-blue game from back in section</w:t>
      </w:r>
      <w:r>
        <w:t xml:space="preserve"> </w:t>
      </w:r>
      <w:r>
        <w:t xml:space="preserve">2.1</w:t>
      </w:r>
      <w:r>
        <w:t xml:space="preserve">, and consider a variant on it with the following two characteristics.</w:t>
      </w:r>
      <w:r>
        <w:rPr>
          <w:rStyle w:val="FootnoteReference"/>
        </w:rPr>
        <w:footnoteReference w:id="148"/>
      </w:r>
    </w:p>
    <w:p>
      <w:pPr>
        <w:numPr>
          <w:ilvl w:val="0"/>
          <w:numId w:val="1053"/>
        </w:numPr>
        <w:pStyle w:val="Compact"/>
      </w:pPr>
      <w:r>
        <w:t xml:space="preserve">The red sentence is that two plus two equals four.</w:t>
      </w:r>
    </w:p>
    <w:p>
      <w:pPr>
        <w:numPr>
          <w:ilvl w:val="0"/>
          <w:numId w:val="1053"/>
        </w:numPr>
        <w:pStyle w:val="Compact"/>
      </w:pPr>
      <w:r>
        <w:t xml:space="preserve">The blue sentence is something that, if known, would be part of the</w:t>
      </w:r>
      <w:r>
        <w:t xml:space="preserve"> </w:t>
      </w:r>
      <w:r>
        <w:t xml:space="preserve">agent’s evidence.</w:t>
      </w:r>
    </w:p>
    <w:p>
      <w:pPr>
        <w:pStyle w:val="FirstParagraph"/>
      </w:pPr>
      <w:r>
        <w:t xml:space="preserve">I’m going to argue that there are cases where the only rational play is Red-True, but the blue sentence is something we want to say that, ordinarily, the subject knows.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 subsection</w:t>
      </w:r>
      <w:r>
        <w:t xml:space="preserve"> </w:t>
      </w:r>
      <w:r>
        <w:t xml:space="preserve">2.3.4</w:t>
      </w:r>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4"/>
        </w:numPr>
        <w:pStyle w:val="Compact"/>
      </w:pPr>
      <w:r>
        <w:t xml:space="preserve">The red sentence is</w:t>
      </w:r>
      <w:r>
        <w:t xml:space="preserve"> </w:t>
      </w:r>
      <w:r>
        <w:rPr>
          <w:iCs/>
          <w:i/>
        </w:rPr>
        <w:t xml:space="preserve">Two plus two equals four</w:t>
      </w:r>
      <w:r>
        <w:t xml:space="preserve">.</w:t>
      </w:r>
    </w:p>
    <w:p>
      <w:pPr>
        <w:numPr>
          <w:ilvl w:val="0"/>
          <w:numId w:val="1054"/>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5"/>
        </w:numPr>
        <w:pStyle w:val="Compact"/>
      </w:pPr>
      <w:r>
        <w:t xml:space="preserve">The unique rational play for Parveen is Red-True; and</w:t>
      </w:r>
    </w:p>
    <w:p>
      <w:pPr>
        <w:numPr>
          <w:ilvl w:val="0"/>
          <w:numId w:val="1055"/>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t>
      </w:r>
      <w:hyperlink w:anchor="ref-Williamson2007">
        <w:r>
          <w:rPr>
            <w:rStyle w:val="Hyperlink"/>
          </w:rPr>
          <w:t xml:space="preserve">Williamson 2007</w:t>
        </w:r>
      </w:hyperlink>
      <w:r>
        <w:t xml:space="preserve">)</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w:t>
      </w:r>
      <w:hyperlink w:anchor="ref-Schwitzgebel2008">
        <w:r>
          <w:rPr>
            <w:rStyle w:val="Hyperlink"/>
          </w:rPr>
          <w:t xml:space="preserve">Schwitzgebel 2008</w:t>
        </w:r>
      </w:hyperlink>
      <w:r>
        <w:t xml:space="preserve">)</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49"/>
    <w:bookmarkStart w:id="150" w:name="simplesolution"/>
    <w:p>
      <w:pPr>
        <w:pStyle w:val="Heading2"/>
      </w:pPr>
      <w:r>
        <w:rPr>
          <w:rStyle w:val="SectionNumber"/>
        </w:rPr>
        <w:t xml:space="preserve">9.2</w:t>
      </w:r>
      <w:r>
        <w:tab/>
      </w:r>
      <w:r>
        <w:t xml:space="preserve">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 chapter</w:t>
      </w:r>
      <w:r>
        <w:t xml:space="preserve"> </w:t>
      </w:r>
      <w:r>
        <w:t xml:space="preserve">6</w:t>
      </w:r>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the agent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the following is true:</w:t>
      </w:r>
    </w:p>
    <w:p>
      <w:pPr>
        <w:pStyle w:val="BodyText"/>
      </w:pPr>
      <m:oMathPara>
        <m:oMathParaPr>
          <m:jc m:val="center"/>
        </m:oMathParaPr>
        <m:oMath>
          <m:f>
            <m:fPr>
              <m:type m:val="bar"/>
            </m:fPr>
            <m:num>
              <m:sSup>
                <m:e>
                  <m:r>
                    <m:t>V</m:t>
                  </m:r>
                </m:e>
                <m:sup>
                  <m:r>
                    <m:rPr>
                      <m:sty m:val="p"/>
                    </m:rPr>
                    <m:t>−</m:t>
                  </m:r>
                </m:sup>
              </m:sSup>
              <m:d>
                <m:dPr>
                  <m:begChr m:val="("/>
                  <m:endChr m:val=")"/>
                  <m:sepChr m:val=""/>
                  <m:grow/>
                </m:dPr>
                <m:e>
                  <m:r>
                    <m:t>O</m:t>
                  </m:r>
                  <m:r>
                    <m:rPr>
                      <m:sty m:val="p"/>
                    </m:rPr>
                    <m:t>|</m:t>
                  </m:r>
                  <m:r>
                    <m:t>K</m:t>
                  </m:r>
                </m:e>
              </m:d>
              <m:r>
                <m:rPr>
                  <m:sty m:val="p"/>
                </m:rPr>
                <m:t>+</m:t>
              </m:r>
              <m:sSup>
                <m:e>
                  <m:r>
                    <m:t>V</m:t>
                  </m:r>
                </m:e>
                <m:sup>
                  <m:r>
                    <m:rPr>
                      <m:sty m:val="p"/>
                    </m:rPr>
                    <m:t>−</m:t>
                  </m:r>
                </m:sup>
              </m:sSup>
              <m:d>
                <m:dPr>
                  <m:begChr m:val="("/>
                  <m:endChr m:val=")"/>
                  <m:sepChr m:val=""/>
                  <m:grow/>
                </m:dPr>
                <m:e>
                  <m:r>
                    <m:t>O</m:t>
                  </m:r>
                  <m:r>
                    <m:rPr>
                      <m:sty m:val="p"/>
                    </m:rPr>
                    <m:t>|</m:t>
                  </m:r>
                  <m:r>
                    <m:t>K</m:t>
                  </m:r>
                  <m:r>
                    <m:rPr>
                      <m:sty m:val="p"/>
                    </m:rPr>
                    <m:t>∧</m:t>
                  </m:r>
                  <m:r>
                    <m:t>p</m:t>
                  </m:r>
                </m:e>
              </m:d>
            </m:num>
            <m:den>
              <m:r>
                <m:t>2</m:t>
              </m:r>
            </m:den>
          </m:f>
          <m:r>
            <m:rPr>
              <m:sty m:val="p"/>
            </m:rPr>
            <m:t>≥</m:t>
          </m:r>
          <m:r>
            <m:t>x</m:t>
          </m:r>
        </m:oMath>
      </m:oMathPara>
    </w:p>
    <w:p>
      <w:pPr>
        <w:pStyle w:val="FirstParagraph"/>
      </w:pPr>
      <w:r>
        <w:t xml:space="preserve">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0"/>
    <w:bookmarkStart w:id="151" w:name="radicalinterpretation"/>
    <w:p>
      <w:pPr>
        <w:pStyle w:val="Heading2"/>
      </w:pPr>
      <w:r>
        <w:rPr>
          <w:rStyle w:val="SectionNumber"/>
        </w:rPr>
        <w:t xml:space="preserve">9.3</w:t>
      </w:r>
      <w:r>
        <w:tab/>
      </w:r>
      <w:r>
        <w:t xml:space="preserve">The Radical Interpreter</w:t>
      </w:r>
    </w:p>
    <w:p>
      <w:pPr>
        <w:pStyle w:val="FirstParagraph"/>
      </w:pPr>
      <w:r>
        <w:t xml:space="preserve">Many philosophical problems can be usefully thought of as games, and hence studied using game theoretic techniques. This is especially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lef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lef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6"/>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6"/>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t xml:space="preserve"> </w:t>
      </w:r>
      <w:r>
        <w:rPr>
          <w:iCs/>
          <w:i/>
        </w:rPr>
        <w:t xml:space="preserve">K</w:t>
      </w:r>
      <w:r>
        <w:t xml:space="preserve">) = 0.9. Each party now faces a choice.</w:t>
      </w:r>
    </w:p>
    <w:p>
      <w:pPr>
        <w:numPr>
          <w:ilvl w:val="0"/>
          <w:numId w:val="1057"/>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7"/>
        </w:numPr>
        <w:pStyle w:val="Compact"/>
      </w:pPr>
      <w:r>
        <w:t xml:space="preserve">Human has to decide whether to Take or Decline the bet.</w:t>
      </w:r>
    </w:p>
    <w:p>
      <w:pPr>
        <w:pStyle w:val="FirstParagraph"/>
      </w:pPr>
      <w:r>
        <w:t xml:space="preserve">The Radical Interpreter achieves their goal if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lef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lef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1"/>
    <w:bookmarkStart w:id="156" w:name="globalgame"/>
    <w:p>
      <w:pPr>
        <w:pStyle w:val="Heading2"/>
      </w:pPr>
      <w:r>
        <w:rPr>
          <w:rStyle w:val="SectionNumber"/>
        </w:rPr>
        <w:t xml:space="preserve">9.4</w:t>
      </w:r>
      <w:r>
        <w:tab/>
      </w:r>
      <w:r>
        <w:t xml:space="preserve">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lef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lef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8"/>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8"/>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22</w:t>
      </w:r>
    </w:p>
    <w:p>
      <w:pPr>
        <w:numPr>
          <w:ilvl w:val="0"/>
          <w:numId w:val="1058"/>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&gt;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no one prefers the other equilibria to it.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from Hans Carlsson and Eric van Damme</w:t>
      </w:r>
      <w:r>
        <w:t xml:space="preserve"> </w:t>
      </w:r>
      <w:r>
        <w:t xml:space="preserve">(</w:t>
      </w:r>
      <w:hyperlink w:anchor="ref-CarlssonVanDamme1993">
        <w:r>
          <w:rPr>
            <w:rStyle w:val="Hyperlink"/>
          </w:rPr>
          <w:t xml:space="preserve">1993</w:t>
        </w:r>
      </w:hyperlink>
      <w:r>
        <w:t xml:space="preserve">)</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w:t>
      </w:r>
      <w:hyperlink w:anchor="ref-Rousseau1913">
        <w:r>
          <w:rPr>
            <w:rStyle w:val="Hyperlink"/>
          </w:rPr>
          <w:t xml:space="preserve">Rousseau 1913, 209–10</w:t>
        </w:r>
      </w:hyperlink>
      <w:r>
        <w:t xml:space="preserve">)</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lef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52"/>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t>
      </w:r>
      <w:hyperlink w:anchor="ref-Weatherson2018-WEAIEA-2">
        <w:r>
          <w:rPr>
            <w:rStyle w:val="Hyperlink"/>
          </w:rPr>
          <w:t xml:space="preserve">Weatherson 2018</w:t>
        </w:r>
      </w:hyperlink>
      <w:r>
        <w:t xml:space="preserve">)</w:t>
      </w:r>
      <w:r>
        <w:t xml:space="preserve">. But I now think this was a mistake.</w:t>
      </w:r>
      <w:r>
        <w:rPr>
          <w:rStyle w:val="FootnoteReference"/>
        </w:rPr>
        <w:footnoteReference w:id="153"/>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So think about the case with Parveen. Given that Parveen’s evidence is not luminous</w:t>
      </w:r>
      <w:r>
        <w:t xml:space="preserve"> </w:t>
      </w:r>
      <w:r>
        <w:t xml:space="preserve">(</w:t>
      </w:r>
      <w:hyperlink w:anchor="ref-Williamson2000">
        <w:r>
          <w:rPr>
            <w:rStyle w:val="Hyperlink"/>
          </w:rPr>
          <w:t xml:space="preserve">Williamson 2000</w:t>
        </w:r>
      </w:hyperlink>
      <w:r>
        <w:t xml:space="preserve">)</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 subsection</w:t>
      </w:r>
      <w:r>
        <w:t xml:space="preserve"> </w:t>
      </w:r>
      <w:r>
        <w:t xml:space="preserve">9.4.2</w:t>
      </w:r>
      <w:r>
        <w:t xml:space="preserve">, that Carlsson and van Damme’s result only needs that one player is uncertain of the payouts. And given that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54" w:name="cvdproof"/>
    <w:p>
      <w:pPr>
        <w:pStyle w:val="Heading3"/>
      </w:pPr>
      <w:r>
        <w:rPr>
          <w:rStyle w:val="SectionNumber"/>
        </w:rPr>
        <w:t xml:space="preserve">9.4.1</w:t>
      </w:r>
      <w:r>
        <w:tab/>
      </w:r>
      <w:r>
        <w:t xml:space="preserve">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r>
                <m:t>a</m:t>
              </m:r>
            </m:oMath>
          </w:p>
        </w:tc>
        <w:tc>
          <w:tcPr/>
          <w:p>
            <w:pPr>
              <w:pStyle w:val="Compact"/>
              <w:jc w:val="center"/>
            </w:pPr>
            <m:oMath>
              <m:r>
                <m:t>b</m:t>
              </m:r>
            </m:oMath>
          </w:p>
        </w:tc>
      </w:tr>
      <w:tr>
        <w:tc>
          <w:tcPr/>
          <w:p>
            <w:pPr>
              <w:pStyle w:val="Compact"/>
              <w:jc w:val="lef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54"/>
    <w:bookmarkStart w:id="155" w:name="perfectri"/>
    <w:p>
      <w:pPr>
        <w:pStyle w:val="Heading3"/>
      </w:pPr>
      <w:r>
        <w:rPr>
          <w:rStyle w:val="SectionNumber"/>
        </w:rPr>
        <w:t xml:space="preserve">9.4.2</w:t>
      </w:r>
      <w:r>
        <w:tab/>
      </w:r>
      <w:r>
        <w:t xml:space="preserve">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p>
    <w:p>
      <w:pPr>
        <w:pStyle w:val="BodyText"/>
      </w:pPr>
      <m:oMathPara>
        <m:oMathParaPr>
          <m:jc m:val="center"/>
        </m:oMathParaPr>
        <m:oMath>
          <m:r>
            <m:t>x</m:t>
          </m:r>
          <m:r>
            <m:rPr>
              <m:sty m:val="p"/>
            </m:rPr>
            <m:t>&lt;</m:t>
          </m:r>
          <m:f>
            <m:fPr>
              <m:type m:val="bar"/>
            </m:fPr>
            <m:num>
              <m:r>
                <m:t>2</m:t>
              </m:r>
              <m:r>
                <m:rPr>
                  <m:sty m:val="p"/>
                </m:rPr>
                <m:t>+</m:t>
              </m:r>
              <m:r>
                <m:t>4</m:t>
              </m:r>
              <m:r>
                <m:t>y</m:t>
              </m:r>
            </m:num>
            <m:den>
              <m:r>
                <m:t>5</m:t>
              </m:r>
            </m:den>
          </m:f>
        </m:oMath>
      </m:oMathPara>
    </w:p>
    <w:p>
      <w:pPr>
        <w:pStyle w:val="FirstParagraph"/>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55"/>
    <w:bookmarkEnd w:id="156"/>
    <w:bookmarkStart w:id="157" w:name="evsolution"/>
    <w:p>
      <w:pPr>
        <w:pStyle w:val="Heading2"/>
      </w:pPr>
      <w:r>
        <w:rPr>
          <w:rStyle w:val="SectionNumber"/>
        </w:rPr>
        <w:t xml:space="preserve">9.5</w:t>
      </w:r>
      <w:r>
        <w:tab/>
      </w:r>
      <w:r>
        <w:t xml:space="preserve">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section</w:t>
      </w:r>
      <w:r>
        <w:t xml:space="preserve"> </w:t>
      </w:r>
      <w:r>
        <w:t xml:space="preserve">9.6</w:t>
      </w:r>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57"/>
    <w:bookmarkStart w:id="158" w:name="cutelim"/>
    <w:p>
      <w:pPr>
        <w:pStyle w:val="Heading2"/>
      </w:pPr>
      <w:r>
        <w:rPr>
          <w:rStyle w:val="SectionNumber"/>
        </w:rPr>
        <w:t xml:space="preserve">9.6</w:t>
      </w:r>
      <w:r>
        <w:tab/>
      </w:r>
      <w:r>
        <w:t xml:space="preserve">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w:t>
      </w:r>
      <w:hyperlink w:anchor="ref-Nair2019">
        <w:r>
          <w:rPr>
            <w:rStyle w:val="Hyperlink"/>
          </w:rPr>
          <w:t xml:space="preserve">2019</w:t>
        </w:r>
      </w:hyperlink>
      <w:r>
        <w:t xml:space="preserve">)</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59"/>
        </w:numPr>
        <w:pStyle w:val="Compact"/>
      </w:pPr>
      <w:r>
        <w:t xml:space="preserve">Γ ⊨ A</w:t>
      </w:r>
    </w:p>
    <w:p>
      <w:pPr>
        <w:numPr>
          <w:ilvl w:val="0"/>
          <w:numId w:val="1059"/>
        </w:numPr>
        <w:pStyle w:val="Compact"/>
      </w:pPr>
      <w:r>
        <w:t xml:space="preserve">{A} ∪ Δ ⊨ B</w:t>
      </w:r>
    </w:p>
    <w:p>
      <w:pPr>
        <w:numPr>
          <w:ilvl w:val="0"/>
          <w:numId w:val="1059"/>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 Here is a monotonic example, based on an argument against E=K by Alvin Goldman</w:t>
      </w:r>
      <w:r>
        <w:t xml:space="preserve"> </w:t>
      </w:r>
      <w:r>
        <w:t xml:space="preserve">(</w:t>
      </w:r>
      <w:hyperlink w:anchor="ref-Goldman2009">
        <w:r>
          <w:rPr>
            <w:rStyle w:val="Hyperlink"/>
          </w:rPr>
          <w:t xml:space="preserve">2009</w:t>
        </w:r>
      </w:hyperlink>
      <w:r>
        <w:t xml:space="preserve">)</w:t>
      </w:r>
      <w:r>
        <w:t xml:space="preserve">. In many ways the argument against E=K I’m going to give is just a notational variant on Goldman’s, but I think the notation helps see it in context.</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 this isn’t like working out the mass of an electron. (It’s more like working out the details of the diet of some animal.)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But while such cases are plausible, they are weird. And I don’t propose to offer any particular story about them.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 chapter</w:t>
      </w:r>
      <w:r>
        <w:t xml:space="preserve"> </w:t>
      </w:r>
      <w:r>
        <w:t xml:space="preserve">4</w:t>
      </w:r>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t>
      </w:r>
      <w:hyperlink w:anchor="ref-Weisberg2010">
        <w:r>
          <w:rPr>
            <w:rStyle w:val="Hyperlink"/>
          </w:rPr>
          <w:t xml:space="preserve">Weisberg 2010, 533–34</w:t>
        </w:r>
      </w:hyperlink>
      <w:r>
        <w:t xml:space="preserve">)</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w:t>
      </w:r>
      <w:hyperlink w:anchor="ref-Weisberg2010">
        <w:r>
          <w:rPr>
            <w:rStyle w:val="Hyperlink"/>
          </w:rPr>
          <w:t xml:space="preserve">2010, 536</w:t>
        </w:r>
      </w:hyperlink>
      <w:r>
        <w:t xml:space="preserve">)</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w:t>
      </w:r>
      <w:hyperlink w:anchor="ref-Bird2004">
        <w:r>
          <w:rPr>
            <w:rStyle w:val="Hyperlink"/>
          </w:rPr>
          <w:t xml:space="preserve">2004</w:t>
        </w:r>
      </w:hyperlink>
      <w:r>
        <w:t xml:space="preserve">)</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58"/>
    <w:bookmarkStart w:id="159" w:name="basic"/>
    <w:p>
      <w:pPr>
        <w:pStyle w:val="Heading2"/>
      </w:pPr>
      <w:r>
        <w:rPr>
          <w:rStyle w:val="SectionNumber"/>
        </w:rPr>
        <w:t xml:space="preserve">9.7</w:t>
      </w:r>
      <w:r>
        <w:tab/>
      </w:r>
      <w:r>
        <w:t xml:space="preserve">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w:t>
      </w:r>
      <w:hyperlink w:anchor="ref-Maher1996">
        <w:r>
          <w:rPr>
            <w:rStyle w:val="Hyperlink"/>
          </w:rPr>
          <w:t xml:space="preserve">1996</w:t>
        </w:r>
      </w:hyperlink>
      <w:r>
        <w:t xml:space="preserve">)</w:t>
      </w:r>
      <w:r>
        <w:t xml:space="preserve">. And it is, I will argue, close to the right view. But it can’t be exactly right, for reasons Alexander Bird</w:t>
      </w:r>
      <w:r>
        <w:t xml:space="preserve"> </w:t>
      </w:r>
      <w:r>
        <w:t xml:space="preserve">(</w:t>
      </w:r>
      <w:hyperlink w:anchor="ref-Bird2004">
        <w:r>
          <w:rPr>
            <w:rStyle w:val="Hyperlink"/>
          </w:rPr>
          <w:t xml:space="preserve">2004</w:t>
        </w:r>
      </w:hyperlink>
      <w:r>
        <w:t xml:space="preserve">)</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w:t>
      </w:r>
      <w:hyperlink w:anchor="ref-Harman1986">
        <w:r>
          <w:rPr>
            <w:rStyle w:val="Hyperlink"/>
          </w:rPr>
          <w:t xml:space="preserve">1986</w:t>
        </w:r>
      </w:hyperlink>
      <w:r>
        <w:t xml:space="preserve">)</w:t>
      </w:r>
      <w:r>
        <w:t xml:space="preserve"> </w:t>
      </w:r>
      <w:r>
        <w:t xml:space="preserve">stresses, an obligation to remember our evidence is wildly unrealistic. The inquirer learns</w:t>
      </w:r>
      <w:r>
        <w:t xml:space="preserve"> </w:t>
      </w:r>
      <m:oMath>
        <m:r>
          <m:t>C</m:t>
        </m:r>
      </m:oMath>
      <w:r>
        <w:t xml:space="preserve">, and infers</w:t>
      </w:r>
      <w:r>
        <w:t xml:space="preserve"> </w:t>
      </w:r>
      <m:oMath>
        <m:r>
          <m:t>B</m:t>
        </m:r>
        <m:r>
          <m:rPr>
            <m:sty m:val="p"/>
          </m:rPr>
          <m:t>∧</m:t>
        </m:r>
        <m:r>
          <m:t>C</m:t>
        </m:r>
      </m:oMath>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w:t>
      </w:r>
      <w:hyperlink w:anchor="ref-Harman1986">
        <w:r>
          <w:rPr>
            <w:rStyle w:val="Hyperlink"/>
          </w:rPr>
          <w:t xml:space="preserve">1986</w:t>
        </w:r>
      </w:hyperlink>
      <w:r>
        <w:t xml:space="preserve">)</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w:t>
      </w:r>
      <w:hyperlink w:anchor="ref-Dogramaci2015">
        <w:r>
          <w:rPr>
            <w:rStyle w:val="Hyperlink"/>
          </w:rPr>
          <w:t xml:space="preserve">2015</w:t>
        </w:r>
      </w:hyperlink>
      <w:r>
        <w:t xml:space="preserve">)</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59"/>
    <w:bookmarkStart w:id="161" w:name="neta"/>
    <w:p>
      <w:pPr>
        <w:pStyle w:val="Heading2"/>
      </w:pPr>
      <w:r>
        <w:rPr>
          <w:rStyle w:val="SectionNumber"/>
        </w:rPr>
        <w:t xml:space="preserve">9.8</w:t>
      </w:r>
      <w:r>
        <w:tab/>
      </w:r>
      <w:r>
        <w:t xml:space="preserve">Holism and Defeaters</w:t>
      </w:r>
    </w:p>
    <w:p>
      <w:pPr>
        <w:pStyle w:val="FirstParagraph"/>
      </w:pPr>
      <w:r>
        <w:t xml:space="preserve">The picture of evidence I’ve outlined here grounds a natural response to a nice puzzle case due to Ram Neta</w:t>
      </w:r>
      <w:r>
        <w:t xml:space="preserve"> </w:t>
      </w:r>
      <w:r>
        <w:t xml:space="preserve">(</w:t>
      </w:r>
      <w:hyperlink w:anchor="ref-Neta2007">
        <w:r>
          <w:rPr>
            <w:rStyle w:val="Hyperlink"/>
          </w:rPr>
          <w:t xml:space="preserve">2007</w:t>
        </w:r>
      </w:hyperlink>
      <w:r>
        <w:t xml:space="preserve">)</w:t>
      </w:r>
      <w:r>
        <w:t xml:space="preserve">.</w:t>
      </w:r>
      <w:r>
        <w:rPr>
          <w:rStyle w:val="FootnoteReference"/>
        </w:rPr>
        <w:footnoteReference w:id="160"/>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w:t>
      </w:r>
      <w:hyperlink w:anchor="ref-Neta2007">
        <w:r>
          <w:rPr>
            <w:rStyle w:val="Hyperlink"/>
          </w:rPr>
          <w:t xml:space="preserve">Neta 2007, 182</w:t>
        </w:r>
      </w:hyperlink>
      <w:r>
        <w:t xml:space="preserve">)</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0"/>
        </w:numPr>
        <w:pStyle w:val="Compact"/>
      </w:pPr>
      <w:r>
        <w:t xml:space="preserve">Both signs supply evidence directly to Kate, so her evidence includes that she is on State and that she is on Main.</w:t>
      </w:r>
    </w:p>
    <w:p>
      <w:pPr>
        <w:numPr>
          <w:ilvl w:val="0"/>
          <w:numId w:val="1060"/>
        </w:numPr>
        <w:pStyle w:val="Compact"/>
      </w:pPr>
      <w:r>
        <w:t xml:space="preserve">Neither sign contributes evidence directly to Kate, so her evidence includes what the signs say, but nothing directly about her location.</w:t>
      </w:r>
    </w:p>
    <w:p>
      <w:pPr>
        <w:numPr>
          <w:ilvl w:val="0"/>
          <w:numId w:val="1060"/>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w:t>
      </w:r>
      <w:hyperlink w:anchor="ref-Pryor2004">
        <w:r>
          <w:rPr>
            <w:rStyle w:val="Hyperlink"/>
          </w:rPr>
          <w:t xml:space="preserve">2004</w:t>
        </w:r>
      </w:hyperlink>
      <w:r>
        <w:t xml:space="preserve">)</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1"/>
    <w:bookmarkStart w:id="162" w:name="weakness"/>
    <w:p>
      <w:pPr>
        <w:pStyle w:val="Heading2"/>
      </w:pPr>
      <w:r>
        <w:rPr>
          <w:rStyle w:val="SectionNumber"/>
        </w:rPr>
        <w:t xml:space="preserve">9.9</w:t>
      </w:r>
      <w:r>
        <w:tab/>
      </w:r>
      <w:r>
        <w:t xml:space="preserve">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w:t>
      </w:r>
      <w:hyperlink w:anchor="ref-FantlMcGrath2009">
        <w:r>
          <w:rPr>
            <w:rStyle w:val="Hyperlink"/>
          </w:rPr>
          <w:t xml:space="preserve">Fantl and McGrath 2009, 64</w:t>
        </w:r>
      </w:hyperlink>
      <w:r>
        <w:t xml:space="preserve">)</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w:t>
      </w:r>
      <w:hyperlink w:anchor="ref-FantlMcGrath2009">
        <w:r>
          <w:rPr>
            <w:rStyle w:val="Hyperlink"/>
          </w:rPr>
          <w:t xml:space="preserve">Fantl and McGrath 2009, 67</w:t>
        </w:r>
      </w:hyperlink>
      <w:r>
        <w:t xml:space="preserve">)</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62"/>
    <w:bookmarkEnd w:id="163"/>
    <w:bookmarkStart w:id="444" w:name="power"/>
    <w:p>
      <w:pPr>
        <w:pStyle w:val="Heading1"/>
      </w:pPr>
      <w:r>
        <w:rPr>
          <w:rStyle w:val="SectionNumber"/>
        </w:rPr>
        <w:t xml:space="preserve">10</w:t>
      </w:r>
      <w:r>
        <w:tab/>
      </w:r>
      <w:r>
        <w:t xml:space="preserve">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64"/>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65"/>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 chapter</w:t>
      </w:r>
      <w:r>
        <w:t xml:space="preserve"> </w:t>
      </w:r>
      <w:r>
        <w:t xml:space="preserve">5</w:t>
      </w:r>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that’s taken up much of the book. So in chapter</w:t>
      </w:r>
      <w:r>
        <w:t xml:space="preserve"> </w:t>
      </w:r>
      <w:r>
        <w:t xml:space="preserve">3</w:t>
      </w:r>
      <w:r>
        <w:t xml:space="preserve"> </w:t>
      </w:r>
      <w:r>
        <w:t xml:space="preserve">I replied to (successful) criticisms of how I’d formally handled knowledge of propositions that are not relevant to the thinker’s current inquiries. In chapter</w:t>
      </w:r>
      <w:r>
        <w:t xml:space="preserve"> </w:t>
      </w:r>
      <w:r>
        <w:t xml:space="preserve">5</w:t>
      </w:r>
      <w:r>
        <w:t xml:space="preserve"> </w:t>
      </w:r>
      <w:r>
        <w:t xml:space="preserve">I replied to arguments that started with the observation that it sometimes seems right to double check things that we know. And in chapter</w:t>
      </w:r>
      <w:r>
        <w:t xml:space="preserve"> </w:t>
      </w:r>
      <w:r>
        <w:t xml:space="preserve">6</w:t>
      </w:r>
      <w:r>
        <w:t xml:space="preserve"> </w:t>
      </w:r>
      <w:r>
        <w:t xml:space="preserve">I replies to arguments based on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 chapter</w:t>
      </w:r>
      <w:r>
        <w:t xml:space="preserve"> </w:t>
      </w:r>
      <w:r>
        <w:t xml:space="preserve">7</w:t>
      </w:r>
      <w:r>
        <w:t xml:space="preserve"> </w:t>
      </w:r>
      <w:r>
        <w:t xml:space="preserve">about how many things we know knowledge is sensitive to,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Start w:id="443" w:name="refs"/>
    <w:bookmarkStart w:id="166"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66"/>
    <w:bookmarkStart w:id="167"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67"/>
    <w:bookmarkStart w:id="168"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68"/>
    <w:bookmarkStart w:id="169"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69"/>
    <w:bookmarkStart w:id="170"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0"/>
    <w:bookmarkStart w:id="172"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71">
        <w:r>
          <w:rPr>
            <w:rStyle w:val="Hyperlink"/>
          </w:rPr>
          <w:t xml:space="preserve">https://doi.org/10.1093/analys/anr083</w:t>
        </w:r>
      </w:hyperlink>
      <w:r>
        <w:t xml:space="preserve">.</w:t>
      </w:r>
    </w:p>
    <w:bookmarkEnd w:id="172"/>
    <w:bookmarkStart w:id="174"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73">
        <w:r>
          <w:rPr>
            <w:rStyle w:val="Hyperlink"/>
          </w:rPr>
          <w:t xml:space="preserve">https://doi.org/10.1007/s001820050111</w:t>
        </w:r>
      </w:hyperlink>
      <w:r>
        <w:t xml:space="preserve">.</w:t>
      </w:r>
    </w:p>
    <w:bookmarkEnd w:id="174"/>
    <w:bookmarkStart w:id="175"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75"/>
    <w:bookmarkStart w:id="176" w:name="ref-Bennett2017"/>
    <w:p>
      <w:pPr>
        <w:pStyle w:val="Bibliography"/>
      </w:pPr>
      <w:r>
        <w:t xml:space="preserve">Bennett, Karen. 2017.</w:t>
      </w:r>
      <w:r>
        <w:t xml:space="preserve"> </w:t>
      </w:r>
      <w:r>
        <w:rPr>
          <w:iCs/>
          <w:i/>
        </w:rPr>
        <w:t xml:space="preserve">Making Things up</w:t>
      </w:r>
      <w:r>
        <w:t xml:space="preserve">. Oxford: Oxford University Press.</w:t>
      </w:r>
    </w:p>
    <w:bookmarkEnd w:id="176"/>
    <w:bookmarkStart w:id="177"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77"/>
    <w:bookmarkStart w:id="178"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78"/>
    <w:bookmarkStart w:id="180"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79">
        <w:r>
          <w:rPr>
            <w:rStyle w:val="Hyperlink"/>
          </w:rPr>
          <w:t xml:space="preserve">https://doi.org/10.1111/j.0031-8094.2004.00350.x</w:t>
        </w:r>
      </w:hyperlink>
      <w:r>
        <w:t xml:space="preserve">.</w:t>
      </w:r>
    </w:p>
    <w:bookmarkEnd w:id="180"/>
    <w:bookmarkStart w:id="182"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81">
        <w:r>
          <w:rPr>
            <w:rStyle w:val="Hyperlink"/>
          </w:rPr>
          <w:t xml:space="preserve">https://doi.org/10.1111/j.1933-1592.2009.00280.x</w:t>
        </w:r>
      </w:hyperlink>
      <w:r>
        <w:t xml:space="preserve">.</w:t>
      </w:r>
    </w:p>
    <w:bookmarkEnd w:id="182"/>
    <w:bookmarkStart w:id="184"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83">
        <w:r>
          <w:rPr>
            <w:rStyle w:val="Hyperlink"/>
          </w:rPr>
          <w:t xml:space="preserve">https://doi.org/10.1007/s11229-015-0878-y</w:t>
        </w:r>
      </w:hyperlink>
      <w:r>
        <w:t xml:space="preserve">.</w:t>
      </w:r>
    </w:p>
    <w:bookmarkEnd w:id="184"/>
    <w:bookmarkStart w:id="186"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85">
        <w:r>
          <w:rPr>
            <w:rStyle w:val="Hyperlink"/>
          </w:rPr>
          <w:t xml:space="preserve">https://doi.org/10.1111/j.1468-0262.2008.00835.x</w:t>
        </w:r>
      </w:hyperlink>
      <w:r>
        <w:t xml:space="preserve">.</w:t>
      </w:r>
    </w:p>
    <w:bookmarkEnd w:id="186"/>
    <w:bookmarkStart w:id="188"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87">
        <w:r>
          <w:rPr>
            <w:rStyle w:val="Hyperlink"/>
          </w:rPr>
          <w:t xml:space="preserve">https://plato.stanford.edu/archives/sum2021/entries/philo-larissa/</w:t>
        </w:r>
      </w:hyperlink>
      <w:r>
        <w:t xml:space="preserve">; Metaphysics Research Lab, Stanford University.</w:t>
      </w:r>
    </w:p>
    <w:bookmarkEnd w:id="188"/>
    <w:bookmarkStart w:id="190"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89">
        <w:r>
          <w:rPr>
            <w:rStyle w:val="Hyperlink"/>
          </w:rPr>
          <w:t xml:space="preserve">https://doi.org/10.1111/j.1468-0068.2008.00677.x</w:t>
        </w:r>
      </w:hyperlink>
      <w:r>
        <w:t xml:space="preserve">.</w:t>
      </w:r>
    </w:p>
    <w:bookmarkEnd w:id="190"/>
    <w:bookmarkStart w:id="191" w:name="ref-BuchakRisk"/>
    <w:p>
      <w:pPr>
        <w:pStyle w:val="Bibliography"/>
      </w:pPr>
      <w:r>
        <w:t xml:space="preserve">Buchak, Lara. 2013.</w:t>
      </w:r>
      <w:r>
        <w:t xml:space="preserve"> </w:t>
      </w:r>
      <w:r>
        <w:rPr>
          <w:iCs/>
          <w:i/>
        </w:rPr>
        <w:t xml:space="preserve">Risk and Rationality</w:t>
      </w:r>
      <w:r>
        <w:t xml:space="preserve">. Oxford: Oxford University Press.</w:t>
      </w:r>
    </w:p>
    <w:bookmarkEnd w:id="191"/>
    <w:bookmarkStart w:id="193"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192">
        <w:r>
          <w:rPr>
            <w:rStyle w:val="Hyperlink"/>
          </w:rPr>
          <w:t xml:space="preserve">https://doi.org/10.1257/aer.101.7.2899</w:t>
        </w:r>
      </w:hyperlink>
      <w:r>
        <w:t xml:space="preserve">.</w:t>
      </w:r>
    </w:p>
    <w:bookmarkEnd w:id="193"/>
    <w:bookmarkStart w:id="195"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194">
        <w:r>
          <w:rPr>
            <w:rStyle w:val="Hyperlink"/>
          </w:rPr>
          <w:t xml:space="preserve">https://doi.org/10.2307/2951491</w:t>
        </w:r>
      </w:hyperlink>
      <w:r>
        <w:t xml:space="preserve">.</w:t>
      </w:r>
    </w:p>
    <w:bookmarkEnd w:id="195"/>
    <w:bookmarkStart w:id="197"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196">
        <w:r>
          <w:rPr>
            <w:rStyle w:val="Hyperlink"/>
          </w:rPr>
          <w:t xml:space="preserve">https://doi.org/10.1080/00213624.2017.1391594</w:t>
        </w:r>
      </w:hyperlink>
      <w:r>
        <w:t xml:space="preserve">.</w:t>
      </w:r>
    </w:p>
    <w:bookmarkEnd w:id="197"/>
    <w:bookmarkStart w:id="199"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198">
        <w:r>
          <w:rPr>
            <w:rStyle w:val="Hyperlink"/>
          </w:rPr>
          <w:t xml:space="preserve">https://doi.org/10.1016/j.jcps.2014.08.002</w:t>
        </w:r>
      </w:hyperlink>
      <w:r>
        <w:t xml:space="preserve">.</w:t>
      </w:r>
    </w:p>
    <w:bookmarkEnd w:id="199"/>
    <w:bookmarkStart w:id="200" w:name="ref-Cherniak1986"/>
    <w:p>
      <w:pPr>
        <w:pStyle w:val="Bibliography"/>
      </w:pPr>
      <w:r>
        <w:t xml:space="preserve">Cherniak, Christopher. 1986.</w:t>
      </w:r>
      <w:r>
        <w:t xml:space="preserve"> </w:t>
      </w:r>
      <w:r>
        <w:rPr>
          <w:iCs/>
          <w:i/>
        </w:rPr>
        <w:t xml:space="preserve">Minimal Rationality</w:t>
      </w:r>
      <w:r>
        <w:t xml:space="preserve">. Cambridge, MA: MIT Press.</w:t>
      </w:r>
    </w:p>
    <w:bookmarkEnd w:id="200"/>
    <w:bookmarkStart w:id="201"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01"/>
    <w:bookmarkStart w:id="202"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02"/>
    <w:bookmarkStart w:id="204"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03">
        <w:r>
          <w:rPr>
            <w:rStyle w:val="Hyperlink"/>
          </w:rPr>
          <w:t xml:space="preserve">http://hdl.handle.net/2027/spo.3521354.0011.006</w:t>
        </w:r>
      </w:hyperlink>
      <w:r>
        <w:t xml:space="preserve">.</w:t>
      </w:r>
    </w:p>
    <w:bookmarkEnd w:id="204"/>
    <w:bookmarkStart w:id="205"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05"/>
    <w:bookmarkStart w:id="206"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06"/>
    <w:bookmarkStart w:id="208"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07">
        <w:r>
          <w:rPr>
            <w:rStyle w:val="Hyperlink"/>
          </w:rPr>
          <w:t xml:space="preserve">https://doi.org/10.1111/j.1933-1592.2002.tb00204.x</w:t>
        </w:r>
      </w:hyperlink>
      <w:r>
        <w:t xml:space="preserve">.</w:t>
      </w:r>
    </w:p>
    <w:bookmarkEnd w:id="208"/>
    <w:bookmarkStart w:id="210"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09">
        <w:r>
          <w:rPr>
            <w:rStyle w:val="Hyperlink"/>
          </w:rPr>
          <w:t xml:space="preserve">https://doi.org/10.1111/j.1533-6077.2004.00040.x</w:t>
        </w:r>
      </w:hyperlink>
      <w:r>
        <w:t xml:space="preserve">.</w:t>
      </w:r>
    </w:p>
    <w:bookmarkEnd w:id="210"/>
    <w:bookmarkStart w:id="211"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11"/>
    <w:bookmarkStart w:id="213"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12">
        <w:r>
          <w:rPr>
            <w:rStyle w:val="Hyperlink"/>
          </w:rPr>
          <w:t xml:space="preserve">https://plato.stanford.edu/archives/spr2018/entries/questions/</w:t>
        </w:r>
      </w:hyperlink>
      <w:r>
        <w:t xml:space="preserve">; Metaphysics Research Lab, Stanford University.</w:t>
      </w:r>
    </w:p>
    <w:bookmarkEnd w:id="213"/>
    <w:bookmarkStart w:id="214"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14"/>
    <w:bookmarkStart w:id="216"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15">
        <w:r>
          <w:rPr>
            <w:rStyle w:val="Hyperlink"/>
          </w:rPr>
          <w:t xml:space="preserve">https://doi.org/10.2307/3182618</w:t>
        </w:r>
      </w:hyperlink>
      <w:r>
        <w:t xml:space="preserve">.</w:t>
      </w:r>
    </w:p>
    <w:bookmarkEnd w:id="216"/>
    <w:bookmarkStart w:id="218"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17">
        <w:r>
          <w:rPr>
            <w:rStyle w:val="Hyperlink"/>
          </w:rPr>
          <w:t xml:space="preserve">http://journal.sjdm.org/8320/jdm8320.pdf</w:t>
        </w:r>
      </w:hyperlink>
      <w:r>
        <w:t xml:space="preserve">.</w:t>
      </w:r>
    </w:p>
    <w:bookmarkEnd w:id="218"/>
    <w:bookmarkStart w:id="219"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19"/>
    <w:bookmarkStart w:id="221"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0">
        <w:r>
          <w:rPr>
            <w:rStyle w:val="Hyperlink"/>
          </w:rPr>
          <w:t xml:space="preserve">https://doi.org/10.3998/ergo.12405314.0002.026</w:t>
        </w:r>
      </w:hyperlink>
      <w:r>
        <w:t xml:space="preserve">.</w:t>
      </w:r>
    </w:p>
    <w:bookmarkEnd w:id="221"/>
    <w:bookmarkStart w:id="222" w:name="ref-Dylan2016"/>
    <w:p>
      <w:pPr>
        <w:pStyle w:val="Bibliography"/>
      </w:pPr>
      <w:r>
        <w:t xml:space="preserve">Dylan, Bob. 2016.</w:t>
      </w:r>
      <w:r>
        <w:t xml:space="preserve"> </w:t>
      </w:r>
      <w:r>
        <w:rPr>
          <w:iCs/>
          <w:i/>
        </w:rPr>
        <w:t xml:space="preserve">The Lyrics: 1961-2012</w:t>
      </w:r>
      <w:r>
        <w:t xml:space="preserve">. New York: Simon &amp; Schuster.</w:t>
      </w:r>
    </w:p>
    <w:bookmarkEnd w:id="222"/>
    <w:bookmarkStart w:id="224"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23">
        <w:r>
          <w:rPr>
            <w:rStyle w:val="Hyperlink"/>
          </w:rPr>
          <w:t xml:space="preserve">https://doi.org/10.1007/s11098-015-0461-x</w:t>
        </w:r>
      </w:hyperlink>
      <w:r>
        <w:t xml:space="preserve">.</w:t>
      </w:r>
    </w:p>
    <w:bookmarkEnd w:id="224"/>
    <w:bookmarkStart w:id="226"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25">
        <w:r>
          <w:rPr>
            <w:rStyle w:val="Hyperlink"/>
          </w:rPr>
          <w:t xml:space="preserve">https://doi.org/10.1007/s11098-008-9225-1</w:t>
        </w:r>
      </w:hyperlink>
      <w:r>
        <w:t xml:space="preserve">.</w:t>
      </w:r>
    </w:p>
    <w:bookmarkEnd w:id="226"/>
    <w:bookmarkStart w:id="227"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27"/>
    <w:bookmarkStart w:id="228"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28"/>
    <w:bookmarkStart w:id="230"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29">
        <w:r>
          <w:rPr>
            <w:rStyle w:val="Hyperlink"/>
          </w:rPr>
          <w:t xml:space="preserve">https://doi.org/10.2307/3182570</w:t>
        </w:r>
      </w:hyperlink>
      <w:r>
        <w:t xml:space="preserve">.</w:t>
      </w:r>
    </w:p>
    <w:bookmarkEnd w:id="230"/>
    <w:bookmarkStart w:id="231"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31"/>
    <w:bookmarkStart w:id="232" w:name="ref-Foley1993"/>
    <w:p>
      <w:pPr>
        <w:pStyle w:val="Bibliography"/>
      </w:pPr>
      <w:r>
        <w:t xml:space="preserve">Foley, Richard. 1993.</w:t>
      </w:r>
      <w:r>
        <w:t xml:space="preserve"> </w:t>
      </w:r>
      <w:r>
        <w:rPr>
          <w:iCs/>
          <w:i/>
        </w:rPr>
        <w:t xml:space="preserve">Working Without a Net</w:t>
      </w:r>
      <w:r>
        <w:t xml:space="preserve">. Oxford: Oxford University Press.</w:t>
      </w:r>
    </w:p>
    <w:bookmarkEnd w:id="232"/>
    <w:bookmarkStart w:id="234"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33">
        <w:r>
          <w:rPr>
            <w:rStyle w:val="Hyperlink"/>
          </w:rPr>
          <w:t xml:space="preserve">https://doi.org/10.1111/nous.12137</w:t>
        </w:r>
      </w:hyperlink>
      <w:r>
        <w:t xml:space="preserve">.</w:t>
      </w:r>
    </w:p>
    <w:bookmarkEnd w:id="234"/>
    <w:bookmarkStart w:id="236"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35">
        <w:r>
          <w:rPr>
            <w:rStyle w:val="Hyperlink"/>
          </w:rPr>
          <w:t xml:space="preserve">https://doi.org/10.1111/phis.12141</w:t>
        </w:r>
      </w:hyperlink>
      <w:r>
        <w:t xml:space="preserve">.</w:t>
      </w:r>
    </w:p>
    <w:bookmarkEnd w:id="236"/>
    <w:bookmarkStart w:id="238"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37">
        <w:r>
          <w:rPr>
            <w:rStyle w:val="Hyperlink"/>
          </w:rPr>
          <w:t xml:space="preserve">https://doi.org/10.1111/nous.12222</w:t>
        </w:r>
      </w:hyperlink>
      <w:r>
        <w:t xml:space="preserve">.</w:t>
      </w:r>
    </w:p>
    <w:bookmarkEnd w:id="238"/>
    <w:bookmarkStart w:id="240"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39">
        <w:r>
          <w:rPr>
            <w:rStyle w:val="Hyperlink"/>
          </w:rPr>
          <w:t xml:space="preserve">https://doi.org/10.1215/00318108-8540918</w:t>
        </w:r>
      </w:hyperlink>
      <w:r>
        <w:t xml:space="preserve">.</w:t>
      </w:r>
    </w:p>
    <w:bookmarkEnd w:id="240"/>
    <w:bookmarkStart w:id="24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41">
        <w:r>
          <w:rPr>
            <w:rStyle w:val="Hyperlink"/>
          </w:rPr>
          <w:t xml:space="preserve">https://doi.org/10.1007/s11098-007-9133-9</w:t>
        </w:r>
      </w:hyperlink>
      <w:r>
        <w:t xml:space="preserve">.</w:t>
      </w:r>
    </w:p>
    <w:bookmarkEnd w:id="242"/>
    <w:bookmarkStart w:id="243"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43"/>
    <w:bookmarkStart w:id="245"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44">
        <w:r>
          <w:rPr>
            <w:rStyle w:val="Hyperlink"/>
          </w:rPr>
          <w:t xml:space="preserve">https://doi.org/10.1007/s11098-005-7779-8</w:t>
        </w:r>
      </w:hyperlink>
      <w:r>
        <w:t xml:space="preserve">.</w:t>
      </w:r>
    </w:p>
    <w:bookmarkEnd w:id="245"/>
    <w:bookmarkStart w:id="247"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46">
        <w:r>
          <w:rPr>
            <w:rStyle w:val="Hyperlink"/>
          </w:rPr>
          <w:t xml:space="preserve">https://doi.org/10.2307/3326922</w:t>
        </w:r>
      </w:hyperlink>
      <w:r>
        <w:t xml:space="preserve">.</w:t>
      </w:r>
    </w:p>
    <w:bookmarkEnd w:id="247"/>
    <w:bookmarkStart w:id="248"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48"/>
    <w:bookmarkStart w:id="250"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49">
        <w:r>
          <w:rPr>
            <w:rStyle w:val="Hyperlink"/>
          </w:rPr>
          <w:t xml:space="preserve">https://doi.org/10.3765/sp.3.4</w:t>
        </w:r>
      </w:hyperlink>
      <w:r>
        <w:t xml:space="preserve">.</w:t>
      </w:r>
    </w:p>
    <w:bookmarkEnd w:id="250"/>
    <w:bookmarkStart w:id="251"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 Oxford University Press.</w:t>
      </w:r>
    </w:p>
    <w:bookmarkEnd w:id="251"/>
    <w:bookmarkStart w:id="252" w:name="ref-Harman1973"/>
    <w:p>
      <w:pPr>
        <w:pStyle w:val="Bibliography"/>
      </w:pPr>
      <w:r>
        <w:t xml:space="preserve">Harman, Gilbert. 1973.</w:t>
      </w:r>
      <w:r>
        <w:t xml:space="preserve"> </w:t>
      </w:r>
      <w:r>
        <w:rPr>
          <w:iCs/>
          <w:i/>
        </w:rPr>
        <w:t xml:space="preserve">Thought</w:t>
      </w:r>
      <w:r>
        <w:t xml:space="preserve">. Princeton: Princeton University Press.</w:t>
      </w:r>
    </w:p>
    <w:bookmarkEnd w:id="252"/>
    <w:bookmarkStart w:id="253" w:name="ref-Harman1986"/>
    <w:p>
      <w:pPr>
        <w:pStyle w:val="Bibliography"/>
      </w:pPr>
      <w:r>
        <w:t xml:space="preserve">———. 1986.</w:t>
      </w:r>
      <w:r>
        <w:t xml:space="preserve"> </w:t>
      </w:r>
      <w:r>
        <w:rPr>
          <w:iCs/>
          <w:i/>
        </w:rPr>
        <w:t xml:space="preserve">Change in View</w:t>
      </w:r>
      <w:r>
        <w:t xml:space="preserve">. Cambridge, MA: Bradford.</w:t>
      </w:r>
    </w:p>
    <w:bookmarkEnd w:id="253"/>
    <w:bookmarkStart w:id="254"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54"/>
    <w:bookmarkStart w:id="256"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55">
        <w:r>
          <w:rPr>
            <w:rStyle w:val="Hyperlink"/>
          </w:rPr>
          <w:t xml:space="preserve">https://doi.org/10.1111/j.1933-1592.2005.tb00540.x</w:t>
        </w:r>
      </w:hyperlink>
      <w:r>
        <w:t xml:space="preserve">.</w:t>
      </w:r>
    </w:p>
    <w:bookmarkEnd w:id="256"/>
    <w:bookmarkStart w:id="258"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57">
        <w:r>
          <w:rPr>
            <w:rStyle w:val="Hyperlink"/>
          </w:rPr>
          <w:t xml:space="preserve">https://doi.org/10.1007/s11098-015-0553-7</w:t>
        </w:r>
      </w:hyperlink>
      <w:r>
        <w:t xml:space="preserve">.</w:t>
      </w:r>
    </w:p>
    <w:bookmarkEnd w:id="258"/>
    <w:bookmarkStart w:id="25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59"/>
    <w:bookmarkStart w:id="261"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60">
        <w:r>
          <w:rPr>
            <w:rStyle w:val="Hyperlink"/>
          </w:rPr>
          <w:t xml:space="preserve">https://doi.org/10.5840/jphil20081051022</w:t>
        </w:r>
      </w:hyperlink>
      <w:r>
        <w:t xml:space="preserve">.</w:t>
      </w:r>
    </w:p>
    <w:bookmarkEnd w:id="261"/>
    <w:bookmarkStart w:id="263"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62">
        <w:r>
          <w:rPr>
            <w:rStyle w:val="Hyperlink"/>
          </w:rPr>
          <w:t xml:space="preserve">https://doi.org/10.1086/671402</w:t>
        </w:r>
      </w:hyperlink>
      <w:r>
        <w:t xml:space="preserve">.</w:t>
      </w:r>
    </w:p>
    <w:bookmarkEnd w:id="263"/>
    <w:bookmarkStart w:id="265"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64">
        <w:r>
          <w:rPr>
            <w:rStyle w:val="Hyperlink"/>
          </w:rPr>
          <w:t xml:space="preserve">https://doi.org/10.1086/648610</w:t>
        </w:r>
      </w:hyperlink>
      <w:r>
        <w:t xml:space="preserve">.</w:t>
      </w:r>
    </w:p>
    <w:bookmarkEnd w:id="265"/>
    <w:bookmarkStart w:id="267"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66">
        <w:r>
          <w:rPr>
            <w:rStyle w:val="Hyperlink"/>
          </w:rPr>
          <w:t xml:space="preserve">https://doi.org/10.1007/BF00293423</w:t>
        </w:r>
      </w:hyperlink>
      <w:r>
        <w:t xml:space="preserve">.</w:t>
      </w:r>
    </w:p>
    <w:bookmarkEnd w:id="267"/>
    <w:bookmarkStart w:id="269"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68">
        <w:r>
          <w:rPr>
            <w:rStyle w:val="Hyperlink"/>
          </w:rPr>
          <w:t xml:space="preserve">https://doi.org/10.2307/2216304</w:t>
        </w:r>
      </w:hyperlink>
      <w:r>
        <w:t xml:space="preserve">.</w:t>
      </w:r>
    </w:p>
    <w:bookmarkEnd w:id="269"/>
    <w:bookmarkStart w:id="271"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70">
        <w:r>
          <w:rPr>
            <w:rStyle w:val="Hyperlink"/>
          </w:rPr>
          <w:t xml:space="preserve">https://doi.org/10.1111/j.1467-9280.2006.01677.x</w:t>
        </w:r>
      </w:hyperlink>
      <w:r>
        <w:t xml:space="preserve">.</w:t>
      </w:r>
    </w:p>
    <w:bookmarkEnd w:id="271"/>
    <w:bookmarkStart w:id="272" w:name="ref-Jackson1987"/>
    <w:p>
      <w:pPr>
        <w:pStyle w:val="Bibliography"/>
      </w:pPr>
      <w:r>
        <w:t xml:space="preserve">Jackson, Frank. 1987.</w:t>
      </w:r>
      <w:r>
        <w:t xml:space="preserve"> </w:t>
      </w:r>
      <w:r>
        <w:rPr>
          <w:iCs/>
          <w:i/>
        </w:rPr>
        <w:t xml:space="preserve">Conditionals</w:t>
      </w:r>
      <w:r>
        <w:t xml:space="preserve">. Blackwell: Oxford.</w:t>
      </w:r>
    </w:p>
    <w:bookmarkEnd w:id="272"/>
    <w:bookmarkStart w:id="273" w:name="ref-Joyce2018"/>
    <w:p>
      <w:pPr>
        <w:pStyle w:val="Bibliography"/>
      </w:pPr>
      <w:r>
        <w:t xml:space="preserve">Joyce, James. 2018.</w:t>
      </w:r>
      <w:r>
        <w:t xml:space="preserve"> </w:t>
      </w:r>
      <w:r>
        <w:t xml:space="preserve">“Deliberation and Stability in Newcomb Problems and Pseudo-Newcomb Problems.”</w:t>
      </w:r>
      <w:r>
        <w:t xml:space="preserve"> </w:t>
      </w:r>
      <w:r>
        <w:t xml:space="preserve">In</w:t>
      </w:r>
      <w:r>
        <w:t xml:space="preserve"> </w:t>
      </w:r>
      <w:r>
        <w:rPr>
          <w:iCs/>
          <w:i/>
        </w:rPr>
        <w:t xml:space="preserve">Newcomb’s Problem</w:t>
      </w:r>
      <w:r>
        <w:t xml:space="preserve">, edited by Arif Ahmed, 138–59. Cambridge: Cambridge University Press.</w:t>
      </w:r>
    </w:p>
    <w:bookmarkEnd w:id="273"/>
    <w:bookmarkStart w:id="274"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74"/>
    <w:bookmarkStart w:id="275"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75"/>
    <w:bookmarkStart w:id="277"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76">
        <w:r>
          <w:rPr>
            <w:rStyle w:val="Hyperlink"/>
          </w:rPr>
          <w:t xml:space="preserve">https://doi.org/10.1111/jere.12070</w:t>
        </w:r>
      </w:hyperlink>
      <w:r>
        <w:t xml:space="preserve">.</w:t>
      </w:r>
    </w:p>
    <w:bookmarkEnd w:id="277"/>
    <w:bookmarkStart w:id="278"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78"/>
    <w:bookmarkStart w:id="280"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79">
        <w:r>
          <w:rPr>
            <w:rStyle w:val="Hyperlink"/>
          </w:rPr>
          <w:t xml:space="preserve">https://doi.org/10.2307/1912320</w:t>
        </w:r>
      </w:hyperlink>
      <w:r>
        <w:t xml:space="preserve">.</w:t>
      </w:r>
    </w:p>
    <w:bookmarkEnd w:id="280"/>
    <w:bookmarkStart w:id="281"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81"/>
    <w:bookmarkStart w:id="283"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82">
        <w:r>
          <w:rPr>
            <w:rStyle w:val="Hyperlink"/>
          </w:rPr>
          <w:t xml:space="preserve">https://doi.org/10.1093/analys/anr129</w:t>
        </w:r>
      </w:hyperlink>
      <w:r>
        <w:t xml:space="preserve">.</w:t>
      </w:r>
    </w:p>
    <w:bookmarkEnd w:id="283"/>
    <w:bookmarkStart w:id="285"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84">
        <w:r>
          <w:rPr>
            <w:rStyle w:val="Hyperlink"/>
          </w:rPr>
          <w:t xml:space="preserve">https://doi.org/10.1111/j.1520-8583.2010.00183.x</w:t>
        </w:r>
      </w:hyperlink>
      <w:r>
        <w:t xml:space="preserve">.</w:t>
      </w:r>
    </w:p>
    <w:bookmarkEnd w:id="285"/>
    <w:bookmarkStart w:id="287"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86">
        <w:r>
          <w:rPr>
            <w:rStyle w:val="Hyperlink"/>
          </w:rPr>
          <w:t xml:space="preserve">https://doi.org/10.1111/phpr.12090</w:t>
        </w:r>
      </w:hyperlink>
      <w:r>
        <w:t xml:space="preserve">.</w:t>
      </w:r>
    </w:p>
    <w:bookmarkEnd w:id="287"/>
    <w:bookmarkStart w:id="289"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88">
        <w:r>
          <w:rPr>
            <w:rStyle w:val="Hyperlink"/>
          </w:rPr>
          <w:t xml:space="preserve">https://doi.org/10.1017/S0012217317000154</w:t>
        </w:r>
      </w:hyperlink>
      <w:r>
        <w:t xml:space="preserve">.</w:t>
      </w:r>
    </w:p>
    <w:bookmarkEnd w:id="289"/>
    <w:bookmarkStart w:id="291"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290">
        <w:r>
          <w:rPr>
            <w:rStyle w:val="Hyperlink"/>
          </w:rPr>
          <w:t xml:space="preserve">https://doi.org/10.1080/05568641.2017.1364142</w:t>
        </w:r>
      </w:hyperlink>
      <w:r>
        <w:t xml:space="preserve">.</w:t>
      </w:r>
    </w:p>
    <w:bookmarkEnd w:id="291"/>
    <w:bookmarkStart w:id="292"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92"/>
    <w:bookmarkStart w:id="294"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293">
        <w:r>
          <w:rPr>
            <w:rStyle w:val="Hyperlink"/>
          </w:rPr>
          <w:t xml:space="preserve">https://doi.org/10.2307/2184045</w:t>
        </w:r>
      </w:hyperlink>
      <w:r>
        <w:t xml:space="preserve">.</w:t>
      </w:r>
    </w:p>
    <w:bookmarkEnd w:id="294"/>
    <w:bookmarkStart w:id="296"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295">
        <w:r>
          <w:rPr>
            <w:rStyle w:val="Hyperlink"/>
          </w:rPr>
          <w:t xml:space="preserve">https://doi.org/10.1017/cbo9780511625237.009</w:t>
        </w:r>
      </w:hyperlink>
      <w:r>
        <w:t xml:space="preserve">.</w:t>
      </w:r>
    </w:p>
    <w:bookmarkEnd w:id="296"/>
    <w:bookmarkStart w:id="297" w:name="ref-Lewis1986a"/>
    <w:p>
      <w:pPr>
        <w:pStyle w:val="Bibliography"/>
      </w:pPr>
      <w:r>
        <w:t xml:space="preserve">———. 1986a.</w:t>
      </w:r>
      <w:r>
        <w:t xml:space="preserve"> </w:t>
      </w:r>
      <w:r>
        <w:rPr>
          <w:iCs/>
          <w:i/>
        </w:rPr>
        <w:t xml:space="preserve">On the Plurality of Worlds</w:t>
      </w:r>
      <w:r>
        <w:t xml:space="preserve">. Oxford: Blackwell Publishers.</w:t>
      </w:r>
    </w:p>
    <w:bookmarkEnd w:id="297"/>
    <w:bookmarkStart w:id="299"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298">
        <w:r>
          <w:rPr>
            <w:rStyle w:val="Hyperlink"/>
          </w:rPr>
          <w:t xml:space="preserve">https://doi.org/10.2307/2185051</w:t>
        </w:r>
      </w:hyperlink>
      <w:r>
        <w:t xml:space="preserve">.</w:t>
      </w:r>
    </w:p>
    <w:bookmarkEnd w:id="299"/>
    <w:bookmarkStart w:id="301"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00">
        <w:r>
          <w:rPr>
            <w:rStyle w:val="Hyperlink"/>
          </w:rPr>
          <w:t xml:space="preserve">https://doi.org/10.1093/mind/xcvii.387.323</w:t>
        </w:r>
      </w:hyperlink>
      <w:r>
        <w:t xml:space="preserve">.</w:t>
      </w:r>
    </w:p>
    <w:bookmarkEnd w:id="301"/>
    <w:bookmarkStart w:id="303"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02">
        <w:r>
          <w:rPr>
            <w:rStyle w:val="Hyperlink"/>
          </w:rPr>
          <w:t xml:space="preserve">https://doi.org/10.1093/mind/105.418.303</w:t>
        </w:r>
      </w:hyperlink>
      <w:r>
        <w:t xml:space="preserve">.</w:t>
      </w:r>
    </w:p>
    <w:bookmarkEnd w:id="303"/>
    <w:bookmarkStart w:id="304"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04"/>
    <w:bookmarkStart w:id="306"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05">
        <w:r>
          <w:rPr>
            <w:rStyle w:val="Hyperlink"/>
          </w:rPr>
          <w:t xml:space="preserve">https://doi.org/10.2307/2296233</w:t>
        </w:r>
      </w:hyperlink>
      <w:r>
        <w:t xml:space="preserve">.</w:t>
      </w:r>
    </w:p>
    <w:bookmarkEnd w:id="306"/>
    <w:bookmarkStart w:id="308"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07">
        <w:r>
          <w:rPr>
            <w:rStyle w:val="Hyperlink"/>
          </w:rPr>
          <w:t xml:space="preserve">https://doi.org/10.1111/phpr.12271</w:t>
        </w:r>
      </w:hyperlink>
      <w:r>
        <w:t xml:space="preserve">.</w:t>
      </w:r>
    </w:p>
    <w:bookmarkEnd w:id="308"/>
    <w:bookmarkStart w:id="309"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09"/>
    <w:bookmarkStart w:id="311"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10">
        <w:r>
          <w:rPr>
            <w:rStyle w:val="Hyperlink"/>
          </w:rPr>
          <w:t xml:space="preserve">https://doi.org/10.1086/392759</w:t>
        </w:r>
      </w:hyperlink>
      <w:r>
        <w:t xml:space="preserve">.</w:t>
      </w:r>
    </w:p>
    <w:bookmarkEnd w:id="311"/>
    <w:bookmarkStart w:id="313"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12">
        <w:r>
          <w:rPr>
            <w:rStyle w:val="Hyperlink"/>
          </w:rPr>
          <w:t xml:space="preserve">https://doi.org/10.1086/289906</w:t>
        </w:r>
      </w:hyperlink>
      <w:r>
        <w:t xml:space="preserve">.</w:t>
      </w:r>
    </w:p>
    <w:bookmarkEnd w:id="313"/>
    <w:bookmarkStart w:id="315"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14">
        <w:r>
          <w:rPr>
            <w:rStyle w:val="Hyperlink"/>
          </w:rPr>
          <w:t xml:space="preserve">https://doi.org/10.1007/s11098-010-9542-z</w:t>
        </w:r>
      </w:hyperlink>
      <w:r>
        <w:t xml:space="preserve">.</w:t>
      </w:r>
    </w:p>
    <w:bookmarkEnd w:id="315"/>
    <w:bookmarkStart w:id="317"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16">
        <w:r>
          <w:rPr>
            <w:rStyle w:val="Hyperlink"/>
          </w:rPr>
          <w:t xml:space="preserve">https://doi.org/10.1215/00318108-3878483</w:t>
        </w:r>
      </w:hyperlink>
      <w:r>
        <w:t xml:space="preserve">.</w:t>
      </w:r>
    </w:p>
    <w:bookmarkEnd w:id="317"/>
    <w:bookmarkStart w:id="319"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18">
        <w:r>
          <w:rPr>
            <w:rStyle w:val="Hyperlink"/>
          </w:rPr>
          <w:t xml:space="preserve">https://doi.org/10.1007/s10734-010-9309-7</w:t>
        </w:r>
      </w:hyperlink>
      <w:r>
        <w:t xml:space="preserve">.</w:t>
      </w:r>
    </w:p>
    <w:bookmarkEnd w:id="319"/>
    <w:bookmarkStart w:id="321"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20">
        <w:r>
          <w:rPr>
            <w:rStyle w:val="Hyperlink"/>
          </w:rPr>
          <w:t xml:space="preserve">https://doi.org/10.1007/s11238-017-9592-1</w:t>
        </w:r>
      </w:hyperlink>
      <w:r>
        <w:t xml:space="preserve">.</w:t>
      </w:r>
    </w:p>
    <w:bookmarkEnd w:id="321"/>
    <w:bookmarkStart w:id="323"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22">
        <w:r>
          <w:rPr>
            <w:rStyle w:val="Hyperlink"/>
          </w:rPr>
          <w:t xml:space="preserve">https://doi.org/10.1111/nous.12323</w:t>
        </w:r>
      </w:hyperlink>
      <w:r>
        <w:t xml:space="preserve">.</w:t>
      </w:r>
    </w:p>
    <w:bookmarkEnd w:id="323"/>
    <w:bookmarkStart w:id="324"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24"/>
    <w:bookmarkStart w:id="325"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25"/>
    <w:bookmarkStart w:id="326"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26"/>
    <w:bookmarkStart w:id="328" w:name="ref-Nagel2008"/>
    <w:p>
      <w:pPr>
        <w:pStyle w:val="Bibliography"/>
      </w:pPr>
      <w:r>
        <w:t xml:space="preserve">Nagel, Jennifer. 2008.</w:t>
      </w:r>
      <w:r>
        <w:t xml:space="preserve"> </w:t>
      </w:r>
      <w:r>
        <w:t xml:space="preserve">“Knowledge Ascriptions and the Psychological Consequences of Changing Stakes.”</w:t>
      </w:r>
      <w:r>
        <w:t xml:space="preserve"> </w:t>
      </w:r>
      <w:r>
        <w:rPr>
          <w:iCs/>
          <w:i/>
        </w:rPr>
        <w:t xml:space="preserve">Australasian Journal of Philosophy</w:t>
      </w:r>
      <w:r>
        <w:t xml:space="preserve"> </w:t>
      </w:r>
      <w:r>
        <w:t xml:space="preserve">86 (2): 279–94.</w:t>
      </w:r>
      <w:r>
        <w:t xml:space="preserve"> </w:t>
      </w:r>
      <w:hyperlink r:id="rId327">
        <w:r>
          <w:rPr>
            <w:rStyle w:val="Hyperlink"/>
          </w:rPr>
          <w:t xml:space="preserve">https://doi.org/10.1080/00048400801886397</w:t>
        </w:r>
      </w:hyperlink>
      <w:r>
        <w:t xml:space="preserve">.</w:t>
      </w:r>
    </w:p>
    <w:bookmarkEnd w:id="328"/>
    <w:bookmarkStart w:id="330" w:name="ref-Nagel2010"/>
    <w:p>
      <w:pPr>
        <w:pStyle w:val="Bibliography"/>
      </w:pPr>
      <w:r>
        <w:t xml:space="preserve">———.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29">
        <w:r>
          <w:rPr>
            <w:rStyle w:val="Hyperlink"/>
          </w:rPr>
          <w:t xml:space="preserve">https://doi.org/10.1111/j.1520-8583.2010.00198.x</w:t>
        </w:r>
      </w:hyperlink>
      <w:r>
        <w:t xml:space="preserve">.</w:t>
      </w:r>
    </w:p>
    <w:bookmarkEnd w:id="330"/>
    <w:bookmarkStart w:id="332"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31">
        <w:r>
          <w:rPr>
            <w:rStyle w:val="Hyperlink"/>
          </w:rPr>
          <w:t xml:space="preserve">https://doi.org/10.1080/0020174X.2013.775014</w:t>
        </w:r>
      </w:hyperlink>
      <w:r>
        <w:t xml:space="preserve">.</w:t>
      </w:r>
    </w:p>
    <w:bookmarkEnd w:id="332"/>
    <w:bookmarkStart w:id="333" w:name="ref-Nagel2014"/>
    <w:p>
      <w:pPr>
        <w:pStyle w:val="Bibliography"/>
      </w:pPr>
      <w:r>
        <w:t xml:space="preserve">———. 2014.</w:t>
      </w:r>
      <w:r>
        <w:t xml:space="preserve"> </w:t>
      </w:r>
      <w:r>
        <w:rPr>
          <w:iCs/>
          <w:i/>
        </w:rPr>
        <w:t xml:space="preserve">Knowledge: A Very Short Introduction</w:t>
      </w:r>
      <w:r>
        <w:t xml:space="preserve">. Oxford: Oxford University Press.</w:t>
      </w:r>
    </w:p>
    <w:bookmarkEnd w:id="333"/>
    <w:bookmarkStart w:id="335"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34">
        <w:r>
          <w:rPr>
            <w:rStyle w:val="Hyperlink"/>
          </w:rPr>
          <w:t xml:space="preserve">https://doi.org/10.1111/phpr.12431</w:t>
        </w:r>
      </w:hyperlink>
      <w:r>
        <w:t xml:space="preserve">.</w:t>
      </w:r>
    </w:p>
    <w:bookmarkEnd w:id="335"/>
    <w:bookmarkStart w:id="337"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36">
        <w:r>
          <w:rPr>
            <w:rStyle w:val="Hyperlink"/>
          </w:rPr>
          <w:t xml:space="preserve">https://doi.org/10.1111/j.1933-1592.2007.00069.x</w:t>
        </w:r>
      </w:hyperlink>
      <w:r>
        <w:t xml:space="preserve">.</w:t>
      </w:r>
    </w:p>
    <w:bookmarkEnd w:id="337"/>
    <w:bookmarkStart w:id="339"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38">
        <w:r>
          <w:rPr>
            <w:rStyle w:val="Hyperlink"/>
          </w:rPr>
          <w:t xml:space="preserve">https://doi.org/10.1037/pspp0000141</w:t>
        </w:r>
      </w:hyperlink>
      <w:r>
        <w:t xml:space="preserve">.</w:t>
      </w:r>
    </w:p>
    <w:bookmarkEnd w:id="339"/>
    <w:bookmarkStart w:id="341"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0">
        <w:r>
          <w:rPr>
            <w:rStyle w:val="Hyperlink"/>
          </w:rPr>
          <w:t xml:space="preserve">https://doi.org/10.1016/j.shpsb.2009.08.008</w:t>
        </w:r>
      </w:hyperlink>
      <w:r>
        <w:t xml:space="preserve">.</w:t>
      </w:r>
    </w:p>
    <w:bookmarkEnd w:id="341"/>
    <w:bookmarkStart w:id="342"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42"/>
    <w:bookmarkStart w:id="343"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43"/>
    <w:bookmarkStart w:id="34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44"/>
    <w:bookmarkStart w:id="346"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45">
        <w:r>
          <w:rPr>
            <w:rStyle w:val="Hyperlink"/>
          </w:rPr>
          <w:t xml:space="preserve">https://doi.org/10.1016/j.mathsocsci.2013.08.005</w:t>
        </w:r>
      </w:hyperlink>
      <w:r>
        <w:t xml:space="preserve">.</w:t>
      </w:r>
    </w:p>
    <w:bookmarkEnd w:id="346"/>
    <w:bookmarkStart w:id="347"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47"/>
    <w:bookmarkStart w:id="349"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48">
        <w:r>
          <w:rPr>
            <w:rStyle w:val="Hyperlink"/>
          </w:rPr>
          <w:t xml:space="preserve">https://sites.google.com/a/nyu.edu/davidpearce/</w:t>
        </w:r>
      </w:hyperlink>
      <w:r>
        <w:t xml:space="preserve">.</w:t>
      </w:r>
    </w:p>
    <w:bookmarkEnd w:id="349"/>
    <w:bookmarkStart w:id="350"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0"/>
    <w:bookmarkStart w:id="352"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51">
        <w:r>
          <w:rPr>
            <w:rStyle w:val="Hyperlink"/>
          </w:rPr>
          <w:t xml:space="preserve">https://doi.org/10.1111/j.1533-6077.2004.00034.x</w:t>
        </w:r>
      </w:hyperlink>
      <w:r>
        <w:t xml:space="preserve">.</w:t>
      </w:r>
    </w:p>
    <w:bookmarkEnd w:id="352"/>
    <w:bookmarkStart w:id="35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3">
        <w:r>
          <w:rPr>
            <w:rStyle w:val="Hyperlink"/>
          </w:rPr>
          <w:t xml:space="preserve">https://doi.org/10.1016/0167-2681(82)90008-7</w:t>
        </w:r>
      </w:hyperlink>
      <w:r>
        <w:t xml:space="preserve">.</w:t>
      </w:r>
    </w:p>
    <w:bookmarkEnd w:id="354"/>
    <w:bookmarkStart w:id="356"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55">
        <w:r>
          <w:rPr>
            <w:rStyle w:val="Hyperlink"/>
          </w:rPr>
          <w:t xml:space="preserve">https://plato.stanford.edu/archives/spr2018/entries/public-reason/</w:t>
        </w:r>
      </w:hyperlink>
      <w:r>
        <w:t xml:space="preserve">; Metaphysics Research Lab, Stanford University.</w:t>
      </w:r>
    </w:p>
    <w:bookmarkEnd w:id="356"/>
    <w:bookmarkStart w:id="357"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57"/>
    <w:bookmarkStart w:id="359"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58">
        <w:r>
          <w:rPr>
            <w:rStyle w:val="Hyperlink"/>
          </w:rPr>
          <w:t xml:space="preserve">https://doi.org/10.1257/aer.101.2.900</w:t>
        </w:r>
      </w:hyperlink>
      <w:r>
        <w:t xml:space="preserve">.</w:t>
      </w:r>
    </w:p>
    <w:bookmarkEnd w:id="359"/>
    <w:bookmarkStart w:id="36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0">
        <w:r>
          <w:rPr>
            <w:rStyle w:val="Hyperlink"/>
          </w:rPr>
          <w:t xml:space="preserve">https://doi.org/10.1080/00048408412341601</w:t>
        </w:r>
      </w:hyperlink>
      <w:r>
        <w:t xml:space="preserve">.</w:t>
      </w:r>
    </w:p>
    <w:bookmarkEnd w:id="361"/>
    <w:bookmarkStart w:id="363"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62">
        <w:r>
          <w:rPr>
            <w:rStyle w:val="Hyperlink"/>
          </w:rPr>
          <w:t xml:space="preserve">https://doi.org/10.3765/sp.5.6</w:t>
        </w:r>
      </w:hyperlink>
      <w:r>
        <w:t xml:space="preserve">.</w:t>
      </w:r>
    </w:p>
    <w:bookmarkEnd w:id="363"/>
    <w:bookmarkStart w:id="365"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64">
        <w:r>
          <w:rPr>
            <w:rStyle w:val="Hyperlink"/>
          </w:rPr>
          <w:t xml:space="preserve">https://doi.org/10.1111/j.1933-1592.2011.00552.x</w:t>
        </w:r>
      </w:hyperlink>
      <w:r>
        <w:t xml:space="preserve">.</w:t>
      </w:r>
    </w:p>
    <w:bookmarkEnd w:id="365"/>
    <w:bookmarkStart w:id="366"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66"/>
    <w:bookmarkStart w:id="368"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67">
        <w:r>
          <w:rPr>
            <w:rStyle w:val="Hyperlink"/>
          </w:rPr>
          <w:t xml:space="preserve">https://doi.org/10.1080/00048400802001996</w:t>
        </w:r>
      </w:hyperlink>
      <w:r>
        <w:t xml:space="preserve">.</w:t>
      </w:r>
    </w:p>
    <w:bookmarkEnd w:id="368"/>
    <w:bookmarkStart w:id="370"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69">
        <w:r>
          <w:rPr>
            <w:rStyle w:val="Hyperlink"/>
          </w:rPr>
          <w:t xml:space="preserve">https://doi.org/10.1016/S0004-3702(97)00026-X</w:t>
        </w:r>
      </w:hyperlink>
      <w:r>
        <w:t xml:space="preserve">.</w:t>
      </w:r>
    </w:p>
    <w:bookmarkEnd w:id="370"/>
    <w:bookmarkStart w:id="372"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71">
        <w:r>
          <w:rPr>
            <w:rStyle w:val="Hyperlink"/>
          </w:rPr>
          <w:t xml:space="preserve">https://doi.org/10.1086/288168</w:t>
        </w:r>
      </w:hyperlink>
      <w:r>
        <w:t xml:space="preserve">.</w:t>
      </w:r>
    </w:p>
    <w:bookmarkEnd w:id="372"/>
    <w:bookmarkStart w:id="374"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73">
        <w:r>
          <w:rPr>
            <w:rStyle w:val="Hyperlink"/>
          </w:rPr>
          <w:t xml:space="preserve">https://doi.org/10.1086/651235</w:t>
        </w:r>
      </w:hyperlink>
      <w:r>
        <w:t xml:space="preserve">.</w:t>
      </w:r>
    </w:p>
    <w:bookmarkEnd w:id="374"/>
    <w:bookmarkStart w:id="376"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75">
        <w:r>
          <w:rPr>
            <w:rStyle w:val="Hyperlink"/>
          </w:rPr>
          <w:t xml:space="preserve">https://doi.org/10.1111/nous.12006</w:t>
        </w:r>
      </w:hyperlink>
      <w:r>
        <w:t xml:space="preserve">.</w:t>
      </w:r>
    </w:p>
    <w:bookmarkEnd w:id="376"/>
    <w:bookmarkStart w:id="378"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77">
        <w:r>
          <w:rPr>
            <w:rStyle w:val="Hyperlink"/>
          </w:rPr>
          <w:t xml:space="preserve">https://doi.org/10.1007/s11098-008-9200-x</w:t>
        </w:r>
      </w:hyperlink>
      <w:r>
        <w:t xml:space="preserve">.</w:t>
      </w:r>
    </w:p>
    <w:bookmarkEnd w:id="378"/>
    <w:bookmarkStart w:id="379"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79"/>
    <w:bookmarkStart w:id="381"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0">
        <w:r>
          <w:rPr>
            <w:rStyle w:val="Hyperlink"/>
          </w:rPr>
          <w:t xml:space="preserve">https://doi.org/10.1037/0022-3514.83.5.1178</w:t>
        </w:r>
      </w:hyperlink>
      <w:r>
        <w:t xml:space="preserve">.</w:t>
      </w:r>
    </w:p>
    <w:bookmarkEnd w:id="381"/>
    <w:bookmarkStart w:id="383"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82">
        <w:r>
          <w:rPr>
            <w:rStyle w:val="Hyperlink"/>
          </w:rPr>
          <w:t xml:space="preserve">https://doi.org/10.1215/00318108-2007-037</w:t>
        </w:r>
      </w:hyperlink>
      <w:r>
        <w:t xml:space="preserve">.</w:t>
      </w:r>
    </w:p>
    <w:bookmarkEnd w:id="383"/>
    <w:bookmarkStart w:id="385"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84">
        <w:r>
          <w:rPr>
            <w:rStyle w:val="Hyperlink"/>
          </w:rPr>
          <w:t xml:space="preserve">https://doi.org/10.1111/j.1468-0017.2010.01394.x</w:t>
        </w:r>
      </w:hyperlink>
      <w:r>
        <w:t xml:space="preserve">.</w:t>
      </w:r>
    </w:p>
    <w:bookmarkEnd w:id="385"/>
    <w:bookmarkStart w:id="387"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86">
        <w:r>
          <w:rPr>
            <w:rStyle w:val="Hyperlink"/>
          </w:rPr>
          <w:t xml:space="preserve">https://doi.org/10.1111/nous.12254</w:t>
        </w:r>
      </w:hyperlink>
      <w:r>
        <w:t xml:space="preserve">.</w:t>
      </w:r>
    </w:p>
    <w:bookmarkEnd w:id="387"/>
    <w:bookmarkStart w:id="388" w:name="ref-Stalnaker1984"/>
    <w:p>
      <w:pPr>
        <w:pStyle w:val="Bibliography"/>
      </w:pPr>
      <w:r>
        <w:t xml:space="preserve">Stalnaker, Robert. 1984.</w:t>
      </w:r>
      <w:r>
        <w:t xml:space="preserve"> </w:t>
      </w:r>
      <w:r>
        <w:rPr>
          <w:iCs/>
          <w:i/>
        </w:rPr>
        <w:t xml:space="preserve">Inquiry</w:t>
      </w:r>
      <w:r>
        <w:t xml:space="preserve">. Cambridge, MA: MIT Press.</w:t>
      </w:r>
    </w:p>
    <w:bookmarkEnd w:id="388"/>
    <w:bookmarkStart w:id="390"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389">
        <w:r>
          <w:rPr>
            <w:rStyle w:val="Hyperlink"/>
          </w:rPr>
          <w:t xml:space="preserve">https://doi.org/10.1007/BF01079205</w:t>
        </w:r>
      </w:hyperlink>
      <w:r>
        <w:t xml:space="preserve">.</w:t>
      </w:r>
    </w:p>
    <w:bookmarkEnd w:id="390"/>
    <w:bookmarkStart w:id="392"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391">
        <w:r>
          <w:rPr>
            <w:rStyle w:val="Hyperlink"/>
          </w:rPr>
          <w:t xml:space="preserve">https://doi.org/10.1017/S0266267100004132</w:t>
        </w:r>
      </w:hyperlink>
      <w:r>
        <w:t xml:space="preserve">.</w:t>
      </w:r>
    </w:p>
    <w:bookmarkEnd w:id="392"/>
    <w:bookmarkStart w:id="394"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93">
        <w:r>
          <w:rPr>
            <w:rStyle w:val="Hyperlink"/>
          </w:rPr>
          <w:t xml:space="preserve">https://doi.org/10.1016/S0165-4896(98)00007-9</w:t>
        </w:r>
      </w:hyperlink>
      <w:r>
        <w:t xml:space="preserve">.</w:t>
      </w:r>
    </w:p>
    <w:bookmarkEnd w:id="394"/>
    <w:bookmarkStart w:id="396"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95">
        <w:r>
          <w:rPr>
            <w:rStyle w:val="Hyperlink"/>
          </w:rPr>
          <w:t xml:space="preserve">https://doi.org/10.1006/reec.1999.0200</w:t>
        </w:r>
      </w:hyperlink>
      <w:r>
        <w:t xml:space="preserve">.</w:t>
      </w:r>
    </w:p>
    <w:bookmarkEnd w:id="396"/>
    <w:bookmarkStart w:id="397"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397"/>
    <w:bookmarkStart w:id="398" w:name="ref-Stanley2011"/>
    <w:p>
      <w:pPr>
        <w:pStyle w:val="Bibliography"/>
      </w:pPr>
      <w:r>
        <w:t xml:space="preserve">———. 2011.</w:t>
      </w:r>
      <w:r>
        <w:t xml:space="preserve"> </w:t>
      </w:r>
      <w:r>
        <w:rPr>
          <w:iCs/>
          <w:i/>
        </w:rPr>
        <w:t xml:space="preserve">Know How</w:t>
      </w:r>
      <w:r>
        <w:t xml:space="preserve">. Oxford: Oxford University Press.</w:t>
      </w:r>
    </w:p>
    <w:bookmarkEnd w:id="398"/>
    <w:bookmarkStart w:id="399"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399"/>
    <w:bookmarkStart w:id="401"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00">
        <w:r>
          <w:rPr>
            <w:rStyle w:val="Hyperlink"/>
          </w:rPr>
          <w:t xml:space="preserve">https://doi.org/10.1111/phpr.12191</w:t>
        </w:r>
      </w:hyperlink>
      <w:r>
        <w:t xml:space="preserve">.</w:t>
      </w:r>
    </w:p>
    <w:bookmarkEnd w:id="401"/>
    <w:bookmarkStart w:id="402"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02"/>
    <w:bookmarkStart w:id="404"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03">
        <w:r>
          <w:rPr>
            <w:rStyle w:val="Hyperlink"/>
          </w:rPr>
          <w:t xml:space="preserve">https://doi.org/10.1111/j.1520-8583.2005.00068.x</w:t>
        </w:r>
      </w:hyperlink>
      <w:r>
        <w:t xml:space="preserve">.</w:t>
      </w:r>
    </w:p>
    <w:bookmarkEnd w:id="404"/>
    <w:bookmarkStart w:id="406"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05">
        <w:r>
          <w:rPr>
            <w:rStyle w:val="Hyperlink"/>
          </w:rPr>
          <w:t xml:space="preserve">https://doi.org/10.1007/s11098-004-5218-x</w:t>
        </w:r>
      </w:hyperlink>
      <w:r>
        <w:t xml:space="preserve">.</w:t>
      </w:r>
    </w:p>
    <w:bookmarkEnd w:id="406"/>
    <w:bookmarkStart w:id="408"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07">
        <w:r>
          <w:rPr>
            <w:rStyle w:val="Hyperlink"/>
          </w:rPr>
          <w:t xml:space="preserve">https://doi.org/10.5840/logos-episteme2011248</w:t>
        </w:r>
      </w:hyperlink>
      <w:r>
        <w:t xml:space="preserve">.</w:t>
      </w:r>
    </w:p>
    <w:bookmarkEnd w:id="408"/>
    <w:bookmarkStart w:id="409"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09"/>
    <w:bookmarkStart w:id="411"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10">
        <w:r>
          <w:rPr>
            <w:rStyle w:val="Hyperlink"/>
          </w:rPr>
          <w:t xml:space="preserve">https://doi.org/10.1111/phpr.12088</w:t>
        </w:r>
      </w:hyperlink>
      <w:r>
        <w:t xml:space="preserve">.</w:t>
      </w:r>
    </w:p>
    <w:bookmarkEnd w:id="411"/>
    <w:bookmarkStart w:id="412"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12"/>
    <w:bookmarkStart w:id="413"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13"/>
    <w:bookmarkStart w:id="414"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14"/>
    <w:bookmarkStart w:id="415" w:name="ref-Weatherson2019"/>
    <w:p>
      <w:pPr>
        <w:pStyle w:val="Bibliography"/>
      </w:pPr>
      <w:r>
        <w:t xml:space="preserve">———. 2019.</w:t>
      </w:r>
      <w:r>
        <w:t xml:space="preserve"> </w:t>
      </w:r>
      <w:r>
        <w:rPr>
          <w:iCs/>
          <w:i/>
        </w:rPr>
        <w:t xml:space="preserve">Normative Externalism</w:t>
      </w:r>
      <w:r>
        <w:t xml:space="preserve">. Oxford: Oxford University Press.</w:t>
      </w:r>
    </w:p>
    <w:bookmarkEnd w:id="415"/>
    <w:bookmarkStart w:id="417"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16">
        <w:r>
          <w:rPr>
            <w:rStyle w:val="Hyperlink"/>
          </w:rPr>
          <w:t xml:space="preserve">https://doi.org/10.1111/j.1933-1592.2010.00448.x</w:t>
        </w:r>
      </w:hyperlink>
      <w:r>
        <w:t xml:space="preserve">.</w:t>
      </w:r>
    </w:p>
    <w:bookmarkEnd w:id="417"/>
    <w:bookmarkStart w:id="419"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18">
        <w:r>
          <w:rPr>
            <w:rStyle w:val="Hyperlink"/>
          </w:rPr>
          <w:t xml:space="preserve">https://doi.org/2027/spo.3521354.0013.022</w:t>
        </w:r>
      </w:hyperlink>
      <w:r>
        <w:t xml:space="preserve">.</w:t>
      </w:r>
    </w:p>
    <w:bookmarkEnd w:id="419"/>
    <w:bookmarkStart w:id="420"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20"/>
    <w:bookmarkStart w:id="422"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21">
        <w:r>
          <w:rPr>
            <w:rStyle w:val="Hyperlink"/>
          </w:rPr>
          <w:t xml:space="preserve">https://doi.org/10.1111/j.1520-8583.2005.00069.x</w:t>
        </w:r>
      </w:hyperlink>
      <w:r>
        <w:t xml:space="preserve">.</w:t>
      </w:r>
    </w:p>
    <w:bookmarkEnd w:id="422"/>
    <w:bookmarkStart w:id="423"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23"/>
    <w:bookmarkStart w:id="424" w:name="ref-Williamson1994"/>
    <w:p>
      <w:pPr>
        <w:pStyle w:val="Bibliography"/>
      </w:pPr>
      <w:r>
        <w:t xml:space="preserve">Williamson, Timothy. 1994.</w:t>
      </w:r>
      <w:r>
        <w:t xml:space="preserve"> </w:t>
      </w:r>
      <w:r>
        <w:rPr>
          <w:iCs/>
          <w:i/>
        </w:rPr>
        <w:t xml:space="preserve">Vagueness</w:t>
      </w:r>
      <w:r>
        <w:t xml:space="preserve">. New York: Routledge.</w:t>
      </w:r>
    </w:p>
    <w:bookmarkEnd w:id="424"/>
    <w:bookmarkStart w:id="425" w:name="ref-Williamson2000"/>
    <w:p>
      <w:pPr>
        <w:pStyle w:val="Bibliography"/>
      </w:pPr>
      <w:r>
        <w:t xml:space="preserve">———. 2000.</w:t>
      </w:r>
      <w:r>
        <w:t xml:space="preserve"> </w:t>
      </w:r>
      <w:r>
        <w:rPr>
          <w:iCs/>
          <w:i/>
        </w:rPr>
        <w:t xml:space="preserve">Knowledge and its Limits</w:t>
      </w:r>
      <w:r>
        <w:t xml:space="preserve">. Oxford University Press.</w:t>
      </w:r>
    </w:p>
    <w:bookmarkEnd w:id="425"/>
    <w:bookmarkStart w:id="427"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26">
        <w:r>
          <w:rPr>
            <w:rStyle w:val="Hyperlink"/>
          </w:rPr>
          <w:t xml:space="preserve">https://doi.org/10.1111/j.0031-8094.2005.00396.x</w:t>
        </w:r>
      </w:hyperlink>
      <w:r>
        <w:t xml:space="preserve">.</w:t>
      </w:r>
    </w:p>
    <w:bookmarkEnd w:id="427"/>
    <w:bookmarkStart w:id="429"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28">
        <w:r>
          <w:rPr>
            <w:rStyle w:val="Hyperlink"/>
          </w:rPr>
          <w:t xml:space="preserve">https://doi.org/10.1111/j.1467-8284.2007.00671.x</w:t>
        </w:r>
      </w:hyperlink>
      <w:r>
        <w:t xml:space="preserve">.</w:t>
      </w:r>
    </w:p>
    <w:bookmarkEnd w:id="429"/>
    <w:bookmarkStart w:id="431"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30">
        <w:r>
          <w:rPr>
            <w:rStyle w:val="Hyperlink"/>
          </w:rPr>
          <w:t xml:space="preserve">https://doi.org/10.1080/0020174X.2013.775010</w:t>
        </w:r>
      </w:hyperlink>
      <w:r>
        <w:t xml:space="preserve">.</w:t>
      </w:r>
    </w:p>
    <w:bookmarkEnd w:id="431"/>
    <w:bookmarkStart w:id="432"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32"/>
    <w:bookmarkStart w:id="433"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33"/>
    <w:bookmarkStart w:id="434" w:name="ref-Woodard2021"/>
    <w:p>
      <w:pPr>
        <w:pStyle w:val="Bibliography"/>
      </w:pPr>
      <w:r>
        <w:t xml:space="preserve">Woodard, Elise. 2020.</w:t>
      </w:r>
      <w:r>
        <w:t xml:space="preserve"> </w:t>
      </w:r>
      <w:r>
        <w:t xml:space="preserve">“Why Double-Check.”</w:t>
      </w:r>
    </w:p>
    <w:bookmarkEnd w:id="434"/>
    <w:bookmarkStart w:id="436"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35">
        <w:r>
          <w:rPr>
            <w:rStyle w:val="Hyperlink"/>
          </w:rPr>
          <w:t xml:space="preserve">https://doi.org/10.1111/j.1933-1592.2002.tb00205.x</w:t>
        </w:r>
      </w:hyperlink>
      <w:r>
        <w:t xml:space="preserve">.</w:t>
      </w:r>
    </w:p>
    <w:bookmarkEnd w:id="436"/>
    <w:bookmarkStart w:id="437"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37"/>
    <w:bookmarkStart w:id="439"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38">
        <w:r>
          <w:rPr>
            <w:rStyle w:val="Hyperlink"/>
          </w:rPr>
          <w:t xml:space="preserve">https://doi.org/10.1111/phpr.12330</w:t>
        </w:r>
      </w:hyperlink>
      <w:r>
        <w:t xml:space="preserve">.</w:t>
      </w:r>
    </w:p>
    <w:bookmarkEnd w:id="439"/>
    <w:bookmarkStart w:id="440" w:name="ref-Yalcin2021"/>
    <w:p>
      <w:pPr>
        <w:pStyle w:val="Bibliography"/>
      </w:pPr>
      <w:r>
        <w:t xml:space="preserve">———. 2021.</w:t>
      </w:r>
      <w:r>
        <w:t xml:space="preserve"> </w:t>
      </w:r>
      <w:r>
        <w:t xml:space="preserve">“Fragmented but Rational.”</w:t>
      </w:r>
      <w:r>
        <w:t xml:space="preserve"> </w:t>
      </w:r>
      <w:r>
        <w:t xml:space="preserve">In, edited by Christina Borgoni, Dirk Kindermann, and Andrea Onofori, 156–79. Oxford: Oxford University Press.</w:t>
      </w:r>
    </w:p>
    <w:bookmarkEnd w:id="440"/>
    <w:bookmarkStart w:id="442"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41">
        <w:r>
          <w:rPr>
            <w:rStyle w:val="Hyperlink"/>
          </w:rPr>
          <w:t xml:space="preserve">https://doi.org/10.1007/s11098-016-0631-5</w:t>
        </w:r>
      </w:hyperlink>
      <w:r>
        <w:t xml:space="preserve">.</w:t>
      </w:r>
    </w:p>
    <w:bookmarkEnd w:id="442"/>
    <w:bookmarkEnd w:id="443"/>
    <w:bookmarkEnd w:id="4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Charles Brittain’s encyclopaedia entry on Philo</w:t>
      </w:r>
      <w:r>
        <w:t xml:space="preserve"> </w:t>
      </w:r>
      <w:r>
        <w:t xml:space="preserve">(</w:t>
      </w:r>
      <w:hyperlink w:anchor="ref-Brittain2021">
        <w:r>
          <w:rPr>
            <w:rStyle w:val="Hyperlink"/>
          </w:rPr>
          <w:t xml:space="preserve">Brittain and Osorio 2021</w:t>
        </w:r>
      </w:hyperlink>
      <w:r>
        <w:t xml:space="preserve">)</w:t>
      </w:r>
      <w:r>
        <w:t xml:space="preserve"> </w:t>
      </w:r>
      <w:r>
        <w:t xml:space="preserve">and the chapters on scepticism in Peter Adamson’s book on Hellenistic philosophy</w:t>
      </w:r>
      <w:r>
        <w:t xml:space="preserve"> </w:t>
      </w:r>
      <w:r>
        <w:t xml:space="preserve">(</w:t>
      </w:r>
      <w:hyperlink w:anchor="ref-Adamson2015">
        <w:r>
          <w:rPr>
            <w:rStyle w:val="Hyperlink"/>
          </w:rPr>
          <w:t xml:space="preserve">Adamson 2015</w:t>
        </w:r>
      </w:hyperlink>
      <w:r>
        <w:t xml:space="preserve">)</w:t>
      </w:r>
      <w:r>
        <w:t xml:space="preserve">. I’m particularly drawing on section 3.3 of Brittain’s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w:t>
      </w:r>
      <w:hyperlink w:anchor="ref-AdamsonGaneri2020">
        <w:r>
          <w:rPr>
            <w:rStyle w:val="Hyperlink"/>
          </w:rPr>
          <w:t xml:space="preserve">Adamson and Ganeri 2020</w:t>
        </w:r>
      </w:hyperlink>
      <w:r>
        <w:t xml:space="preserve">)</w:t>
      </w:r>
      <w:r>
        <w:t xml:space="preserve">.</w:t>
      </w:r>
    </w:p>
  </w:footnote>
  <w:footnote w:id="27">
    <w:p>
      <w:pPr>
        <w:pStyle w:val="FootnoteText"/>
      </w:pPr>
      <w:r>
        <w:rPr>
          <w:rStyle w:val="FootnoteReference"/>
        </w:rPr>
        <w:footnoteRef/>
      </w:r>
      <w:r>
        <w:t xml:space="preserve"> </w:t>
      </w:r>
      <w:r>
        <w:t xml:space="preserve">See Lasonen-Aarnio</w:t>
      </w:r>
      <w:r>
        <w:t xml:space="preserve"> </w:t>
      </w:r>
      <w:r>
        <w:t xml:space="preserve">(</w:t>
      </w:r>
      <w:hyperlink w:anchor="ref-Lasonen-Aarnio2010b">
        <w:r>
          <w:rPr>
            <w:rStyle w:val="Hyperlink"/>
          </w:rPr>
          <w:t xml:space="preserve">2010</w:t>
        </w:r>
      </w:hyperlink>
      <w:r>
        <w:t xml:space="preserve">,</w:t>
      </w:r>
      <w:r>
        <w:t xml:space="preserve"> </w:t>
      </w:r>
      <w:hyperlink w:anchor="ref-Lasonen-Aarnio2014">
        <w:r>
          <w:rPr>
            <w:rStyle w:val="Hyperlink"/>
          </w:rPr>
          <w:t xml:space="preserve">2014</w:t>
        </w:r>
      </w:hyperlink>
      <w:r>
        <w:t xml:space="preserve">)</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t>
      </w:r>
      <w:hyperlink w:anchor="ref-Weatherson2019">
        <w:r>
          <w:rPr>
            <w:rStyle w:val="Hyperlink"/>
          </w:rPr>
          <w:t xml:space="preserve">Weatherson 2019, 124–25</w:t>
        </w:r>
      </w:hyperlink>
      <w:r>
        <w:t xml:space="preserve">)</w:t>
      </w:r>
      <w:r>
        <w:t xml:space="preserve">. The best form of epistemicism, I’m suggesting, says that Anisa and Blaise are rational but unwise. This isn’t Lasonen-Aarnio’s terminology, but otherwise I’m just coopting her ideas.</w:t>
      </w:r>
    </w:p>
  </w:footnote>
  <w:footnote w:id="31">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3">
    <w:p>
      <w:pPr>
        <w:pStyle w:val="FootnoteText"/>
      </w:pPr>
      <w:r>
        <w:rPr>
          <w:rStyle w:val="FootnoteReference"/>
        </w:rPr>
        <w:footnoteRef/>
      </w:r>
      <w:r>
        <w:t xml:space="preserve"> </w:t>
      </w:r>
      <w:r>
        <w:t xml:space="preserve">This subsection is based on §2 of my</w:t>
      </w:r>
      <w:r>
        <w:t xml:space="preserve"> </w:t>
      </w:r>
      <w:r>
        <w:t xml:space="preserve">(</w:t>
      </w:r>
      <w:hyperlink w:anchor="ref-Weatherson2018-WEAIEA-2">
        <w:r>
          <w:rPr>
            <w:rStyle w:val="Hyperlink"/>
          </w:rPr>
          <w:t xml:space="preserve">2018</w:t>
        </w:r>
      </w:hyperlink>
      <w:r>
        <w:t xml:space="preserve">)</w:t>
      </w:r>
      <w:r>
        <w:t xml:space="preserve">.</w:t>
      </w:r>
    </w:p>
  </w:footnote>
  <w:footnote w:id="36">
    <w:p>
      <w:pPr>
        <w:pStyle w:val="FootnoteText"/>
      </w:pPr>
      <w:r>
        <w:rPr>
          <w:rStyle w:val="FootnoteReference"/>
        </w:rPr>
        <w:footnoteRef/>
      </w:r>
      <w:r>
        <w:t xml:space="preserve"> </w:t>
      </w:r>
      <w:r>
        <w:t xml:space="preserve">This section is based on §3 of my</w:t>
      </w:r>
      <w:r>
        <w:t xml:space="preserve"> </w:t>
      </w:r>
      <w:r>
        <w:t xml:space="preserve">(</w:t>
      </w:r>
      <w:hyperlink w:anchor="ref-Weatherson2016">
        <w:r>
          <w:rPr>
            <w:rStyle w:val="Hyperlink"/>
          </w:rPr>
          <w:t xml:space="preserve">2016a</w:t>
        </w:r>
      </w:hyperlink>
      <w:r>
        <w:t xml:space="preserve">)</w:t>
      </w:r>
      <w:r>
        <w:t xml:space="preserve">.</w:t>
      </w:r>
    </w:p>
  </w:footnote>
  <w:footnote w:id="37">
    <w:p>
      <w:pPr>
        <w:pStyle w:val="FootnoteText"/>
      </w:pPr>
      <w:r>
        <w:rPr>
          <w:rStyle w:val="FootnoteReference"/>
        </w:rPr>
        <w:footnoteRef/>
      </w:r>
      <w:r>
        <w:t xml:space="preserve"> </w:t>
      </w:r>
      <w:r>
        <w:t xml:space="preserve">This simplifies a little the relationship between rational choice and expected utility maximisation. Later in the book I’ll have to be much more careful about this relationship. See chapter</w:t>
      </w:r>
      <w:r>
        <w:t xml:space="preserve"> </w:t>
      </w:r>
      <w:r>
        <w:rPr>
          <w:vertAlign w:val="subscript"/>
        </w:rPr>
        <w:t xml:space="preserve">6</w:t>
      </w:r>
      <w:r>
        <w:t xml:space="preserve"> </w:t>
      </w:r>
      <w:r>
        <w:t xml:space="preserve">for many more details.</w:t>
      </w:r>
    </w:p>
  </w:footnote>
  <w:footnote w:id="39">
    <w:p>
      <w:pPr>
        <w:pStyle w:val="FootnoteText"/>
      </w:pPr>
      <w:r>
        <w:rPr>
          <w:rStyle w:val="FootnoteReference"/>
        </w:rPr>
        <w:footnoteRef/>
      </w:r>
      <w:r>
        <w:t xml:space="preserve"> </w:t>
      </w:r>
      <w:r>
        <w:t xml:space="preserve">This section is based on §4 of my</w:t>
      </w:r>
      <w:r>
        <w:t xml:space="preserve"> </w:t>
      </w:r>
      <w:r>
        <w:t xml:space="preserve">(</w:t>
      </w:r>
      <w:hyperlink w:anchor="ref-Weatherson2017-WEAII">
        <w:r>
          <w:rPr>
            <w:rStyle w:val="Hyperlink"/>
          </w:rPr>
          <w:t xml:space="preserve">2017</w:t>
        </w:r>
      </w:hyperlink>
      <w:r>
        <w:t xml:space="preserve">)</w:t>
      </w:r>
      <w:r>
        <w:t xml:space="preserve">.</w:t>
      </w:r>
    </w:p>
  </w:footnote>
  <w:footnote w:id="4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46">
    <w:p>
      <w:pPr>
        <w:pStyle w:val="FootnoteText"/>
      </w:pPr>
      <w:r>
        <w:rPr>
          <w:rStyle w:val="FootnoteReference"/>
        </w:rPr>
        <w:footnoteRef/>
      </w:r>
      <w:r>
        <w:t xml:space="preserve"> </w:t>
      </w:r>
      <w:r>
        <w:t xml:space="preserve">Though note how historically unusual such a view is. There was a radical new view introduced into epistemology in the early years of this century, and it wasn’t interest-relativity, it was the knowledge first program.</w:t>
      </w:r>
    </w:p>
  </w:footnote>
  <w:footnote w:id="48">
    <w:p>
      <w:pPr>
        <w:pStyle w:val="FootnoteText"/>
      </w:pPr>
      <w:r>
        <w:rPr>
          <w:rStyle w:val="FootnoteReference"/>
        </w:rPr>
        <w:footnoteRef/>
      </w:r>
      <w:r>
        <w:t xml:space="preserve"> </w:t>
      </w:r>
      <w:r>
        <w:t xml:space="preserve">The picture I’m sketching here is similar to the one that Seth Yalcin has defended in his</w:t>
      </w:r>
      <w:r>
        <w:t xml:space="preserve"> </w:t>
      </w:r>
      <w:r>
        <w:t xml:space="preserve">(</w:t>
      </w:r>
      <w:hyperlink w:anchor="ref-Yalcin2018">
        <w:r>
          <w:rPr>
            <w:rStyle w:val="Hyperlink"/>
          </w:rPr>
          <w:t xml:space="preserve">2018</w:t>
        </w:r>
      </w:hyperlink>
      <w:r>
        <w:t xml:space="preserve">)</w:t>
      </w:r>
      <w:r>
        <w:t xml:space="preserve"> </w:t>
      </w:r>
      <w:r>
        <w:t xml:space="preserve">and, especially,</w:t>
      </w:r>
      <w:r>
        <w:t xml:space="preserve"> </w:t>
      </w:r>
      <w:r>
        <w:t xml:space="preserve">(</w:t>
      </w:r>
      <w:hyperlink w:anchor="ref-Yalcin2021">
        <w:r>
          <w:rPr>
            <w:rStyle w:val="Hyperlink"/>
          </w:rPr>
          <w:t xml:space="preserve">2021</w:t>
        </w:r>
      </w:hyperlink>
      <w:r>
        <w:t xml:space="preserve">)</w:t>
      </w:r>
      <w:r>
        <w:t xml:space="preserve">. That’s not to say he would endorse any of the conclusions here, but simply to note that he has set out the the idea that belief is less like a map and more like an atlas, and put that idea to philosophical work.</w:t>
      </w:r>
    </w:p>
  </w:footnote>
  <w:footnote w:id="49">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the need for the belief/acceptance distinction seems to go away. What are commonly called acceptances are, on my theory, beliefs that are highly sensitive to changes in interests.</w:t>
      </w:r>
    </w:p>
  </w:footnote>
  <w:footnote w:id="5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54">
    <w:p>
      <w:pPr>
        <w:pStyle w:val="FootnoteText"/>
      </w:pPr>
      <w:r>
        <w:rPr>
          <w:rStyle w:val="FootnoteReference"/>
        </w:rPr>
        <w:footnoteRef/>
      </w:r>
      <w:r>
        <w:t xml:space="preserve"> </w:t>
      </w:r>
      <w:r>
        <w:t xml:space="preserve">See Lewis</w:t>
      </w:r>
      <w:r>
        <w:t xml:space="preserve"> </w:t>
      </w:r>
      <w:r>
        <w:t xml:space="preserve">(</w:t>
      </w:r>
      <w:hyperlink w:anchor="ref-Lewis1976b">
        <w:r>
          <w:rPr>
            <w:rStyle w:val="Hyperlink"/>
          </w:rPr>
          <w:t xml:space="preserve">1976</w:t>
        </w:r>
      </w:hyperlink>
      <w:r>
        <w:t xml:space="preserve">,</w:t>
      </w:r>
      <w:r>
        <w:t xml:space="preserve"> </w:t>
      </w:r>
      <w:hyperlink w:anchor="ref-Lewis1986h">
        <w:r>
          <w:rPr>
            <w:rStyle w:val="Hyperlink"/>
          </w:rPr>
          <w:t xml:space="preserve">1986b</w:t>
        </w:r>
      </w:hyperlink>
      <w:r>
        <w:t xml:space="preserve">)</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w:t>
      </w:r>
      <w:hyperlink w:anchor="ref-Lewis1988">
        <w:r>
          <w:rPr>
            <w:rStyle w:val="Hyperlink"/>
          </w:rPr>
          <w:t xml:space="preserve">1988</w:t>
        </w:r>
      </w:hyperlink>
      <w:r>
        <w:t xml:space="preserve">,</w:t>
      </w:r>
      <w:r>
        <w:t xml:space="preserve"> </w:t>
      </w:r>
      <w:hyperlink w:anchor="ref-Lewis1996">
        <w:r>
          <w:rPr>
            <w:rStyle w:val="Hyperlink"/>
          </w:rPr>
          <w:t xml:space="preserve">1996</w:t>
        </w:r>
      </w:hyperlink>
      <w:r>
        <w:t xml:space="preserve">)</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w:t>
      </w:r>
      <w:hyperlink w:anchor="ref-Gillies2010">
        <w:r>
          <w:rPr>
            <w:rStyle w:val="Hyperlink"/>
          </w:rPr>
          <w:t xml:space="preserve">2010</w:t>
        </w:r>
      </w:hyperlink>
      <w:r>
        <w:t xml:space="preserve">)</w:t>
      </w:r>
      <w:r>
        <w:t xml:space="preserve"> </w:t>
      </w:r>
      <w:r>
        <w:t xml:space="preserve">on issues about modals in the consequent of conditional questions.</w:t>
      </w:r>
    </w:p>
  </w:footnote>
  <w:footnote w:id="5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57">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w:t>
      </w:r>
      <w:hyperlink w:anchor="ref-sep-questions">
        <w:r>
          <w:rPr>
            <w:rStyle w:val="Hyperlink"/>
          </w:rPr>
          <w:t xml:space="preserve">2018</w:t>
        </w:r>
      </w:hyperlink>
      <w:r>
        <w:t xml:space="preserve">)</w:t>
      </w:r>
      <w:r>
        <w:t xml:space="preserve">. A canonical text on the role of questions is Roberts -</w:t>
      </w:r>
      <w:r>
        <w:t xml:space="preserve">Roberts (</w:t>
      </w:r>
      <w:hyperlink w:anchor="ref-Roberts2012">
        <w:r>
          <w:rPr>
            <w:rStyle w:val="Hyperlink"/>
          </w:rPr>
          <w:t xml:space="preserve">2012</w:t>
        </w:r>
      </w:hyperlink>
      <w:r>
        <w:t xml:space="preserve">)</w:t>
      </w:r>
      <w:r>
        <w:t xml:space="preserve">. Roberts originally circulated that paper in 1996. Since then it has influenced a huge range of works, including this one.</w:t>
      </w:r>
    </w:p>
  </w:footnote>
  <w:footnote w:id="5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5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w:t>
      </w:r>
      <w:hyperlink w:anchor="ref-Adamson2019">
        <w:r>
          <w:rPr>
            <w:rStyle w:val="Hyperlink"/>
          </w:rPr>
          <w:t xml:space="preserve">2019, 453ff</w:t>
        </w:r>
      </w:hyperlink>
      <w:r>
        <w:t xml:space="preserve">)</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1">
    <w:p>
      <w:pPr>
        <w:pStyle w:val="FootnoteText"/>
      </w:pPr>
      <w:r>
        <w:rPr>
          <w:rStyle w:val="FootnoteReference"/>
        </w:rPr>
        <w:footnoteRef/>
      </w:r>
      <w:r>
        <w:t xml:space="preserve"> </w:t>
      </w:r>
      <w:r>
        <w:t xml:space="preserve">I’m here mildly disagreeing with Jason Stanley</w:t>
      </w:r>
      <w:r>
        <w:t xml:space="preserve"> </w:t>
      </w:r>
      <w:r>
        <w:t xml:space="preserve">(</w:t>
      </w:r>
      <w:hyperlink w:anchor="ref-Stanley2011">
        <w:r>
          <w:rPr>
            <w:rStyle w:val="Hyperlink"/>
          </w:rPr>
          <w:t xml:space="preserve">2011</w:t>
        </w:r>
      </w:hyperlink>
      <w:r>
        <w:t xml:space="preserve">,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 -</w:t>
      </w:r>
      <w:r>
        <w:t xml:space="preserve">Bhatt (</w:t>
      </w:r>
      <w:hyperlink w:anchor="ref-Bhatt1999">
        <w:r>
          <w:rPr>
            <w:rStyle w:val="Hyperlink"/>
          </w:rPr>
          <w:t xml:space="preserve">1999</w:t>
        </w:r>
      </w:hyperlink>
      <w:r>
        <w:t xml:space="preserve">)</w:t>
      </w:r>
      <w:r>
        <w:t xml:space="preserve"> </w:t>
      </w:r>
      <w:r>
        <w:t xml:space="preserve">suggests.</w:t>
      </w:r>
    </w:p>
  </w:footnote>
  <w:footnote w:id="63">
    <w:p>
      <w:pPr>
        <w:pStyle w:val="FootnoteText"/>
      </w:pPr>
      <w:r>
        <w:rPr>
          <w:rStyle w:val="FootnoteReference"/>
        </w:rPr>
        <w:footnoteRef/>
      </w:r>
      <w:r>
        <w:t xml:space="preserve"> </w:t>
      </w:r>
      <w:r>
        <w:t xml:space="preserve">Fantl and McGrath (</w:t>
      </w:r>
      <w:hyperlink w:anchor="ref-FantlMcGrath2009">
        <w:r>
          <w:rPr>
            <w:rStyle w:val="Hyperlink"/>
          </w:rPr>
          <w:t xml:space="preserve">2009</w:t>
        </w:r>
      </w:hyperlink>
      <w:r>
        <w:t xml:space="preserve">)</w:t>
      </w:r>
      <w:r>
        <w:t xml:space="preserve"> </w:t>
      </w:r>
      <w:r>
        <w:t xml:space="preserve">make a similar argument, targetted at Lockean theories of belief more than at my theory. I’ll come back to how this is a problem for Lockean theories in subsection</w:t>
      </w:r>
      <w:r>
        <w:t xml:space="preserve"> </w:t>
      </w:r>
      <w:r>
        <w:rPr>
          <w:vertAlign w:val="subscript"/>
        </w:rPr>
        <w:t xml:space="preserve">8.4.2</w:t>
      </w:r>
      <w:r>
        <w:t xml:space="preserve">.</w:t>
      </w:r>
    </w:p>
  </w:footnote>
  <w:footnote w:id="68">
    <w:p>
      <w:pPr>
        <w:pStyle w:val="FootnoteText"/>
      </w:pPr>
      <w:r>
        <w:rPr>
          <w:rStyle w:val="FootnoteReference"/>
        </w:rPr>
        <w:footnoteRef/>
      </w:r>
      <w:r>
        <w:t xml:space="preserve"> </w:t>
      </w:r>
      <w:r>
        <w:t xml:space="preserve">This subsection is based on material from §1 of my</w:t>
      </w:r>
      <w:r>
        <w:t xml:space="preserve"> </w:t>
      </w:r>
      <w:r>
        <w:t xml:space="preserve">(</w:t>
      </w:r>
      <w:hyperlink w:anchor="ref-Weatherson2016">
        <w:r>
          <w:rPr>
            <w:rStyle w:val="Hyperlink"/>
          </w:rPr>
          <w:t xml:space="preserve">2016a</w:t>
        </w:r>
      </w:hyperlink>
      <w:r>
        <w:t xml:space="preserve">)</w:t>
      </w:r>
      <w:r>
        <w:t xml:space="preserve">.</w:t>
      </w:r>
    </w:p>
  </w:footnote>
  <w:footnote w:id="71">
    <w:p>
      <w:pPr>
        <w:pStyle w:val="FootnoteText"/>
      </w:pPr>
      <w:r>
        <w:rPr>
          <w:rStyle w:val="FootnoteReference"/>
        </w:rPr>
        <w:footnoteRef/>
      </w:r>
      <w:r>
        <w:t xml:space="preserve"> </w:t>
      </w:r>
      <w:r>
        <w:t xml:space="preserve">This section is based on §3 of my</w:t>
      </w:r>
      <w:r>
        <w:t xml:space="preserve"> </w:t>
      </w:r>
      <w:r>
        <w:t xml:space="preserve">(</w:t>
      </w:r>
      <w:hyperlink w:anchor="ref-Weatherson2016">
        <w:r>
          <w:rPr>
            <w:rStyle w:val="Hyperlink"/>
          </w:rPr>
          <w:t xml:space="preserve">2016a</w:t>
        </w:r>
      </w:hyperlink>
      <w:r>
        <w:t xml:space="preserve">)</w:t>
      </w:r>
      <w:r>
        <w:t xml:space="preserve">.</w:t>
      </w:r>
    </w:p>
  </w:footnote>
  <w:footnote w:id="74">
    <w:p>
      <w:pPr>
        <w:pStyle w:val="FootnoteText"/>
      </w:pPr>
      <w:r>
        <w:rPr>
          <w:rStyle w:val="FootnoteReference"/>
        </w:rPr>
        <w:footnoteRef/>
      </w:r>
      <w:r>
        <w:t xml:space="preserve"> </w:t>
      </w:r>
      <w:r>
        <w:t xml:space="preserve">This section is based on §1.1 of my</w:t>
      </w:r>
      <w:r>
        <w:t xml:space="preserve"> </w:t>
      </w:r>
      <w:r>
        <w:t xml:space="preserve">(</w:t>
      </w:r>
      <w:hyperlink w:anchor="ref-Weatherson2012">
        <w:r>
          <w:rPr>
            <w:rStyle w:val="Hyperlink"/>
          </w:rPr>
          <w:t xml:space="preserve">2012</w:t>
        </w:r>
      </w:hyperlink>
      <w:r>
        <w:t xml:space="preserve">)</w:t>
      </w:r>
      <w:r>
        <w:t xml:space="preserve">.</w:t>
      </w:r>
    </w:p>
  </w:footnote>
  <w:footnote w:id="75">
    <w:p>
      <w:pPr>
        <w:pStyle w:val="FootnoteText"/>
      </w:pPr>
      <w:r>
        <w:rPr>
          <w:rStyle w:val="FootnoteReference"/>
        </w:rPr>
        <w:footnoteRef/>
      </w:r>
      <w:r>
        <w:t xml:space="preserve"> </w:t>
      </w:r>
      <w:r>
        <w:t xml:space="preserve">The cases I’ll discuss in sections</w:t>
      </w:r>
      <w:r>
        <w:t xml:space="preserve"> </w:t>
      </w:r>
      <w:r>
        <w:t xml:space="preserve">8.2</w:t>
      </w:r>
      <w:r>
        <w:t xml:space="preserve"> </w:t>
      </w:r>
      <w:r>
        <w:t xml:space="preserve">and</w:t>
      </w:r>
      <w:r>
        <w:t xml:space="preserve"> </w:t>
      </w:r>
      <w:r>
        <w:rPr>
          <w:vertAlign w:val="subscript"/>
        </w:rPr>
        <w:t xml:space="preserve">8.3</w:t>
      </w:r>
      <w:r>
        <w:t xml:space="preserve"> </w:t>
      </w:r>
      <w:r>
        <w:t xml:space="preserve">also raise problems for this proposal. And the proposal is very similar to the theory I’ll call IRT-CP in chapter</w:t>
      </w:r>
      <w:r>
        <w:t xml:space="preserve"> </w:t>
      </w:r>
      <w:r>
        <w:t xml:space="preserve">6</w:t>
      </w:r>
      <w:r>
        <w:t xml:space="preserve">, a theory that has trouble dealing with situations involving close calls.</w:t>
      </w:r>
    </w:p>
  </w:footnote>
  <w:footnote w:id="77">
    <w:p>
      <w:pPr>
        <w:pStyle w:val="FootnoteText"/>
      </w:pPr>
      <w:r>
        <w:rPr>
          <w:rStyle w:val="FootnoteReference"/>
        </w:rPr>
        <w:footnoteRef/>
      </w:r>
      <w:r>
        <w:t xml:space="preserve"> </w:t>
      </w:r>
      <w:r>
        <w:t xml:space="preserve">This is far from an original suggestion. See Weisberg</w:t>
      </w:r>
      <w:r>
        <w:t xml:space="preserve"> </w:t>
      </w:r>
      <w:r>
        <w:t xml:space="preserve">(</w:t>
      </w:r>
      <w:hyperlink w:anchor="ref-Weisberg2010">
        <w:r>
          <w:rPr>
            <w:rStyle w:val="Hyperlink"/>
          </w:rPr>
          <w:t xml:space="preserve">2010</w:t>
        </w:r>
      </w:hyperlink>
      <w:r>
        <w:t xml:space="preserve">)</w:t>
      </w:r>
      <w:r>
        <w:t xml:space="preserve"> </w:t>
      </w:r>
      <w:r>
        <w:t xml:space="preserve">for discussion of it, and of related proposals, and for more discussion of the literature on Wright’s examples.</w:t>
      </w:r>
    </w:p>
  </w:footnote>
  <w:footnote w:id="79">
    <w:p>
      <w:pPr>
        <w:pStyle w:val="FootnoteText"/>
      </w:pPr>
      <w:r>
        <w:rPr>
          <w:rStyle w:val="FootnoteReference"/>
        </w:rPr>
        <w:footnoteRef/>
      </w:r>
      <w:r>
        <w:t xml:space="preserve"> </w:t>
      </w:r>
      <w:r>
        <w:t xml:space="preserve">This game will resemble the examples that Zweber</w:t>
      </w:r>
      <w:r>
        <w:t xml:space="preserve"> </w:t>
      </w:r>
      <w:r>
        <w:t xml:space="preserve">(</w:t>
      </w:r>
      <w:hyperlink w:anchor="ref-Zweber2016">
        <w:r>
          <w:rPr>
            <w:rStyle w:val="Hyperlink"/>
          </w:rPr>
          <w:t xml:space="preserve">2016</w:t>
        </w:r>
      </w:hyperlink>
      <w:r>
        <w:t xml:space="preserve">)</w:t>
      </w:r>
      <w:r>
        <w:t xml:space="preserve"> </w:t>
      </w:r>
      <w:r>
        <w:t xml:space="preserve">and Anderson and Hawthorne</w:t>
      </w:r>
      <w:r>
        <w:t xml:space="preserve"> </w:t>
      </w:r>
      <w:r>
        <w:t xml:space="preserve">(</w:t>
      </w:r>
      <w:hyperlink w:anchor="ref-AndersonHawthorne2019b">
        <w:r>
          <w:rPr>
            <w:rStyle w:val="Hyperlink"/>
          </w:rPr>
          <w:t xml:space="preserve">2019b</w:t>
        </w:r>
      </w:hyperlink>
      <w:r>
        <w:t xml:space="preserve">)</w:t>
      </w:r>
      <w:r>
        <w:t xml:space="preserve"> </w:t>
      </w:r>
      <w:r>
        <w:t xml:space="preserve">use to raise doubts about whether pragmatic theories like mine reall do endorse single premise closure.</w:t>
      </w:r>
    </w:p>
  </w:footnote>
  <w:footnote w:id="81">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2">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87">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88">
    <w:p>
      <w:pPr>
        <w:pStyle w:val="FootnoteText"/>
      </w:pPr>
      <w:r>
        <w:rPr>
          <w:rStyle w:val="FootnoteReference"/>
        </w:rPr>
        <w:footnoteRef/>
      </w:r>
      <w:r>
        <w:t xml:space="preserve"> </w:t>
      </w:r>
      <w:r>
        <w:t xml:space="preserve">These quotes were compiled by Woodard</w:t>
      </w:r>
      <w:r>
        <w:t xml:space="preserve"> </w:t>
      </w:r>
      <w:r>
        <w:t xml:space="preserve">(</w:t>
      </w:r>
      <w:hyperlink w:anchor="ref-Woodard2021">
        <w:r>
          <w:rPr>
            <w:rStyle w:val="Hyperlink"/>
          </w:rPr>
          <w:t xml:space="preserve">2020</w:t>
        </w:r>
      </w:hyperlink>
      <w:r>
        <w:t xml:space="preserve">)</w:t>
      </w:r>
      <w:r>
        <w:t xml:space="preserve">.</w:t>
      </w:r>
    </w:p>
  </w:footnote>
  <w:footnote w:id="97">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w:t>
      </w:r>
      <w:hyperlink w:anchor="ref-Egan2008">
        <w:r>
          <w:rPr>
            <w:rStyle w:val="Hyperlink"/>
          </w:rPr>
          <w:t xml:space="preserve">2008</w:t>
        </w:r>
      </w:hyperlink>
      <w:r>
        <w:t xml:space="preserve">)</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05">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06">
    <w:p>
      <w:pPr>
        <w:pStyle w:val="FootnoteText"/>
      </w:pPr>
      <w:r>
        <w:rPr>
          <w:rStyle w:val="FootnoteReference"/>
        </w:rPr>
        <w:footnoteRef/>
      </w:r>
      <w:r>
        <w:t xml:space="preserve"> </w:t>
      </w:r>
      <w:r>
        <w:t xml:space="preserve">This is true of milk in Australian supermarkets, but not, typically, in American supermarkets.</w:t>
      </w:r>
    </w:p>
  </w:footnote>
  <w:footnote w:id="108">
    <w:p>
      <w:pPr>
        <w:pStyle w:val="FootnoteText"/>
      </w:pPr>
      <w:r>
        <w:rPr>
          <w:rStyle w:val="FootnoteReference"/>
        </w:rPr>
        <w:footnoteRef/>
      </w:r>
      <w:r>
        <w:t xml:space="preserve"> </w:t>
      </w:r>
      <w:r>
        <w:t xml:space="preserve">James Joyce</w:t>
      </w:r>
      <w:r>
        <w:t xml:space="preserve"> </w:t>
      </w:r>
      <w:r>
        <w:t xml:space="preserve">(</w:t>
      </w:r>
      <w:hyperlink w:anchor="ref-Joyce2018">
        <w:r>
          <w:rPr>
            <w:rStyle w:val="Hyperlink"/>
          </w:rPr>
          <w:t xml:space="preserve">2018</w:t>
        </w:r>
      </w:hyperlink>
      <w:r>
        <w:t xml:space="preserve">)</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1">
    <w:p>
      <w:pPr>
        <w:pStyle w:val="FootnoteText"/>
      </w:pPr>
      <w:r>
        <w:rPr>
          <w:rStyle w:val="FootnoteReference"/>
        </w:rPr>
        <w:footnoteRef/>
      </w:r>
      <w:r>
        <w:t xml:space="preserve"> </w:t>
      </w:r>
      <w:r>
        <w:t xml:space="preserve">At this point the Martians might note that while they are grateful that Williamson -</w:t>
      </w:r>
      <w:r>
        <w:t xml:space="preserve">Williamson (</w:t>
      </w:r>
      <w:hyperlink w:anchor="ref-Williamson2000">
        <w:r>
          <w:rPr>
            <w:rStyle w:val="Hyperlink"/>
          </w:rPr>
          <w:t xml:space="preserve">2000</w:t>
        </w:r>
      </w:hyperlink>
      <w:r>
        <w:t xml:space="preserve">)</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2">
    <w:p>
      <w:pPr>
        <w:pStyle w:val="FootnoteText"/>
      </w:pPr>
      <w:r>
        <w:rPr>
          <w:rStyle w:val="FootnoteReference"/>
        </w:rPr>
        <w:footnoteRef/>
      </w:r>
      <w:r>
        <w:t xml:space="preserve"> </w:t>
      </w:r>
      <w:r>
        <w:t xml:space="preserve">At this point, some of the Martians note that the existence of Elster -</w:t>
      </w:r>
      <w:r>
        <w:t xml:space="preserve">Elster (</w:t>
      </w:r>
      <w:hyperlink w:anchor="ref-Elster1979">
        <w:r>
          <w:rPr>
            <w:rStyle w:val="Hyperlink"/>
          </w:rPr>
          <w:t xml:space="preserve">1979</w:t>
        </w:r>
      </w:hyperlink>
      <w:r>
        <w:t xml:space="preserve">)</w:t>
      </w:r>
      <w:r>
        <w:t xml:space="preserve"> </w:t>
      </w:r>
      <w:r>
        <w:t xml:space="preserve">restored their faith in humanity.</w:t>
      </w:r>
    </w:p>
  </w:footnote>
  <w:footnote w:id="114">
    <w:p>
      <w:pPr>
        <w:pStyle w:val="FootnoteText"/>
      </w:pPr>
      <w:r>
        <w:rPr>
          <w:rStyle w:val="FootnoteReference"/>
        </w:rPr>
        <w:footnoteRef/>
      </w:r>
      <w:r>
        <w:t xml:space="preserve"> </w:t>
      </w:r>
      <w:r>
        <w:t xml:space="preserve">Or at least a sign. Arguably, the fact that a note is a high value one that someone is trying to use in the betting ring half an hour before the Melbourne Cup is in itself a sign that it is not genuine. A sceptical theory that says no one there knows whether they are passing on forged bank notes is not a problematic sceptical theory.</w:t>
      </w:r>
    </w:p>
  </w:footnote>
  <w:footnote w:id="117">
    <w:p>
      <w:pPr>
        <w:pStyle w:val="FootnoteText"/>
      </w:pPr>
      <w:r>
        <w:rPr>
          <w:rStyle w:val="FootnoteReference"/>
        </w:rPr>
        <w:footnoteRef/>
      </w:r>
      <w:r>
        <w:t xml:space="preserve"> </w:t>
      </w:r>
      <w:r>
        <w:t xml:space="preserve">I first made a version of this reply in my</w:t>
      </w:r>
      <w:r>
        <w:t xml:space="preserve"> </w:t>
      </w:r>
      <w:r>
        <w:t xml:space="preserve">(</w:t>
      </w:r>
      <w:hyperlink w:anchor="ref-Weatherson2016-WEARTE">
        <w:r>
          <w:rPr>
            <w:rStyle w:val="Hyperlink"/>
          </w:rPr>
          <w:t xml:space="preserve">2016b</w:t>
        </w:r>
      </w:hyperlink>
      <w:r>
        <w:t xml:space="preserve">)</w:t>
      </w:r>
      <w:r>
        <w:t xml:space="preserve">. I earlier replied to Russell and Doris, and to Blome-Tillman, in my</w:t>
      </w:r>
      <w:r>
        <w:t xml:space="preserve"> </w:t>
      </w:r>
      <w:r>
        <w:t xml:space="preserve">(</w:t>
      </w:r>
      <w:hyperlink w:anchor="ref-Weatherson2011-WEADIR">
        <w:r>
          <w:rPr>
            <w:rStyle w:val="Hyperlink"/>
          </w:rPr>
          <w:t xml:space="preserve">2011</w:t>
        </w:r>
      </w:hyperlink>
      <w:r>
        <w:t xml:space="preserve">)</w:t>
      </w:r>
      <w:r>
        <w:t xml:space="preserve">, but I now think the replies there didn’t really get to the heart of the matter.</w:t>
      </w:r>
    </w:p>
  </w:footnote>
  <w:footnote w:id="12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2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w:t>
      </w:r>
      <w:hyperlink w:anchor="ref-Gendler2005">
        <w:r>
          <w:rPr>
            <w:rStyle w:val="Hyperlink"/>
          </w:rPr>
          <w:t xml:space="preserve">2005</w:t>
        </w:r>
      </w:hyperlink>
      <w:r>
        <w:t xml:space="preserve">)</w:t>
      </w:r>
      <w:r>
        <w:t xml:space="preserve"> </w:t>
      </w:r>
      <w:r>
        <w:t xml:space="preserve">use to raise trouble for fake barn intuitions.</w:t>
      </w:r>
    </w:p>
  </w:footnote>
  <w:footnote w:id="126">
    <w:p>
      <w:pPr>
        <w:pStyle w:val="FootnoteText"/>
      </w:pPr>
      <w:r>
        <w:rPr>
          <w:rStyle w:val="FootnoteReference"/>
        </w:rPr>
        <w:footnoteRef/>
      </w:r>
      <w:r>
        <w:t xml:space="preserve"> </w:t>
      </w:r>
      <w:r>
        <w:t xml:space="preserve">This section is based on §§3.1 of my</w:t>
      </w:r>
      <w:r>
        <w:t xml:space="preserve"> </w:t>
      </w:r>
      <w:r>
        <w:t xml:space="preserve">(</w:t>
      </w:r>
      <w:hyperlink w:anchor="ref-Weatherson2012">
        <w:r>
          <w:rPr>
            <w:rStyle w:val="Hyperlink"/>
          </w:rPr>
          <w:t xml:space="preserve">2012</w:t>
        </w:r>
      </w:hyperlink>
      <w:r>
        <w:t xml:space="preserve">)</w:t>
      </w:r>
      <w:r>
        <w:t xml:space="preserve">.</w:t>
      </w:r>
    </w:p>
  </w:footnote>
  <w:footnote w:id="127">
    <w:p>
      <w:pPr>
        <w:pStyle w:val="FootnoteText"/>
      </w:pPr>
      <w:r>
        <w:rPr>
          <w:rStyle w:val="FootnoteReference"/>
        </w:rPr>
        <w:footnoteRef/>
      </w:r>
      <w:r>
        <w:t xml:space="preserve"> </w:t>
      </w:r>
      <w:r>
        <w:t xml:space="preserve">Kenneth Boyd</w:t>
      </w:r>
      <w:r>
        <w:t xml:space="preserve"> </w:t>
      </w:r>
      <w:r>
        <w:t xml:space="preserve">(</w:t>
      </w:r>
      <w:hyperlink w:anchor="ref-Boyd2015">
        <w:r>
          <w:rPr>
            <w:rStyle w:val="Hyperlink"/>
          </w:rPr>
          <w:t xml:space="preserve">2016</w:t>
        </w:r>
      </w:hyperlink>
      <w:r>
        <w:t xml:space="preserve">)</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0">
    <w:p>
      <w:pPr>
        <w:pStyle w:val="FootnoteText"/>
      </w:pPr>
      <w:r>
        <w:rPr>
          <w:rStyle w:val="FootnoteReference"/>
        </w:rPr>
        <w:footnoteRef/>
      </w:r>
      <w:r>
        <w:t xml:space="preserve"> </w:t>
      </w:r>
      <w:r>
        <w:t xml:space="preserve">This section is based on material from §1 of my</w:t>
      </w:r>
      <w:r>
        <w:t xml:space="preserve"> </w:t>
      </w:r>
      <w:r>
        <w:t xml:space="preserve">(</w:t>
      </w:r>
      <w:hyperlink w:anchor="ref-Weatherson2016">
        <w:r>
          <w:rPr>
            <w:rStyle w:val="Hyperlink"/>
          </w:rPr>
          <w:t xml:space="preserve">2016a</w:t>
        </w:r>
      </w:hyperlink>
      <w:r>
        <w:t xml:space="preserve">)</w:t>
      </w:r>
      <w:r>
        <w:t xml:space="preserve">.</w:t>
      </w:r>
    </w:p>
  </w:footnote>
  <w:footnote w:id="131">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2">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w:t>
      </w:r>
      <w:hyperlink w:anchor="ref-Brandenburger2008">
        <w:r>
          <w:rPr>
            <w:rStyle w:val="Hyperlink"/>
          </w:rPr>
          <w:t xml:space="preserve">2008</w:t>
        </w:r>
      </w:hyperlink>
      <w:r>
        <w:t xml:space="preserve">)</w:t>
      </w:r>
      <w:r>
        <w:t xml:space="preserve">, but that introduces new complications.</w:t>
      </w:r>
    </w:p>
  </w:footnote>
  <w:footnote w:id="133">
    <w:p>
      <w:pPr>
        <w:pStyle w:val="FootnoteText"/>
      </w:pPr>
      <w:r>
        <w:rPr>
          <w:rStyle w:val="FootnoteReference"/>
        </w:rPr>
        <w:footnoteRef/>
      </w:r>
      <w:r>
        <w:t xml:space="preserve"> </w:t>
      </w:r>
      <w:r>
        <w:t xml:space="preserve">It is worse than if some games have the only equilibria involving mixed strategies with irrational probabilities. And it might be noted that Binmore’s introduction of mixed strategies, on page 44 of his</w:t>
      </w:r>
      <w:r>
        <w:t xml:space="preserve"> </w:t>
      </w:r>
      <w:r>
        <w:t xml:space="preserve">(</w:t>
      </w:r>
      <w:hyperlink w:anchor="ref-Binmore2007">
        <w:r>
          <w:rPr>
            <w:rStyle w:val="Hyperlink"/>
          </w:rPr>
          <w:t xml:space="preserve">2007</w:t>
        </w:r>
      </w:hyperlink>
      <w:r>
        <w:t xml:space="preserve">)</w:t>
      </w:r>
      <w:r>
        <w:t xml:space="preserve">, sounds much more like the metaphysical interpretation. But I think the later discussion is meant to indicate that this is just a heuristic introduction; the epistemological interpretation is the correct one.</w:t>
      </w:r>
    </w:p>
  </w:footnote>
  <w:footnote w:id="134">
    <w:p>
      <w:pPr>
        <w:pStyle w:val="FootnoteText"/>
      </w:pPr>
      <w:r>
        <w:rPr>
          <w:rStyle w:val="FootnoteReference"/>
        </w:rPr>
        <w:footnoteRef/>
      </w:r>
      <w:r>
        <w:t xml:space="preserve"> </w:t>
      </w:r>
      <w:r>
        <w:t xml:space="preserve">In earlier work I’d called it Red-Green, but this is too easily confused with the Red-Blue game that plays such an important role in chapter</w:t>
      </w:r>
      <w:r>
        <w:t xml:space="preserve"> </w:t>
      </w:r>
      <w:r>
        <w:t xml:space="preserve">2</w:t>
      </w:r>
      <w:r>
        <w:t xml:space="preserve">.</w:t>
      </w:r>
    </w:p>
  </w:footnote>
  <w:footnote w:id="139">
    <w:p>
      <w:pPr>
        <w:pStyle w:val="FootnoteText"/>
      </w:pPr>
      <w:r>
        <w:rPr>
          <w:rStyle w:val="FootnoteReference"/>
        </w:rPr>
        <w:footnoteRef/>
      </w:r>
      <w:r>
        <w:t xml:space="preserve"> </w:t>
      </w:r>
      <w:r>
        <w:t xml:space="preserve">This subsection draws on material from my</w:t>
      </w:r>
      <w:r>
        <w:t xml:space="preserve"> </w:t>
      </w:r>
      <w:r>
        <w:t xml:space="preserve">(</w:t>
      </w:r>
      <w:hyperlink w:anchor="ref-Weatherson2016">
        <w:r>
          <w:rPr>
            <w:rStyle w:val="Hyperlink"/>
          </w:rPr>
          <w:t xml:space="preserve">2016a</w:t>
        </w:r>
      </w:hyperlink>
      <w:r>
        <w:t xml:space="preserve">)</w:t>
      </w:r>
      <w:r>
        <w:t xml:space="preserve">.</w:t>
      </w:r>
    </w:p>
  </w:footnote>
  <w:footnote w:id="148">
    <w:p>
      <w:pPr>
        <w:pStyle w:val="FootnoteText"/>
      </w:pPr>
      <w:r>
        <w:rPr>
          <w:rStyle w:val="FootnoteReference"/>
        </w:rPr>
        <w:footnoteRef/>
      </w:r>
      <w:r>
        <w:t xml:space="preserve"> </w:t>
      </w:r>
      <w:r>
        <w:t xml:space="preserve">The first five sections of this chapter are based on my</w:t>
      </w:r>
      <w:r>
        <w:t xml:space="preserve"> </w:t>
      </w:r>
      <w:r>
        <w:t xml:space="preserve">(</w:t>
      </w:r>
      <w:hyperlink w:anchor="ref-Weatherson2018-WEAIEA-2">
        <w:r>
          <w:rPr>
            <w:rStyle w:val="Hyperlink"/>
          </w:rPr>
          <w:t xml:space="preserve">2018</w:t>
        </w:r>
      </w:hyperlink>
      <w:r>
        <w:t xml:space="preserve">)</w:t>
      </w:r>
      <w:r>
        <w:t xml:space="preserve">.</w:t>
      </w:r>
    </w:p>
  </w:footnote>
  <w:footnote w:id="152">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53">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w:t>
      </w:r>
      <w:hyperlink w:anchor="ref-Pearce1983">
        <w:r>
          <w:rPr>
            <w:rStyle w:val="Hyperlink"/>
          </w:rPr>
          <w:t xml:space="preserve">1983</w:t>
        </w:r>
      </w:hyperlink>
      <w:r>
        <w:t xml:space="preserve">)</w:t>
      </w:r>
      <w:r>
        <w:t xml:space="preserve"> </w:t>
      </w:r>
      <w:r>
        <w:t xml:space="preserve">is sound.</w:t>
      </w:r>
    </w:p>
  </w:footnote>
  <w:footnote w:id="160">
    <w:p>
      <w:pPr>
        <w:pStyle w:val="FootnoteText"/>
      </w:pPr>
      <w:r>
        <w:rPr>
          <w:rStyle w:val="FootnoteReference"/>
        </w:rPr>
        <w:footnoteRef/>
      </w:r>
      <w:r>
        <w:t xml:space="preserve"> </w:t>
      </w:r>
      <w:r>
        <w:t xml:space="preserve">This section draws on section 5 of my</w:t>
      </w:r>
      <w:r>
        <w:t xml:space="preserve"> </w:t>
      </w:r>
      <w:r>
        <w:t xml:space="preserve">(</w:t>
      </w:r>
      <w:hyperlink w:anchor="ref-Weatherson2011-WEADIR">
        <w:r>
          <w:rPr>
            <w:rStyle w:val="Hyperlink"/>
          </w:rPr>
          <w:t xml:space="preserve">2011</w:t>
        </w:r>
      </w:hyperlink>
      <w:r>
        <w:t xml:space="preserve">)</w:t>
      </w:r>
      <w:r>
        <w:t xml:space="preserve">.</w:t>
      </w:r>
    </w:p>
  </w:footnote>
  <w:footnote w:id="164">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w:t>
      </w:r>
      <w:hyperlink w:anchor="ref-MandelkernEtAl2017">
        <w:r>
          <w:rPr>
            <w:rStyle w:val="Hyperlink"/>
          </w:rPr>
          <w:t xml:space="preserve">Mandelkern, Schultheis, and Boylan 2017</w:t>
        </w:r>
      </w:hyperlink>
      <w:r>
        <w:t xml:space="preserve">)</w:t>
      </w:r>
      <w:r>
        <w:t xml:space="preserve">. To say Lupin can unlock the phone is not to say he might unlock the phone - anyone might unlock it hitting random numbers - it’s to say he has a method that would unlock the phone if deployed.</w:t>
      </w:r>
    </w:p>
  </w:footnote>
  <w:footnote w:id="165">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3" Target="http://hdl.handle.net/2027/spo.3521354.0011.006" TargetMode="External" /><Relationship Type="http://schemas.openxmlformats.org/officeDocument/2006/relationships/hyperlink" Id="rId217" Target="http://journal.sjdm.org/8320/jdm8320.pdf" TargetMode="External" /><Relationship Type="http://schemas.openxmlformats.org/officeDocument/2006/relationships/hyperlink" Id="rId395" Target="https://doi.org/10.1006/reec.1999.0200" TargetMode="External" /><Relationship Type="http://schemas.openxmlformats.org/officeDocument/2006/relationships/hyperlink" Id="rId266" Target="https://doi.org/10.1007/BF00293423" TargetMode="External" /><Relationship Type="http://schemas.openxmlformats.org/officeDocument/2006/relationships/hyperlink" Id="rId389" Target="https://doi.org/10.1007/BF01079205" TargetMode="External" /><Relationship Type="http://schemas.openxmlformats.org/officeDocument/2006/relationships/hyperlink" Id="rId173" Target="https://doi.org/10.1007/s001820050111" TargetMode="External" /><Relationship Type="http://schemas.openxmlformats.org/officeDocument/2006/relationships/hyperlink" Id="rId318" Target="https://doi.org/10.1007/s10734-010-9309-7" TargetMode="External" /><Relationship Type="http://schemas.openxmlformats.org/officeDocument/2006/relationships/hyperlink" Id="rId405" Target="https://doi.org/10.1007/s11098-004-5218-x" TargetMode="External" /><Relationship Type="http://schemas.openxmlformats.org/officeDocument/2006/relationships/hyperlink" Id="rId244" Target="https://doi.org/10.1007/s11098-005-7779-8" TargetMode="External" /><Relationship Type="http://schemas.openxmlformats.org/officeDocument/2006/relationships/hyperlink" Id="rId241" Target="https://doi.org/10.1007/s11098-007-9133-9" TargetMode="External" /><Relationship Type="http://schemas.openxmlformats.org/officeDocument/2006/relationships/hyperlink" Id="rId377" Target="https://doi.org/10.1007/s11098-008-9200-x" TargetMode="External" /><Relationship Type="http://schemas.openxmlformats.org/officeDocument/2006/relationships/hyperlink" Id="rId225" Target="https://doi.org/10.1007/s11098-008-9225-1" TargetMode="External" /><Relationship Type="http://schemas.openxmlformats.org/officeDocument/2006/relationships/hyperlink" Id="rId314" Target="https://doi.org/10.1007/s11098-010-9542-z" TargetMode="External" /><Relationship Type="http://schemas.openxmlformats.org/officeDocument/2006/relationships/hyperlink" Id="rId223" Target="https://doi.org/10.1007/s11098-015-0461-x" TargetMode="External" /><Relationship Type="http://schemas.openxmlformats.org/officeDocument/2006/relationships/hyperlink" Id="rId257" Target="https://doi.org/10.1007/s11098-015-0553-7" TargetMode="External" /><Relationship Type="http://schemas.openxmlformats.org/officeDocument/2006/relationships/hyperlink" Id="rId441" Target="https://doi.org/10.1007/s11098-016-0631-5" TargetMode="External" /><Relationship Type="http://schemas.openxmlformats.org/officeDocument/2006/relationships/hyperlink" Id="rId183" Target="https://doi.org/10.1007/s11229-015-0878-y" TargetMode="External" /><Relationship Type="http://schemas.openxmlformats.org/officeDocument/2006/relationships/hyperlink" Id="rId320" Target="https://doi.org/10.1007/s11238-017-9592-1" TargetMode="External" /><Relationship Type="http://schemas.openxmlformats.org/officeDocument/2006/relationships/hyperlink" Id="rId353" Target="https://doi.org/10.1016/0167-2681(82)90008-7" TargetMode="External" /><Relationship Type="http://schemas.openxmlformats.org/officeDocument/2006/relationships/hyperlink" Id="rId369" Target="https://doi.org/10.1016/S0004-3702(97)00026-X" TargetMode="External" /><Relationship Type="http://schemas.openxmlformats.org/officeDocument/2006/relationships/hyperlink" Id="rId393" Target="https://doi.org/10.1016/S0165-4896(98)00007-9" TargetMode="External" /><Relationship Type="http://schemas.openxmlformats.org/officeDocument/2006/relationships/hyperlink" Id="rId198" Target="https://doi.org/10.1016/j.jcps.2014.08.002" TargetMode="External" /><Relationship Type="http://schemas.openxmlformats.org/officeDocument/2006/relationships/hyperlink" Id="rId345" Target="https://doi.org/10.1016/j.mathsocsci.2013.08.005" TargetMode="External" /><Relationship Type="http://schemas.openxmlformats.org/officeDocument/2006/relationships/hyperlink" Id="rId340" Target="https://doi.org/10.1016/j.shpsb.2009.08.008" TargetMode="External" /><Relationship Type="http://schemas.openxmlformats.org/officeDocument/2006/relationships/hyperlink" Id="rId288" Target="https://doi.org/10.1017/S0012217317000154" TargetMode="External" /><Relationship Type="http://schemas.openxmlformats.org/officeDocument/2006/relationships/hyperlink" Id="rId391" Target="https://doi.org/10.1017/S0266267100004132" TargetMode="External" /><Relationship Type="http://schemas.openxmlformats.org/officeDocument/2006/relationships/hyperlink" Id="rId295" Target="https://doi.org/10.1017/cbo9780511625237.009" TargetMode="External" /><Relationship Type="http://schemas.openxmlformats.org/officeDocument/2006/relationships/hyperlink" Id="rId380" Target="https://doi.org/10.1037/0022-3514.83.5.1178" TargetMode="External" /><Relationship Type="http://schemas.openxmlformats.org/officeDocument/2006/relationships/hyperlink" Id="rId338" Target="https://doi.org/10.1037/pspp0000141" TargetMode="External" /><Relationship Type="http://schemas.openxmlformats.org/officeDocument/2006/relationships/hyperlink" Id="rId327" Target="https://doi.org/10.1080/00048400801886397" TargetMode="External" /><Relationship Type="http://schemas.openxmlformats.org/officeDocument/2006/relationships/hyperlink" Id="rId367" Target="https://doi.org/10.1080/00048400802001996" TargetMode="External" /><Relationship Type="http://schemas.openxmlformats.org/officeDocument/2006/relationships/hyperlink" Id="rId360" Target="https://doi.org/10.1080/00048408412341601" TargetMode="External" /><Relationship Type="http://schemas.openxmlformats.org/officeDocument/2006/relationships/hyperlink" Id="rId430" Target="https://doi.org/10.1080/0020174X.2013.775010" TargetMode="External" /><Relationship Type="http://schemas.openxmlformats.org/officeDocument/2006/relationships/hyperlink" Id="rId331" Target="https://doi.org/10.1080/0020174X.2013.775014" TargetMode="External" /><Relationship Type="http://schemas.openxmlformats.org/officeDocument/2006/relationships/hyperlink" Id="rId196" Target="https://doi.org/10.1080/00213624.2017.1391594" TargetMode="External" /><Relationship Type="http://schemas.openxmlformats.org/officeDocument/2006/relationships/hyperlink" Id="rId290" Target="https://doi.org/10.1080/05568641.2017.1364142" TargetMode="External" /><Relationship Type="http://schemas.openxmlformats.org/officeDocument/2006/relationships/hyperlink" Id="rId371" Target="https://doi.org/10.1086/288168" TargetMode="External" /><Relationship Type="http://schemas.openxmlformats.org/officeDocument/2006/relationships/hyperlink" Id="rId312" Target="https://doi.org/10.1086/289906" TargetMode="External" /><Relationship Type="http://schemas.openxmlformats.org/officeDocument/2006/relationships/hyperlink" Id="rId310" Target="https://doi.org/10.1086/392759" TargetMode="External" /><Relationship Type="http://schemas.openxmlformats.org/officeDocument/2006/relationships/hyperlink" Id="rId264" Target="https://doi.org/10.1086/648610" TargetMode="External" /><Relationship Type="http://schemas.openxmlformats.org/officeDocument/2006/relationships/hyperlink" Id="rId373" Target="https://doi.org/10.1086/651235" TargetMode="External" /><Relationship Type="http://schemas.openxmlformats.org/officeDocument/2006/relationships/hyperlink" Id="rId262" Target="https://doi.org/10.1086/671402" TargetMode="External" /><Relationship Type="http://schemas.openxmlformats.org/officeDocument/2006/relationships/hyperlink" Id="rId171" Target="https://doi.org/10.1093/analys/anr083" TargetMode="External" /><Relationship Type="http://schemas.openxmlformats.org/officeDocument/2006/relationships/hyperlink" Id="rId282" Target="https://doi.org/10.1093/analys/anr129" TargetMode="External" /><Relationship Type="http://schemas.openxmlformats.org/officeDocument/2006/relationships/hyperlink" Id="rId302" Target="https://doi.org/10.1093/mind/105.418.303" TargetMode="External" /><Relationship Type="http://schemas.openxmlformats.org/officeDocument/2006/relationships/hyperlink" Id="rId300" Target="https://doi.org/10.1093/mind/xcvii.387.323" TargetMode="External" /><Relationship Type="http://schemas.openxmlformats.org/officeDocument/2006/relationships/hyperlink" Id="rId179" Target="https://doi.org/10.1111/j.0031-8094.2004.00350.x" TargetMode="External" /><Relationship Type="http://schemas.openxmlformats.org/officeDocument/2006/relationships/hyperlink" Id="rId426" Target="https://doi.org/10.1111/j.0031-8094.2005.00396.x" TargetMode="External" /><Relationship Type="http://schemas.openxmlformats.org/officeDocument/2006/relationships/hyperlink" Id="rId428" Target="https://doi.org/10.1111/j.1467-8284.2007.00671.x" TargetMode="External" /><Relationship Type="http://schemas.openxmlformats.org/officeDocument/2006/relationships/hyperlink" Id="rId270" Target="https://doi.org/10.1111/j.1467-9280.2006.01677.x" TargetMode="External" /><Relationship Type="http://schemas.openxmlformats.org/officeDocument/2006/relationships/hyperlink" Id="rId384" Target="https://doi.org/10.1111/j.1468-0017.2010.01394.x" TargetMode="External" /><Relationship Type="http://schemas.openxmlformats.org/officeDocument/2006/relationships/hyperlink" Id="rId189" Target="https://doi.org/10.1111/j.1468-0068.2008.00677.x" TargetMode="External" /><Relationship Type="http://schemas.openxmlformats.org/officeDocument/2006/relationships/hyperlink" Id="rId185" Target="https://doi.org/10.1111/j.1468-0262.2008.00835.x" TargetMode="External" /><Relationship Type="http://schemas.openxmlformats.org/officeDocument/2006/relationships/hyperlink" Id="rId403" Target="https://doi.org/10.1111/j.1520-8583.2005.00068.x" TargetMode="External" /><Relationship Type="http://schemas.openxmlformats.org/officeDocument/2006/relationships/hyperlink" Id="rId421" Target="https://doi.org/10.1111/j.1520-8583.2005.00069.x" TargetMode="External" /><Relationship Type="http://schemas.openxmlformats.org/officeDocument/2006/relationships/hyperlink" Id="rId284" Target="https://doi.org/10.1111/j.1520-8583.2010.00183.x" TargetMode="External" /><Relationship Type="http://schemas.openxmlformats.org/officeDocument/2006/relationships/hyperlink" Id="rId329" Target="https://doi.org/10.1111/j.1520-8583.2010.00198.x" TargetMode="External" /><Relationship Type="http://schemas.openxmlformats.org/officeDocument/2006/relationships/hyperlink" Id="rId351" Target="https://doi.org/10.1111/j.1533-6077.2004.00034.x" TargetMode="External" /><Relationship Type="http://schemas.openxmlformats.org/officeDocument/2006/relationships/hyperlink" Id="rId209" Target="https://doi.org/10.1111/j.1533-6077.2004.00040.x" TargetMode="External" /><Relationship Type="http://schemas.openxmlformats.org/officeDocument/2006/relationships/hyperlink" Id="rId207" Target="https://doi.org/10.1111/j.1933-1592.2002.tb00204.x" TargetMode="External" /><Relationship Type="http://schemas.openxmlformats.org/officeDocument/2006/relationships/hyperlink" Id="rId435" Target="https://doi.org/10.1111/j.1933-1592.2002.tb00205.x" TargetMode="External" /><Relationship Type="http://schemas.openxmlformats.org/officeDocument/2006/relationships/hyperlink" Id="rId255" Target="https://doi.org/10.1111/j.1933-1592.2005.tb00540.x" TargetMode="External" /><Relationship Type="http://schemas.openxmlformats.org/officeDocument/2006/relationships/hyperlink" Id="rId336" Target="https://doi.org/10.1111/j.1933-1592.2007.00069.x" TargetMode="External" /><Relationship Type="http://schemas.openxmlformats.org/officeDocument/2006/relationships/hyperlink" Id="rId181" Target="https://doi.org/10.1111/j.1933-1592.2009.00280.x" TargetMode="External" /><Relationship Type="http://schemas.openxmlformats.org/officeDocument/2006/relationships/hyperlink" Id="rId416" Target="https://doi.org/10.1111/j.1933-1592.2010.00448.x" TargetMode="External" /><Relationship Type="http://schemas.openxmlformats.org/officeDocument/2006/relationships/hyperlink" Id="rId364" Target="https://doi.org/10.1111/j.1933-1592.2011.00552.x" TargetMode="External" /><Relationship Type="http://schemas.openxmlformats.org/officeDocument/2006/relationships/hyperlink" Id="rId276" Target="https://doi.org/10.1111/jere.12070" TargetMode="External" /><Relationship Type="http://schemas.openxmlformats.org/officeDocument/2006/relationships/hyperlink" Id="rId375" Target="https://doi.org/10.1111/nous.12006" TargetMode="External" /><Relationship Type="http://schemas.openxmlformats.org/officeDocument/2006/relationships/hyperlink" Id="rId233" Target="https://doi.org/10.1111/nous.12137" TargetMode="External" /><Relationship Type="http://schemas.openxmlformats.org/officeDocument/2006/relationships/hyperlink" Id="rId237" Target="https://doi.org/10.1111/nous.12222" TargetMode="External" /><Relationship Type="http://schemas.openxmlformats.org/officeDocument/2006/relationships/hyperlink" Id="rId386" Target="https://doi.org/10.1111/nous.12254" TargetMode="External" /><Relationship Type="http://schemas.openxmlformats.org/officeDocument/2006/relationships/hyperlink" Id="rId322" Target="https://doi.org/10.1111/nous.12323" TargetMode="External" /><Relationship Type="http://schemas.openxmlformats.org/officeDocument/2006/relationships/hyperlink" Id="rId235" Target="https://doi.org/10.1111/phis.12141" TargetMode="External" /><Relationship Type="http://schemas.openxmlformats.org/officeDocument/2006/relationships/hyperlink" Id="rId410" Target="https://doi.org/10.1111/phpr.12088" TargetMode="External" /><Relationship Type="http://schemas.openxmlformats.org/officeDocument/2006/relationships/hyperlink" Id="rId286" Target="https://doi.org/10.1111/phpr.12090" TargetMode="External" /><Relationship Type="http://schemas.openxmlformats.org/officeDocument/2006/relationships/hyperlink" Id="rId400" Target="https://doi.org/10.1111/phpr.12191" TargetMode="External" /><Relationship Type="http://schemas.openxmlformats.org/officeDocument/2006/relationships/hyperlink" Id="rId307" Target="https://doi.org/10.1111/phpr.12271" TargetMode="External" /><Relationship Type="http://schemas.openxmlformats.org/officeDocument/2006/relationships/hyperlink" Id="rId438" Target="https://doi.org/10.1111/phpr.12330" TargetMode="External" /><Relationship Type="http://schemas.openxmlformats.org/officeDocument/2006/relationships/hyperlink" Id="rId334" Target="https://doi.org/10.1111/phpr.12431" TargetMode="External" /><Relationship Type="http://schemas.openxmlformats.org/officeDocument/2006/relationships/hyperlink" Id="rId382" Target="https://doi.org/10.1215/00318108-2007-037" TargetMode="External" /><Relationship Type="http://schemas.openxmlformats.org/officeDocument/2006/relationships/hyperlink" Id="rId316" Target="https://doi.org/10.1215/00318108-3878483" TargetMode="External" /><Relationship Type="http://schemas.openxmlformats.org/officeDocument/2006/relationships/hyperlink" Id="rId239" Target="https://doi.org/10.1215/00318108-8540918" TargetMode="External" /><Relationship Type="http://schemas.openxmlformats.org/officeDocument/2006/relationships/hyperlink" Id="rId358" Target="https://doi.org/10.1257/aer.101.2.900" TargetMode="External" /><Relationship Type="http://schemas.openxmlformats.org/officeDocument/2006/relationships/hyperlink" Id="rId192" Target="https://doi.org/10.1257/aer.101.7.2899" TargetMode="External" /><Relationship Type="http://schemas.openxmlformats.org/officeDocument/2006/relationships/hyperlink" Id="rId279" Target="https://doi.org/10.2307/1912320" TargetMode="External" /><Relationship Type="http://schemas.openxmlformats.org/officeDocument/2006/relationships/hyperlink" Id="rId293" Target="https://doi.org/10.2307/2184045" TargetMode="External" /><Relationship Type="http://schemas.openxmlformats.org/officeDocument/2006/relationships/hyperlink" Id="rId298" Target="https://doi.org/10.2307/2185051" TargetMode="External" /><Relationship Type="http://schemas.openxmlformats.org/officeDocument/2006/relationships/hyperlink" Id="rId268" Target="https://doi.org/10.2307/2216304" TargetMode="External" /><Relationship Type="http://schemas.openxmlformats.org/officeDocument/2006/relationships/hyperlink" Id="rId305" Target="https://doi.org/10.2307/2296233" TargetMode="External" /><Relationship Type="http://schemas.openxmlformats.org/officeDocument/2006/relationships/hyperlink" Id="rId194" Target="https://doi.org/10.2307/2951491" TargetMode="External" /><Relationship Type="http://schemas.openxmlformats.org/officeDocument/2006/relationships/hyperlink" Id="rId229" Target="https://doi.org/10.2307/3182570" TargetMode="External" /><Relationship Type="http://schemas.openxmlformats.org/officeDocument/2006/relationships/hyperlink" Id="rId215" Target="https://doi.org/10.2307/3182618" TargetMode="External" /><Relationship Type="http://schemas.openxmlformats.org/officeDocument/2006/relationships/hyperlink" Id="rId246" Target="https://doi.org/10.2307/3326922" TargetMode="External" /><Relationship Type="http://schemas.openxmlformats.org/officeDocument/2006/relationships/hyperlink" Id="rId249" Target="https://doi.org/10.3765/sp.3.4" TargetMode="External" /><Relationship Type="http://schemas.openxmlformats.org/officeDocument/2006/relationships/hyperlink" Id="rId362" Target="https://doi.org/10.3765/sp.5.6" TargetMode="External" /><Relationship Type="http://schemas.openxmlformats.org/officeDocument/2006/relationships/hyperlink" Id="rId220" Target="https://doi.org/10.3998/ergo.12405314.0002.026" TargetMode="External" /><Relationship Type="http://schemas.openxmlformats.org/officeDocument/2006/relationships/hyperlink" Id="rId260" Target="https://doi.org/10.5840/jphil20081051022" TargetMode="External" /><Relationship Type="http://schemas.openxmlformats.org/officeDocument/2006/relationships/hyperlink" Id="rId407" Target="https://doi.org/10.5840/logos-episteme2011248" TargetMode="External" /><Relationship Type="http://schemas.openxmlformats.org/officeDocument/2006/relationships/hyperlink" Id="rId418" Target="https://doi.org/2027/spo.3521354.0013.022" TargetMode="External" /><Relationship Type="http://schemas.openxmlformats.org/officeDocument/2006/relationships/hyperlink" Id="rId355" Target="https://plato.stanford.edu/archives/spr2018/entries/public-reason/" TargetMode="External" /><Relationship Type="http://schemas.openxmlformats.org/officeDocument/2006/relationships/hyperlink" Id="rId212" Target="https://plato.stanford.edu/archives/spr2018/entries/questions/" TargetMode="External" /><Relationship Type="http://schemas.openxmlformats.org/officeDocument/2006/relationships/hyperlink" Id="rId187" Target="https://plato.stanford.edu/archives/sum2021/entries/philo-larissa/" TargetMode="External" /><Relationship Type="http://schemas.openxmlformats.org/officeDocument/2006/relationships/hyperlink" Id="rId34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03" Target="http://hdl.handle.net/2027/spo.3521354.0011.006" TargetMode="External" /><Relationship Type="http://schemas.openxmlformats.org/officeDocument/2006/relationships/hyperlink" Id="rId217" Target="http://journal.sjdm.org/8320/jdm8320.pdf" TargetMode="External" /><Relationship Type="http://schemas.openxmlformats.org/officeDocument/2006/relationships/hyperlink" Id="rId395" Target="https://doi.org/10.1006/reec.1999.0200" TargetMode="External" /><Relationship Type="http://schemas.openxmlformats.org/officeDocument/2006/relationships/hyperlink" Id="rId266" Target="https://doi.org/10.1007/BF00293423" TargetMode="External" /><Relationship Type="http://schemas.openxmlformats.org/officeDocument/2006/relationships/hyperlink" Id="rId389" Target="https://doi.org/10.1007/BF01079205" TargetMode="External" /><Relationship Type="http://schemas.openxmlformats.org/officeDocument/2006/relationships/hyperlink" Id="rId173" Target="https://doi.org/10.1007/s001820050111" TargetMode="External" /><Relationship Type="http://schemas.openxmlformats.org/officeDocument/2006/relationships/hyperlink" Id="rId318" Target="https://doi.org/10.1007/s10734-010-9309-7" TargetMode="External" /><Relationship Type="http://schemas.openxmlformats.org/officeDocument/2006/relationships/hyperlink" Id="rId405" Target="https://doi.org/10.1007/s11098-004-5218-x" TargetMode="External" /><Relationship Type="http://schemas.openxmlformats.org/officeDocument/2006/relationships/hyperlink" Id="rId244" Target="https://doi.org/10.1007/s11098-005-7779-8" TargetMode="External" /><Relationship Type="http://schemas.openxmlformats.org/officeDocument/2006/relationships/hyperlink" Id="rId241" Target="https://doi.org/10.1007/s11098-007-9133-9" TargetMode="External" /><Relationship Type="http://schemas.openxmlformats.org/officeDocument/2006/relationships/hyperlink" Id="rId377" Target="https://doi.org/10.1007/s11098-008-9200-x" TargetMode="External" /><Relationship Type="http://schemas.openxmlformats.org/officeDocument/2006/relationships/hyperlink" Id="rId225" Target="https://doi.org/10.1007/s11098-008-9225-1" TargetMode="External" /><Relationship Type="http://schemas.openxmlformats.org/officeDocument/2006/relationships/hyperlink" Id="rId314" Target="https://doi.org/10.1007/s11098-010-9542-z" TargetMode="External" /><Relationship Type="http://schemas.openxmlformats.org/officeDocument/2006/relationships/hyperlink" Id="rId223" Target="https://doi.org/10.1007/s11098-015-0461-x" TargetMode="External" /><Relationship Type="http://schemas.openxmlformats.org/officeDocument/2006/relationships/hyperlink" Id="rId257" Target="https://doi.org/10.1007/s11098-015-0553-7" TargetMode="External" /><Relationship Type="http://schemas.openxmlformats.org/officeDocument/2006/relationships/hyperlink" Id="rId441" Target="https://doi.org/10.1007/s11098-016-0631-5" TargetMode="External" /><Relationship Type="http://schemas.openxmlformats.org/officeDocument/2006/relationships/hyperlink" Id="rId183" Target="https://doi.org/10.1007/s11229-015-0878-y" TargetMode="External" /><Relationship Type="http://schemas.openxmlformats.org/officeDocument/2006/relationships/hyperlink" Id="rId320" Target="https://doi.org/10.1007/s11238-017-9592-1" TargetMode="External" /><Relationship Type="http://schemas.openxmlformats.org/officeDocument/2006/relationships/hyperlink" Id="rId353" Target="https://doi.org/10.1016/0167-2681(82)90008-7" TargetMode="External" /><Relationship Type="http://schemas.openxmlformats.org/officeDocument/2006/relationships/hyperlink" Id="rId369" Target="https://doi.org/10.1016/S0004-3702(97)00026-X" TargetMode="External" /><Relationship Type="http://schemas.openxmlformats.org/officeDocument/2006/relationships/hyperlink" Id="rId393" Target="https://doi.org/10.1016/S0165-4896(98)00007-9" TargetMode="External" /><Relationship Type="http://schemas.openxmlformats.org/officeDocument/2006/relationships/hyperlink" Id="rId198" Target="https://doi.org/10.1016/j.jcps.2014.08.002" TargetMode="External" /><Relationship Type="http://schemas.openxmlformats.org/officeDocument/2006/relationships/hyperlink" Id="rId345" Target="https://doi.org/10.1016/j.mathsocsci.2013.08.005" TargetMode="External" /><Relationship Type="http://schemas.openxmlformats.org/officeDocument/2006/relationships/hyperlink" Id="rId340" Target="https://doi.org/10.1016/j.shpsb.2009.08.008" TargetMode="External" /><Relationship Type="http://schemas.openxmlformats.org/officeDocument/2006/relationships/hyperlink" Id="rId288" Target="https://doi.org/10.1017/S0012217317000154" TargetMode="External" /><Relationship Type="http://schemas.openxmlformats.org/officeDocument/2006/relationships/hyperlink" Id="rId391" Target="https://doi.org/10.1017/S0266267100004132" TargetMode="External" /><Relationship Type="http://schemas.openxmlformats.org/officeDocument/2006/relationships/hyperlink" Id="rId295" Target="https://doi.org/10.1017/cbo9780511625237.009" TargetMode="External" /><Relationship Type="http://schemas.openxmlformats.org/officeDocument/2006/relationships/hyperlink" Id="rId380" Target="https://doi.org/10.1037/0022-3514.83.5.1178" TargetMode="External" /><Relationship Type="http://schemas.openxmlformats.org/officeDocument/2006/relationships/hyperlink" Id="rId338" Target="https://doi.org/10.1037/pspp0000141" TargetMode="External" /><Relationship Type="http://schemas.openxmlformats.org/officeDocument/2006/relationships/hyperlink" Id="rId327" Target="https://doi.org/10.1080/00048400801886397" TargetMode="External" /><Relationship Type="http://schemas.openxmlformats.org/officeDocument/2006/relationships/hyperlink" Id="rId367" Target="https://doi.org/10.1080/00048400802001996" TargetMode="External" /><Relationship Type="http://schemas.openxmlformats.org/officeDocument/2006/relationships/hyperlink" Id="rId360" Target="https://doi.org/10.1080/00048408412341601" TargetMode="External" /><Relationship Type="http://schemas.openxmlformats.org/officeDocument/2006/relationships/hyperlink" Id="rId430" Target="https://doi.org/10.1080/0020174X.2013.775010" TargetMode="External" /><Relationship Type="http://schemas.openxmlformats.org/officeDocument/2006/relationships/hyperlink" Id="rId331" Target="https://doi.org/10.1080/0020174X.2013.775014" TargetMode="External" /><Relationship Type="http://schemas.openxmlformats.org/officeDocument/2006/relationships/hyperlink" Id="rId196" Target="https://doi.org/10.1080/00213624.2017.1391594" TargetMode="External" /><Relationship Type="http://schemas.openxmlformats.org/officeDocument/2006/relationships/hyperlink" Id="rId290" Target="https://doi.org/10.1080/05568641.2017.1364142" TargetMode="External" /><Relationship Type="http://schemas.openxmlformats.org/officeDocument/2006/relationships/hyperlink" Id="rId371" Target="https://doi.org/10.1086/288168" TargetMode="External" /><Relationship Type="http://schemas.openxmlformats.org/officeDocument/2006/relationships/hyperlink" Id="rId312" Target="https://doi.org/10.1086/289906" TargetMode="External" /><Relationship Type="http://schemas.openxmlformats.org/officeDocument/2006/relationships/hyperlink" Id="rId310" Target="https://doi.org/10.1086/392759" TargetMode="External" /><Relationship Type="http://schemas.openxmlformats.org/officeDocument/2006/relationships/hyperlink" Id="rId264" Target="https://doi.org/10.1086/648610" TargetMode="External" /><Relationship Type="http://schemas.openxmlformats.org/officeDocument/2006/relationships/hyperlink" Id="rId373" Target="https://doi.org/10.1086/651235" TargetMode="External" /><Relationship Type="http://schemas.openxmlformats.org/officeDocument/2006/relationships/hyperlink" Id="rId262" Target="https://doi.org/10.1086/671402" TargetMode="External" /><Relationship Type="http://schemas.openxmlformats.org/officeDocument/2006/relationships/hyperlink" Id="rId171" Target="https://doi.org/10.1093/analys/anr083" TargetMode="External" /><Relationship Type="http://schemas.openxmlformats.org/officeDocument/2006/relationships/hyperlink" Id="rId282" Target="https://doi.org/10.1093/analys/anr129" TargetMode="External" /><Relationship Type="http://schemas.openxmlformats.org/officeDocument/2006/relationships/hyperlink" Id="rId302" Target="https://doi.org/10.1093/mind/105.418.303" TargetMode="External" /><Relationship Type="http://schemas.openxmlformats.org/officeDocument/2006/relationships/hyperlink" Id="rId300" Target="https://doi.org/10.1093/mind/xcvii.387.323" TargetMode="External" /><Relationship Type="http://schemas.openxmlformats.org/officeDocument/2006/relationships/hyperlink" Id="rId179" Target="https://doi.org/10.1111/j.0031-8094.2004.00350.x" TargetMode="External" /><Relationship Type="http://schemas.openxmlformats.org/officeDocument/2006/relationships/hyperlink" Id="rId426" Target="https://doi.org/10.1111/j.0031-8094.2005.00396.x" TargetMode="External" /><Relationship Type="http://schemas.openxmlformats.org/officeDocument/2006/relationships/hyperlink" Id="rId428" Target="https://doi.org/10.1111/j.1467-8284.2007.00671.x" TargetMode="External" /><Relationship Type="http://schemas.openxmlformats.org/officeDocument/2006/relationships/hyperlink" Id="rId270" Target="https://doi.org/10.1111/j.1467-9280.2006.01677.x" TargetMode="External" /><Relationship Type="http://schemas.openxmlformats.org/officeDocument/2006/relationships/hyperlink" Id="rId384" Target="https://doi.org/10.1111/j.1468-0017.2010.01394.x" TargetMode="External" /><Relationship Type="http://schemas.openxmlformats.org/officeDocument/2006/relationships/hyperlink" Id="rId189" Target="https://doi.org/10.1111/j.1468-0068.2008.00677.x" TargetMode="External" /><Relationship Type="http://schemas.openxmlformats.org/officeDocument/2006/relationships/hyperlink" Id="rId185" Target="https://doi.org/10.1111/j.1468-0262.2008.00835.x" TargetMode="External" /><Relationship Type="http://schemas.openxmlformats.org/officeDocument/2006/relationships/hyperlink" Id="rId403" Target="https://doi.org/10.1111/j.1520-8583.2005.00068.x" TargetMode="External" /><Relationship Type="http://schemas.openxmlformats.org/officeDocument/2006/relationships/hyperlink" Id="rId421" Target="https://doi.org/10.1111/j.1520-8583.2005.00069.x" TargetMode="External" /><Relationship Type="http://schemas.openxmlformats.org/officeDocument/2006/relationships/hyperlink" Id="rId284" Target="https://doi.org/10.1111/j.1520-8583.2010.00183.x" TargetMode="External" /><Relationship Type="http://schemas.openxmlformats.org/officeDocument/2006/relationships/hyperlink" Id="rId329" Target="https://doi.org/10.1111/j.1520-8583.2010.00198.x" TargetMode="External" /><Relationship Type="http://schemas.openxmlformats.org/officeDocument/2006/relationships/hyperlink" Id="rId351" Target="https://doi.org/10.1111/j.1533-6077.2004.00034.x" TargetMode="External" /><Relationship Type="http://schemas.openxmlformats.org/officeDocument/2006/relationships/hyperlink" Id="rId209" Target="https://doi.org/10.1111/j.1533-6077.2004.00040.x" TargetMode="External" /><Relationship Type="http://schemas.openxmlformats.org/officeDocument/2006/relationships/hyperlink" Id="rId207" Target="https://doi.org/10.1111/j.1933-1592.2002.tb00204.x" TargetMode="External" /><Relationship Type="http://schemas.openxmlformats.org/officeDocument/2006/relationships/hyperlink" Id="rId435" Target="https://doi.org/10.1111/j.1933-1592.2002.tb00205.x" TargetMode="External" /><Relationship Type="http://schemas.openxmlformats.org/officeDocument/2006/relationships/hyperlink" Id="rId255" Target="https://doi.org/10.1111/j.1933-1592.2005.tb00540.x" TargetMode="External" /><Relationship Type="http://schemas.openxmlformats.org/officeDocument/2006/relationships/hyperlink" Id="rId336" Target="https://doi.org/10.1111/j.1933-1592.2007.00069.x" TargetMode="External" /><Relationship Type="http://schemas.openxmlformats.org/officeDocument/2006/relationships/hyperlink" Id="rId181" Target="https://doi.org/10.1111/j.1933-1592.2009.00280.x" TargetMode="External" /><Relationship Type="http://schemas.openxmlformats.org/officeDocument/2006/relationships/hyperlink" Id="rId416" Target="https://doi.org/10.1111/j.1933-1592.2010.00448.x" TargetMode="External" /><Relationship Type="http://schemas.openxmlformats.org/officeDocument/2006/relationships/hyperlink" Id="rId364" Target="https://doi.org/10.1111/j.1933-1592.2011.00552.x" TargetMode="External" /><Relationship Type="http://schemas.openxmlformats.org/officeDocument/2006/relationships/hyperlink" Id="rId276" Target="https://doi.org/10.1111/jere.12070" TargetMode="External" /><Relationship Type="http://schemas.openxmlformats.org/officeDocument/2006/relationships/hyperlink" Id="rId375" Target="https://doi.org/10.1111/nous.12006" TargetMode="External" /><Relationship Type="http://schemas.openxmlformats.org/officeDocument/2006/relationships/hyperlink" Id="rId233" Target="https://doi.org/10.1111/nous.12137" TargetMode="External" /><Relationship Type="http://schemas.openxmlformats.org/officeDocument/2006/relationships/hyperlink" Id="rId237" Target="https://doi.org/10.1111/nous.12222" TargetMode="External" /><Relationship Type="http://schemas.openxmlformats.org/officeDocument/2006/relationships/hyperlink" Id="rId386" Target="https://doi.org/10.1111/nous.12254" TargetMode="External" /><Relationship Type="http://schemas.openxmlformats.org/officeDocument/2006/relationships/hyperlink" Id="rId322" Target="https://doi.org/10.1111/nous.12323" TargetMode="External" /><Relationship Type="http://schemas.openxmlformats.org/officeDocument/2006/relationships/hyperlink" Id="rId235" Target="https://doi.org/10.1111/phis.12141" TargetMode="External" /><Relationship Type="http://schemas.openxmlformats.org/officeDocument/2006/relationships/hyperlink" Id="rId410" Target="https://doi.org/10.1111/phpr.12088" TargetMode="External" /><Relationship Type="http://schemas.openxmlformats.org/officeDocument/2006/relationships/hyperlink" Id="rId286" Target="https://doi.org/10.1111/phpr.12090" TargetMode="External" /><Relationship Type="http://schemas.openxmlformats.org/officeDocument/2006/relationships/hyperlink" Id="rId400" Target="https://doi.org/10.1111/phpr.12191" TargetMode="External" /><Relationship Type="http://schemas.openxmlformats.org/officeDocument/2006/relationships/hyperlink" Id="rId307" Target="https://doi.org/10.1111/phpr.12271" TargetMode="External" /><Relationship Type="http://schemas.openxmlformats.org/officeDocument/2006/relationships/hyperlink" Id="rId438" Target="https://doi.org/10.1111/phpr.12330" TargetMode="External" /><Relationship Type="http://schemas.openxmlformats.org/officeDocument/2006/relationships/hyperlink" Id="rId334" Target="https://doi.org/10.1111/phpr.12431" TargetMode="External" /><Relationship Type="http://schemas.openxmlformats.org/officeDocument/2006/relationships/hyperlink" Id="rId382" Target="https://doi.org/10.1215/00318108-2007-037" TargetMode="External" /><Relationship Type="http://schemas.openxmlformats.org/officeDocument/2006/relationships/hyperlink" Id="rId316" Target="https://doi.org/10.1215/00318108-3878483" TargetMode="External" /><Relationship Type="http://schemas.openxmlformats.org/officeDocument/2006/relationships/hyperlink" Id="rId239" Target="https://doi.org/10.1215/00318108-8540918" TargetMode="External" /><Relationship Type="http://schemas.openxmlformats.org/officeDocument/2006/relationships/hyperlink" Id="rId358" Target="https://doi.org/10.1257/aer.101.2.900" TargetMode="External" /><Relationship Type="http://schemas.openxmlformats.org/officeDocument/2006/relationships/hyperlink" Id="rId192" Target="https://doi.org/10.1257/aer.101.7.2899" TargetMode="External" /><Relationship Type="http://schemas.openxmlformats.org/officeDocument/2006/relationships/hyperlink" Id="rId279" Target="https://doi.org/10.2307/1912320" TargetMode="External" /><Relationship Type="http://schemas.openxmlformats.org/officeDocument/2006/relationships/hyperlink" Id="rId293" Target="https://doi.org/10.2307/2184045" TargetMode="External" /><Relationship Type="http://schemas.openxmlformats.org/officeDocument/2006/relationships/hyperlink" Id="rId298" Target="https://doi.org/10.2307/2185051" TargetMode="External" /><Relationship Type="http://schemas.openxmlformats.org/officeDocument/2006/relationships/hyperlink" Id="rId268" Target="https://doi.org/10.2307/2216304" TargetMode="External" /><Relationship Type="http://schemas.openxmlformats.org/officeDocument/2006/relationships/hyperlink" Id="rId305" Target="https://doi.org/10.2307/2296233" TargetMode="External" /><Relationship Type="http://schemas.openxmlformats.org/officeDocument/2006/relationships/hyperlink" Id="rId194" Target="https://doi.org/10.2307/2951491" TargetMode="External" /><Relationship Type="http://schemas.openxmlformats.org/officeDocument/2006/relationships/hyperlink" Id="rId229" Target="https://doi.org/10.2307/3182570" TargetMode="External" /><Relationship Type="http://schemas.openxmlformats.org/officeDocument/2006/relationships/hyperlink" Id="rId215" Target="https://doi.org/10.2307/3182618" TargetMode="External" /><Relationship Type="http://schemas.openxmlformats.org/officeDocument/2006/relationships/hyperlink" Id="rId246" Target="https://doi.org/10.2307/3326922" TargetMode="External" /><Relationship Type="http://schemas.openxmlformats.org/officeDocument/2006/relationships/hyperlink" Id="rId249" Target="https://doi.org/10.3765/sp.3.4" TargetMode="External" /><Relationship Type="http://schemas.openxmlformats.org/officeDocument/2006/relationships/hyperlink" Id="rId362" Target="https://doi.org/10.3765/sp.5.6" TargetMode="External" /><Relationship Type="http://schemas.openxmlformats.org/officeDocument/2006/relationships/hyperlink" Id="rId220" Target="https://doi.org/10.3998/ergo.12405314.0002.026" TargetMode="External" /><Relationship Type="http://schemas.openxmlformats.org/officeDocument/2006/relationships/hyperlink" Id="rId260" Target="https://doi.org/10.5840/jphil20081051022" TargetMode="External" /><Relationship Type="http://schemas.openxmlformats.org/officeDocument/2006/relationships/hyperlink" Id="rId407" Target="https://doi.org/10.5840/logos-episteme2011248" TargetMode="External" /><Relationship Type="http://schemas.openxmlformats.org/officeDocument/2006/relationships/hyperlink" Id="rId418" Target="https://doi.org/2027/spo.3521354.0013.022" TargetMode="External" /><Relationship Type="http://schemas.openxmlformats.org/officeDocument/2006/relationships/hyperlink" Id="rId355" Target="https://plato.stanford.edu/archives/spr2018/entries/public-reason/" TargetMode="External" /><Relationship Type="http://schemas.openxmlformats.org/officeDocument/2006/relationships/hyperlink" Id="rId212" Target="https://plato.stanford.edu/archives/spr2018/entries/questions/" TargetMode="External" /><Relationship Type="http://schemas.openxmlformats.org/officeDocument/2006/relationships/hyperlink" Id="rId187" Target="https://plato.stanford.edu/archives/sum2021/entries/philo-larissa/" TargetMode="External" /><Relationship Type="http://schemas.openxmlformats.org/officeDocument/2006/relationships/hyperlink" Id="rId34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dc:description>A defence of an interest-relative theory of knowledge</dc:description>
  <cp:keywords/>
  <dcterms:created xsi:type="dcterms:W3CDTF">2022-10-08T19:52:10Z</dcterms:created>
  <dcterms:modified xsi:type="dcterms:W3CDTF">2022-10-08T19:52:10Z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philreview</vt:lpwstr>
  </property>
  <property fmtid="{D5CDD505-2E9C-101B-9397-08002B2CF9AE}" pid="3" name="bibliography">
    <vt:lpwstr>CollBib.bib</vt:lpwstr>
  </property>
  <property fmtid="{D5CDD505-2E9C-101B-9397-08002B2CF9AE}" pid="4" name="bookdown">
    <vt:lpwstr/>
  </property>
  <property fmtid="{D5CDD505-2E9C-101B-9397-08002B2CF9AE}" pid="5" name="cover-image">
    <vt:lpwstr>tree.jpg</vt:lpwstr>
  </property>
  <property fmtid="{D5CDD505-2E9C-101B-9397-08002B2CF9AE}" pid="6" name="date">
    <vt:lpwstr>2022-10-08</vt:lpwstr>
  </property>
  <property fmtid="{D5CDD505-2E9C-101B-9397-08002B2CF9AE}" pid="7" name="documentclass">
    <vt:lpwstr>book</vt:lpwstr>
  </property>
  <property fmtid="{D5CDD505-2E9C-101B-9397-08002B2CF9AE}" pid="8" name="fontsize">
    <vt:lpwstr>11pt</vt:lpwstr>
  </property>
  <property fmtid="{D5CDD505-2E9C-101B-9397-08002B2CF9AE}" pid="9" name="geometry">
    <vt:lpwstr>left=1.95in,right=1.95in,top=1.78in,bottom=1.78in</vt:lpwstr>
  </property>
  <property fmtid="{D5CDD505-2E9C-101B-9397-08002B2CF9AE}" pid="10" name="indent">
    <vt:lpwstr>True</vt:lpwstr>
  </property>
  <property fmtid="{D5CDD505-2E9C-101B-9397-08002B2CF9AE}" pid="11" name="link-citations">
    <vt:lpwstr>True</vt:lpwstr>
  </property>
  <property fmtid="{D5CDD505-2E9C-101B-9397-08002B2CF9AE}" pid="12" name="mainfont">
    <vt:lpwstr>STIX Two Math</vt:lpwstr>
  </property>
  <property fmtid="{D5CDD505-2E9C-101B-9397-08002B2CF9AE}" pid="13" name="mainfontoptions">
    <vt:lpwstr>BoldFont = STIX Two Text SemiBold, ItalicFont = STIX Two Text Italic, Scale = MatchLowercase</vt:lpwstr>
  </property>
  <property fmtid="{D5CDD505-2E9C-101B-9397-08002B2CF9AE}" pid="14" name="output">
    <vt:lpwstr/>
  </property>
  <property fmtid="{D5CDD505-2E9C-101B-9397-08002B2CF9AE}" pid="15" name="site">
    <vt:lpwstr>bookdown::bookdown_site</vt:lpwstr>
  </property>
  <property fmtid="{D5CDD505-2E9C-101B-9397-08002B2CF9AE}" pid="16" name="subtitle">
    <vt:lpwstr>A Human Interest Story</vt:lpwstr>
  </property>
</Properties>
</file>