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2022-10-07</w:t>
      </w:r>
    </w:p>
    <w:bookmarkStart w:id="20" w:name="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 (Or at least it will when it’s done. As you’ll see if you read ahead, chapter 5 is not done, the references are incomplete, and a lot of other parts still need work.)</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them into a story. Some of that plan has been retained in the final version. Most sections in chapters</w:t>
      </w:r>
      <w:r>
        <w:t xml:space="preserve"> </w:t>
      </w:r>
      <w:r>
        <w:t xml:space="preserve">8</w:t>
      </w:r>
      <w:r>
        <w:t xml:space="preserve"> </w:t>
      </w:r>
      <w:r>
        <w:t xml:space="preserve">and</w:t>
      </w:r>
      <w:r>
        <w:t xml:space="preserve"> </w:t>
      </w:r>
      <w:r>
        <w:t xml:space="preserve">9</w:t>
      </w:r>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the whole thing.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main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can go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over those papers.</w:t>
      </w:r>
    </w:p>
    <w:p>
      <w:pPr>
        <w:pStyle w:val="BodyText"/>
      </w:pPr>
      <w:r>
        <w:t xml:space="preserve">I used to identify those practical limits on knowledge with cases where relying on the purported knowledge would get the wrong answer. I focussed,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because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modeled as expected utility maximisation. Perhaps some kinds of equilibrium seeking are parts of practical inquiry, and can’t be modeled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 chapter</w:t>
      </w:r>
      <w:r>
        <w:t xml:space="preserve"> </w:t>
      </w:r>
      <w:r>
        <w:t xml:space="preserve">6</w:t>
      </w:r>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But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 Hopefully once the world is back to normal, I’ll be able to return.</w:t>
      </w:r>
    </w:p>
    <w:p>
      <w:pPr>
        <w:pStyle w:val="BodyText"/>
      </w:pPr>
      <w:r>
        <w:t xml:space="preserve">Support for that sabattical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has been a real privilege to be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25" w:name="background"/>
    <w:p>
      <w:pPr>
        <w:pStyle w:val="Heading1"/>
      </w:pPr>
      <w:r>
        <w:rPr>
          <w:rStyle w:val="SectionNumber"/>
        </w:rPr>
        <w:t xml:space="preserve">1</w:t>
      </w:r>
      <w:r>
        <w:tab/>
      </w:r>
      <w:r>
        <w:t xml:space="preserve">Background</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So let’s say we do not identify knowledge with absolute certainty, and instead pick some particular level of certainty below that. Then there will be propositions that are more certain than that threshold, but which one should not use in inquiry. For instance, there will be cases where one’s evidence that a particular friend is not allergic to peanuts is above that threshold, but this is not something that should be taken as a starting point in inquiry, because it isn’t certain enough to act on.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it’s a very curious literature in the following respect: interest-relative theories of knowledge are discussed everywhere and endorsed virtually nowhere. Not since David Lewis</w:t>
      </w:r>
      <w:r>
        <w:t xml:space="preserve"> </w:t>
      </w:r>
      <w:r>
        <w:t xml:space="preserve">(</w:t>
      </w:r>
      <w:hyperlink w:anchor="ref-Lewis1986a">
        <w:r>
          <w:rPr>
            <w:rStyle w:val="Hyperlink"/>
          </w:rPr>
          <w:t xml:space="preserve">1986a</w:t>
        </w:r>
      </w:hyperlink>
      <w:r>
        <w:t xml:space="preserve">)</w:t>
      </w:r>
      <w:r>
        <w:t xml:space="preserve"> </w:t>
      </w:r>
      <w:r>
        <w:t xml:space="preserve">put concrete modal realism onto the philosophical stage has the literature contained a view with so many opponents and so few proponents.</w:t>
      </w:r>
    </w:p>
    <w:p>
      <w:pPr>
        <w:pStyle w:val="BodyText"/>
      </w:pPr>
      <w:r>
        <w:t xml:space="preserve">And the terminology that is used to describe the debate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and</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1"/>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I think there are two differences between interest-relativity and safety-relativity that have mattered for their reception. Or, perhaps better, there are two ways of looking at the key difference. First, safety was the same kind of consideration as previous epistemologists had considered. It looks a lot like the sensitity condition that Robert Nozick</w:t>
      </w:r>
      <w:r>
        <w:t xml:space="preserve"> </w:t>
      </w:r>
      <w:r>
        <w:t xml:space="preserve">(</w:t>
      </w:r>
      <w:hyperlink w:anchor="ref-Nozick1981">
        <w:r>
          <w:rPr>
            <w:rStyle w:val="Hyperlink"/>
          </w:rPr>
          <w:t xml:space="preserve">1981</w:t>
        </w:r>
      </w:hyperlink>
      <w:r>
        <w:t xml:space="preserve">)</w:t>
      </w:r>
      <w:r>
        <w:t xml:space="preserve"> </w:t>
      </w:r>
      <w:r>
        <w:t xml:space="preserve">had argued plays a central role in the theory of knowledge. It looks like a kind of reliability condition, so it is continuous with twentieth century work on reliabilism. So this leads to the second point.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I think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2"/>
      </w:r>
    </w:p>
    <w:p>
      <w:pPr>
        <w:pStyle w:val="BodyText"/>
      </w:pPr>
      <w:r>
        <w:t xml:space="preserve">Philo of Larissa lived from around 159 BCE to around 83 BCE, and was the last sceptical head of Plato’s Academy.</w:t>
      </w:r>
      <w:r>
        <w:rPr>
          <w:rStyle w:val="FootnoteReference"/>
        </w:rPr>
        <w:footnoteReference w:id="23"/>
      </w:r>
      <w:r>
        <w:t xml:space="preserve"> </w:t>
      </w:r>
      <w:r>
        <w:t xml:space="preserve">He held a number of views over his life, but the one I want to focus on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w:t>
      </w:r>
      <w:hyperlink w:anchor="ref-Adamson2015">
        <w:r>
          <w:rPr>
            <w:rStyle w:val="Hyperlink"/>
          </w:rPr>
          <w:t xml:space="preserve">Adamson 2015, 112</w:t>
        </w:r>
      </w:hyperlink>
      <w:r>
        <w:t xml:space="preserve">)</w:t>
      </w:r>
    </w:p>
    <w:p>
      <w:pPr>
        <w:pStyle w:val="FirstParagraph"/>
      </w:pPr>
      <w:r>
        <w:t xml:space="preserve">Now Philo (probably) doesn’t move from this to an interest-relative theory of knowledge. But look how close he gets. He thinks that the norm of belief, or at least of the thing that plays the same role in his philosophical system as belief plays in ours, is interest-relative. All you have to add to get an interest-relative theory of knowledge is that knowledge is the norm of belief.</w:t>
      </w:r>
    </w:p>
    <w:p>
      <w:pPr>
        <w:pStyle w:val="BodyText"/>
      </w:pPr>
      <w:r>
        <w:t xml:space="preserve">Jumping ahead a millenium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w:t>
      </w:r>
      <w:hyperlink w:anchor="ref-Pasnau2017">
        <w:r>
          <w:rPr>
            <w:rStyle w:val="Hyperlink"/>
          </w:rPr>
          <w:t xml:space="preserve">Pasnau 2017, 32</w:t>
        </w:r>
      </w:hyperlink>
      <w:r>
        <w:t xml:space="preserve">)</w:t>
      </w:r>
      <w:r>
        <w:t xml:space="preserve">. I’m going to focus on the third of these, moral certainty.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w:t>
      </w:r>
      <w:hyperlink w:anchor="ref-Pasnau2017">
        <w:r>
          <w:rPr>
            <w:rStyle w:val="Hyperlink"/>
          </w:rPr>
          <w:t xml:space="preserve">2017, 34</w:t>
        </w:r>
      </w:hyperlink>
      <w:r>
        <w:t xml:space="preserve">)</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w:t>
      </w:r>
      <w:hyperlink w:anchor="ref-Pasnau2017">
        <w:r>
          <w:rPr>
            <w:rStyle w:val="Hyperlink"/>
          </w:rPr>
          <w:t xml:space="preserve">Pasnau 2017, 218</w:t>
        </w:r>
      </w:hyperlink>
      <w:r>
        <w:t xml:space="preserve">)</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w:t>
      </w:r>
      <w:hyperlink w:anchor="ref-Pasnau2017">
        <w:r>
          <w:rPr>
            <w:rStyle w:val="Hyperlink"/>
          </w:rPr>
          <w:t xml:space="preserve">Pasnau 2017, 43</w:t>
        </w:r>
      </w:hyperlink>
      <w:r>
        <w:t xml:space="preserve">)</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that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I’ll have more to say about Buridan, and indeed about Pasnau, in what follows. For now I just want to note that in both Philo of Larissa, and in the tradition that runs from Buridan to Wilkins and beyond, interest-relative epistemic concepts play central roles. I don’t want to say that there is a figure here who literally endorses every aspect of the contemporary interest-relative view. But the predecessors are there. Indeed, they are there at some of the earliest sightings of what we might, in current terminology, call fallible epistemologies. If anything, I suspect the idea that an epistemology can be fallibilist and interest-invariant is the more modern innovation. But rather than dive too deeply into those historical waters, I want to draw out a connection between Buridan’s epistemology and (a particular strand in) Indian epistemology: the role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4"/>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w:t>
      </w:r>
      <w:hyperlink w:anchor="ref-AdamsonGaneri2020">
        <w:r>
          <w:rPr>
            <w:rStyle w:val="Hyperlink"/>
          </w:rPr>
          <w:t xml:space="preserve">Adamson and Ganeri 2020, 170</w:t>
        </w:r>
      </w:hyperlink>
      <w:r>
        <w:t xml:space="preserve">)</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I think this is an excellent anti-sceptical argument. That’s not just because it’s sound, and persuasive, though I think it’s both. It’s because it derives anti-sceptical conclusions from the practical nature of knowledge. It grounds the anti-scepticism where is should be grounded, in the practical nature of knowledge itself.</w:t>
      </w:r>
    </w:p>
    <w:p>
      <w:pPr>
        <w:pStyle w:val="BodyText"/>
      </w:pPr>
      <w:r>
        <w:t xml:space="preserve">The Nyāya philosophers, like Vātsyāyana, are relevant to our story for another reason. As well as closely connecting knowledge with action, they connect it closely with inquiry. As you can see just by looking at the number of times the word</w:t>
      </w:r>
      <w:r>
        <w:t xml:space="preserve"> </w:t>
      </w:r>
      <w:r>
        <w:t xml:space="preserve">‘</w:t>
      </w:r>
      <w:r>
        <w:t xml:space="preserve">inquiry</w:t>
      </w:r>
      <w:r>
        <w:t xml:space="preserve">’</w:t>
      </w:r>
      <w:r>
        <w:t xml:space="preserve"> </w:t>
      </w:r>
      <w:r>
        <w:t xml:space="preserve">occurs in my initial paragraph, I’m also going to place inquiry at the center of the story. In doing so I’m following a number of contemporary philosophers. Jane Friedman</w:t>
      </w:r>
      <w:r>
        <w:t xml:space="preserve"> </w:t>
      </w:r>
      <w:r>
        <w:t xml:space="preserve">(</w:t>
      </w:r>
      <w:hyperlink w:anchor="ref-Friedman2019a">
        <w:r>
          <w:rPr>
            <w:rStyle w:val="Hyperlink"/>
          </w:rPr>
          <w:t xml:space="preserve">2019b</w:t>
        </w:r>
      </w:hyperlink>
      <w:r>
        <w:t xml:space="preserve">,</w:t>
      </w:r>
      <w:r>
        <w:t xml:space="preserve"> </w:t>
      </w:r>
      <w:hyperlink w:anchor="ref-Friedman2019b">
        <w:r>
          <w:rPr>
            <w:rStyle w:val="Hyperlink"/>
          </w:rPr>
          <w:t xml:space="preserve">2019a</w:t>
        </w:r>
      </w:hyperlink>
      <w:r>
        <w:t xml:space="preserve">,</w:t>
      </w:r>
      <w:r>
        <w:t xml:space="preserve"> </w:t>
      </w:r>
      <w:hyperlink w:anchor="ref-Friedman2020">
        <w:r>
          <w:rPr>
            <w:rStyle w:val="Hyperlink"/>
          </w:rPr>
          <w:t xml:space="preserve">2020</w:t>
        </w:r>
      </w:hyperlink>
      <w:r>
        <w:t xml:space="preserve">)</w:t>
      </w:r>
      <w:r>
        <w:t xml:space="preserve"> </w:t>
      </w:r>
      <w:r>
        <w:t xml:space="preserve">has developed a detailed account of what inquiry is and how it relates to epistemology. I’m not going to adopt her picture in its entirety; I’m persuaded by some criticisms of it by Elise Woodard</w:t>
      </w:r>
      <w:r>
        <w:t xml:space="preserve"> </w:t>
      </w:r>
      <w:r>
        <w:t xml:space="preserve">(</w:t>
      </w:r>
      <w:hyperlink w:anchor="ref-Woodard2021">
        <w:r>
          <w:rPr>
            <w:rStyle w:val="Hyperlink"/>
          </w:rPr>
          <w:t xml:space="preserve">2020</w:t>
        </w:r>
      </w:hyperlink>
      <w:r>
        <w:t xml:space="preserve">)</w:t>
      </w:r>
      <w:r>
        <w:t xml:space="preserve"> </w:t>
      </w:r>
      <w:r>
        <w:t xml:space="preserve">and Arienne Falbo</w:t>
      </w:r>
      <w:r>
        <w:t xml:space="preserve"> </w:t>
      </w:r>
      <w:r>
        <w:t xml:space="preserve">(</w:t>
      </w:r>
      <w:hyperlink w:anchor="ref-Falbo2021">
        <w:r>
          <w:rPr>
            <w:rStyle w:val="Hyperlink"/>
          </w:rPr>
          <w:t xml:space="preserve">2021</w:t>
        </w:r>
      </w:hyperlink>
      <w:r>
        <w:t xml:space="preserve">)</w:t>
      </w:r>
      <w:r>
        <w:t xml:space="preserve">. But I am going to use a fairly similar picture to hers. And Guido Melchior</w:t>
      </w:r>
      <w:r>
        <w:t xml:space="preserve"> </w:t>
      </w:r>
      <w:r>
        <w:t xml:space="preserve">(</w:t>
      </w:r>
      <w:hyperlink w:anchor="ref-Melchior2019">
        <w:r>
          <w:rPr>
            <w:rStyle w:val="Hyperlink"/>
          </w:rPr>
          <w:t xml:space="preserve">2019</w:t>
        </w:r>
      </w:hyperlink>
      <w:r>
        <w:t xml:space="preserve">)</w:t>
      </w:r>
      <w:r>
        <w:t xml:space="preserve"> </w:t>
      </w:r>
      <w:r>
        <w:t xml:space="preserve">has developed a detailed account of what I think of as a special kind of inquiry, namely checking. And I’m going to rely on ideas derived from Melchior’s discussion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This is one of the biggest changes between the version of interest-relative epistemology that I’m defending in this book and the version that I’ve defended over various papers over recent years. I’m disagreeing here with Friedman, whose theory of inquiry gives an important role to 2. I’ve been convinced by arguments by Woodard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w:t>
      </w:r>
      <w:hyperlink w:anchor="ref-Strevens2020">
        <w:r>
          <w:rPr>
            <w:rStyle w:val="Hyperlink"/>
          </w:rPr>
          <w:t xml:space="preserve">2020</w:t>
        </w:r>
      </w:hyperlink>
      <w:r>
        <w:t xml:space="preserve">)</w:t>
      </w:r>
      <w:r>
        <w:t xml:space="preserve"> </w:t>
      </w:r>
      <w:r>
        <w:t xml:space="preserve">offers for some striking features of contemporary science.) And since one might want to understand something one knows, or have a more sensitive belief in what one knows, or convince others of what one knows, it can make sense to inquire into what one knows. In earlier work I’d based my arguments for interest-relative theories in pictures of inquiry that ruled out these kinds of inquiry. This was a mistake, and I’ll say more in chapter</w:t>
      </w:r>
      <w:r>
        <w:t xml:space="preserve"> </w:t>
      </w:r>
      <w:r>
        <w:t xml:space="preserve">5</w:t>
      </w:r>
      <w:r>
        <w:t xml:space="preserve"> </w:t>
      </w:r>
      <w:r>
        <w:t xml:space="preserve">about the picture of inquiry that endorses 1, rejects 2 and 3, and validates the interest-relative picture.</w:t>
      </w:r>
    </w:p>
    <w:p>
      <w:pPr>
        <w:pStyle w:val="BodyText"/>
      </w:pPr>
      <w:r>
        <w:t xml:space="preserve">In the next chapter I’m going to offer a straightforward argument for interest-relative epistemology. But before I get to that, I want to offer two motivations for the view. You could try to turn either of these motivations into a nice, clean, premise-conclusion argument for interest-relativity. I haven’t done that because I think in both cases, the premise-conclusion format would obscure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w:t>
      </w:r>
      <w:hyperlink w:anchor="ref-Mercier2020">
        <w:r>
          <w:rPr>
            <w:rStyle w:val="Hyperlink"/>
          </w:rPr>
          <w:t xml:space="preserve">2020</w:t>
        </w:r>
      </w:hyperlink>
      <w:r>
        <w:t xml:space="preserve">)</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p>
    <w:p>
      <w:pPr>
        <w:pStyle w:val="BodyText"/>
      </w:pPr>
      <w:r>
        <w:t xml:space="preserve">When I first worked on interest-relativity in epistemology, that was the main motivation I was moved by. And I still think it is a good reason to expect that the full truth in epistemology will be interest-relative. But there is another motivation that I now think is stronger.</w:t>
      </w:r>
    </w:p>
    <w:p>
      <w:pPr>
        <w:pStyle w:val="BodyText"/>
      </w:pPr>
      <w:r>
        <w:t xml:space="preserve">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 is like is often very little help in figuring out how to do better. This is a general consequence of the Theory of the Second Best</w:t>
      </w:r>
      <w:r>
        <w:t xml:space="preserve"> </w:t>
      </w:r>
      <w:r>
        <w:t xml:space="preserve">(</w:t>
      </w:r>
      <w:hyperlink w:anchor="ref-LipseyLancaster">
        <w:r>
          <w:rPr>
            <w:rStyle w:val="Hyperlink"/>
          </w:rPr>
          <w:t xml:space="preserve">Lipsey and Lancaster 1956-1957</w:t>
        </w:r>
      </w:hyperlink>
      <w:r>
        <w:t xml:space="preserve">)</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 suspect exploring notions that humans have developed for navigating the world will be more helpful than thinking about ideal beings if our aim is epistemic improvement.</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(stylised)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above the price of others it will fall to 0.) Such an explanation will be good as far as it goes, but we can do better. We can note that there is are mechanisms - in the sense of mechanism developed by Machamer, Darden and Craver</w:t>
      </w:r>
      <w:r>
        <w:t xml:space="preserve"> </w:t>
      </w:r>
      <w:r>
        <w:t xml:space="preserve">(</w:t>
      </w:r>
      <w:hyperlink w:anchor="ref-MachamerEtAl2000">
        <w:r>
          <w:rPr>
            <w:rStyle w:val="Hyperlink"/>
          </w:rPr>
          <w:t xml:space="preserve">2000</w:t>
        </w:r>
      </w:hyperlink>
      <w:r>
        <w:t xml:space="preserve">)</w:t>
      </w:r>
      <w:r>
        <w:t xml:space="preserve"> </w:t>
      </w:r>
      <w:r>
        <w:t xml:space="preserve">- that underlies this pattern of effective demand. The mechanisms are individual consumers -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a shift in purchasing pattern.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triggers. Nor can it be stated in terms of high probability; no matter how probable I think it is that supplier B is cheaper than supplier A, it might still be rational to buy from supplier A if the rest of the probability goes to possibilities where B is much worse. But knowledge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 think,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 subsection</w:t>
      </w:r>
      <w:r>
        <w:t xml:space="preserve"> </w:t>
      </w:r>
      <w:r>
        <w:t xml:space="preserve">8.4.1</w:t>
      </w:r>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w:t>
      </w:r>
      <w:hyperlink w:anchor="ref-Nozick1981">
        <w:r>
          <w:rPr>
            <w:rStyle w:val="Hyperlink"/>
          </w:rPr>
          <w:t xml:space="preserve">1981</w:t>
        </w:r>
      </w:hyperlink>
      <w:r>
        <w:t xml:space="preserve">)</w:t>
      </w:r>
      <w:r>
        <w:t xml:space="preserve"> </w:t>
      </w:r>
      <w:r>
        <w:t xml:space="preserve">develops, for instance, plausibly makes knowledge into a natural kind. Whether a belief would be retained were its content false is not a matter of how well the belief does on some scale. I think the best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w:t>
      </w:r>
      <w:hyperlink w:anchor="ref-Williamson2000">
        <w:r>
          <w:rPr>
            <w:rStyle w:val="Hyperlink"/>
          </w:rPr>
          <w:t xml:space="preserve">2000</w:t>
        </w:r>
      </w:hyperlink>
      <w:r>
        <w:t xml:space="preserve">)</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I think that a person knows a proposition if and only if they properly take it to be settled. And what one properly takes to be settled is interest-relative, hence knowledge is interest-relative. I don’t want to assert that this biconditional is an analysis of knowledge, or explains knowledge. It’s more than arguable that the notion of propriety on the right-hand side has to ultimately be explained in terms of knowledge. (If what one properly takes to be settled is explained by what evidence one has, and what evidence one has is explained by what one knows, then the biconditional might be true but not reductive or explanatory.) But even if that’s right, I think the truth of this biconditional might explain why knowledge is natural. And more generally, I think by far the best prospect of a theory of knowledge where knowledge turns out to be a relatively natural kind will involve knowledge being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And this is a challenge, but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w:t>
      </w:r>
    </w:p>
    <w:p>
      <w:pPr>
        <w:pStyle w:val="BodyText"/>
      </w:pPr>
      <w:r>
        <w:t xml:space="preserve">But while these are motivations, neither of them is strictly speaking at argument. The main argument in this book for the interest-relative theory is developed in chapter</w:t>
      </w:r>
      <w:r>
        <w:t xml:space="preserve"> </w:t>
      </w:r>
      <w:r>
        <w:t xml:space="preserve">2</w:t>
      </w:r>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I agree that knowledge is often lost in these cases. But I think the literature has ended up a bit lopsided. Knowledge is also lost in</w:t>
      </w:r>
      <w:r>
        <w:t xml:space="preserve"> </w:t>
      </w:r>
      <w:r>
        <w:t xml:space="preserve">‘</w:t>
      </w:r>
      <w:r>
        <w:t xml:space="preserve">easy checking</w:t>
      </w:r>
      <w:r>
        <w:t xml:space="preserve">’</w:t>
      </w:r>
      <w:r>
        <w:t xml:space="preserve"> </w:t>
      </w:r>
      <w:r>
        <w:t xml:space="preserve">cases. As I’ll put it in section</w:t>
      </w:r>
      <w:r>
        <w:t xml:space="preserve"> </w:t>
      </w:r>
      <w:r>
        <w:t xml:space="preserve">2.4</w:t>
      </w:r>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these two kinds.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my view, lose knowledge in anything when they seriously reflect on how good their evidence is for it. Happily, this knowledge comes back when they return to their normal life.</w:t>
      </w:r>
    </w:p>
    <w:p>
      <w:pPr>
        <w:pStyle w:val="BodyText"/>
      </w:pPr>
      <w:r>
        <w:t xml:space="preserve">The last two paragraphs set out features of my version of an interest-relative theory of knowledge which are somewhat idiosyncratic, but which I’ve endorsed for as long as I’ve been writing about interest-relativity. The next two paragraphs describe two idiosyncracies that reflect changes of mind in response to convincing objections to my previous views.</w:t>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this is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 I used to think it was the only reason. Indeed, I used to identify things that could be properly taken as settled with things that could be taken as settled without changing the answer to any inquiry. This led to all sorts of complications, and it was just a mistake. Among other things, taking</w:t>
      </w:r>
      <w:r>
        <w:t xml:space="preserve"> </w:t>
      </w:r>
      <w:r>
        <w:rPr>
          <w:iCs/>
          <w:i/>
        </w:rPr>
        <w:t xml:space="preserve">p</w:t>
      </w:r>
      <w:r>
        <w:t xml:space="preserve"> </w:t>
      </w:r>
      <w:r>
        <w:t xml:space="preserve">to be settled might get to the right answer for the wrong reasons. So I now regard this principle, don’t take something to be settled if it will lead to the wrong answer, as a bit of good advice, not an account of when not to take something as settled. I will go over this point in much more detail in sections</w:t>
      </w:r>
      <w:r>
        <w:t xml:space="preserve"> </w:t>
      </w:r>
      <w:r>
        <w:t xml:space="preserve">3.4</w:t>
      </w:r>
      <w:r>
        <w:t xml:space="preserve"> </w:t>
      </w:r>
      <w:r>
        <w:t xml:space="preserve">to</w:t>
      </w:r>
      <w:r>
        <w:t xml:space="preserve"> </w:t>
      </w:r>
      <w:r>
        <w:t xml:space="preserve">3.6</w:t>
      </w:r>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 used to think that we could have an interest-invariant notion of evidence that explained why interests caused people to sometimes lose knowledge. Indeed, my earliest view was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I no longer think that’s right. In particular, as I’ll argue in chapter</w:t>
      </w:r>
      <w:r>
        <w:t xml:space="preserve"> </w:t>
      </w:r>
      <w:r>
        <w:t xml:space="preserve">9</w:t>
      </w:r>
      <w:r>
        <w:t xml:space="preserve">, evidence itself can be interest-relative.</w:t>
      </w:r>
    </w:p>
    <w:p>
      <w:pPr>
        <w:pStyle w:val="BodyText"/>
      </w:pPr>
      <w:r>
        <w:t xml:space="preserve">So far I’ve sketched in the very barest form the kind of theory I’m going to propose. Here’s the plan for how that theory will be laid out, and defended, over the coming chapters.</w:t>
      </w:r>
    </w:p>
    <w:p>
      <w:pPr>
        <w:pStyle w:val="BodyText"/>
      </w:pPr>
      <w:r>
        <w:t xml:space="preserve">In chapter</w:t>
      </w:r>
      <w:r>
        <w:t xml:space="preserve"> </w:t>
      </w:r>
      <w:r>
        <w:t xml:space="preserve">2</w:t>
      </w:r>
      <w:r>
        <w:t xml:space="preserve">, I’ll set out the main argument for the interest-relative theory. The argument turns on how to think about some relatively low stakes bets. I argue that every option other than the interest-relative theory says very implausible things about the case.</w:t>
      </w:r>
    </w:p>
    <w:p>
      <w:pPr>
        <w:pStyle w:val="BodyText"/>
      </w:pPr>
      <w:r>
        <w:t xml:space="preserve">The next two chapters set out the fundamentals of the theory. In chapter</w:t>
      </w:r>
      <w:r>
        <w:t xml:space="preserve"> </w:t>
      </w:r>
      <w:r>
        <w:t xml:space="preserve">3</w:t>
      </w:r>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 chapter</w:t>
      </w:r>
      <w:r>
        <w:t xml:space="preserve"> </w:t>
      </w:r>
      <w:r>
        <w:t xml:space="preserve">4</w:t>
      </w:r>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drafted my book. Chapter</w:t>
      </w:r>
      <w:r>
        <w:t xml:space="preserve"> </w:t>
      </w:r>
      <w:r>
        <w:t xml:space="preserve">4</w:t>
      </w:r>
      <w:r>
        <w:t xml:space="preserve"> </w:t>
      </w:r>
      <w:r>
        <w:t xml:space="preserve">draws heavily on work by Elise Woodard -</w:t>
      </w:r>
      <w:r>
        <w:t xml:space="preserve">Woodard (</w:t>
      </w:r>
      <w:hyperlink w:anchor="ref-Woodard2021">
        <w:r>
          <w:rPr>
            <w:rStyle w:val="Hyperlink"/>
          </w:rPr>
          <w:t xml:space="preserve">2020</w:t>
        </w:r>
      </w:hyperlink>
      <w:r>
        <w:t xml:space="preserve">)</w:t>
      </w:r>
      <w:r>
        <w:t xml:space="preserve"> </w:t>
      </w:r>
      <w:r>
        <w:t xml:space="preserve">and chapter</w:t>
      </w:r>
      <w:r>
        <w:t xml:space="preserve"> </w:t>
      </w:r>
      <w:r>
        <w:t xml:space="preserve">7</w:t>
      </w:r>
      <w:r>
        <w:t xml:space="preserve"> </w:t>
      </w:r>
      <w:r>
        <w:t xml:space="preserve">draws heavily the doctoral dissertation of Nilanjan Das -</w:t>
      </w:r>
      <w:r>
        <w:t xml:space="preserve">Das (</w:t>
      </w:r>
      <w:hyperlink w:anchor="ref-DasThesis">
        <w:r>
          <w:rPr>
            <w:rStyle w:val="Hyperlink"/>
          </w:rPr>
          <w:t xml:space="preserve">2016</w:t>
        </w:r>
      </w:hyperlink>
      <w:r>
        <w:t xml:space="preserve">)</w:t>
      </w:r>
      <w:r>
        <w:t xml:space="preserve">.</w:t>
      </w:r>
    </w:p>
    <w:p>
      <w:pPr>
        <w:pStyle w:val="BodyText"/>
      </w:pPr>
      <w:r>
        <w:t xml:space="preserve">In chapter</w:t>
      </w:r>
      <w:r>
        <w:t xml:space="preserve"> </w:t>
      </w:r>
      <w:r>
        <w:t xml:space="preserve">2</w:t>
      </w:r>
      <w:r>
        <w:t xml:space="preserve"> </w:t>
      </w:r>
      <w:r>
        <w:t xml:space="preserve">I discuss the role that the concept of inquiry plays in my theory. On my theory, if something is known, it is available to use as a starting point in inquiry. I used to think this meant I was committed to Jane Friedman’s thesis that it is incoherent to inquire into something one knows</w:t>
      </w:r>
      <w:r>
        <w:t xml:space="preserve"> </w:t>
      </w:r>
      <w:r>
        <w:t xml:space="preserve">Friedman (</w:t>
      </w:r>
      <w:hyperlink w:anchor="ref-Friedman2019a">
        <w:r>
          <w:rPr>
            <w:rStyle w:val="Hyperlink"/>
          </w:rPr>
          <w:t xml:space="preserve">2019b</w:t>
        </w:r>
      </w:hyperlink>
      <w:r>
        <w:t xml:space="preserve">)</w:t>
      </w:r>
      <w:r>
        <w:t xml:space="preserve">.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 -</w:t>
      </w:r>
      <w:r>
        <w:t xml:space="preserve">Brown (</w:t>
      </w:r>
      <w:hyperlink w:anchor="ref-Brown2008">
        <w:r>
          <w:rPr>
            <w:rStyle w:val="Hyperlink"/>
          </w:rPr>
          <w:t xml:space="preserve">2008</w:t>
        </w:r>
      </w:hyperlink>
      <w:r>
        <w:t xml:space="preserve">)</w:t>
      </w:r>
      <w:r>
        <w:t xml:space="preserve"> </w:t>
      </w:r>
      <w:r>
        <w:t xml:space="preserve">to the style of argument I use in chapter</w:t>
      </w:r>
      <w:r>
        <w:t xml:space="preserve"> </w:t>
      </w:r>
      <w:r>
        <w:t xml:space="preserve">2</w:t>
      </w:r>
      <w:r>
        <w:t xml:space="preserve">.</w:t>
      </w:r>
    </w:p>
    <w:p>
      <w:pPr>
        <w:pStyle w:val="BodyText"/>
      </w:pPr>
      <w:r>
        <w:t xml:space="preserve">In chapter</w:t>
      </w:r>
      <w:r>
        <w:t xml:space="preserve"> </w:t>
      </w:r>
      <w:r>
        <w:t xml:space="preserve">6</w:t>
      </w:r>
      <w:r>
        <w:t xml:space="preserve"> </w:t>
      </w:r>
      <w:r>
        <w:t xml:space="preserve">I respond to a claim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proof works because the theory from that paper has absurdly sceptical consequences in these types of choice situation. That’s hardly better than a closure failure. In this chapter I aim to do better. I show that the objections rely on the assumption that the chooser aims to maximise expected utility, and this can’t be right in close call situations. Rather, the rational chooser will adopt a strategy, like picking arbitrarily when it is clear that investigating which option is best is not worth the hassle, that has the best long-run consequences. And given this theory of rational choice, my preferred epistemological theory is neither absurdly sceptical, nor committed to closure failures.</w:t>
      </w:r>
    </w:p>
    <w:p>
      <w:pPr>
        <w:pStyle w:val="BodyText"/>
      </w:pPr>
      <w:r>
        <w:t xml:space="preserve">In chapter</w:t>
      </w:r>
      <w:r>
        <w:t xml:space="preserve"> </w:t>
      </w:r>
      <w:r>
        <w:t xml:space="preserve">7</w:t>
      </w:r>
      <w:r>
        <w:t xml:space="preserve"> </w:t>
      </w:r>
      <w:r>
        <w:t xml:space="preserve">I respond to the very frequently voiced objection that interest-relative theories lead to implausible verdicts about pairs of situations, where knowledge is lost or gained due to what looks like an irrelevant feature of a situation. I have two responses. One was first offered in</w:t>
      </w:r>
      <w:r>
        <w:t xml:space="preserve"> </w:t>
      </w:r>
      <w:r>
        <w:t xml:space="preserve">“</w:t>
      </w:r>
      <w:r>
        <w:t xml:space="preserve">Defending Interest-Relative Invariantism</w:t>
      </w:r>
      <w:r>
        <w:t xml:space="preserve">”</w:t>
      </w:r>
      <w:r>
        <w:t xml:space="preserve"> </w:t>
      </w:r>
      <w:r>
        <w:t xml:space="preserve">(</w:t>
      </w:r>
      <w:hyperlink w:anchor="ref-Weatherson2011-WEADIR">
        <w:r>
          <w:rPr>
            <w:rStyle w:val="Hyperlink"/>
          </w:rPr>
          <w:t xml:space="preserve">Weatherson 2011</w:t>
        </w:r>
      </w:hyperlink>
      <w:r>
        <w:t xml:space="preserve">)</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r>
        <w:t xml:space="preserve">Chapter</w:t>
      </w:r>
      <w:r>
        <w:t xml:space="preserve"> </w:t>
      </w:r>
      <w:r>
        <w:t xml:space="preserve">8</w:t>
      </w:r>
      <w:r>
        <w:t xml:space="preserve"> </w:t>
      </w:r>
      <w:r>
        <w:t xml:space="preserve">goes over my theory of rational belief. Surprisingly, and in contrast to the view defended by Jeremy Fantl and Matthew McGrath</w:t>
      </w:r>
      <w:r>
        <w:t xml:space="preserve"> </w:t>
      </w:r>
      <w:r>
        <w:t xml:space="preserve">(</w:t>
      </w:r>
      <w:hyperlink w:anchor="ref-FantlMcGrath2009">
        <w:r>
          <w:rPr>
            <w:rStyle w:val="Hyperlink"/>
          </w:rPr>
          <w:t xml:space="preserve">2009</w:t>
        </w:r>
      </w:hyperlink>
      <w:r>
        <w:t xml:space="preserve">)</w:t>
      </w:r>
      <w:r>
        <w:t xml:space="preserve">, on my view interests effect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 chapter</w:t>
      </w:r>
      <w:r>
        <w:t xml:space="preserve"> </w:t>
      </w:r>
      <w:r>
        <w:t xml:space="preserve">3</w:t>
      </w:r>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r>
        <w:t xml:space="preserve">Chapter</w:t>
      </w:r>
      <w:r>
        <w:t xml:space="preserve"> </w:t>
      </w:r>
      <w:r>
        <w:t xml:space="preserve">9</w:t>
      </w:r>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evidence is.</w:t>
      </w:r>
    </w:p>
    <w:p>
      <w:pPr>
        <w:pStyle w:val="BodyText"/>
      </w:pPr>
      <w:r>
        <w:t xml:space="preserve">Chapter</w:t>
      </w:r>
      <w:r>
        <w:t xml:space="preserve"> </w:t>
      </w:r>
      <w:r>
        <w:t xml:space="preserve">10</w:t>
      </w:r>
      <w:r>
        <w:t xml:space="preserve"> </w:t>
      </w:r>
      <w:r>
        <w:t xml:space="preserve">ends with a short note connected interest-relativity to the familiar expression</w:t>
      </w:r>
      <w:r>
        <w:t xml:space="preserve"> </w:t>
      </w:r>
      <w:r>
        <w:rPr>
          <w:iCs/>
          <w:i/>
        </w:rPr>
        <w:t xml:space="preserve">Knowledge is Power</w:t>
      </w:r>
      <w:r>
        <w:t xml:space="preserve">. I argue that this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25"/>
    <w:bookmarkStart w:id="45" w:name="interests"/>
    <w:p>
      <w:pPr>
        <w:pStyle w:val="Heading1"/>
      </w:pPr>
      <w:r>
        <w:rPr>
          <w:rStyle w:val="SectionNumber"/>
        </w:rPr>
        <w:t xml:space="preserve">2</w:t>
      </w:r>
      <w:r>
        <w:tab/>
      </w:r>
      <w:r>
        <w:t xml:space="preserve">Interests</w:t>
      </w:r>
    </w:p>
    <w:bookmarkStart w:id="26" w:name="redblue"/>
    <w:p>
      <w:pPr>
        <w:pStyle w:val="Heading2"/>
      </w:pPr>
      <w:r>
        <w:rPr>
          <w:rStyle w:val="SectionNumber"/>
        </w:rPr>
        <w:t xml:space="preserve">2.1</w:t>
      </w:r>
      <w:r>
        <w:tab/>
      </w:r>
      <w:r>
        <w:t xml:space="preserve">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w:t>
      </w:r>
      <w:r>
        <w:t xml:space="preserve"> </w:t>
      </w:r>
      <w:r>
        <w:t xml:space="preserve">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w:t>
      </w:r>
    </w:p>
    <w:p>
      <w:pPr>
        <w:pStyle w:val="BodyText"/>
      </w:pPr>
      <w:r>
        <w:t xml:space="preserve">Anisa comes to know that she is playing the Red-Blue game, and that these are its rules. She does not come to know any other relevant fact about the game. 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It doesn’t cost her anything - she gets the $50. And it’s not that irrational as these things go - she costs herself $50 in the somewhat distant worlds where her reliable book gets this fact wrong. But it was still irrational. She took a needless risk, when there was a simple safe option on the table.</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trying to get win $50, Anisa does not know this. When she is moved into the game situation, she loses some knowledge she previously had.</w:t>
      </w:r>
    </w:p>
    <w:p>
      <w:pPr>
        <w:pStyle w:val="BodyText"/>
      </w:pPr>
      <w:r>
        <w:t xml:space="preserve">This kind of interest-relativity is often taken to be a wild and radical development in the theory of knowledge. And it is certainly a reform. In putting it forward, I’m not making It’s not a new reform proposal. It is set out, and defended, in works by Jeremy Fantl and Matthew McGrath</w:t>
      </w:r>
      <w:r>
        <w:t xml:space="preserve"> </w:t>
      </w:r>
      <w:r>
        <w:t xml:space="preserve">(</w:t>
      </w:r>
      <w:hyperlink w:anchor="ref-FantlMcGrath2002">
        <w:r>
          <w:rPr>
            <w:rStyle w:val="Hyperlink"/>
          </w:rPr>
          <w:t xml:space="preserve">2002</w:t>
        </w:r>
      </w:hyperlink>
      <w:r>
        <w:t xml:space="preserve">,</w:t>
      </w:r>
      <w:r>
        <w:t xml:space="preserve"> </w:t>
      </w:r>
      <w:hyperlink w:anchor="ref-FantlMcGrath2009">
        <w:r>
          <w:rPr>
            <w:rStyle w:val="Hyperlink"/>
          </w:rPr>
          <w:t xml:space="preserve">2009</w:t>
        </w:r>
      </w:hyperlink>
      <w:r>
        <w:t xml:space="preserve">)</w:t>
      </w:r>
      <w:r>
        <w:t xml:space="preserve">, John Hawthorne</w:t>
      </w:r>
      <w:r>
        <w:t xml:space="preserve"> </w:t>
      </w:r>
      <w:r>
        <w:t xml:space="preserve">(</w:t>
      </w:r>
      <w:hyperlink w:anchor="ref-Hawthorne2004">
        <w:r>
          <w:rPr>
            <w:rStyle w:val="Hyperlink"/>
          </w:rPr>
          <w:t xml:space="preserve">2004</w:t>
        </w:r>
      </w:hyperlink>
      <w:r>
        <w:t xml:space="preserve">)</w:t>
      </w:r>
      <w:r>
        <w:t xml:space="preserve">, and Jason Stanley</w:t>
      </w:r>
      <w:r>
        <w:t xml:space="preserve"> </w:t>
      </w:r>
      <w:r>
        <w:t xml:space="preserve">(</w:t>
      </w:r>
      <w:hyperlink w:anchor="ref-Stanley2005">
        <w:r>
          <w:rPr>
            <w:rStyle w:val="Hyperlink"/>
          </w:rPr>
          <w:t xml:space="preserve">2005</w:t>
        </w:r>
      </w:hyperlink>
      <w:r>
        <w:t xml:space="preserve">)</w:t>
      </w:r>
      <w:r>
        <w:t xml:space="preserve">. But relative to the epistemological status quo circa 1990, it is different. But then again, factors that were widely held to affect knowledge according to the status quo of either today or of 1990 would have seemed wild and radical relative to the epistemological status quo circa 1960. The factors that make a belief safe, or sensitive, or reliable, or undefeated, were well outside the realms of factors that mid 20th century epistemologists thought relevant to knowledge. There are many things that are irrelevant to how probable a belief is that are relevant to whether it is knowledge, as the epistemological literature of the late 20th Century makes clear. The proposal here is that interests are one more addition to this motley bunch.</w:t>
      </w:r>
    </w:p>
    <w:p>
      <w:pPr>
        <w:pStyle w:val="BodyText"/>
      </w:pPr>
      <w:r>
        <w:t xml:space="preserve">In the recent literature, arguments for and against interest-relativity to date have not focussed on examples like Anisa’s, but on examples like Blaise that I’ll present shortly. But the example of Anisa has a handful of notable predecessors. It’s structure is similar, in the features that matter to me, to the examples of low-cost checking that Bradley Armour-Garb</w:t>
      </w:r>
      <w:r>
        <w:t xml:space="preserve"> </w:t>
      </w:r>
      <w:r>
        <w:t xml:space="preserve">(</w:t>
      </w:r>
      <w:hyperlink w:anchor="ref-ArmourGarb2011">
        <w:r>
          <w:rPr>
            <w:rStyle w:val="Hyperlink"/>
          </w:rPr>
          <w:t xml:space="preserve">2011</w:t>
        </w:r>
      </w:hyperlink>
      <w:r>
        <w:t xml:space="preserve">)</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w:t>
      </w:r>
      <w:hyperlink w:anchor="ref-AndersonHawthorne2019a">
        <w:r>
          <w:rPr>
            <w:rStyle w:val="Hyperlink"/>
          </w:rPr>
          <w:t xml:space="preserve">2019a</w:t>
        </w:r>
      </w:hyperlink>
      <w:r>
        <w:t xml:space="preserve">,</w:t>
      </w:r>
      <w:r>
        <w:t xml:space="preserve"> </w:t>
      </w:r>
      <w:hyperlink w:anchor="ref-AndersonHawthorne2019b">
        <w:r>
          <w:rPr>
            <w:rStyle w:val="Hyperlink"/>
          </w:rPr>
          <w:t xml:space="preserve">2019b</w:t>
        </w:r>
      </w:hyperlink>
      <w:r>
        <w:t xml:space="preserve">)</w:t>
      </w:r>
      <w:r>
        <w:t xml:space="preserve">. But mostly people have focussed on cases like the this one.</w:t>
      </w:r>
    </w:p>
    <w:p>
      <w:pPr>
        <w:pStyle w:val="BodyText"/>
      </w:pPr>
      <w:r>
        <w:t xml:space="preserve">Here is an example that is more familiar from the recent literature. 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this intuition is best explained, I will argue, by letting knowledge be interest-relative. But the argument that the interest-relativity of knowledge is the very best explanation of what’s going on is, in my view, somewhat weaker in Blaise’s case than in Anisa’s. It’s not that I think the interest-relative explanation of the case is wrong; in fact I think it’s basically correct. It’s rather that in Blaise’s case there are alternative interest-invariant explanations are somewhat more plausible.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 from what they have said about cases like Blaise. And I suspect in some cases I’ll get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 section</w:t>
      </w:r>
      <w:r>
        <w:t xml:space="preserve"> </w:t>
      </w:r>
      <w:r>
        <w:t xml:space="preserve">2.2</w:t>
      </w:r>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 section</w:t>
      </w:r>
      <w:r>
        <w:t xml:space="preserve"> </w:t>
      </w:r>
      <w:r>
        <w:t xml:space="preserve">2.5</w:t>
      </w:r>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But this is a bad name; of course whether a knowledge ascription is true is sensitive to who the subject of the ascription is. I know what I had for breakfast and you (probably) don’t. What is distinctive is which features of the subject’s situation that the interest-relative theory says are relevant, and calling it the interest-relative theory of knowledge makes it clear that it is the subject’s interests. In the past, I’ve called it</w:t>
      </w:r>
      <w:r>
        <w:t xml:space="preserve"> </w:t>
      </w:r>
      <w:r>
        <w:rPr>
          <w:bCs/>
          <w:b/>
        </w:rPr>
        <w:t xml:space="preserve">interest-relative invariantism</w:t>
      </w:r>
      <w:r>
        <w:t xml:space="preserve">. But, for reasons I’ll say more about in section</w:t>
      </w:r>
      <w:r>
        <w:t xml:space="preserve"> </w:t>
      </w:r>
      <w:r>
        <w:t xml:space="preserve">2.7</w:t>
      </w:r>
      <w:r>
        <w:t xml:space="preserve">, I’m not committed to</w:t>
      </w:r>
      <w:r>
        <w:t xml:space="preserve"> </w:t>
      </w:r>
      <w:r>
        <w:rPr>
          <w:iCs/>
          <w:i/>
        </w:rPr>
        <w:t xml:space="preserve">invariantism</w:t>
      </w:r>
      <w:r>
        <w:t xml:space="preserve"> </w:t>
      </w:r>
      <w:r>
        <w:t xml:space="preserve">in this book. So it’s just the interest-relative theory, or IRT.</w:t>
      </w:r>
    </w:p>
    <w:bookmarkEnd w:id="26"/>
    <w:bookmarkStart w:id="28" w:name="fourfamilies"/>
    <w:p>
      <w:pPr>
        <w:pStyle w:val="Heading2"/>
      </w:pPr>
      <w:r>
        <w:rPr>
          <w:rStyle w:val="SectionNumber"/>
        </w:rPr>
        <w:t xml:space="preserve">2.2</w:t>
      </w:r>
      <w:r>
        <w:tab/>
      </w:r>
      <w:r>
        <w:t xml:space="preserve">Four Families</w:t>
      </w:r>
    </w:p>
    <w:p>
      <w:pPr>
        <w:pStyle w:val="FirstParagraph"/>
      </w:pPr>
      <w:r>
        <w:t xml:space="preserve">A lot of philosophers have written about cases like Anisa and Blaise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But I find it a helpful way to start thinking about the possible moves available.</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w:t>
      </w:r>
      <w:hyperlink w:anchor="ref-Unger1975">
        <w:r>
          <w:rPr>
            <w:rStyle w:val="Hyperlink"/>
          </w:rPr>
          <w:t xml:space="preserve">1975</w:t>
        </w:r>
      </w:hyperlink>
      <w:r>
        <w:t xml:space="preserve">)</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and perhaps Blaise’s reasoning too, is perfectly sound.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as I’m construing it, but one natural form of epistemicism takes on board Maria Lasonen-Aarnio’s point that act-level and agent-level assessments might come apart.</w:t>
      </w:r>
      <w:r>
        <w:rPr>
          <w:rStyle w:val="FootnoteReference"/>
        </w:rPr>
        <w:footnoteReference w:id="27"/>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 as I’m understanding it.</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criteria for testimonial knowledge. And it says she knows it today, since changing practical scenarios or interests like this doesn’t affect knowledge. But it also says that the actions that Anisa and Blaise take are wrong; they are both irrational, and Blaise’s is arguably immoral. And that is true because of how risky the actions are. So knowing that what you are doing is for the best is consistent with your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I think that the interest-relative treatment of the cases is correct; and if it isn’t, then at least some pragmatist treatment is correct; and if it isn’t, then at least some heterodox treatment is correct.</w:t>
      </w:r>
    </w:p>
    <w:p>
      <w:pPr>
        <w:pStyle w:val="BodyText"/>
      </w:pPr>
      <w:r>
        <w:t xml:space="preserve">And it’s worth laying out the interest-relative case in some detail, because we can only properly assess the options holistically. Every view is going to have some very counterintuitive consequences, and we can only weigh them up when we see them all laid out.</w:t>
      </w:r>
    </w:p>
    <w:p>
      <w:pPr>
        <w:pStyle w:val="BodyText"/>
      </w:pPr>
      <w:r>
        <w:t xml:space="preserve">The last claim, that every view has counterintuitive consequences, deserves some defence. I’ll say much more about the challenges orthodoxy faces in section</w:t>
      </w:r>
      <w:r>
        <w:t xml:space="preserve"> </w:t>
      </w:r>
      <w:r>
        <w:t xml:space="preserve">2.3</w:t>
      </w:r>
      <w:r>
        <w:t xml:space="preserve">. But just to set out a simple version of the problems for each theory, observe all of the following look true.</w:t>
      </w:r>
    </w:p>
    <w:p>
      <w:pPr>
        <w:numPr>
          <w:ilvl w:val="0"/>
          <w:numId w:val="1007"/>
        </w:numPr>
        <w:pStyle w:val="Compact"/>
      </w:pPr>
      <w:r>
        <w:t xml:space="preserve">Sceptical theories imply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imply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Much of what follows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But sometimes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But I very much doubt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maximise expected value unless the probability of</w:t>
      </w:r>
      <w:r>
        <w:t xml:space="preserve"> </w:t>
      </w:r>
      <w:r>
        <w:rPr>
          <w:iCs/>
          <w:i/>
        </w:rPr>
        <w:t xml:space="preserve">p</w:t>
      </w:r>
      <w:r>
        <w:t xml:space="preserve"> </w:t>
      </w:r>
      <w:r>
        <w:t xml:space="preserve">is absurdly close to 1. And while hero’s evidence is strong, it isn’t that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w:t>
      </w:r>
      <w:r>
        <w:t xml:space="preserve"> </w:t>
      </w:r>
      <w:r>
        <w:rPr>
          <w:iCs/>
          <w:i/>
        </w:rPr>
        <w:t xml:space="preserve">p</w:t>
      </w:r>
      <w:r>
        <w:t xml:space="preserve">, but requires very high probability to maximise expected returns?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And I’m taking pragmatism to be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And 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But it says that pragmatic factors never matter - so it can be threatened by a single case like Anisa.</w:t>
      </w:r>
    </w:p>
    <w:bookmarkEnd w:id="28"/>
    <w:bookmarkStart w:id="35" w:name="orthodox"/>
    <w:p>
      <w:pPr>
        <w:pStyle w:val="Heading2"/>
      </w:pPr>
      <w:r>
        <w:rPr>
          <w:rStyle w:val="SectionNumber"/>
        </w:rPr>
        <w:t xml:space="preserve">2.3</w:t>
      </w:r>
      <w:r>
        <w:tab/>
      </w:r>
      <w:r>
        <w:t xml:space="preserve">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making so many arguments is not that I think any one of them is particularly week. Rather, it is because the orthodox view is so widespread that we need to appreciate how many strange consequences it has.</w:t>
      </w:r>
    </w:p>
    <w:bookmarkStart w:id="29" w:name="orthodoxmoore"/>
    <w:p>
      <w:pPr>
        <w:pStyle w:val="Heading3"/>
      </w:pPr>
      <w:r>
        <w:rPr>
          <w:rStyle w:val="SectionNumber"/>
        </w:rPr>
        <w:t xml:space="preserve">2.3.1</w:t>
      </w:r>
      <w:r>
        <w:tab/>
      </w:r>
      <w:r>
        <w:t xml:space="preserve">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But Chamari is rational, so Chamari will clearly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I think Chamari has given the best possible answer at each point. But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w:t>
      </w:r>
      <w:hyperlink w:anchor="ref-MaitraWeatherson2010">
        <w:r>
          <w:rPr>
            <w:rStyle w:val="Hyperlink"/>
          </w:rPr>
          <w:t xml:space="preserve">Maitra and Weatherson 2010</w:t>
        </w:r>
      </w:hyperlink>
      <w:r>
        <w:t xml:space="preserve">)</w:t>
      </w:r>
      <w:r>
        <w:t xml:space="preserve">. But I have to say, in this instance it seems like a terrible way to end the conversation.</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But maybe that’s too strong an assumption. The conversation, says this reply, goes off the rails at the very first line. But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But at this point, given how plausible it is that knowledge is closely connected with testimony, it seems we would need an excellent reason to not simply identify knowledge with this epistemic standard. The other is to say that there is some interest-invariant standard for assertion. But versions of Blaise’s case show that this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w:t>
      </w:r>
      <w:hyperlink w:anchor="ref-ArmourGarb2011">
        <w:r>
          <w:rPr>
            <w:rStyle w:val="Hyperlink"/>
          </w:rPr>
          <w:t xml:space="preserve">2011</w:t>
        </w:r>
      </w:hyperlink>
      <w:r>
        <w:t xml:space="preserve">)</w:t>
      </w:r>
      <w:r>
        <w:t xml:space="preserve">, who points out how much trouble non-contextualist orthodox theorists get into with these Moore-paradoxical claims, suggests a contextualist resolution of the puzzles. And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But that doesn’t look like a helpful way to solve the problem, since her assertion that the Battle might have been on a different day seems like the good part of what she says. What’s problematic is the unqualified assertion about when the battle was, in the context of explaining her refusal to bet. And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w:t>
      </w:r>
      <w:hyperlink w:anchor="ref-DeRose2002">
        <w:r>
          <w:rPr>
            <w:rStyle w:val="Hyperlink"/>
          </w:rPr>
          <w:t xml:space="preserve">DeRose 2002</w:t>
        </w:r>
      </w:hyperlink>
      <w:r>
        <w:t xml:space="preserve">;</w:t>
      </w:r>
      <w:r>
        <w:t xml:space="preserve"> </w:t>
      </w:r>
      <w:hyperlink w:anchor="ref-Cohen2004">
        <w:r>
          <w:rPr>
            <w:rStyle w:val="Hyperlink"/>
          </w:rPr>
          <w:t xml:space="preserve">Cohen 2004</w:t>
        </w:r>
      </w:hyperlink>
      <w:r>
        <w:t xml:space="preserve">)</w:t>
      </w:r>
      <w:r>
        <w:t xml:space="preserve">. (So this is really a sophisticated form of the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but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But there is, quite surprisingly, no such language</w:t>
      </w:r>
      <w:r>
        <w:t xml:space="preserve"> </w:t>
      </w:r>
      <w:r>
        <w:t xml:space="preserve">(</w:t>
      </w:r>
      <w:hyperlink w:anchor="ref-Nagel2014">
        <w:r>
          <w:rPr>
            <w:rStyle w:val="Hyperlink"/>
          </w:rPr>
          <w:t xml:space="preserve">Nagel 2014</w:t>
        </w:r>
      </w:hyperlink>
      <w:r>
        <w:t xml:space="preserve">)</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But rather than thinking about these merely possible languages, let’s return to English, and end with a variant of the conversation with Chamari. Imagine that she hasn’t yet been offered the bet that Blaise is offered,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and if you accept it, and the Battle of Agincourt was in 1415, then a small child gets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of course just a version of the argument John MacFarlane</w:t>
      </w:r>
      <w:r>
        <w:t xml:space="preserve"> </w:t>
      </w:r>
      <w:r>
        <w:t xml:space="preserve">(</w:t>
      </w:r>
      <w:hyperlink w:anchor="ref-MacFarlane2005-Knowledge">
        <w:r>
          <w:rPr>
            <w:rStyle w:val="Hyperlink"/>
          </w:rPr>
          <w:t xml:space="preserve">2005</w:t>
        </w:r>
      </w:hyperlink>
      <w:r>
        <w:t xml:space="preserve">)</w:t>
      </w:r>
      <w:r>
        <w:t xml:space="preserve"> </w:t>
      </w:r>
      <w:r>
        <w:t xml:space="preserve">gives arguing that contextualists have a problem with retraction. And Chamari’s position does sound very bad here.</w:t>
      </w:r>
    </w:p>
    <w:p>
      <w:pPr>
        <w:pStyle w:val="BodyText"/>
      </w:pPr>
      <w:r>
        <w:t xml:space="preserve">But I don’t want to lean too much weight on how she sounds. Every position in this area ends up saying some strange things. The very idea that the epistemic standard for assertion could be meta-linguistic is, to my mind, even more implausible than the idea that we should end up where Chamari does.</w:t>
      </w:r>
    </w:p>
    <w:bookmarkEnd w:id="29"/>
    <w:bookmarkStart w:id="30" w:name="superknow"/>
    <w:p>
      <w:pPr>
        <w:pStyle w:val="Heading3"/>
      </w:pPr>
      <w:r>
        <w:rPr>
          <w:rStyle w:val="SectionNumber"/>
        </w:rPr>
        <w:t xml:space="preserve">2.3.2</w:t>
      </w:r>
      <w:r>
        <w:tab/>
      </w:r>
      <w:r>
        <w:t xml:space="preserve">Super Knowledge to the Rescue?</w:t>
      </w:r>
    </w:p>
    <w:p>
      <w:pPr>
        <w:pStyle w:val="FirstParagraph"/>
      </w:pPr>
      <w:r>
        <w:t xml:space="preserve">Let’s leave Blaise and Chamari for a little and return to Anisa. The orthodox view agrees that it is irrational for Anisa to play Blue-True. So it needs to explain why this is so. I think there is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 just gave,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subjection,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What is going to be important is that super-knowledge, whatever it is, looks like an epistemic relation. In particular, Anisa super-knows a conjunction (that she is considering) iff she super-knows each of the conjuncts. So we can’t equate super-knowledge with rational credence above a threshold, because rational credence above a threshold doesn’t satisfy this constraint. I’ll come back to credence based explanations of Anisa’s case in the next subsection.</w:t>
      </w:r>
    </w:p>
    <w:p>
      <w:pPr>
        <w:pStyle w:val="BodyText"/>
      </w:pPr>
      <w:r>
        <w:t xml:space="preserve">The fact that Anisa doesn’t super-know when the Battle of Agincourt was can’t explain the asymmetry between Red-True and Blue-True. In particular, it can’t explain why Anisa rationally must choose Red-True. This is because she doesn’t super-know that playing Red-True will win the $50. And that’s because she doesn’t super-know the rules of the game. She has ordinary testimonial knowledge of the rules, just like she has ordinary testimonial knowledge about the Battle of Agincourt. In the description, I stipulated that she didn’t know anything relevant about the game set up other than what I said there. So she isn’t certain about the rules, and she doesn’t even know that she knows them. Maybe you think that last is unrealistic, and it is important that the example is realistic. But even on a realistic treatment of the game, she won’t super-know the rules.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w:t>
      </w:r>
      <w:hyperlink w:anchor="ref-Ganson2019">
        <w:r>
          <w:rPr>
            <w:rStyle w:val="Hyperlink"/>
          </w:rPr>
          <w:t xml:space="preserve">2019</w:t>
        </w:r>
      </w:hyperlink>
      <w:r>
        <w:t xml:space="preserve">)</w:t>
      </w:r>
      <w:r>
        <w:t xml:space="preserve"> </w:t>
      </w:r>
      <w:r>
        <w:t xml:space="preserve">uses this point for a very similar purpose, and in turn quotes Robert Nozick</w:t>
      </w:r>
      <w:r>
        <w:t xml:space="preserve"> </w:t>
      </w:r>
      <w:r>
        <w:t xml:space="preserve">(</w:t>
      </w:r>
      <w:hyperlink w:anchor="ref-Nozick1981">
        <w:r>
          <w:rPr>
            <w:rStyle w:val="Hyperlink"/>
          </w:rPr>
          <w:t xml:space="preserve">1981</w:t>
        </w:r>
      </w:hyperlink>
      <w:r>
        <w:t xml:space="preserve">)</w:t>
      </w:r>
      <w:r>
        <w:t xml:space="preserve"> </w:t>
      </w:r>
      <w:r>
        <w:t xml:space="preserve">making a similar point. But I’ve belaboured it here because it is so easily overlooked. It is easy to take things that one is told about a situation, such as the rules of a game that are being played, as somehow fixed and inviolable. They aren’t the kind of thing that can be questioned. But in any realistic case, that will not be how things are - at least if one assumes that only what is super-known can be taken as fixed.</w:t>
      </w:r>
    </w:p>
    <w:p>
      <w:pPr>
        <w:pStyle w:val="BodyText"/>
      </w:pPr>
      <w:r>
        <w:t xml:space="preserve">This is why I want to rest more weight on Anisa’s case than on Blaise’s. I can’t appeal to your judgment about what a realistic version of Blaise’s case would be like, because there are no realistic versions of cases like Blaise’s. But Anisa’s case is very easy to imagine and understand. And we can ask what a realistic version of it would be like. And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0"/>
    <w:bookmarkStart w:id="32" w:name="probrescue"/>
    <w:p>
      <w:pPr>
        <w:pStyle w:val="Heading3"/>
      </w:pPr>
      <w:r>
        <w:rPr>
          <w:rStyle w:val="SectionNumber"/>
        </w:rPr>
        <w:t xml:space="preserve">2.3.3</w:t>
      </w:r>
      <w:r>
        <w:tab/>
      </w:r>
      <w:r>
        <w:t xml:space="preserve">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1"/>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But there are many problems with this kind of approach. Several of these problems will be discussed elsewhere in this book at more length. I will point to where those problems are discussed rather than duplicate the discussion here. But some other problems I’ll address straight away.</w:t>
      </w:r>
    </w:p>
    <w:p>
      <w:pPr>
        <w:pStyle w:val="BodyText"/>
      </w:pPr>
      <w:r>
        <w:t xml:space="preserve">Like the view discussed in subsection</w:t>
      </w:r>
      <w:r>
        <w:t xml:space="preserve"> </w:t>
      </w:r>
      <w:r>
        <w:t xml:space="preserve">2.3.1</w:t>
      </w:r>
      <w:r>
        <w:t xml:space="preserve"> </w:t>
      </w:r>
      <w:r>
        <w:t xml:space="preserve">that separates knowledge from assertion, separating knowledge from action leads to strange consequences. As Timothy Williamson</w:t>
      </w:r>
      <w:r>
        <w:t xml:space="preserve"> </w:t>
      </w:r>
      <w:r>
        <w:t xml:space="preserve">(</w:t>
      </w:r>
      <w:hyperlink w:anchor="ref-Williamson2005">
        <w:r>
          <w:rPr>
            <w:rStyle w:val="Hyperlink"/>
          </w:rPr>
          <w:t xml:space="preserve">2005</w:t>
        </w:r>
      </w:hyperlink>
      <w:r>
        <w:t xml:space="preserve">)</w:t>
      </w:r>
      <w:r>
        <w:t xml:space="preserve"> </w:t>
      </w:r>
      <w:r>
        <w:t xml:space="preserve">points out, once we break apart knowledge from action in this way, it becomes hard to see the point of knowledge. And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But it is a compulsory question for a theory of decision to explain how dominance reasoning works. Among other things, we need a good account of how dominance reasoning works in order to handle Newcomb problems, and we need to handle Newcomb problems in order to motivate and even state a careful theory of expected utility maximisation. That little argument was very compressed, but I’ll return frequently through the book to issues about dominance reasoning; for now I think it’s enough to leave it with this sketch.</w:t>
      </w:r>
    </w:p>
    <w:p>
      <w:pPr>
        <w:pStyle w:val="BodyText"/>
      </w:pPr>
      <w:r>
        <w:t xml:space="preserve">Probabilistic models of reasoning and decision have their limits. But what we need to explain about the Red-Blue game goes beyond those limits. So probabilistic models can’t be the full story about the Red-Blue game.</w:t>
      </w:r>
    </w:p>
    <w:p>
      <w:pPr>
        <w:pStyle w:val="BodyText"/>
      </w:pPr>
      <w:r>
        <w:t xml:space="preserve">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r>
        <w:t xml:space="preserve">8.2</w:t>
      </w:r>
      <w:r>
        <w:t xml:space="preserve"> </w:t>
      </w:r>
      <w:r>
        <w:t xml:space="preserve">and</w:t>
      </w:r>
      <w:r>
        <w:t xml:space="preserve"> </w:t>
      </w:r>
      <w:r>
        <w:t xml:space="preserve">8.3</w:t>
      </w:r>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And it can’t be some purely physical notion, like chance or frequency, because that won’t even get the cases right. (What is the chance, or frequency, of the Battle of Agincourt being in 1415?) It needs to be something like evidential probability. And that will run into problems in versions of the Red-Blue game where the Blue sentence is arguably (but not certainly) part of the player’s evidence. I’ll end my discussion of orthodoxy with a discussion of cases like these.</w:t>
      </w:r>
    </w:p>
    <w:bookmarkEnd w:id="32"/>
    <w:bookmarkStart w:id="34" w:name="orthodoxevidence"/>
    <w:p>
      <w:pPr>
        <w:pStyle w:val="Heading3"/>
      </w:pPr>
      <w:r>
        <w:rPr>
          <w:rStyle w:val="SectionNumber"/>
        </w:rPr>
        <w:t xml:space="preserve">2.3.4</w:t>
      </w:r>
      <w:r>
        <w:tab/>
      </w:r>
      <w:r>
        <w:t xml:space="preserve">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3"/>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If she had optimal evidence about when the Battle of Agincourt was, she could play Blue-True, after all.</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 think we should say that it is part of Parveen’s evidence that Rahul is in the restaurant. This isn’t something she infers; it is a fact about the world she simply appreciated. Ordinarily, it is a starting point for her later deliberations, such as deliberations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But once we strip all these propositions out of your evidence, you don’t have enough evidence to rationally believe, or even rationally make probable, very much at all.</w:t>
      </w:r>
    </w:p>
    <w:p>
      <w:pPr>
        <w:pStyle w:val="BodyText"/>
      </w:pPr>
      <w:r>
        <w:t xml:space="preserve">Descartes, via very different means,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34"/>
    <w:bookmarkEnd w:id="35"/>
    <w:bookmarkStart w:id="38" w:name="oddsandstakes"/>
    <w:p>
      <w:pPr>
        <w:pStyle w:val="Heading2"/>
      </w:pPr>
      <w:r>
        <w:rPr>
          <w:rStyle w:val="SectionNumber"/>
        </w:rPr>
        <w:t xml:space="preserve">2.4</w:t>
      </w:r>
      <w:r>
        <w:tab/>
      </w:r>
      <w:r>
        <w:t xml:space="preserve">Odds and Stakes</w:t>
      </w:r>
    </w:p>
    <w:p>
      <w:pPr>
        <w:pStyle w:val="FirstParagraph"/>
      </w:pPr>
      <w:r>
        <w:t xml:space="preserve">If orthodox views are wrong, then it is important to get clear on which heterodox view is most plausible.</w:t>
      </w:r>
      <w:r>
        <w:rPr>
          <w:rStyle w:val="FootnoteReference"/>
        </w:rPr>
        <w:footnoteReference w:id="36"/>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But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w:t>
      </w:r>
      <w:hyperlink w:anchor="ref-Hawthorne2004">
        <w:r>
          <w:rPr>
            <w:rStyle w:val="Hyperlink"/>
          </w:rPr>
          <w:t xml:space="preserve">2004</w:t>
        </w:r>
      </w:hyperlink>
      <w:r>
        <w:t xml:space="preserve">)</w:t>
      </w:r>
      <w:r>
        <w:t xml:space="preserve"> </w:t>
      </w:r>
      <w:r>
        <w:t xml:space="preserve">and Stanley</w:t>
      </w:r>
      <w:r>
        <w:t xml:space="preserve"> </w:t>
      </w:r>
      <w:r>
        <w:t xml:space="preserve">(</w:t>
      </w:r>
      <w:hyperlink w:anchor="ref-Stanley2005">
        <w:r>
          <w:rPr>
            <w:rStyle w:val="Hyperlink"/>
          </w:rPr>
          <w:t xml:space="preserve">2005</w:t>
        </w:r>
      </w:hyperlink>
      <w:r>
        <w:t xml:space="preserve">)</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w:t>
      </w:r>
      <w:hyperlink w:anchor="ref-AndersonHawthorne2019a">
        <w:r>
          <w:rPr>
            <w:rStyle w:val="Hyperlink"/>
          </w:rPr>
          <w:t xml:space="preserve">2019a</w:t>
        </w:r>
      </w:hyperlink>
      <w:r>
        <w:t xml:space="preserve">)</w:t>
      </w:r>
      <w:r>
        <w:t xml:space="preserve"> </w:t>
      </w:r>
      <w:r>
        <w:t xml:space="preserve">show that it is hard to provide an adequate definition in full generality. But in the simple cases described in the previous paragraph,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This is not the view I defend. I think</w:t>
      </w:r>
      <w:r>
        <w:t xml:space="preserve"> </w:t>
      </w:r>
      <w:r>
        <w:rPr>
          <w:iCs/>
          <w:i/>
        </w:rPr>
        <w:t xml:space="preserve">L</w:t>
      </w:r>
      <w:r>
        <w:t xml:space="preserve"> </w:t>
      </w:r>
      <w:r>
        <w:t xml:space="preserve">matters, but only indirectly. What is (typically) true in these cases is that the subject should maximise expected utility relative to what they know.</w:t>
      </w:r>
      <w:r>
        <w:rPr>
          <w:rStyle w:val="FootnoteReference"/>
        </w:rPr>
        <w:footnoteReference w:id="37"/>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t>p</m:t>
                  </m:r>
                </m:e>
              </m:d>
            </m:num>
            <m:den>
              <m:r>
                <m:t>1</m:t>
              </m:r>
              <m:r>
                <m:rPr>
                  <m:sty m:val="p"/>
                </m:rPr>
                <m:t>‑</m:t>
              </m:r>
              <m:r>
                <m:rPr>
                  <m:sty m:val="p"/>
                </m:rPr>
                <m:t>Pr</m:t>
              </m:r>
              <m:d>
                <m:dPr>
                  <m:begChr m:val="("/>
                  <m:endChr m:val=")"/>
                  <m:sepChr m:val=""/>
                  <m:grow/>
                </m:dPr>
                <m:e>
                  <m:r>
                    <m:t>p</m:t>
                  </m:r>
                </m:e>
              </m:d>
            </m:den>
          </m:f>
          <m:r>
            <m:rPr>
              <m:sty m:val="p"/>
            </m:rPr>
            <m:t>&gt;</m:t>
          </m:r>
          <m:f>
            <m:fPr>
              <m:type m:val="bar"/>
            </m:fPr>
            <m:num>
              <m:r>
                <m:t>L</m:t>
              </m:r>
            </m:num>
            <m:den>
              <m: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 p</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But it isn’t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But to make the parallel to Blaise’s case even clearer, consider Darja’s case. She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 </w:t>
            </w:r>
          </w:p>
        </w:tc>
        <w:tc>
          <w:tcPr/>
          <w:p>
            <w:pPr>
              <w:pStyle w:val="Compact"/>
              <w:jc w:val="center"/>
            </w:pPr>
            <m:oMath>
              <m:r>
                <m:t>p</m:t>
              </m:r>
            </m:oMath>
          </w:p>
        </w:tc>
        <w:tc>
          <w:tcPr/>
          <w:p>
            <w:pPr>
              <w:pStyle w:val="Compact"/>
              <w:jc w:val="center"/>
            </w:pPr>
            <w:r>
              <w:t xml:space="preserve">￢</w:t>
            </w:r>
            <w:r>
              <w:t xml:space="preserve"> </w:t>
            </w:r>
            <m:oMath>
              <m:r>
                <m:t>p</m:t>
              </m:r>
            </m:oMath>
          </w:p>
        </w:tc>
      </w:tr>
      <w:tr>
        <w:tc>
          <w:tcPr/>
          <w:p>
            <w:pPr>
              <w:pStyle w:val="Compact"/>
              <w:jc w:val="right"/>
            </w:pPr>
            <w:r>
              <w:t xml:space="preserve">Say</w:t>
            </w:r>
            <w:r>
              <w:t xml:space="preserve"> </w:t>
            </w:r>
            <w:r>
              <w:t xml:space="preserve">“</w:t>
            </w:r>
            <w:r>
              <w:t xml:space="preserve">June 28, 1914</w:t>
            </w:r>
            <w:r>
              <w:t xml:space="preserv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Google the answer</w:t>
            </w:r>
          </w:p>
        </w:tc>
        <w:tc>
          <w:tcPr/>
          <w:p>
            <w:pPr>
              <w:pStyle w:val="Compact"/>
              <w:jc w:val="center"/>
            </w:pPr>
            <w:r>
              <w:t xml:space="preserve">$50 ‑ ε $50 ‑ ε</w:t>
            </w:r>
          </w:p>
        </w:tc>
        <w:tc>
          <w:tcPr/>
          <w:p>
            <w:pPr>
              <w:pStyle w:val="Compact"/>
            </w:pPr>
          </w:p>
        </w:tc>
      </w:tr>
    </w:tbl>
    <w:p>
      <w:pPr>
        <w:pStyle w:val="BodyText"/>
      </w:pPr>
      <w:r>
        <w:t xml:space="preserve">If Darja has her phone near her, and has cheap easy access to Google, then ε might be really low. And then she should take the safe option, unless she is incredibly sure that the book she read is reliable, and that she has precisely remembered it. In a lot of realistic cases, that won’t happen, and the probability of</w:t>
      </w:r>
      <w:r>
        <w:t xml:space="preserve"> </w:t>
      </w:r>
      <w:r>
        <w:rPr>
          <w:iCs/>
          <w:i/>
        </w:rPr>
        <w:t xml:space="preserve">p</w:t>
      </w:r>
      <w:r>
        <w:t xml:space="preserve"> </w:t>
      </w:r>
      <w:r>
        <w:t xml:space="preserve">will be too low for her to take the risky option of saying</w:t>
      </w:r>
      <w:r>
        <w:t xml:space="preserve"> </w:t>
      </w:r>
      <w:r>
        <w:t xml:space="preserve">“</w:t>
      </w:r>
      <w:r>
        <w:t xml:space="preserve">June 28, 1914</w:t>
      </w:r>
      <w:r>
        <w:t xml:space="preserve">”</w:t>
      </w:r>
      <w:r>
        <w:t xml:space="preserve">. She should take the safe option of Googling the answer.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I think Darja loses knowledge in her relatively low stakes situation. But I don’t think that because I think this is the intuitively correct thing to say about her. I’m not starting with any premises about what Darja does or doesn’t know. Rather, I’m starting with a premise about what it is rational for her to do. Rationality requires her to Google the answer rather than just offering it; doing otherwise is a bad risk to take. And the best explanation of why this is risky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w:t>
      </w:r>
      <w:hyperlink w:anchor="ref-Brown2008">
        <w:r>
          <w:rPr>
            <w:rStyle w:val="Hyperlink"/>
          </w:rPr>
          <w:t xml:space="preserve">2008, 176</w:t>
        </w:r>
      </w:hyperlink>
      <w:r>
        <w:t xml:space="preserve">)</w:t>
      </w:r>
      <w:r>
        <w:t xml:space="preserve"> </w:t>
      </w:r>
      <w:r>
        <w:t xml:space="preserve">notes that these cases raise problems for the stakes-centric version of IRT. And Anderson and Hawthorne</w:t>
      </w:r>
      <w:r>
        <w:t xml:space="preserve"> </w:t>
      </w:r>
      <w:r>
        <w:t xml:space="preserve">(</w:t>
      </w:r>
      <w:hyperlink w:anchor="ref-AndersonHawthorne2019a">
        <w:r>
          <w:rPr>
            <w:rStyle w:val="Hyperlink"/>
          </w:rPr>
          <w:t xml:space="preserve">2019a</w:t>
        </w:r>
      </w:hyperlink>
      <w:r>
        <w:t xml:space="preserve">)</w:t>
      </w:r>
      <w:r>
        <w:t xml:space="preserve"> </w:t>
      </w:r>
      <w:r>
        <w:t xml:space="preserve">argue that once we get beyond the simple two-state/two-option choices, it isn’t at all easy to say what situations are and are not high-stakes choices. These cases are not problems for the version of IRT that I defend, since I don’t give any distinctive role to stakes. But there are some related problems that I’ll come back to in chapter</w:t>
      </w:r>
      <w:r>
        <w:t xml:space="preserve"> </w:t>
      </w:r>
      <w:r>
        <w:t xml:space="preserve">7</w:t>
      </w:r>
      <w:r>
        <w:t xml:space="preserve">.</w:t>
      </w:r>
    </w:p>
    <w:bookmarkEnd w:id="38"/>
    <w:bookmarkStart w:id="40" w:name="whatinterests"/>
    <w:p>
      <w:pPr>
        <w:pStyle w:val="Heading2"/>
      </w:pPr>
      <w:r>
        <w:rPr>
          <w:rStyle w:val="SectionNumber"/>
        </w:rPr>
        <w:t xml:space="preserve">2.5</w:t>
      </w:r>
      <w:r>
        <w:tab/>
      </w:r>
      <w:r>
        <w:t xml:space="preserve">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39"/>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And he defends a theory on which what an agent knows depends on the practical questions they face. But there are strong reasons to think that theoretical reasons matter as well.</w:t>
      </w:r>
    </w:p>
    <w:p>
      <w:pPr>
        <w:pStyle w:val="BodyText"/>
      </w:pPr>
      <w:r>
        <w:t xml:space="preserve">In section</w:t>
      </w:r>
      <w:r>
        <w:t xml:space="preserve"> </w:t>
      </w:r>
      <w:r>
        <w:t xml:space="preserve">2.4</w:t>
      </w:r>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If that’s how one thinks of IRT, the question of this section becomes, should we restrict questions the agent is interested in to just being questions about what choice to make? Or should they include questions that turn on her thoeretical interests, but which are irrelevant to choices before her? There are two primary motivations for allowing theoretical interests as well as practical interests to matter.</w:t>
      </w:r>
    </w:p>
    <w:p>
      <w:pPr>
        <w:pStyle w:val="BodyText"/>
      </w:pPr>
      <w:r>
        <w:t xml:space="preserve">The first comes from the arguments for what Jeremy Fantl and Matthew McGrath call the Unity Thesis  </w:t>
      </w:r>
      <w:r>
        <w:t xml:space="preserve">(</w:t>
      </w:r>
      <w:hyperlink w:anchor="ref-FantlMcGrath2009">
        <w:r>
          <w:rPr>
            <w:rStyle w:val="Hyperlink"/>
          </w:rPr>
          <w:t xml:space="preserve">Fantl and McGrath 2009, 73–76</w:t>
        </w:r>
      </w:hyperlink>
      <w:r>
        <w:t xml:space="preserve">)</w:t>
      </w:r>
      <w:r>
        <w:t xml:space="preserve">. They are interested in the thesis that whether or not</w:t>
      </w:r>
      <w:r>
        <w:t xml:space="preserve"> </w:t>
      </w:r>
      <w:r>
        <w:rPr>
          <w:iCs/>
          <w:i/>
        </w:rPr>
        <w:t xml:space="preserve">p</w:t>
      </w:r>
      <w:r>
        <w:t xml:space="preserve"> </w:t>
      </w:r>
      <w:r>
        <w:t xml:space="preserve">is a reason for someone is independent of whether they are engaged in practical or theoretical deliberation. But one doesn’t have to be so invested in the ideology of reasons to appreciate their argument. Note that if only practical interests matter, then one knows different things when considering the question _What to do in situation _S__ in situation</w:t>
      </w:r>
      <w:r>
        <w:t xml:space="preserve"> </w:t>
      </w:r>
      <w:r>
        <w:rPr>
          <w:iCs/>
          <w:i/>
        </w:rPr>
        <w:t xml:space="preserve">S</w:t>
      </w:r>
      <w:r>
        <w:t xml:space="preserve"> </w:t>
      </w:r>
      <w:r>
        <w:t xml:space="preserve">and other situations. And if one knows different things, those differential pieces of knowledge could lead to different answers. And that’s very unintuitive. After all, one might be deliberating about what to do in</w:t>
      </w:r>
      <w:r>
        <w:t xml:space="preserve"> </w:t>
      </w:r>
      <w:r>
        <w:rPr>
          <w:iCs/>
          <w:i/>
        </w:rPr>
        <w:t xml:space="preserve">S</w:t>
      </w:r>
      <w:r>
        <w:t xml:space="preserve"> </w:t>
      </w:r>
      <w:r>
        <w:t xml:space="preserve">because situation</w:t>
      </w:r>
      <w:r>
        <w:t xml:space="preserve"> </w:t>
      </w:r>
      <w:r>
        <w:rPr>
          <w:iCs/>
          <w:i/>
        </w:rPr>
        <w:t xml:space="preserve">S</w:t>
      </w:r>
      <w:r>
        <w:t xml:space="preserve"> </w:t>
      </w:r>
      <w:r>
        <w:t xml:space="preserve">might arise, and one wants to be practically ready for it.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But she is idly musing over what she would do if she were playing that game. If she knows when the battle was, then she should be indifferent between Red-True and Blue-True. After all, she knows they will both win $50. But intuitively she should think Red-True is preferable, even in the abstract setting.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probability of</w:t>
      </w:r>
      <w:r>
        <w:t xml:space="preserve"> </w:t>
      </w:r>
      <w:r>
        <w:rPr>
          <w:iCs/>
          <w:i/>
        </w:rPr>
        <w:t xml:space="preserve">p is precisely x</w:t>
      </w:r>
      <w:r>
        <w:t xml:space="preserve">, to</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purely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0"/>
    <w:bookmarkStart w:id="41" w:name="global"/>
    <w:p>
      <w:pPr>
        <w:pStyle w:val="Heading2"/>
      </w:pPr>
      <w:r>
        <w:rPr>
          <w:rStyle w:val="SectionNumber"/>
        </w:rPr>
        <w:t xml:space="preserve">2.6</w:t>
      </w:r>
      <w:r>
        <w:tab/>
      </w:r>
      <w:r>
        <w:t xml:space="preserve">Global Interest Relativity</w:t>
      </w:r>
    </w:p>
    <w:p>
      <w:pPr>
        <w:pStyle w:val="FirstParagraph"/>
      </w:pPr>
      <w:r>
        <w:t xml:space="preserve">IRT was introduced as a thesis about knowledge. I’m going to argue in chapter</w:t>
      </w:r>
      <w:r>
        <w:t xml:space="preserve"> </w:t>
      </w:r>
      <w:r>
        <w:t xml:space="preserve">8</w:t>
      </w:r>
      <w:r>
        <w:t xml:space="preserve"> </w:t>
      </w:r>
      <w:r>
        <w:t xml:space="preserve">that it also extends to rational belief. Not every case where interests matter to knowledge generates a Dharmottara case. But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w:t>
      </w:r>
      <w:hyperlink w:anchor="ref-Stanley2005">
        <w:r>
          <w:rPr>
            <w:rStyle w:val="Hyperlink"/>
          </w:rPr>
          <w:t xml:space="preserve">2005</w:t>
        </w:r>
      </w:hyperlink>
      <w:r>
        <w:t xml:space="preserve">)</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t>
      </w:r>
      <w:hyperlink w:anchor="ref-Williamson2000">
        <w:r>
          <w:rPr>
            <w:rStyle w:val="Hyperlink"/>
          </w:rPr>
          <w:t xml:space="preserve">Williamson 2000</w:t>
        </w:r>
      </w:hyperlink>
      <w:r>
        <w:t xml:space="preserve">)</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 chapter</w:t>
      </w:r>
      <w:r>
        <w:t xml:space="preserve"> </w:t>
      </w:r>
      <w:r>
        <w:t xml:space="preserve">9</w:t>
      </w:r>
      <w:r>
        <w:t xml:space="preserve"> </w:t>
      </w:r>
      <w:r>
        <w:t xml:space="preserve">I’m going to argue that evidence is indeed interest-relative, and so all those other notions are interest-relative too. But the version of IRT I’ll put forward implies that evidence is a subset of knowledge.</w:t>
      </w:r>
    </w:p>
    <w:p>
      <w:pPr>
        <w:pStyle w:val="BodyText"/>
      </w:pPr>
      <w:r>
        <w:t xml:space="preserve">There is a deep puzzle here for IRT that for a long time I couldn’t see a way out of. On the one hand, the arguments for IRT look like they will generalise to arguments for the interest-relativity of evidence. (This is something Tom Donaldson convinced me of in conversations some years back.) On the other hand, the explanation I want to offer of cases like Anisa’s presupposes that we can identify Anisa’s evidence independent of her interests. I want to say that Anisa shouldn’t play Blue-True because the evidential probability of the blue sentence being true is lower than the evidential probability of the red sentence being true. And she can’t know the blue sentence is true because she can’t play Blue-True. This turns into a nice story about when changes of interests lead to changes in belief if we can independently identify Anisa’s evidence, and hence the evidential probability of different propositions. But the story looks much less nice if interests also affect evidence.</w:t>
      </w:r>
    </w:p>
    <w:p>
      <w:pPr>
        <w:pStyle w:val="BodyText"/>
      </w:pPr>
      <w:r>
        <w:t xml:space="preserve">The aim of chapter</w:t>
      </w:r>
      <w:r>
        <w:t xml:space="preserve"> </w:t>
      </w:r>
      <w:r>
        <w:t xml:space="preserve">9</w:t>
      </w:r>
      <w:r>
        <w:t xml:space="preserve"> </w:t>
      </w:r>
      <w:r>
        <w:t xml:space="preserve">is to tell a story that avoids the worst of these problems. On the story I’ll tell, evidence is indeed interest-relative. And that means we can’t tell a simple story about precisely when changes in interests will lead to changes in knowledge. But it will still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But it won’t be as simple a story as I once believed in.</w:t>
      </w:r>
    </w:p>
    <w:bookmarkEnd w:id="41"/>
    <w:bookmarkStart w:id="44" w:name="neutrality"/>
    <w:p>
      <w:pPr>
        <w:pStyle w:val="Heading2"/>
      </w:pPr>
      <w:r>
        <w:rPr>
          <w:rStyle w:val="SectionNumber"/>
        </w:rPr>
        <w:t xml:space="preserve">2.7</w:t>
      </w:r>
      <w:r>
        <w:tab/>
      </w:r>
      <w:r>
        <w:t xml:space="preserve">Neutrality</w:t>
      </w:r>
    </w:p>
    <w:p>
      <w:pPr>
        <w:pStyle w:val="FirstParagraph"/>
      </w:pPr>
      <w:r>
        <w:t xml:space="preserve">This book defends, at some length, the idea that knowledge is interest-relative. But I’m staying neutral on a number of other topics in the vicinity.</w:t>
      </w:r>
    </w:p>
    <w:p>
      <w:pPr>
        <w:pStyle w:val="BodyText"/>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42"/>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But they are not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43"/>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one will know. Or maybe some kind of relativist theory is true.) But there is clearly an argument for contextualism here. And it isn’t one that I’m going to endorse or reject.</w:t>
      </w:r>
    </w:p>
    <w:p>
      <w:pPr>
        <w:pStyle w:val="BodyText"/>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 I do think the motivations described in the previous chapter are stronger if one has K-Nec in place. But the formal argument doesn’t rely on it.</w:t>
      </w:r>
    </w:p>
    <w:p>
      <w:pPr>
        <w:pStyle w:val="BodyText"/>
      </w:pPr>
      <w:r>
        <w:t xml:space="preserve">And 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But there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 chapter</w:t>
      </w:r>
      <w:r>
        <w:t xml:space="preserve"> </w:t>
      </w:r>
      <w:r>
        <w:t xml:space="preserve">7</w:t>
      </w:r>
      <w:r>
        <w:t xml:space="preserve">.</w:t>
      </w:r>
    </w:p>
    <w:bookmarkEnd w:id="44"/>
    <w:bookmarkEnd w:id="45"/>
    <w:bookmarkStart w:id="73" w:name="belief"/>
    <w:p>
      <w:pPr>
        <w:pStyle w:val="Heading1"/>
      </w:pPr>
      <w:r>
        <w:rPr>
          <w:rStyle w:val="SectionNumber"/>
        </w:rPr>
        <w:t xml:space="preserve">3</w:t>
      </w:r>
      <w:r>
        <w:tab/>
      </w:r>
      <w:r>
        <w:t xml:space="preserve">Belief</w:t>
      </w:r>
    </w:p>
    <w:bookmarkStart w:id="47" w:name="beliefsinterests"/>
    <w:p>
      <w:pPr>
        <w:pStyle w:val="Heading2"/>
      </w:pPr>
      <w:r>
        <w:rPr>
          <w:rStyle w:val="SectionNumber"/>
        </w:rPr>
        <w:t xml:space="preserve">3.1</w:t>
      </w:r>
      <w:r>
        <w:tab/>
      </w:r>
      <w:r>
        <w:t xml:space="preserve">Beliefs and Interests</w:t>
      </w:r>
    </w:p>
    <w:p>
      <w:pPr>
        <w:pStyle w:val="FirstParagraph"/>
      </w:pPr>
      <w:r>
        <w:t xml:space="preserve">In my earliest work on interest-relativity, the 2005 paper</w:t>
      </w:r>
      <w:r>
        <w:t xml:space="preserve"> </w:t>
      </w:r>
      <w:r>
        <w:t xml:space="preserve">“</w:t>
      </w:r>
      <w:r>
        <w:t xml:space="preserve">Can We Do Without Pragmatic Encroachment</w:t>
      </w:r>
      <w:r>
        <w:t xml:space="preserve">”</w:t>
      </w:r>
      <w:r>
        <w:t xml:space="preserve">, I argued for a belief-first approach to interest-relativity. In particular, I conceived of that paper as the start of a project where I would argue (a) that belief itself is interest-relative, and (b) that all the interest-relativity in epistemology could trace back to the interest-relativity of belief. The core idea was that the metaphysics of mind should be interest-relative, but the normative theory of mind need not be. Of course, if a state is by its nature interest-relative, then whether one ought be in that state could quite easily turn out to be interest-relative as well. But the thought was that interest-invariant norms, combined with interest-relative metaphysics, could explain all the phenomena.</w:t>
      </w:r>
    </w:p>
    <w:p>
      <w:pPr>
        <w:pStyle w:val="BodyText"/>
      </w:pPr>
      <w:r>
        <w:t xml:space="preserve">This approach did not work out. The model of that paper assumed a very high degree of rationality on the part of the agents being modeled, and it turned out to be impossible to extend the model to less rational agents. (Kieran Setiya was the first to point out this problem to me.) On top of that, Jacob Ross and Mark Schroeder</w:t>
      </w:r>
      <w:r>
        <w:t xml:space="preserve"> </w:t>
      </w:r>
      <w:r>
        <w:t xml:space="preserve">(</w:t>
      </w:r>
      <w:hyperlink w:anchor="ref-RossSchroeder2014">
        <w:r>
          <w:rPr>
            <w:rStyle w:val="Hyperlink"/>
          </w:rPr>
          <w:t xml:space="preserve">2014</w:t>
        </w:r>
      </w:hyperlink>
      <w:r>
        <w:t xml:space="preserve">)</w:t>
      </w:r>
      <w:r>
        <w:t xml:space="preserve"> </w:t>
      </w:r>
      <w:r>
        <w:t xml:space="preserve">pointed out that the way the model handled propositions that are irrelevant to one’s practical interests wasn’t working. In</w:t>
      </w:r>
      <w:r>
        <w:t xml:space="preserve"> </w:t>
      </w:r>
      <w:r>
        <w:t xml:space="preserve">“</w:t>
      </w:r>
      <w:r>
        <w:t xml:space="preserve">Games, Beliefs and Credences</w:t>
      </w:r>
      <w:r>
        <w:t xml:space="preserve">”</w:t>
      </w:r>
      <w:r>
        <w:t xml:space="preserve"> </w:t>
      </w:r>
      <w:r>
        <w:t xml:space="preserve">I suggested a</w:t>
      </w:r>
      <w:r>
        <w:t xml:space="preserve"> </w:t>
      </w:r>
      <w:r>
        <w:t xml:space="preserve">‘</w:t>
      </w:r>
      <w:r>
        <w:t xml:space="preserve">fix</w:t>
      </w:r>
      <w:r>
        <w:t xml:space="preserve">’</w:t>
      </w:r>
      <w:r>
        <w:t xml:space="preserve">, but I didn’t really appreciate how much the fix undermined the motivations for the original view.</w:t>
      </w:r>
    </w:p>
    <w:p>
      <w:pPr>
        <w:pStyle w:val="BodyText"/>
      </w:pPr>
      <w:r>
        <w:t xml:space="preserve">In this book I’m taking a different approach. For one thing, I am defending a much more expansive picture of how interests affect epistemology. In chapter</w:t>
      </w:r>
      <w:r>
        <w:t xml:space="preserve"> </w:t>
      </w:r>
      <w:r>
        <w:t xml:space="preserve">9</w:t>
      </w:r>
      <w:r>
        <w:t xml:space="preserve"> </w:t>
      </w:r>
      <w:r>
        <w:t xml:space="preserve">I’m going to argue that evidence itself is interest-relative, and hence so is everything that depends on evidence. And in chapter</w:t>
      </w:r>
      <w:r>
        <w:t xml:space="preserve"> </w:t>
      </w:r>
      <w:r>
        <w:t xml:space="preserve">4</w:t>
      </w:r>
      <w:r>
        <w:t xml:space="preserve">, I’m going to argue that a version of what Jason Stanley</w:t>
      </w:r>
      <w:r>
        <w:t xml:space="preserve"> </w:t>
      </w:r>
      <w:r>
        <w:t xml:space="preserve">(</w:t>
      </w:r>
      <w:hyperlink w:anchor="ref-Stanley2005">
        <w:r>
          <w:rPr>
            <w:rStyle w:val="Hyperlink"/>
          </w:rPr>
          <w:t xml:space="preserve">2005</w:t>
        </w:r>
      </w:hyperlink>
      <w:r>
        <w:t xml:space="preserve">)</w:t>
      </w:r>
      <w:r>
        <w:t xml:space="preserve"> </w:t>
      </w:r>
      <w:r>
        <w:t xml:space="preserve">calls</w:t>
      </w:r>
      <w:r>
        <w:t xml:space="preserve"> </w:t>
      </w:r>
      <w:r>
        <w:t xml:space="preserve">‘</w:t>
      </w:r>
      <w:r>
        <w:t xml:space="preserve">ignorant high stakes</w:t>
      </w:r>
      <w:r>
        <w:t xml:space="preserve">’</w:t>
      </w:r>
      <w:r>
        <w:t xml:space="preserve"> </w:t>
      </w:r>
      <w:r>
        <w:t xml:space="preserve">cases shows that some of the interest-relativity of knowledge is not traceable to the interest-relativity of either belief or of rational belief.</w:t>
      </w:r>
    </w:p>
    <w:p>
      <w:pPr>
        <w:pStyle w:val="BodyText"/>
      </w:pPr>
      <w:r>
        <w:t xml:space="preserve">And I’m going to offer a much more complicated story about the constitutive connection between interests and beliefs than I offered earlier. While I still think there is such a connection, I’m much more sympathetic to the suggestion by Jennifer Nagel</w:t>
      </w:r>
      <w:r>
        <w:t xml:space="preserve"> </w:t>
      </w:r>
      <w:r>
        <w:t xml:space="preserve">(</w:t>
      </w:r>
      <w:hyperlink w:anchor="ref-Nagel2008">
        <w:r>
          <w:rPr>
            <w:rStyle w:val="Hyperlink"/>
          </w:rPr>
          <w:t xml:space="preserve">2008</w:t>
        </w:r>
      </w:hyperlink>
      <w:r>
        <w:t xml:space="preserve">,</w:t>
      </w:r>
      <w:r>
        <w:t xml:space="preserve"> </w:t>
      </w:r>
      <w:hyperlink w:anchor="ref-Nagel2010">
        <w:r>
          <w:rPr>
            <w:rStyle w:val="Hyperlink"/>
          </w:rPr>
          <w:t xml:space="preserve">2010</w:t>
        </w:r>
      </w:hyperlink>
      <w:r>
        <w:t xml:space="preserve">)</w:t>
      </w:r>
      <w:r>
        <w:t xml:space="preserve"> </w:t>
      </w:r>
      <w:r>
        <w:t xml:space="preserve">that often there is a merely causal connection. Some people’s beliefs change when the practical situation changes because the situation causes them to see that it would be a mistake to hold on to their prior beliefs. This isn’t interest-relativity in the sense we’re most interested in. Where I disagree with Nagel is that I think that for at least some people, the change in belief upon change in interests is more direct, and plausibly the change in interests is partially constitutive of the change in belief. But the situation is much messier than I had realised in earlier work, and Nagel’s work revealed how I’d been over-simplifying things.</w:t>
      </w:r>
    </w:p>
    <w:p>
      <w:pPr>
        <w:pStyle w:val="BodyText"/>
      </w:pPr>
      <w:r>
        <w:t xml:space="preserve">The positive theory I’m going to develop owes a lot to proposals by Dorit Ganson</w:t>
      </w:r>
      <w:r>
        <w:t xml:space="preserve"> </w:t>
      </w:r>
      <w:r>
        <w:t xml:space="preserve">(</w:t>
      </w:r>
      <w:hyperlink w:anchor="ref-Ganson2008">
        <w:r>
          <w:rPr>
            <w:rStyle w:val="Hyperlink"/>
          </w:rPr>
          <w:t xml:space="preserve">2008</w:t>
        </w:r>
      </w:hyperlink>
      <w:r>
        <w:t xml:space="preserve">,</w:t>
      </w:r>
      <w:r>
        <w:t xml:space="preserve"> </w:t>
      </w:r>
      <w:hyperlink w:anchor="ref-Ganson2019">
        <w:r>
          <w:rPr>
            <w:rStyle w:val="Hyperlink"/>
          </w:rPr>
          <w:t xml:space="preserve">2019</w:t>
        </w:r>
      </w:hyperlink>
      <w:r>
        <w:t xml:space="preserve">)</w:t>
      </w:r>
      <w:r>
        <w:t xml:space="preserve">. Like her, I’m going to develop a theory where we first say what it is to have a belief in normal cases, then include an exception clause for what happens in special cases, such as high-stakes or long-odds. The details will differ in some respects, but the underlying architecture will be the same.</w:t>
      </w:r>
    </w:p>
    <w:p>
      <w:pPr>
        <w:pStyle w:val="BodyText"/>
      </w:pPr>
      <w:r>
        <w:t xml:space="preserve">But perhaps the biggest difference is one motivated by work by Jonathan Weisberg</w:t>
      </w:r>
      <w:r>
        <w:t xml:space="preserve"> </w:t>
      </w:r>
      <w:r>
        <w:t xml:space="preserve">(</w:t>
      </w:r>
      <w:hyperlink w:anchor="ref-Weisberg2013">
        <w:r>
          <w:rPr>
            <w:rStyle w:val="Hyperlink"/>
          </w:rPr>
          <w:t xml:space="preserve">2013</w:t>
        </w:r>
      </w:hyperlink>
      <w:r>
        <w:t xml:space="preserve">,</w:t>
      </w:r>
      <w:r>
        <w:t xml:space="preserve"> </w:t>
      </w:r>
      <w:hyperlink w:anchor="ref-Weisberg2020">
        <w:r>
          <w:rPr>
            <w:rStyle w:val="Hyperlink"/>
          </w:rPr>
          <w:t xml:space="preserve">2020</w:t>
        </w:r>
      </w:hyperlink>
      <w:r>
        <w:t xml:space="preserve">)</w:t>
      </w:r>
      <w:r>
        <w:t xml:space="preserve">. In the 2005 paper, I argued that what we should say someone believed is something we reconstruct from their patterns of preferences. At a high level of generality, my theory was that you could look at the outputs of someone’s deliberation, and construct from that what they believed. This was a quite radical version of radical interpretation. Following Weisberg, I now think that focussing on outputs in this way was mistaken. What someone believes is a matter of what inputs to deliberation they are willing to accept, not the results of those deliberations. If we assume perfect rationality, this distinction may not matter. The outputs of deliberations (taken collectively) might well imply what inputs had been accepted. But that’s too strong an assumption; and for anything other than perfectly rational thinkers, we can’t infer what starting points they are willing to accept from what points they end up at.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w:t>
      </w:r>
      <w:hyperlink w:anchor="ref-Staffel2019">
        <w:r>
          <w:rPr>
            <w:rStyle w:val="Hyperlink"/>
          </w:rPr>
          <w:t xml:space="preserve">Staffel 2019, 939</w:t>
        </w:r>
      </w:hyperlink>
      <w:r>
        <w:t xml:space="preserve">)</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w:t>
      </w:r>
      <w:hyperlink w:anchor="ref-HawthorneEtAl2015">
        <w:r>
          <w:rPr>
            <w:rStyle w:val="Hyperlink"/>
          </w:rPr>
          <w:t xml:space="preserve">Hawthorne, Rothschild, and Spectre 2016</w:t>
        </w:r>
      </w:hyperlink>
      <w:r>
        <w:t xml:space="preserve">)</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think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this argument. I wouldn’t want to sign up for either of the two premises that I mentioned in the middle of the paragraph. I’m sympathetic to the criticisms that Timothy Williamson makes in</w:t>
      </w:r>
      <w:r>
        <w:t xml:space="preserve"> </w:t>
      </w:r>
      <w:r>
        <w:t xml:space="preserve">“</w:t>
      </w:r>
      <w:r>
        <w:t xml:space="preserve">Knowledge, Credence, and the Strength of Belief</w:t>
      </w:r>
      <w:r>
        <w:t xml:space="preserve">”</w:t>
      </w:r>
      <w:r>
        <w:t xml:space="preserve"> </w:t>
      </w:r>
      <w:r>
        <w:t xml:space="preserve">(</w:t>
      </w:r>
      <w:hyperlink w:anchor="ref-Williamson2022">
        <w:r>
          <w:rPr>
            <w:rStyle w:val="Hyperlink"/>
          </w:rPr>
          <w:t xml:space="preserve">Williamson 2022</w:t>
        </w:r>
      </w:hyperlink>
      <w:r>
        <w:t xml:space="preserve">)</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w:t>
      </w:r>
      <w:hyperlink w:anchor="ref-Pasnau2017">
        <w:r>
          <w:rPr>
            <w:rStyle w:val="Hyperlink"/>
          </w:rPr>
          <w:t xml:space="preserve">Pasnau 2017, 219</w:t>
        </w:r>
      </w:hyperlink>
      <w:r>
        <w:t xml:space="preserve">)</w:t>
      </w:r>
    </w:p>
    <w:p>
      <w:pPr>
        <w:pStyle w:val="FirstParagraph"/>
      </w:pPr>
      <w:r>
        <w:t xml:space="preserve">The only change I’d make is that I’m not assuming here that belief is strictly speaking a constituent of scientia, or of knowledge. I want to leave open, at least at this stage, a knowledge first account where belief, in the sense we’re interested in, is something like attempted knowledge.</w:t>
      </w:r>
      <w:r>
        <w:rPr>
          <w:rStyle w:val="FootnoteReference"/>
        </w:rPr>
        <w:footnoteReference w:id="46"/>
      </w:r>
      <w:r>
        <w:t xml:space="preserve"> </w:t>
      </w:r>
      <w:r>
        <w:t xml:space="preserve">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w:t>
      </w:r>
      <w:hyperlink w:anchor="ref-Schroeder2009">
        <w:r>
          <w:rPr>
            <w:rStyle w:val="Hyperlink"/>
          </w:rPr>
          <w:t xml:space="preserve">Schroeder 2009, 223</w:t>
        </w:r>
      </w:hyperlink>
      <w:r>
        <w:t xml:space="preserve">)</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47"/>
    <w:bookmarkStart w:id="50" w:name="mapslegends"/>
    <w:p>
      <w:pPr>
        <w:pStyle w:val="Heading2"/>
      </w:pPr>
      <w:r>
        <w:rPr>
          <w:rStyle w:val="SectionNumber"/>
        </w:rPr>
        <w:t xml:space="preserve">3.2</w:t>
      </w:r>
      <w:r>
        <w:tab/>
      </w:r>
      <w:r>
        <w:t xml:space="preserve">Maps and Legends</w:t>
      </w:r>
    </w:p>
    <w:p>
      <w:pPr>
        <w:pStyle w:val="FirstParagraph"/>
      </w:pPr>
      <w:r>
        <w:t xml:space="preserve">Beliefs, Frank Ramsey famously said, are maps by which we steer</w:t>
      </w:r>
      <w:r>
        <w:t xml:space="preserve"> </w:t>
      </w:r>
      <w:r>
        <w:t xml:space="preserve">(</w:t>
      </w:r>
      <w:hyperlink w:anchor="ref-RamseyGeneralProp">
        <w:r>
          <w:rPr>
            <w:rStyle w:val="Hyperlink"/>
          </w:rPr>
          <w:t xml:space="preserve">Ramsey 1990, 146</w:t>
        </w:r>
      </w:hyperlink>
      <w:r>
        <w:t xml:space="preserve">)</w:t>
      </w:r>
      <w:r>
        <w:t xml:space="preserve">. I agree, and I think you can turn this into an argument that belief should be interest-relative as well. I used to think this argument showed that belief must be interest-relative, but this was a mistake, and it’s instructive to see why it goes wrong. But first let’s explore Ramsey’s analogy a bit more closely.</w:t>
      </w:r>
      <w:r>
        <w:rPr>
          <w:rStyle w:val="FootnoteReference"/>
        </w:rPr>
        <w:footnoteReference w:id="48"/>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themsleves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is a function of one’s interests. And the same, I think, is true of belief. Beliefs are interest 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include the fact that the Battle of Agincourt was in 1415 on the map by which we typically steer, but not on the map we use to steer ourselves through the Red-Blue game.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49"/>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w:t>
      </w:r>
    </w:p>
    <w:bookmarkEnd w:id="50"/>
    <w:bookmarkStart w:id="51" w:name="stubbie"/>
    <w:p>
      <w:pPr>
        <w:pStyle w:val="Heading2"/>
      </w:pPr>
      <w:r>
        <w:rPr>
          <w:rStyle w:val="SectionNumber"/>
        </w:rPr>
        <w:t xml:space="preserve">3.3</w:t>
      </w:r>
      <w:r>
        <w:tab/>
      </w:r>
      <w:r>
        <w:t xml:space="preserve">Belief and Stubbornness</w:t>
      </w:r>
    </w:p>
    <w:p>
      <w:pPr>
        <w:pStyle w:val="FirstParagraph"/>
      </w:pPr>
      <w:r>
        <w:t xml:space="preserve">Things get complicated when we stop focussing on what normal (or normal-ish) people do, and think about less common reactions.</w:t>
      </w:r>
    </w:p>
    <w:p>
      <w:pPr>
        <w:pStyle w:val="BodyText"/>
      </w:pPr>
      <w:r>
        <w:t xml:space="preserve">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w:t>
      </w:r>
    </w:p>
    <w:p>
      <w:pPr>
        <w:pStyle w:val="BodyText"/>
      </w:pPr>
      <w:r>
        <w:t xml:space="preserve">This is not, I think, a case of interest-relativity of belief. Rather, it is like the kind of case Jennifer Nagel</w:t>
      </w:r>
      <w:r>
        <w:t xml:space="preserve"> </w:t>
      </w:r>
      <w:r>
        <w:t xml:space="preserve">(</w:t>
      </w:r>
      <w:hyperlink w:anchor="ref-Nagel2010">
        <w:r>
          <w:rPr>
            <w:rStyle w:val="Hyperlink"/>
          </w:rPr>
          <w:t xml:space="preserve">2010</w:t>
        </w:r>
      </w:hyperlink>
      <w:r>
        <w:t xml:space="preserve">)</w:t>
      </w:r>
      <w:r>
        <w:t xml:space="preserve"> </w:t>
      </w:r>
      <w:r>
        <w:t xml:space="preserve">discusses, when she talks about beliefs being causally sensitive to interests. And this shows we have to be careful, more careful than I was in earlier work, to be sure that a case of interest-sensitivity is really a case where belief is constitutively, and not merely causally, sensitive to interests.</w:t>
      </w:r>
    </w:p>
    <w:p>
      <w:pPr>
        <w:pStyle w:val="BodyText"/>
      </w:pPr>
      <w:r>
        <w:t xml:space="preserve">And actually quite generally, 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causes a change of beliefs.</w:t>
      </w:r>
    </w:p>
    <w:p>
      <w:pPr>
        <w:pStyle w:val="BodyText"/>
      </w:pPr>
      <w:r>
        <w:t xml:space="preserve">But whether we make that distinction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51"/>
    <w:bookmarkStart w:id="53" w:name="given"/>
    <w:p>
      <w:pPr>
        <w:pStyle w:val="Heading2"/>
      </w:pPr>
      <w:r>
        <w:rPr>
          <w:rStyle w:val="SectionNumber"/>
        </w:rPr>
        <w:t xml:space="preserve">3.4</w:t>
      </w:r>
      <w:r>
        <w:tab/>
      </w:r>
      <w:r>
        <w:t xml:space="preserve">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w:t>
      </w:r>
      <w:hyperlink w:anchor="ref-RossSchroeder2014">
        <w:r>
          <w:rPr>
            <w:rStyle w:val="Hyperlink"/>
          </w:rPr>
          <w:t xml:space="preserve">2014</w:t>
        </w:r>
      </w:hyperlink>
      <w:r>
        <w:t xml:space="preserve">)</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w:t>
      </w:r>
      <w:hyperlink w:anchor="ref-Ganson2019">
        <w:r>
          <w:rPr>
            <w:rStyle w:val="Hyperlink"/>
          </w:rPr>
          <w:t xml:space="preserve">2019</w:t>
        </w:r>
      </w:hyperlink>
      <w:r>
        <w:t xml:space="preserve">)</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Red Sox Win</w:t>
            </w:r>
          </w:p>
        </w:tc>
        <w:tc>
          <w:tcPr/>
          <w:p>
            <w:pPr>
              <w:pStyle w:val="Compact"/>
              <w:jc w:val="center"/>
            </w:pPr>
            <w:r>
              <w:t xml:space="preserve">Red Sox Don’t Win</w:t>
            </w:r>
          </w:p>
        </w:tc>
      </w:tr>
      <w:tr>
        <w:tc>
          <w:tcPr/>
          <w:p>
            <w:pPr>
              <w:pStyle w:val="Compact"/>
              <w:jc w:val="right"/>
            </w:pPr>
            <w:r>
              <w:t xml:space="preserve">Take Bet A</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Take Bet B</w:t>
            </w:r>
          </w:p>
        </w:tc>
        <w:tc>
          <w:tcPr/>
          <w:p>
            <w:pPr>
              <w:pStyle w:val="Compact"/>
              <w:jc w:val="center"/>
            </w:pPr>
            <w:r>
              <w:t xml:space="preserve">$60</w:t>
            </w:r>
          </w:p>
        </w:tc>
        <w:tc>
          <w:tcPr/>
          <w:p>
            <w:pPr>
              <w:pStyle w:val="Compact"/>
              <w:jc w:val="center"/>
            </w:pPr>
            <w:r>
              <w:t xml:space="preserve">$0</w:t>
            </w:r>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w:t>
      </w:r>
      <w:hyperlink w:anchor="ref-Humberstone1981">
        <w:r>
          <w:rPr>
            <w:rStyle w:val="Hyperlink"/>
          </w:rPr>
          <w:t xml:space="preserve">1981</w:t>
        </w:r>
      </w:hyperlink>
      <w:r>
        <w:t xml:space="preserve">)</w:t>
      </w:r>
      <w:r>
        <w:t xml:space="preserve">. They have content - in one of them the Red Sox win, in the other they don’t, but they don’t settle all facts. In the right-hand column, there is no fact of the matter about which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52"/>
      </w:r>
    </w:p>
    <w:p>
      <w:pPr>
        <w:pStyle w:val="BodyText"/>
      </w:pPr>
      <w:r>
        <w:t xml:space="preserve">But there is more to the content of each column than what is explicity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rPr>
          <w:bCs/>
          <w:b/>
        </w:rPr>
        <w:t xml:space="preserve">Given</w:t>
      </w:r>
      <w:r>
        <w:t xml:space="preserve"> </w:t>
      </w:r>
      <w:r>
        <w:t xml:space="preserve">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But</w:t>
      </w:r>
      <w:r>
        <w:t xml:space="preserve"> </w:t>
      </w:r>
      <w:r>
        <w:rPr>
          <w:bCs/>
          <w:b/>
        </w:rPr>
        <w:t xml:space="preserve">Given</w:t>
      </w:r>
      <w:r>
        <w:t xml:space="preserve"> </w:t>
      </w:r>
      <w:r>
        <w:t xml:space="preserve">cannot be converted to a biconditional.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53"/>
    <w:bookmarkStart w:id="56" w:name="block"/>
    <w:p>
      <w:pPr>
        <w:pStyle w:val="Heading2"/>
      </w:pPr>
      <w:r>
        <w:rPr>
          <w:rStyle w:val="SectionNumber"/>
        </w:rPr>
        <w:t xml:space="preserve">3.5</w:t>
      </w:r>
      <w:r>
        <w:tab/>
      </w:r>
      <w:r>
        <w:t xml:space="preserve">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w:t>
      </w:r>
      <w:r>
        <w:t xml:space="preserve"> </w:t>
      </w:r>
      <w:r>
        <w:rPr>
          <w:bCs/>
          <w:b/>
        </w:rPr>
        <w:t xml:space="preserve">Given</w:t>
      </w:r>
      <w:r>
        <w:t xml:space="preserve">,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pStyle w:val="BodyText"/>
      </w:pPr>
      <w:r>
        <w:t xml:space="preserve">H How many (full) centuries has it been since the Battle of Agincourt?</w:t>
      </w:r>
    </w:p>
    <w:p>
      <w:pPr>
        <w:pStyle w:val="BodyText"/>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pStyle w:val="BodyText"/>
      </w:pPr>
      <w:r>
        <w:t xml:space="preserve">I If the Battle of Agincourt was in 1415, how many (full) centuries has it been since the Battle of Agincourt?</w:t>
      </w:r>
    </w:p>
    <w:p>
      <w:pPr>
        <w:pStyle w:val="BodyText"/>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w:t>
      </w:r>
      <w:r>
        <w:t xml:space="preserve"> </w:t>
      </w:r>
      <w:r>
        <w:rPr>
          <w:bCs/>
          <w:b/>
        </w:rPr>
        <w:t xml:space="preserve">Unconditional Conditional Questions</w:t>
      </w:r>
      <w:r>
        <w:t xml:space="preserve">,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54"/>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w:t>
      </w:r>
      <w:r>
        <w:t xml:space="preserve"> </w:t>
      </w:r>
      <w:r>
        <w:rPr>
          <w:bCs/>
          <w:b/>
        </w:rPr>
        <w:t xml:space="preserve">Unrestricted Conditional Questions</w:t>
      </w:r>
      <w:r>
        <w:t xml:space="preserve"> </w:t>
      </w:r>
      <w:r>
        <w:t xml:space="preserve">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w:t>
      </w:r>
      <w:r>
        <w:t xml:space="preserve"> </w:t>
      </w:r>
      <w:r>
        <w:rPr>
          <w:bCs/>
          <w:b/>
        </w:rPr>
        <w:t xml:space="preserve">Unrestricted Conditional Questions</w:t>
      </w:r>
      <w:r>
        <w:t xml:space="preserve">.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But 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w:t>
      </w:r>
      <w:r>
        <w:t xml:space="preserve"> </w:t>
      </w:r>
      <w:r>
        <w:rPr>
          <w:bCs/>
          <w:b/>
        </w:rPr>
        <w:t xml:space="preserve">Unrestricted Conditional Questions</w:t>
      </w:r>
      <w:r>
        <w:t xml:space="preserve"> </w:t>
      </w:r>
      <w:r>
        <w:t xml:space="preserve">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r>
        <w:t xml:space="preserve">2.5</w:t>
      </w:r>
      <w:r>
        <w:t xml:space="preserve">, whether one is interested in a question isn’t just a matter of one’s practical situation. One can be interested in a question because one is thinking about what to do should it arise, or because one is just naturally inquistive. Many of the questions we’re interested in are practical questions, but not all of them are.</w:t>
      </w:r>
    </w:p>
    <w:p>
      <w:pPr>
        <w:pStyle w:val="BodyText"/>
      </w:pPr>
      <w:r>
        <w:t xml:space="preserve">So I’ve argued that</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necessary conditions on belief. And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satisfied, then S believes that</w:t>
      </w:r>
      <w:r>
        <w:t xml:space="preserve"> </w:t>
      </w:r>
      <w:r>
        <w:rPr>
          <w:iCs/>
          <w:i/>
        </w:rPr>
        <w:t xml:space="preserve">p</w:t>
      </w:r>
      <w:r>
        <w:t xml:space="preserve">.</w:t>
      </w:r>
    </w:p>
    <w:p>
      <w:pPr>
        <w:pStyle w:val="BodyText"/>
      </w:pPr>
      <w:r>
        <w:t xml:space="preserve">Obviously neither</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55"/>
      </w:r>
      <w:r>
        <w:t xml:space="preserve"> </w:t>
      </w:r>
      <w:r>
        <w:t xml:space="preserve">But they could be part of a theory of belief, and the theory they are part of is helpful for seeing how beliefs and interests fit together.</w:t>
      </w:r>
    </w:p>
    <w:bookmarkEnd w:id="56"/>
    <w:bookmarkStart w:id="62" w:name="questions"/>
    <w:p>
      <w:pPr>
        <w:pStyle w:val="Heading2"/>
      </w:pPr>
      <w:r>
        <w:rPr>
          <w:rStyle w:val="SectionNumber"/>
        </w:rPr>
        <w:t xml:space="preserve">3.6</w:t>
      </w:r>
      <w:r>
        <w:tab/>
      </w:r>
      <w:r>
        <w:t xml:space="preserve">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57"/>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58"/>
      </w:r>
      <w:r>
        <w:t xml:space="preserve"> </w:t>
      </w:r>
      <w:r>
        <w:t xml:space="preserve">One tricky thing about quantitative questions is that they may admit of imprecise answers, but need not.</w:t>
      </w:r>
    </w:p>
    <w:p>
      <w:pPr>
        <w:pStyle w:val="BodyText"/>
      </w:pPr>
      <w:r>
        <w:t xml:space="preserve">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w:t>
      </w:r>
    </w:p>
    <w:p>
      <w:pPr>
        <w:pStyle w:val="BodyText"/>
      </w:pPr>
      <w:r>
        <w:t xml:space="preserve">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4"/>
        </w:numPr>
        <w:pStyle w:val="Compact"/>
      </w:pPr>
    </w:p>
    <w:p>
      <w:pPr>
        <w:numPr>
          <w:ilvl w:val="1"/>
          <w:numId w:val="1015"/>
        </w:numPr>
        <w:pStyle w:val="Compact"/>
      </w:pPr>
      <w:r>
        <w:t xml:space="preserve">Who was in the Beatles?</w:t>
      </w:r>
    </w:p>
    <w:p>
      <w:pPr>
        <w:numPr>
          <w:ilvl w:val="1"/>
          <w:numId w:val="1015"/>
        </w:numPr>
        <w:pStyle w:val="Compact"/>
      </w:pPr>
      <w:r>
        <w:t xml:space="preserve">John Lennon was in the Beatles.</w:t>
      </w:r>
    </w:p>
    <w:p>
      <w:pPr>
        <w:numPr>
          <w:ilvl w:val="0"/>
          <w:numId w:val="1014"/>
        </w:numPr>
        <w:pStyle w:val="Compact"/>
      </w:pPr>
    </w:p>
    <w:p>
      <w:pPr>
        <w:numPr>
          <w:ilvl w:val="1"/>
          <w:numId w:val="1016"/>
        </w:numPr>
        <w:pStyle w:val="Compact"/>
      </w:pPr>
      <w:r>
        <w:t xml:space="preserve">Where can I get good coffee in Melbourne?</w:t>
      </w:r>
    </w:p>
    <w:p>
      <w:pPr>
        <w:numPr>
          <w:ilvl w:val="1"/>
          <w:numId w:val="1016"/>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7"/>
        </w:numPr>
        <w:pStyle w:val="Compact"/>
      </w:pPr>
      <w:r>
        <w:t xml:space="preserve">When to visit Venice?</w:t>
      </w:r>
    </w:p>
    <w:p>
      <w:pPr>
        <w:numPr>
          <w:ilvl w:val="0"/>
          <w:numId w:val="1017"/>
        </w:numPr>
        <w:pStyle w:val="Compact"/>
      </w:pPr>
      <w:r>
        <w:t xml:space="preserve">How to climb Ben Nevis?</w:t>
      </w:r>
    </w:p>
    <w:p>
      <w:pPr>
        <w:numPr>
          <w:ilvl w:val="0"/>
          <w:numId w:val="1017"/>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59"/>
      </w:r>
      <w:r>
        <w:t xml:space="preserve"> </w:t>
      </w:r>
      <w:r>
        <w:t xml:space="preserve">But they can be the complements of any number of verbs. Any of the three questions above, like any number of other questions with infinitivals, can complete sentences like</w:t>
      </w:r>
    </w:p>
    <w:p>
      <w:pPr>
        <w:numPr>
          <w:ilvl w:val="0"/>
          <w:numId w:val="1018"/>
        </w:numPr>
        <w:pStyle w:val="Compact"/>
      </w:pPr>
      <w:r>
        <w:t xml:space="preserve">A doesn’t know …</w:t>
      </w:r>
    </w:p>
    <w:p>
      <w:pPr>
        <w:numPr>
          <w:ilvl w:val="0"/>
          <w:numId w:val="1018"/>
        </w:numPr>
        <w:pStyle w:val="Compact"/>
      </w:pPr>
      <w:r>
        <w:t xml:space="preserve">B is wondering …</w:t>
      </w:r>
    </w:p>
    <w:p>
      <w:pPr>
        <w:numPr>
          <w:ilvl w:val="0"/>
          <w:numId w:val="1018"/>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19"/>
        </w:numPr>
        <w:pStyle w:val="Compact"/>
      </w:pPr>
      <w:r>
        <w:t xml:space="preserve">C wants D to tell him how to climb Ben Nevis.</w:t>
      </w:r>
    </w:p>
    <w:p>
      <w:pPr>
        <w:numPr>
          <w:ilvl w:val="0"/>
          <w:numId w:val="1019"/>
        </w:numPr>
        <w:pStyle w:val="Compact"/>
      </w:pPr>
      <w:r>
        <w:t xml:space="preserve">A doesn’t know what do do.</w:t>
      </w:r>
    </w:p>
    <w:p>
      <w:pPr>
        <w:numPr>
          <w:ilvl w:val="0"/>
          <w:numId w:val="1019"/>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w:t>
      </w:r>
      <w:hyperlink w:anchor="ref-Stanley2011">
        <w:r>
          <w:rPr>
            <w:rStyle w:val="Hyperlink"/>
          </w:rPr>
          <w:t xml:space="preserve">2011</w:t>
        </w:r>
      </w:hyperlink>
      <w:r>
        <w:t xml:space="preserve">)</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0"/>
        </w:numPr>
        <w:pStyle w:val="Compact"/>
      </w:pPr>
      <w:r>
        <w:t xml:space="preserve">E believes …</w:t>
      </w:r>
    </w:p>
    <w:p>
      <w:pPr>
        <w:numPr>
          <w:ilvl w:val="0"/>
          <w:numId w:val="1020"/>
        </w:numPr>
        <w:pStyle w:val="Compact"/>
      </w:pPr>
      <w:r>
        <w:t xml:space="preserve">F suspects …</w:t>
      </w:r>
    </w:p>
    <w:p>
      <w:pPr>
        <w:numPr>
          <w:ilvl w:val="0"/>
          <w:numId w:val="1020"/>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60"/>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61"/>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vist. Relatedly, practical questions can come in conditional form. We can utter sentences like the following in English.</w:t>
      </w:r>
    </w:p>
    <w:p>
      <w:pPr>
        <w:numPr>
          <w:ilvl w:val="0"/>
          <w:numId w:val="1021"/>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w:t>
      </w:r>
      <w:r>
        <w:t xml:space="preserve"> </w:t>
      </w:r>
      <w:r>
        <w:rPr>
          <w:bCs/>
          <w:b/>
        </w:rPr>
        <w:t xml:space="preserve">Relevant Conditional Questions</w:t>
      </w:r>
      <w:r>
        <w:t xml:space="preserve"> </w:t>
      </w:r>
      <w:r>
        <w:t xml:space="preserve">is that whatever is known can be taken as given in just this sense.</w:t>
      </w:r>
    </w:p>
    <w:bookmarkEnd w:id="62"/>
    <w:bookmarkStart w:id="70" w:name="mychanges"/>
    <w:p>
      <w:pPr>
        <w:pStyle w:val="Heading2"/>
      </w:pPr>
      <w:r>
        <w:rPr>
          <w:rStyle w:val="SectionNumber"/>
        </w:rPr>
        <w:t xml:space="preserve">3.7</w:t>
      </w:r>
      <w:r>
        <w:tab/>
      </w:r>
      <w:r>
        <w:t xml:space="preserve">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2"/>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2"/>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64" w:name="mecorrect"/>
    <w:p>
      <w:pPr>
        <w:pStyle w:val="Heading3"/>
      </w:pPr>
      <w:r>
        <w:rPr>
          <w:rStyle w:val="SectionNumber"/>
        </w:rPr>
        <w:t xml:space="preserve">3.7.1</w:t>
      </w:r>
      <w:r>
        <w:tab/>
      </w:r>
      <w:r>
        <w:t xml:space="preserve">Correctness</w:t>
      </w:r>
    </w:p>
    <w:p>
      <w:pPr>
        <w:pStyle w:val="FirstParagraph"/>
      </w:pPr>
      <w:r>
        <w:t xml:space="preserve">Jacob Ross and Mark Schroeder</w:t>
      </w:r>
      <w:r>
        <w:t xml:space="preserve"> </w:t>
      </w:r>
      <w:r>
        <w:t xml:space="preserve">(</w:t>
      </w:r>
      <w:hyperlink w:anchor="ref-RossSchroeder2014">
        <w:r>
          <w:rPr>
            <w:rStyle w:val="Hyperlink"/>
          </w:rPr>
          <w:t xml:space="preserve">2014</w:t>
        </w:r>
      </w:hyperlink>
      <w:r>
        <w:t xml:space="preserve">)</w:t>
      </w:r>
      <w:r>
        <w:t xml:space="preserve"> </w:t>
      </w:r>
      <w:r>
        <w:t xml:space="preserve">note that my earlier theory doesn’t have a good story about why false beliefs are incorrect.</w:t>
      </w:r>
      <w:r>
        <w:rPr>
          <w:rStyle w:val="FootnoteReference"/>
        </w:rPr>
        <w:footnoteReference w:id="63"/>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64"/>
    <w:bookmarkStart w:id="65" w:name="meimpractical"/>
    <w:p>
      <w:pPr>
        <w:pStyle w:val="Heading3"/>
      </w:pPr>
      <w:r>
        <w:rPr>
          <w:rStyle w:val="SectionNumber"/>
        </w:rPr>
        <w:t xml:space="preserve">3.7.2</w:t>
      </w:r>
      <w:r>
        <w:tab/>
      </w:r>
      <w:r>
        <w:t xml:space="preserve">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w:t>
      </w:r>
      <w:hyperlink w:anchor="ref-RossSchroeder2014">
        <w:r>
          <w:rPr>
            <w:rStyle w:val="Hyperlink"/>
          </w:rPr>
          <w:t xml:space="preserve">2014</w:t>
        </w:r>
      </w:hyperlink>
      <w:r>
        <w:t xml:space="preserve">)</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65"/>
    <w:bookmarkStart w:id="66" w:name="threeway"/>
    <w:p>
      <w:pPr>
        <w:pStyle w:val="Heading3"/>
      </w:pPr>
      <w:r>
        <w:rPr>
          <w:rStyle w:val="SectionNumber"/>
        </w:rPr>
        <w:t xml:space="preserve">3.7.3</w:t>
      </w:r>
      <w:r>
        <w:tab/>
      </w:r>
      <w:r>
        <w:t xml:space="preserve">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Avingon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66"/>
    <w:bookmarkStart w:id="67" w:name="meties"/>
    <w:p>
      <w:pPr>
        <w:pStyle w:val="Heading3"/>
      </w:pPr>
      <w:r>
        <w:rPr>
          <w:rStyle w:val="SectionNumber"/>
        </w:rPr>
        <w:t xml:space="preserve">3.7.4</w:t>
      </w:r>
      <w:r>
        <w:tab/>
      </w:r>
      <w:r>
        <w:t xml:space="preserve">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 subsection</w:t>
      </w:r>
      <w:r>
        <w:t xml:space="preserve"> </w:t>
      </w:r>
      <w:r>
        <w:t xml:space="preserve">4.3.1</w:t>
      </w:r>
      <w:r>
        <w:t xml:space="preserve"> </w:t>
      </w:r>
      <w:r>
        <w:t xml:space="preserve">and again in chapter</w:t>
      </w:r>
      <w:r>
        <w:t xml:space="preserve"> </w:t>
      </w:r>
      <w:r>
        <w:t xml:space="preserve">6</w:t>
      </w:r>
      <w:r>
        <w:t xml:space="preserve">. The details of the example are new, but it’s a very minor modification of a kind of example that is discussed in Matthew McGrath and Brian Kim</w:t>
      </w:r>
      <w:r>
        <w:t xml:space="preserve"> </w:t>
      </w:r>
      <w:r>
        <w:t xml:space="preserve">(</w:t>
      </w:r>
      <w:hyperlink w:anchor="ref-McGrathKim2019">
        <w:r>
          <w:rPr>
            <w:rStyle w:val="Hyperlink"/>
          </w:rPr>
          <w:t xml:space="preserve">2019</w:t>
        </w:r>
      </w:hyperlink>
      <w:r>
        <w:t xml:space="preserve">)</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w:t>
      </w:r>
      <w:hyperlink w:anchor="ref-Zweber2016">
        <w:r>
          <w:rPr>
            <w:rStyle w:val="Hyperlink"/>
          </w:rPr>
          <w:t xml:space="preserve">2016</w:t>
        </w:r>
      </w:hyperlink>
      <w:r>
        <w:t xml:space="preserve">)</w:t>
      </w:r>
      <w:r>
        <w:t xml:space="preserve"> </w:t>
      </w:r>
      <w:r>
        <w:t xml:space="preserve">and by Charity Anderson and John Hawthorne</w:t>
      </w:r>
      <w:r>
        <w:t xml:space="preserve"> </w:t>
      </w:r>
      <w:r>
        <w:t xml:space="preserve">(</w:t>
      </w:r>
      <w:hyperlink w:anchor="ref-AndersonHawthorne2019b">
        <w:r>
          <w:rPr>
            <w:rStyle w:val="Hyperlink"/>
          </w:rPr>
          <w:t xml:space="preserve">2019b</w:t>
        </w:r>
      </w:hyperlink>
      <w:r>
        <w:t xml:space="preserve">)</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 &gt; 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(1-e**)h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 chapter</w:t>
      </w:r>
      <w:r>
        <w:t xml:space="preserve"> </w:t>
      </w:r>
      <w:r>
        <w:t xml:space="preserve">6</w:t>
      </w:r>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67"/>
    <w:bookmarkStart w:id="69" w:name="modalupdate"/>
    <w:p>
      <w:pPr>
        <w:pStyle w:val="Heading3"/>
      </w:pPr>
      <w:r>
        <w:rPr>
          <w:rStyle w:val="SectionNumber"/>
        </w:rPr>
        <w:t xml:space="preserve">3.7.5</w:t>
      </w:r>
      <w:r>
        <w:tab/>
      </w:r>
      <w:r>
        <w:t xml:space="preserve">Updates and Modals</w:t>
      </w:r>
    </w:p>
    <w:p>
      <w:pPr>
        <w:pStyle w:val="FirstParagraph"/>
      </w:pPr>
      <w:r>
        <w:t xml:space="preserve">The version of IRT that I defend here gives a big role to conditional attitudes.</w:t>
      </w:r>
      <w:r>
        <w:rPr>
          <w:rStyle w:val="FootnoteReference"/>
        </w:rPr>
        <w:footnoteReference w:id="68"/>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3"/>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3"/>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w:t>
      </w:r>
      <w:hyperlink w:anchor="ref-Gillies2010">
        <w:r>
          <w:rPr>
            <w:rStyle w:val="Hyperlink"/>
          </w:rPr>
          <w:t xml:space="preserve">2010</w:t>
        </w:r>
      </w:hyperlink>
      <w:r>
        <w:t xml:space="preserve">)</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w:t>
      </w:r>
      <w:hyperlink w:anchor="ref-Kratzer2012">
        <w:r>
          <w:rPr>
            <w:rStyle w:val="Hyperlink"/>
          </w:rPr>
          <w:t xml:space="preserve">2012, 94</w:t>
        </w:r>
      </w:hyperlink>
      <w:r>
        <w:t xml:space="preserve">)</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possibiilties.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r>
        <w:t xml:space="preserve">8.2</w:t>
      </w:r>
      <w:r>
        <w:t xml:space="preserve"> </w:t>
      </w:r>
      <w:r>
        <w:t xml:space="preserve">and</w:t>
      </w:r>
      <w:r>
        <w:t xml:space="preserve"> </w:t>
      </w:r>
      <w:r>
        <w:t xml:space="preserve">8.3</w:t>
      </w:r>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69"/>
    <w:bookmarkEnd w:id="70"/>
    <w:bookmarkStart w:id="72" w:name="usc"/>
    <w:p>
      <w:pPr>
        <w:pStyle w:val="Heading2"/>
      </w:pPr>
      <w:r>
        <w:rPr>
          <w:rStyle w:val="SectionNumber"/>
        </w:rPr>
        <w:t xml:space="preserve">3.8</w:t>
      </w:r>
      <w:r>
        <w:tab/>
      </w:r>
      <w:r>
        <w:t xml:space="preserve">Ross and Schroeder’s Theory</w:t>
      </w:r>
    </w:p>
    <w:p>
      <w:pPr>
        <w:pStyle w:val="FirstParagraph"/>
      </w:pPr>
      <w:r>
        <w:t xml:space="preserve">Jacob Ross and Mark Schroeder</w:t>
      </w:r>
      <w:r>
        <w:t xml:space="preserve"> </w:t>
      </w:r>
      <w:r>
        <w:t xml:space="preserve">(</w:t>
      </w:r>
      <w:hyperlink w:anchor="ref-RossSchroeder2014">
        <w:r>
          <w:rPr>
            <w:rStyle w:val="Hyperlink"/>
          </w:rPr>
          <w:t xml:space="preserve">2014</w:t>
        </w:r>
      </w:hyperlink>
      <w:r>
        <w:t xml:space="preserve">)</w:t>
      </w:r>
      <w:r>
        <w:t xml:space="preserve"> </w:t>
      </w:r>
      <w:r>
        <w:t xml:space="preserve">have what looks like, on the surface, a rather different view to mine.</w:t>
      </w:r>
      <w:r>
        <w:rPr>
          <w:rStyle w:val="FootnoteReference"/>
        </w:rPr>
        <w:footnoteReference w:id="71"/>
      </w:r>
      <w:r>
        <w:t xml:space="preserve"> </w:t>
      </w:r>
      <w:r>
        <w:t xml:space="preserve">They say that to believe</w:t>
      </w:r>
      <w:r>
        <w:t xml:space="preserve"> </w:t>
      </w:r>
      <w:r>
        <w:rPr>
          <w:iCs/>
          <w:i/>
        </w:rPr>
        <w:t xml:space="preserve">p</w:t>
      </w:r>
      <w:r>
        <w:t xml:space="preserve"> </w:t>
      </w:r>
      <w:r>
        <w:t xml:space="preserve">is to have a</w:t>
      </w:r>
      <w:r>
        <w:t xml:space="preserve"> </w:t>
      </w:r>
      <w:r>
        <w:rPr>
          <w:bCs/>
          <w:b/>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w:t>
      </w:r>
      <w:hyperlink w:anchor="ref-RossSchroeder2014">
        <w:r>
          <w:rPr>
            <w:rStyle w:val="Hyperlink"/>
          </w:rPr>
          <w:t xml:space="preserve">Ross and Schroeder 2014, 9–10</w:t>
        </w:r>
      </w:hyperlink>
      <w:r>
        <w:t xml:space="preserve">)</w:t>
      </w:r>
    </w:p>
    <w:p>
      <w:pPr>
        <w:pStyle w:val="FirstParagraph"/>
      </w:pPr>
      <w:r>
        <w:t xml:space="preserve">There are, relative to what I’m interested in, three striking characteristics of Ross and Schroeder’s view.</w:t>
      </w:r>
    </w:p>
    <w:p>
      <w:pPr>
        <w:numPr>
          <w:ilvl w:val="0"/>
          <w:numId w:val="1024"/>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4"/>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4"/>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w:t>
      </w:r>
      <w:hyperlink w:anchor="ref-Weatherson2005-WEACWD">
        <w:r>
          <w:rPr>
            <w:rStyle w:val="Hyperlink"/>
          </w:rPr>
          <w:t xml:space="preserve">2005a</w:t>
        </w:r>
      </w:hyperlink>
      <w:r>
        <w:t xml:space="preserve">)</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w:t>
      </w:r>
      <w:r>
        <w:t xml:space="preserve"> </w:t>
      </w:r>
      <w:r>
        <w:rPr>
          <w:bCs/>
          <w:b/>
        </w:rPr>
        <w:t xml:space="preserve">Stability</w:t>
      </w:r>
      <w:r>
        <w:t xml:space="preserve">.</w:t>
      </w:r>
    </w:p>
    <w:p>
      <w:pPr>
        <w:pStyle w:val="BlockText"/>
      </w:pPr>
      <w:r>
        <w:rPr>
          <w:bCs/>
          <w:b/>
        </w:rPr>
        <w:t xml:space="preserve">Stability</w:t>
      </w:r>
      <w:r>
        <w:t xml:space="preserve">: A fully rational agent does not change her beliefs purely in virtue of an evidentially irrelevant change in her credences or preferences.</w:t>
      </w:r>
      <w:r>
        <w:t xml:space="preserve"> </w:t>
      </w:r>
      <w:r>
        <w:t xml:space="preserve">(</w:t>
      </w:r>
      <w:hyperlink w:anchor="ref-RossSchroeder2014">
        <w:r>
          <w:rPr>
            <w:rStyle w:val="Hyperlink"/>
          </w:rPr>
          <w:t xml:space="preserve">2014, 20</w:t>
        </w:r>
      </w:hyperlink>
      <w:r>
        <w:t xml:space="preserve">)</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w:t>
      </w:r>
      <w:hyperlink w:anchor="ref-RossSchroeder2014">
        <w:r>
          <w:rPr>
            <w:rStyle w:val="Hyperlink"/>
          </w:rPr>
          <w:t xml:space="preserve">2014, 20</w:t>
        </w:r>
      </w:hyperlink>
      <w:r>
        <w:t xml:space="preserve">)</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5"/>
        </w:numPr>
        <w:pStyle w:val="Compact"/>
      </w:pPr>
      <w:r>
        <w:t xml:space="preserve">Stella believes that steel is stronger than Styrofoam.</w:t>
      </w:r>
    </w:p>
    <w:p>
      <w:pPr>
        <w:numPr>
          <w:ilvl w:val="0"/>
          <w:numId w:val="1025"/>
        </w:numPr>
        <w:pStyle w:val="Compact"/>
      </w:pPr>
      <w:r>
        <w:t xml:space="preserve">Stella believes that if steel is stronger than Styrofoam, she’ll win a penny and lose nothing by taking the bet.</w:t>
      </w:r>
    </w:p>
    <w:p>
      <w:pPr>
        <w:numPr>
          <w:ilvl w:val="0"/>
          <w:numId w:val="1025"/>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5"/>
        </w:numPr>
        <w:pStyle w:val="Compact"/>
      </w:pPr>
      <w:r>
        <w:t xml:space="preserve">Stella prefers winning a penny and losing nothing to getting nothing.</w:t>
      </w:r>
    </w:p>
    <w:p>
      <w:pPr>
        <w:numPr>
          <w:ilvl w:val="0"/>
          <w:numId w:val="1025"/>
        </w:numPr>
        <w:pStyle w:val="Compact"/>
      </w:pPr>
      <w:r>
        <w:t xml:space="preserve">If Stella believes that she’ll win a penny and lose nothing by taking the bet, and prefers winning a penny and losing nothing to getting nothing, she’ll take the bet.</w:t>
      </w:r>
    </w:p>
    <w:p>
      <w:pPr>
        <w:numPr>
          <w:ilvl w:val="0"/>
          <w:numId w:val="1025"/>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w:t>
      </w:r>
      <w:r>
        <w:t xml:space="preserve"> </w:t>
      </w:r>
      <w:r>
        <w:t xml:space="preserve">(</w:t>
      </w:r>
      <w:hyperlink w:anchor="ref-Kelly2010-KELPDA">
        <w:r>
          <w:rPr>
            <w:rStyle w:val="Hyperlink"/>
          </w:rPr>
          <w:t xml:space="preserve">2010</w:t>
        </w:r>
      </w:hyperlink>
      <w:r>
        <w:t xml:space="preserve">)</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72"/>
    <w:bookmarkEnd w:id="73"/>
    <w:bookmarkStart w:id="86" w:name="knowledge"/>
    <w:p>
      <w:pPr>
        <w:pStyle w:val="Heading1"/>
      </w:pPr>
      <w:r>
        <w:rPr>
          <w:rStyle w:val="SectionNumber"/>
        </w:rPr>
        <w:t xml:space="preserve">4</w:t>
      </w:r>
      <w:r>
        <w:tab/>
      </w:r>
      <w:r>
        <w:t xml:space="preserve">Knowledge</w:t>
      </w:r>
    </w:p>
    <w:p>
      <w:pPr>
        <w:pStyle w:val="FirstParagraph"/>
      </w:pPr>
      <w:r>
        <w:t xml:space="preserve">In chapter</w:t>
      </w:r>
      <w:r>
        <w:t xml:space="preserve"> </w:t>
      </w:r>
      <w:r>
        <w:t xml:space="preserve">3</w:t>
      </w:r>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6"/>
        </w:numPr>
        <w:pStyle w:val="Compact"/>
      </w:pPr>
      <w:r>
        <w:t xml:space="preserve">To believe something is to, inter alia, take it as given for all relevant inquiries.</w:t>
      </w:r>
    </w:p>
    <w:p>
      <w:pPr>
        <w:numPr>
          <w:ilvl w:val="0"/>
          <w:numId w:val="1026"/>
        </w:numPr>
        <w:pStyle w:val="Compact"/>
      </w:pPr>
      <w:r>
        <w:t xml:space="preserve">Whatever is known is correctly believed.</w:t>
      </w:r>
    </w:p>
    <w:p>
      <w:pPr>
        <w:numPr>
          <w:ilvl w:val="0"/>
          <w:numId w:val="1026"/>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 chapter</w:t>
      </w:r>
      <w:r>
        <w:t xml:space="preserve"> </w:t>
      </w:r>
      <w:r>
        <w:t xml:space="preserve">3</w:t>
      </w:r>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76" w:name="structure"/>
    <w:p>
      <w:pPr>
        <w:pStyle w:val="Heading2"/>
      </w:pPr>
      <w:r>
        <w:rPr>
          <w:rStyle w:val="SectionNumber"/>
        </w:rPr>
        <w:t xml:space="preserve">4.1</w:t>
      </w:r>
      <w:r>
        <w:tab/>
      </w:r>
      <w:r>
        <w:t xml:space="preserve">Knowledge and Practical Interests</w:t>
      </w:r>
    </w:p>
    <w:p>
      <w:pPr>
        <w:pStyle w:val="FirstParagraph"/>
      </w:pPr>
      <w:r>
        <w:t xml:space="preserve">A practical inquiry can often be represented by the kind of decision table that we use in decision theory courses.</w:t>
      </w:r>
      <w:r>
        <w:rPr>
          <w:rStyle w:val="FootnoteReference"/>
        </w:rPr>
        <w:footnoteReference w:id="74"/>
      </w:r>
      <w:r>
        <w:t xml:space="preserve"> </w:t>
      </w:r>
      <w:r>
        <w:t xml:space="preserve">We take something as given in that inquiry iff it is encoded in the right way in the decision table. The primary way that we encode a proposition</w:t>
      </w:r>
      <w:r>
        <w:t xml:space="preserve"> </w:t>
      </w:r>
      <w:r>
        <w:rPr>
          <w:iCs/>
          <w:i/>
        </w:rPr>
        <w:t xml:space="preserve">p</w:t>
      </w:r>
      <w:r>
        <w:t xml:space="preserve"> </w:t>
      </w:r>
      <w:r>
        <w:t xml:space="preserve">into a decision table is to set up the table so that</w:t>
      </w:r>
      <w:r>
        <w:t xml:space="preserve"> </w:t>
      </w:r>
      <w:r>
        <w:rPr>
          <w:iCs/>
          <w:i/>
        </w:rPr>
        <w:t xml:space="preserve">p</w:t>
      </w:r>
      <w:r>
        <w:t xml:space="preserve"> </w:t>
      </w:r>
      <w:r>
        <w:t xml:space="preserve">is true in every column. If we use a table where</w:t>
      </w:r>
      <w:r>
        <w:t xml:space="preserve"> </w:t>
      </w:r>
      <w:r>
        <w:rPr>
          <w:iCs/>
          <w:i/>
        </w:rPr>
        <w:t xml:space="preserve">p</w:t>
      </w:r>
      <w:r>
        <w:t xml:space="preserve"> </w:t>
      </w:r>
      <w:r>
        <w:t xml:space="preserve">is encoded in this way, and</w:t>
      </w:r>
      <w:r>
        <w:t xml:space="preserve"> </w:t>
      </w:r>
      <w:r>
        <w:rPr>
          <w:iCs/>
          <w:i/>
        </w:rPr>
        <w:t xml:space="preserve">p</w:t>
      </w:r>
      <w:r>
        <w:t xml:space="preserve"> </w:t>
      </w:r>
      <w:r>
        <w:t xml:space="preserve">is not known, we are making a mistake. And in particular, we are making an epistemic mistake.</w:t>
      </w:r>
    </w:p>
    <w:p>
      <w:pPr>
        <w:pStyle w:val="BodyText"/>
      </w:pPr>
      <w:r>
        <w:t xml:space="preserve">To see this, let’s start with an example. Professor Dec is teaching introductory decision theory to her undergraduate class. She is trying to introduce the notion of a dominant choice. So she introduces the following problem, with two states,</w:t>
      </w:r>
      <w:r>
        <w:t xml:space="preserve"> </w:t>
      </w:r>
      <w:r>
        <w:rPr>
          <w:iCs/>
          <w:i/>
        </w:rPr>
        <w:t xml:space="preserve">S</w:t>
      </w:r>
      <w:r>
        <w:t xml:space="preserve">1 and</w:t>
      </w:r>
      <w:r>
        <w:t xml:space="preserve"> </w:t>
      </w:r>
      <w:r>
        <w:rPr>
          <w:iCs/>
          <w:i/>
        </w:rPr>
        <w:t xml:space="preserve">S</w:t>
      </w:r>
      <w:r>
        <w:t xml:space="preserve">2, and two choices,</w:t>
      </w:r>
      <w:r>
        <w:t xml:space="preserve"> </w:t>
      </w:r>
      <w:r>
        <w:rPr>
          <w:iCs/>
          <w:i/>
        </w:rPr>
        <w:t xml:space="preserve">C</w:t>
      </w:r>
      <w:r>
        <w:t xml:space="preserve">1 and</w:t>
      </w:r>
      <w:r>
        <w:t xml:space="preserve"> </w:t>
      </w:r>
      <w:r>
        <w:rPr>
          <w:iCs/>
          <w:i/>
        </w:rPr>
        <w:t xml:space="preserve">C</w:t>
      </w:r>
      <w:r>
        <w:t xml:space="preserve">2, as is normal for introductory problems.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 </w:t>
            </w:r>
          </w:p>
        </w:tc>
        <w:tc>
          <w:tcPr/>
          <w:p>
            <w:pPr>
              <w:pStyle w:val="Compact"/>
              <w:jc w:val="right"/>
            </w:pPr>
            <w:r>
              <w:rPr>
                <w:iCs/>
                <w:i/>
              </w:rPr>
              <w:t xml:space="preserve">S</w:t>
            </w:r>
            <w:r>
              <w:t xml:space="preserve">1$ *S</w:t>
            </w:r>
          </w:p>
        </w:tc>
        <w:tc>
          <w:tcPr/>
          <w:p>
            <w:pPr>
              <w:pStyle w:val="Compact"/>
              <w:jc w:val="left"/>
            </w:pPr>
            <w:r>
              <w:t xml:space="preserve">*2</w:t>
            </w:r>
          </w:p>
        </w:tc>
      </w:tr>
      <w:tr>
        <w:tc>
          <w:tcPr/>
          <w:p>
            <w:pPr>
              <w:pStyle w:val="Compact"/>
              <w:jc w:val="center"/>
            </w:pPr>
            <w:r>
              <w:rPr>
                <w:iCs/>
                <w:i/>
              </w:rPr>
              <w:t xml:space="preserve">C</w:t>
            </w:r>
            <w:r>
              <w:rPr>
                <w:vertAlign w:val="subscript"/>
              </w:rPr>
              <w:t xml:space="preserve">1</w:t>
            </w:r>
            <w:r>
              <w:t xml:space="preserve">$</w:t>
            </w:r>
          </w:p>
        </w:tc>
        <w:tc>
          <w:tcPr/>
          <w:p>
            <w:pPr>
              <w:pStyle w:val="Compact"/>
              <w:jc w:val="right"/>
            </w:pPr>
            <w:r>
              <w:t xml:space="preserve">-$200</w:t>
            </w:r>
          </w:p>
        </w:tc>
        <w:tc>
          <w:tcPr/>
          <w:p>
            <w:pPr>
              <w:pStyle w:val="Compact"/>
              <w:jc w:val="left"/>
            </w:pPr>
            <w:r>
              <w:t xml:space="preserve">$1000</w:t>
            </w:r>
          </w:p>
        </w:tc>
      </w:tr>
      <w:tr>
        <w:tc>
          <w:tcPr/>
          <w:p>
            <w:pPr>
              <w:pStyle w:val="Compact"/>
              <w:jc w:val="center"/>
            </w:pPr>
            <w:r>
              <w:rPr>
                <w:iCs/>
                <w:i/>
              </w:rPr>
              <w:t xml:space="preserve">C</w:t>
            </w:r>
            <w:r>
              <w:rPr>
                <w:vertAlign w:val="subscript"/>
              </w:rPr>
              <w:t xml:space="preserve">2</w:t>
            </w:r>
            <w:r>
              <w:t xml:space="preserve">$</w:t>
            </w:r>
          </w:p>
        </w:tc>
        <w:tc>
          <w:tcPr/>
          <w:p>
            <w:pPr>
              <w:pStyle w:val="Compact"/>
              <w:jc w:val="right"/>
            </w:pPr>
            <w:r>
              <w:t xml:space="preserve">-$100</w:t>
            </w:r>
          </w:p>
        </w:tc>
        <w:tc>
          <w:tcPr/>
          <w:p>
            <w:pPr>
              <w:pStyle w:val="Compact"/>
              <w:jc w:val="left"/>
            </w:pPr>
            <w:r>
              <w:t xml:space="preserve">$1500</w:t>
            </w:r>
          </w:p>
        </w:tc>
      </w:tr>
    </w:tbl>
    <w:p>
      <w:pPr>
        <w:pStyle w:val="BodyText"/>
      </w:pPr>
      <w:r>
        <w:t xml:space="preserve">She’s hoping that the students will see that</w:t>
      </w:r>
      <w:r>
        <w:t xml:space="preserve"> </w:t>
      </w:r>
      <w:r>
        <w:rPr>
          <w:iCs/>
          <w:i/>
        </w:rPr>
        <w:t xml:space="preserve">C</w:t>
      </w:r>
      <w:r>
        <w:t xml:space="preserve">1 and</w:t>
      </w:r>
      <w:r>
        <w:t xml:space="preserve"> </w:t>
      </w:r>
      <w:r>
        <w:rPr>
          <w:iCs/>
          <w:i/>
        </w:rPr>
        <w:t xml:space="preserve">C</w:t>
      </w:r>
      <w:r>
        <w:t xml:space="preserve">2 are bets, but</w:t>
      </w:r>
      <w:r>
        <w:t xml:space="preserve"> </w:t>
      </w:r>
      <w:r>
        <w:rPr>
          <w:iCs/>
          <w:i/>
        </w:rPr>
        <w:t xml:space="preserve">C</w:t>
      </w:r>
      <w:r>
        <w:t xml:space="preserve">2 is clearly the better bet. If</w:t>
      </w:r>
      <w:r>
        <w:t xml:space="preserve"> </w:t>
      </w:r>
      <w:r>
        <w:rPr>
          <w:iCs/>
          <w:i/>
        </w:rPr>
        <w:t xml:space="preserve">S</w:t>
      </w:r>
      <w:r>
        <w:t xml:space="preserve">1 is actual, then both bets lose, but</w:t>
      </w:r>
      <w:r>
        <w:t xml:space="preserve"> </w:t>
      </w:r>
      <w:r>
        <w:rPr>
          <w:iCs/>
          <w:i/>
        </w:rPr>
        <w:t xml:space="preserve">C</w:t>
      </w:r>
      <w:r>
        <w:t xml:space="preserve">2 loses less money. If</w:t>
      </w:r>
      <w:r>
        <w:t xml:space="preserve"> </w:t>
      </w:r>
      <w:r>
        <w:rPr>
          <w:iCs/>
          <w:i/>
        </w:rPr>
        <w:t xml:space="preserve">S</w:t>
      </w:r>
      <w:r>
        <w:t xml:space="preserve">2 is actual, then both bets win, but</w:t>
      </w:r>
      <w:r>
        <w:t xml:space="preserve"> </w:t>
      </w:r>
      <w:r>
        <w:rPr>
          <w:iCs/>
          <w:i/>
        </w:rPr>
        <w:t xml:space="preserve">C</w:t>
      </w:r>
      <w:r>
        <w:t xml:space="preserve">2 wins more. So</w:t>
      </w:r>
      <w:r>
        <w:t xml:space="preserve"> </w:t>
      </w:r>
      <w:r>
        <w:rPr>
          <w:iCs/>
          <w:i/>
        </w:rPr>
        <w:t xml:space="preserve">C</w:t>
      </w:r>
      <w:r>
        <w:t xml:space="preserve">2 is better. That analysis is clearly wrong if the state is causally dependent on the choice, and controversial if the states are evidentially dependent on the choices. But Professor Dec has not given any reason for the students to think that the states are dependent on the choices in either way, and in fact the students don’t worry about that kind of dependence.</w:t>
      </w:r>
    </w:p>
    <w:p>
      <w:pPr>
        <w:pStyle w:val="BodyText"/>
      </w:pPr>
      <w:r>
        <w:t xml:space="preserve">That doesn’t mean, however, that the students all adopt the analysis that Professor Dec wants them to. One student, Stu, is particularly unwilling to accept that</w:t>
      </w:r>
      <w:r>
        <w:t xml:space="preserve"> </w:t>
      </w:r>
      <w:r>
        <w:rPr>
          <w:iCs/>
          <w:i/>
        </w:rPr>
        <w:t xml:space="preserve">C</w:t>
      </w:r>
      <w:r>
        <w:t xml:space="preserve">2 is better than</w:t>
      </w:r>
      <w:r>
        <w:t xml:space="preserve"> </w:t>
      </w:r>
      <w:r>
        <w:rPr>
          <w:iCs/>
          <w:i/>
        </w:rPr>
        <w:t xml:space="preserve">C</w:t>
      </w:r>
      <w:r>
        <w:t xml:space="preserve">1. He thinks, on the basis of his experience, that when more than $1000 is on the line, people aren’t as reliable about paying out on bets. So while</w:t>
      </w:r>
      <w:r>
        <w:t xml:space="preserve"> </w:t>
      </w:r>
      <w:r>
        <w:rPr>
          <w:iCs/>
          <w:i/>
        </w:rPr>
        <w:t xml:space="preserve">C</w:t>
      </w:r>
      <w:r>
        <w:t xml:space="preserve">1 is guaranteed to deliver $1000 if</w:t>
      </w:r>
      <w:r>
        <w:t xml:space="preserve"> </w:t>
      </w:r>
      <w:r>
        <w:rPr>
          <w:iCs/>
          <w:i/>
        </w:rPr>
        <w:t xml:space="preserve">S</w:t>
      </w:r>
      <w:r>
        <w:t xml:space="preserve">2, if the agent bets on</w:t>
      </w:r>
      <w:r>
        <w:t xml:space="preserve"> </w:t>
      </w:r>
      <w:r>
        <w:rPr>
          <w:iCs/>
          <w:i/>
        </w:rPr>
        <w:t xml:space="preserve">C</w:t>
      </w:r>
      <w:r>
        <w:t xml:space="preserve">2, she might face some difficulty in collecting on her money.</w:t>
      </w:r>
    </w:p>
    <w:p>
      <w:pPr>
        <w:pStyle w:val="BodyText"/>
      </w:pPr>
      <w:r>
        <w:t xml:space="preserve">Given the context, i.e., that they are in an undergraduate decision theory class, it seems that Stu has misunderstood the question that Professor Dec intended to ask. But it is not easy to specify just exactly what Stu’s mistake is. It isn’t that he thinks Professor Dec has misdescribed the situation. It isn’t that he thinks the agent won’t collect $1500 if she chooses</w:t>
      </w:r>
      <w:r>
        <w:t xml:space="preserve"> </w:t>
      </w:r>
      <w:r>
        <w:rPr>
          <w:iCs/>
          <w:i/>
        </w:rPr>
        <w:t xml:space="preserve">C</w:t>
      </w:r>
      <w:r>
        <w:t xml:space="preserve">2 and is in</w:t>
      </w:r>
      <w:r>
        <w:t xml:space="preserve"> </w:t>
      </w:r>
      <w:r>
        <w:rPr>
          <w:iCs/>
          <w:i/>
        </w:rPr>
        <w:t xml:space="preserve">S</w:t>
      </w:r>
      <w:r>
        <w:t xml:space="preserve">2. He just thinks that she</w:t>
      </w:r>
      <w:r>
        <w:t xml:space="preserve"> </w:t>
      </w:r>
      <w:r>
        <w:rPr>
          <w:iCs/>
          <w:i/>
        </w:rPr>
        <w:t xml:space="preserve">might</w:t>
      </w:r>
      <w:r>
        <w:t xml:space="preserve"> </w:t>
      </w:r>
      <w:r>
        <w:t xml:space="preserve">not be able to collect it, so the expected payout might really be a little less than $1500.</w:t>
      </w:r>
    </w:p>
    <w:p>
      <w:pPr>
        <w:pStyle w:val="BodyText"/>
      </w:pPr>
      <w:r>
        <w:t xml:space="preserve">But Stu is not the only problem that Professor Dec has. She also has trouble convincing Dom of the argument. He thinks there should be a third state added to the table,</w:t>
      </w:r>
      <w:r>
        <w:t xml:space="preserve"> </w:t>
      </w:r>
      <w:r>
        <w:rPr>
          <w:iCs/>
          <w:i/>
        </w:rPr>
        <w:t xml:space="preserve">S</w:t>
      </w:r>
      <w:r>
        <w:rPr>
          <w:vertAlign w:val="subscript"/>
        </w:rPr>
        <w:t xml:space="preserve">3</w:t>
      </w:r>
      <w:r>
        <w:t xml:space="preserve">. In</w:t>
      </w:r>
      <w:r>
        <w:t xml:space="preserve"> </w:t>
      </w:r>
      <w:r>
        <w:rPr>
          <w:iCs/>
          <w:i/>
        </w:rPr>
        <w:t xml:space="preserve">S</w:t>
      </w:r>
      <w:r>
        <w:rPr>
          <w:vertAlign w:val="subscript"/>
        </w:rPr>
        <w:t xml:space="preserve">3</w:t>
      </w:r>
      <w:r>
        <w:t xml:space="preserve">, there is a vengeful God who is about to end the world, and take everyone who chose</w:t>
      </w:r>
      <w:r>
        <w:t xml:space="preserve"> </w:t>
      </w:r>
      <w:r>
        <w:rPr>
          <w:iCs/>
          <w:i/>
        </w:rPr>
        <w:t xml:space="preserve">C</w:t>
      </w:r>
      <w:r>
        <w:t xml:space="preserve">1 to heaven, while sending everyone who chose</w:t>
      </w:r>
      <w:r>
        <w:t xml:space="preserve"> </w:t>
      </w:r>
      <w:r>
        <w:rPr>
          <w:iCs/>
          <w:i/>
        </w:rPr>
        <w:t xml:space="preserve">C</w:t>
      </w:r>
      <w:r>
        <w:t xml:space="preserve">2 to hell. Since heaven is better than hell,</w:t>
      </w:r>
      <w:r>
        <w:t xml:space="preserve"> </w:t>
      </w:r>
      <w:r>
        <w:rPr>
          <w:iCs/>
          <w:i/>
        </w:rPr>
        <w:t xml:space="preserve">C</w:t>
      </w:r>
      <w:r>
        <w:t xml:space="preserve">2 does not dominate</w:t>
      </w:r>
      <w:r>
        <w:t xml:space="preserve"> </w:t>
      </w:r>
      <w:r>
        <w:rPr>
          <w:iCs/>
          <w:i/>
        </w:rPr>
        <w:t xml:space="preserve">C</w:t>
      </w:r>
      <w:r>
        <w:t xml:space="preserve">1; it is worse in</w:t>
      </w:r>
      <w:r>
        <w:t xml:space="preserve"> </w:t>
      </w:r>
      <w:r>
        <w:rPr>
          <w:iCs/>
          <w:i/>
        </w:rPr>
        <w:t xml:space="preserve">S</w:t>
      </w:r>
      <w:r>
        <w:rPr>
          <w:vertAlign w:val="subscript"/>
        </w:rPr>
        <w:t xml:space="preserve">3</w:t>
      </w:r>
      <w:r>
        <w:t xml:space="preserve">. Dom does not think this is particularly likely, but he thinks it is possible, and decision theory should represent possibilities like this. If decision theory is to be useful, we must say something about why we can leave states like</w:t>
      </w:r>
      <w:r>
        <w:t xml:space="preserve"> </w:t>
      </w:r>
      <w:r>
        <w:rPr>
          <w:iCs/>
          <w:i/>
        </w:rPr>
        <w:t xml:space="preserve">S</w:t>
      </w:r>
      <w:r>
        <w:rPr>
          <w:vertAlign w:val="subscript"/>
        </w:rPr>
        <w:t xml:space="preserve">3</w:t>
      </w:r>
      <w:r>
        <w:t xml:space="preserve"> </w:t>
      </w:r>
      <w:r>
        <w:t xml:space="preserve">off the decision table.</w:t>
      </w:r>
    </w:p>
    <w:p>
      <w:pPr>
        <w:pStyle w:val="BodyText"/>
      </w:pPr>
      <w:r>
        <w:t xml:space="preserve">So in order to teach decision theory, Professor Dec has to answer two questions.</w:t>
      </w:r>
    </w:p>
    <w:p>
      <w:pPr>
        <w:numPr>
          <w:ilvl w:val="0"/>
          <w:numId w:val="1027"/>
        </w:numPr>
        <w:pStyle w:val="Compact"/>
      </w:pPr>
      <w:r>
        <w:t xml:space="preserve">What makes it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w:t>
      </w:r>
    </w:p>
    <w:p>
      <w:pPr>
        <w:numPr>
          <w:ilvl w:val="0"/>
          <w:numId w:val="1027"/>
        </w:numPr>
        <w:pStyle w:val="Compact"/>
      </w:pPr>
      <w:r>
        <w:t xml:space="preserve">What makes it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w:t>
      </w:r>
    </w:p>
    <w:p>
      <w:pPr>
        <w:pStyle w:val="FirstParagraph"/>
      </w:pPr>
      <w:r>
        <w:t xml:space="preserve">When I’ve talked about decision tables so far, the focus has been on what tables thinkers actually use. Here the focus is switching to what tables they should use. And the claim is going to be that what they should use is determined by what they know.</w:t>
      </w:r>
    </w:p>
    <w:p>
      <w:pPr>
        <w:pStyle w:val="BodyText"/>
      </w:pPr>
      <w:r>
        <w:t xml:space="preserve">To get to that conclusion, start with a much simpler problem. Mireille is out of town on a holiday, and she faces the following decision choice concerning what to do with a token in her hand.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rPr>
                <w:bCs/>
                <w:b/>
              </w:rPr>
              <w:t xml:space="preserve">Choice</w:t>
            </w:r>
          </w:p>
        </w:tc>
        <w:tc>
          <w:tcPr/>
          <w:p>
            <w:pPr>
              <w:pStyle w:val="Compact"/>
              <w:jc w:val="center"/>
            </w:pPr>
            <w:r>
              <w:rPr>
                <w:bCs/>
                <w:b/>
              </w:rPr>
              <w:t xml:space="preserve">Outcome</w:t>
            </w:r>
          </w:p>
        </w:tc>
      </w:tr>
      <w:tr>
        <w:tc>
          <w:tcPr/>
          <w:p>
            <w:pPr>
              <w:pStyle w:val="Compact"/>
              <w:jc w:val="center"/>
            </w:pPr>
            <w:r>
              <w:t xml:space="preserve">Put token on table</w:t>
            </w:r>
          </w:p>
        </w:tc>
        <w:tc>
          <w:tcPr/>
          <w:p>
            <w:pPr>
              <w:pStyle w:val="Compact"/>
              <w:jc w:val="center"/>
            </w:pPr>
            <w:r>
              <w:t xml:space="preserve">Win $1000</w:t>
            </w:r>
          </w:p>
        </w:tc>
      </w:tr>
      <w:tr>
        <w:tc>
          <w:tcPr/>
          <w:p>
            <w:pPr>
              <w:pStyle w:val="Compact"/>
              <w:jc w:val="center"/>
            </w:pPr>
            <w:r>
              <w:t xml:space="preserve">Put token in pocket</w:t>
            </w:r>
          </w:p>
        </w:tc>
        <w:tc>
          <w:tcPr/>
          <w:p>
            <w:pPr>
              <w:pStyle w:val="Compact"/>
              <w:jc w:val="center"/>
            </w:pPr>
            <w:r>
              <w:t xml:space="preserve">Win nothing</w:t>
            </w:r>
          </w:p>
        </w:tc>
      </w:tr>
    </w:tbl>
    <w:p>
      <w:pPr>
        <w:pStyle w:val="BodyText"/>
      </w:pPr>
      <w:r>
        <w:t xml:space="preserve">This looks easy, especially if we’ve taken Professor Dec’s class. Putting the token on the table dominates putting the token in her pocket. It returns $1000, versus no gain. So she should put the token on the table.</w:t>
      </w:r>
    </w:p>
    <w:p>
      <w:pPr>
        <w:pStyle w:val="BodyText"/>
      </w:pPr>
      <w:r>
        <w:t xml:space="preserve">I’ve left Mireille’s story fairly schematic; let’s fill in some of the details. Mireille is on holiday at a casino. It’s a fair casino in the sense that the probabilities of the outcomes of each of the games is just what you’d expect. And Mireille knows this. The table she’s standing at is a roulette table. The token is a chip from the casino worth $1000.</w:t>
      </w:r>
    </w:p>
    <w:p>
      <w:pPr>
        <w:pStyle w:val="BodyText"/>
      </w:pPr>
      <w:r>
        <w:t xml:space="preserve">Putting the token on the table means placing a bet. As it turns out, it means placing a bet on the roulette wheel landing on 28. If that bet wins she gets her token back and another token of the same value. There are many other bets she could make, but Mireille has decided not to make all but one of them. Since her birthday is the 28</w:t>
      </w:r>
      <w:r>
        <w:rPr>
          <w:vertAlign w:val="superscript"/>
        </w:rPr>
        <w:t xml:space="preserve">th</w:t>
      </w:r>
      <w:r>
        <w:t xml:space="preserve">, she is tempted to put a bet on 28; that’s the only bet she is considering. If she makes this bet, the objective chance of her winning is 1 in 38, and she knows this. As a matter of fact she will win, but she doesn’t know this. (This is why the description in the table I presented above is truthful, though frightfully misleading.) As you can see, the odds on this bet are terrible. She should have a chance of winning around ½ to justify placing this bet. (It’s a very unfair casino in this sense, but what can you expect at a vacation resort?) So the above table, which makes it look like placing the bet is the dominant, and hence rational, option, is misleading.</w:t>
      </w:r>
    </w:p>
    <w:p>
      <w:pPr>
        <w:pStyle w:val="BodyText"/>
      </w:pPr>
      <w:r>
        <w:t xml:space="preserve">Just how is the table misleading though? It isn’t because what is says is false. If Mireille puts the token on the table she wins $1000; and if she doesn’t, she stays where she is. It isn’t, or isn’t just, that Mireille doesn’t believe the table reflects what will happen if she places the bet. As it turns out, Mireille is smart, so she doesn’t form beliefs about chance events like roulette wheels. But even if she did, that wouldn’t change how misleading the table is. The table suggests that it is rational for Mireille to put the token on the table. In fact, that is irrational. And it would still be irrational if Mireille believes, irrationally, that the wheel will land on 28.</w:t>
      </w:r>
    </w:p>
    <w:p>
      <w:pPr>
        <w:pStyle w:val="BodyText"/>
      </w:pPr>
      <w:r>
        <w:t xml:space="preserve">A better suggestion is that the table is misleading because Mireille doesn’t know that it accurately depicts the choice she faced. If she did know that these were the outcomes to putting the token on the table versus in her pocket, it would be rational for her to put it on the table. If we take it as understood in a presentation of a decision problem that the agent knows that the table accurately depicts the outcomes of various choices in different states, then we can tell a plausible story about the miscommunication between Professor Dec and her students. Stu was assuming that if the agent wins $1500, she might not be able to easily collect. That is, he was assuming that the agent does not know that she’ll get $1500 if she chooses</w:t>
      </w:r>
      <w:r>
        <w:t xml:space="preserve"> </w:t>
      </w:r>
      <w:r>
        <w:rPr>
          <w:iCs/>
          <w:i/>
        </w:rPr>
        <w:t xml:space="preserve">C</w:t>
      </w:r>
      <w:r>
        <w:t xml:space="preserve">2 and is in state</w:t>
      </w:r>
      <w:r>
        <w:t xml:space="preserve"> </w:t>
      </w:r>
      <w:r>
        <w:rPr>
          <w:iCs/>
          <w:i/>
        </w:rPr>
        <w:t xml:space="preserve">S</w:t>
      </w:r>
      <w:r>
        <w:t xml:space="preserve">2. Professor Dec, if she’s anything like other decision theory professors, will have assumed that the agent did know exactly that. And the miscommunication between Professor Dec and Dom also concerns knowledge. When Dec wrote that table up, she was saying that the agent knew that</w:t>
      </w:r>
      <w:r>
        <w:t xml:space="preserve"> </w:t>
      </w:r>
      <w:r>
        <w:rPr>
          <w:iCs/>
          <w:i/>
        </w:rPr>
        <w:t xml:space="preserve">S</w:t>
      </w:r>
      <w:r>
        <w:t xml:space="preserve">1 or</w:t>
      </w:r>
      <w:r>
        <w:t xml:space="preserve"> </w:t>
      </w:r>
      <w:r>
        <w:rPr>
          <w:iCs/>
          <w:i/>
        </w:rPr>
        <w:t xml:space="preserve">S</w:t>
      </w:r>
      <w:r>
        <w:t xml:space="preserve">2 obtained. And when she says it is best to take dominating options, she means that it is best to take options that one knows to have better outcomes. So here are the answers to Stu and Dom’s challenges.</w:t>
      </w:r>
    </w:p>
    <w:p>
      <w:pPr>
        <w:numPr>
          <w:ilvl w:val="0"/>
          <w:numId w:val="1028"/>
        </w:numPr>
        <w:pStyle w:val="Compact"/>
      </w:pPr>
      <w:r>
        <w:t xml:space="preserve">It is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 iff the decision maker knows it to be true.</w:t>
      </w:r>
    </w:p>
    <w:p>
      <w:pPr>
        <w:numPr>
          <w:ilvl w:val="0"/>
          <w:numId w:val="1028"/>
        </w:numPr>
        <w:pStyle w:val="Compact"/>
      </w:pPr>
      <w:r>
        <w:t xml:space="preserve">It is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 iff the decision maker knows it not to obtain.</w:t>
      </w:r>
    </w:p>
    <w:p>
      <w:pPr>
        <w:pStyle w:val="FirstParagraph"/>
      </w:pPr>
      <w:r>
        <w:t xml:space="preserve">Perhaps those answers are not correct, but what we can clearly see by reflecting on these cases is that the standard presentation of a decision problem presupposes not just that the table states what will happen, but the agent stands in some special doxastic relationship to the information explicitly on the table (such as that the chooser in Professor Dec’s example will get $1500 if</w:t>
      </w:r>
      <w:r>
        <w:t xml:space="preserve"> </w:t>
      </w:r>
      <w:r>
        <w:rPr>
          <w:iCs/>
          <w:i/>
        </w:rPr>
        <w:t xml:space="preserve">C</w:t>
      </w:r>
      <w:r>
        <w:t xml:space="preserve">2 and</w:t>
      </w:r>
      <w:r>
        <w:t xml:space="preserve"> </w:t>
      </w:r>
      <w:r>
        <w:rPr>
          <w:iCs/>
          <w:i/>
        </w:rPr>
        <w:t xml:space="preserve">S</w:t>
      </w:r>
      <w:r>
        <w:t xml:space="preserve">2) and implied by where the table ends (such as that</w:t>
      </w:r>
      <w:r>
        <w:t xml:space="preserve"> </w:t>
      </w:r>
      <w:r>
        <w:rPr>
          <w:iCs/>
          <w:i/>
        </w:rPr>
        <w:t xml:space="preserve">S</w:t>
      </w:r>
      <w:r>
        <w:rPr>
          <w:vertAlign w:val="subscript"/>
        </w:rPr>
        <w:t xml:space="preserve">3</w:t>
      </w:r>
      <w:r>
        <w:t xml:space="preserve"> </w:t>
      </w:r>
      <w:r>
        <w:t xml:space="preserve">will not happen).</w:t>
      </w:r>
    </w:p>
    <w:p>
      <w:pPr>
        <w:pStyle w:val="BodyText"/>
      </w:pPr>
      <w:r>
        <w:t xml:space="preserve">I think that special doxastic relationship is knowledge. But I don’t need to argue for that here. All I need to argue is that if the person making the decision knows that</w:t>
      </w:r>
      <w:r>
        <w:t xml:space="preserve"> </w:t>
      </w:r>
      <w:r>
        <w:rPr>
          <w:iCs/>
          <w:i/>
        </w:rPr>
        <w:t xml:space="preserve">p</w:t>
      </w:r>
      <w:r>
        <w:t xml:space="preserve">, she stands in the special relationship.</w:t>
      </w:r>
    </w:p>
    <w:p>
      <w:pPr>
        <w:pStyle w:val="BodyText"/>
      </w:pPr>
      <w:r>
        <w:t xml:space="preserve">But could the</w:t>
      </w:r>
      <w:r>
        <w:t xml:space="preserve"> </w:t>
      </w:r>
      <w:r>
        <w:t xml:space="preserve">‘</w:t>
      </w:r>
      <w:r>
        <w:t xml:space="preserve">special doxastic relationship</w:t>
      </w:r>
      <w:r>
        <w:t xml:space="preserve">’</w:t>
      </w:r>
      <w:r>
        <w:t xml:space="preserve"> </w:t>
      </w:r>
      <w:r>
        <w:t xml:space="preserve">be stronger than knowledge? Could it be, for example, that the relationship is certainty, or some kind of iterated knowledge? Plausibly in some game-theoretic settings it is stronger - it involves not just knowing that the table is accurate, but knowing that the other player knows the table is accurate. In some cases, the standard treatment of games will require positing even more iterations of knowledge. For convenience, it is sometimes explicitly stated that iterations continue indefinitely, so each party knows the table is correct, and knows each party knows this, and knows each party knows that, and knows each party knows</w:t>
      </w:r>
      <w:r>
        <w:t xml:space="preserve"> </w:t>
      </w:r>
      <w:r>
        <w:rPr>
          <w:iCs/>
          <w:i/>
        </w:rPr>
        <w:t xml:space="preserve">that</w:t>
      </w:r>
      <w:r>
        <w:t xml:space="preserve">, and so on. An early example of this in philosophy is in the work by David Lewis</w:t>
      </w:r>
      <w:r>
        <w:t xml:space="preserve"> </w:t>
      </w:r>
      <w:r>
        <w:t xml:space="preserve">(</w:t>
      </w:r>
      <w:hyperlink w:anchor="ref-Lewis1969a">
        <w:r>
          <w:rPr>
            <w:rStyle w:val="Hyperlink"/>
          </w:rPr>
          <w:t xml:space="preserve">1969</w:t>
        </w:r>
      </w:hyperlink>
      <w:r>
        <w:t xml:space="preserve">)</w:t>
      </w:r>
      <w:r>
        <w:t xml:space="preserve"> </w:t>
      </w:r>
      <w:r>
        <w:t xml:space="preserve">on convention. But it is usually acknowledged (again in a tradition extending back at least to Lewis) that only the first few iterations are actually needed in any problem, and it seems a mistake to attribute more iterations than are actually used in deriving solutions to any particular game.</w:t>
      </w:r>
    </w:p>
    <w:p>
      <w:pPr>
        <w:pStyle w:val="BodyText"/>
      </w:pPr>
      <w:r>
        <w:t xml:space="preserve">The reason that would be a mistake is that we want game theory, and decision theory, to be applicable to real-life situations. There is very little that we know, and know that we know, and know we know we know, and so on indefinitely</w:t>
      </w:r>
      <w:r>
        <w:t xml:space="preserve"> </w:t>
      </w:r>
      <w:r>
        <w:t xml:space="preserve">(</w:t>
      </w:r>
      <w:hyperlink w:anchor="ref-Williamson2000">
        <w:r>
          <w:rPr>
            <w:rStyle w:val="Hyperlink"/>
          </w:rPr>
          <w:t xml:space="preserve">Williamson 2000</w:t>
        </w:r>
      </w:hyperlink>
      <w:r>
        <w:t xml:space="preserve">, Ch. 4)</w:t>
      </w:r>
      <w:r>
        <w:t xml:space="preserve">. There is, perhaps, even less that we are certain of. If we only could say that a person is making a particular decision when they stand in these very strong relationships to the parameters of the decision table, then people will almost never be making the kinds of decision we study in decision theory. Since decision theory and game theory are not meant to be that impractical, the</w:t>
      </w:r>
      <w:r>
        <w:t xml:space="preserve"> </w:t>
      </w:r>
      <w:r>
        <w:t xml:space="preserve">‘</w:t>
      </w:r>
      <w:r>
        <w:t xml:space="preserve">special doxastic relationship</w:t>
      </w:r>
      <w:r>
        <w:t xml:space="preserve">’</w:t>
      </w:r>
      <w:r>
        <w:t xml:space="preserve"> </w:t>
      </w:r>
      <w:r>
        <w:t xml:space="preserve">cannot be that strong. It could be that in some games, the special relationship will involve a few iterations of knowledge, but in decision problems, where the epistemic states of others are irrelevant, even that is unnecessary, and simple knowledge seems sufficient.</w:t>
      </w:r>
    </w:p>
    <w:p>
      <w:pPr>
        <w:pStyle w:val="BodyText"/>
      </w:pPr>
      <w:r>
        <w:t xml:space="preserve">It might be argued here that we shouldn’t expect to apply decision theory directly to real-life problems, but only to idealised versions of them, so it would be acceptable to, for instance, require that the things we put in the table are, say, things that have probability exactly 1. In real life, virtually nothing has probability 1. In an idealisation, many things do. But to argue this way seems to involve using</w:t>
      </w:r>
      <w:r>
        <w:t xml:space="preserve"> </w:t>
      </w:r>
      <w:r>
        <w:t xml:space="preserve">‘</w:t>
      </w:r>
      <w:r>
        <w:t xml:space="preserve">idealisation</w:t>
      </w:r>
      <w:r>
        <w:t xml:space="preserve">’</w:t>
      </w:r>
      <w:r>
        <w:t xml:space="preserve"> </w:t>
      </w:r>
      <w:r>
        <w:t xml:space="preserve">in an unnatural sense. There is a sense in which, whenever we treat something with non-maximal probability as simply given in a decision problem that we’re ignoring, or abstracting away from, some complication. But we aren’t idealising. On the contrary, we’re modelling the agent as if they were irrationally certain in some things which are merely very very probable.</w:t>
      </w:r>
    </w:p>
    <w:p>
      <w:pPr>
        <w:pStyle w:val="BodyText"/>
      </w:pPr>
      <w:r>
        <w:t xml:space="preserve">So it’s better to say that any application of decision theory to a real-life problem will involve ignoring certain (counterfactual) logical or metaphysical possibilities in which the decision table is not actually true. But not any old abstraction will do. We can’t ignore just anything, at least not if we want a good model. Which abstractions are acceptable? The response I’ve offered to Dom’s challenge suggests an answer to this: we can abstract away from any possibility in which something the agent actually knows is false. I don’t have a knock-down argument that this is the best of all possible abstractions, but nor do I know of any alternative answer to the question which abstractions are acceptable which is nearly as plausible.</w:t>
      </w:r>
    </w:p>
    <w:p>
      <w:pPr>
        <w:pStyle w:val="BodyText"/>
      </w:pPr>
      <w:r>
        <w:t xml:space="preserve">We might be tempted to say that we can abstract away from anything such that the difference between its probability and 1 doesn’t make a difference to the ultimate answer to the decision problem. More carefully, the idea would be that we can have the decision table represent that</w:t>
      </w:r>
      <w:r>
        <w:t xml:space="preserve"> </w:t>
      </w:r>
      <w:r>
        <w:rPr>
          <w:iCs/>
          <w:i/>
        </w:rPr>
        <w:t xml:space="preserve">p</w:t>
      </w:r>
      <w:r>
        <w:t xml:space="preserve"> </w:t>
      </w:r>
      <w:r>
        <w:t xml:space="preserve">iff</w:t>
      </w:r>
      <w:r>
        <w:t xml:space="preserve"> </w:t>
      </w:r>
      <w:r>
        <w:rPr>
          <w:iCs/>
          <w:i/>
        </w:rPr>
        <w:t xml:space="preserve">p</w:t>
      </w:r>
      <w:r>
        <w:t xml:space="preserve"> </w:t>
      </w:r>
      <w:r>
        <w:t xml:space="preserve">is true and treating the probability of</w:t>
      </w:r>
      <w:r>
        <w:t xml:space="preserve"> </w:t>
      </w:r>
      <w:r>
        <w:rPr>
          <w:iCs/>
          <w:i/>
        </w:rPr>
        <w:t xml:space="preserve">p</w:t>
      </w:r>
      <w:r>
        <w:t xml:space="preserve"> </w:t>
      </w:r>
      <w:r>
        <w:t xml:space="preserve">as 1 rather than its actual value doesn’t change what the agent should do. I think this is the most plausible story one could tell about decision tables if one didn’t like the knowledge first story that I tell. But I also don’t think it works, in part because of cases like the following.</w:t>
      </w:r>
      <w:r>
        <w:rPr>
          <w:rStyle w:val="FootnoteReference"/>
        </w:rPr>
        <w:footnoteReference w:id="75"/>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like Mireille, is considering betting on 28. As it turns out, 28 won’t come up, although since this is a fair roulette wheel, Luc doesn’t know this. Luc, like most agents, has a declining marginal utility for money. He currently has $1,000, and for any amount of money $x, Luc gets utility</w:t>
      </w:r>
      <w:r>
        <w:t xml:space="preserve"> </w:t>
      </w:r>
      <w:r>
        <w:rPr>
          <w:iCs/>
          <w:i/>
        </w:rPr>
        <w:t xml:space="preserve">x</w:t>
      </w:r>
      <w:r>
        <w:rPr>
          <w:vertAlign w:val="superscript"/>
        </w:rPr>
        <w:t xml:space="preserve">0.5</w:t>
      </w:r>
      <w:r>
        <w:t xml:space="preserve"> </w:t>
      </w:r>
      <w:r>
        <w:t xml:space="preserve">out of having $x.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 Does that mean it is acceptable, in presenting Luc’s decision problem, to leave off the table any possibility of him winning, since he won’t win, and setting the probability of losing to 1 rather than 37 in 38 doesn’t change the decision he should make? I doubt it;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per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w:t>
      </w:r>
      <w:r>
        <w:t xml:space="preserve"> </w:t>
      </w:r>
      <w:r>
        <w:rPr>
          <w:vertAlign w:val="subscript"/>
        </w:rPr>
        <w:t xml:space="preserve">$10</w:t>
      </w:r>
      <w:r>
        <w:t xml:space="preserve"> </w:t>
      </w:r>
      <w:r>
        <w:t xml:space="preserve">against ~$400, he would have been wise to take the bet. Leaving off the possibility of winning hides these facts, and badly misrepresents Luc’s situation.</w:t>
      </w:r>
    </w:p>
    <w:p>
      <w:pPr>
        <w:pStyle w:val="BodyText"/>
      </w:pPr>
      <w:r>
        <w:t xml:space="preserve">I’ve argued that the states we can</w:t>
      </w:r>
      <w:r>
        <w:t xml:space="preserve"> </w:t>
      </w:r>
      <w:r>
        <w:t xml:space="preserve">‘</w:t>
      </w:r>
      <w:r>
        <w:t xml:space="preserve">leave off</w:t>
      </w:r>
      <w:r>
        <w:t xml:space="preserve">’</w:t>
      </w:r>
      <w:r>
        <w:t xml:space="preserve"> </w:t>
      </w:r>
      <w:r>
        <w:t xml:space="preserve">a decision table are the states that the agent knows not to obtain. The argument is largely by elimination. If we can only leave off things that have probability 1, then decision theory would be useless; but it isn’t. If we say we can leave off things if setting their probability at 1 is an acceptable idealisation, we need a theory of acceptable idealisations. If this is to be a rival to my theory, the idealisation had better not be it’s acceptable to treat anything known as having probability 1. But the most natural alternative idealisation badly misrepresents Luc’s case. If we say that what can be left off is not what’s known not to obtain, but what is, say, justifiably truly believed not to obtain, we need an argument for why people would naturally use such an unnatural standard. This doesn’t even purport to be a conclusive argument, but these considerations point me towards thinking that knowledge determines what we can leave off.</w:t>
      </w:r>
    </w:p>
    <w:p>
      <w:pPr>
        <w:pStyle w:val="BodyText"/>
      </w:pPr>
      <w:r>
        <w:t xml:space="preserve">I also cheated a little in making this argument. When I described Mireille in the casino, I made a few explicit comments about her information states. And every time, I said that she knew various propositions. It seemed plausible at the time that this is enough to think those propositions should be incorporated into the table we use to represent her decision. That’s some evidence against the idea that more than knowledge, perhaps iterated knowledge or certainty, is needed before we add propositions to the decision table.</w:t>
      </w:r>
    </w:p>
    <w:p>
      <w:pPr>
        <w:pStyle w:val="BodyText"/>
      </w:pPr>
      <w:r>
        <w:t xml:space="preserve">If knowledge structures decision tables, then there is a simple argument that Anisa loses knowledge when playing the red-blue game. The following would be a bad table for Anisa to use when deciding what to do.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2+2=4</w:t>
            </w:r>
          </w:p>
        </w:tc>
        <w:tc>
          <w:tcPr/>
          <w:p>
            <w:pPr>
              <w:pStyle w:val="Compact"/>
              <w:jc w:val="center"/>
            </w:pPr>
            <w:r>
              <w:t xml:space="preserve">2+2 ≠ 4</w:t>
            </w:r>
          </w:p>
        </w:tc>
      </w:tr>
      <w:tr>
        <w:tc>
          <w:tcPr/>
          <w:p>
            <w:pPr>
              <w:pStyle w:val="Compact"/>
              <w:jc w:val="right"/>
            </w:pPr>
            <w:r>
              <w:t xml:space="preserve">Red-True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Red-False</w:t>
            </w:r>
          </w:p>
        </w:tc>
        <w:tc>
          <w:tcPr/>
          <w:p>
            <w:pPr>
              <w:pStyle w:val="Compact"/>
              <w:jc w:val="center"/>
            </w:pPr>
            <w:r>
              <w:t xml:space="preserve">0</w:t>
            </w:r>
          </w:p>
        </w:tc>
        <w:tc>
          <w:tcPr/>
          <w:p>
            <w:pPr>
              <w:pStyle w:val="Compact"/>
              <w:jc w:val="center"/>
            </w:pPr>
            <w:r>
              <w:t xml:space="preserve">$50</w:t>
            </w:r>
          </w:p>
        </w:tc>
      </w:tr>
      <w:tr>
        <w:tc>
          <w:tcPr/>
          <w:p>
            <w:pPr>
              <w:pStyle w:val="Compact"/>
              <w:jc w:val="right"/>
            </w:pPr>
            <w:r>
              <w:t xml:space="preserve">Blue-True</w:t>
            </w:r>
          </w:p>
        </w:tc>
        <w:tc>
          <w:tcPr/>
          <w:p>
            <w:pPr>
              <w:pStyle w:val="Compact"/>
              <w:jc w:val="center"/>
            </w:pPr>
            <w:r>
              <w:t xml:space="preserve">$50</w:t>
            </w:r>
          </w:p>
        </w:tc>
        <w:tc>
          <w:tcPr/>
          <w:p>
            <w:pPr>
              <w:pStyle w:val="Compact"/>
              <w:jc w:val="center"/>
            </w:pPr>
            <w:r>
              <w:t xml:space="preserve">$50</w:t>
            </w:r>
          </w:p>
        </w:tc>
      </w:tr>
      <w:tr>
        <w:tc>
          <w:tcPr/>
          <w:p>
            <w:pPr>
              <w:pStyle w:val="Compact"/>
              <w:jc w:val="right"/>
            </w:pPr>
            <w:r>
              <w:t xml:space="preserve">Blue-False</w:t>
            </w:r>
          </w:p>
        </w:tc>
        <w:tc>
          <w:tcPr/>
          <w:p>
            <w:pPr>
              <w:pStyle w:val="Compact"/>
              <w:jc w:val="center"/>
            </w:pPr>
            <w:r>
              <w:t xml:space="preserve">0</w:t>
            </w:r>
          </w:p>
        </w:tc>
        <w:tc>
          <w:tcPr/>
          <w:p>
            <w:pPr>
              <w:pStyle w:val="Compact"/>
              <w:jc w:val="center"/>
            </w:pPr>
            <w:r>
              <w:t xml:space="preserve">0</w:t>
            </w:r>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w:t>
      </w:r>
    </w:p>
    <w:bookmarkEnd w:id="76"/>
    <w:bookmarkStart w:id="78" w:name="theoreticalknowledge"/>
    <w:p>
      <w:pPr>
        <w:pStyle w:val="Heading2"/>
      </w:pPr>
      <w:r>
        <w:rPr>
          <w:rStyle w:val="SectionNumber"/>
        </w:rPr>
        <w:t xml:space="preserve">4.2</w:t>
      </w:r>
      <w:r>
        <w:tab/>
      </w:r>
      <w:r>
        <w:t xml:space="preserve">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w:t>
      </w:r>
      <w:hyperlink w:anchor="ref-Hieronymi2013">
        <w:r>
          <w:rPr>
            <w:rStyle w:val="Hyperlink"/>
          </w:rPr>
          <w:t xml:space="preserve">Hieronymi 2013, 115–16</w:t>
        </w:r>
      </w:hyperlink>
      <w:r>
        <w:t xml:space="preserve">)</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w:t>
      </w:r>
      <w:hyperlink w:anchor="ref-HawthorneStanley2008">
        <w:r>
          <w:rPr>
            <w:rStyle w:val="Hyperlink"/>
          </w:rPr>
          <w:t xml:space="preserve">2008</w:t>
        </w:r>
      </w:hyperlink>
      <w:r>
        <w:t xml:space="preserve">)</w:t>
      </w:r>
      <w:r>
        <w:t xml:space="preserve"> </w:t>
      </w:r>
      <w:r>
        <w:t xml:space="preserve">and Fantl and McGrath</w:t>
      </w:r>
      <w:r>
        <w:t xml:space="preserve"> </w:t>
      </w:r>
      <w:r>
        <w:t xml:space="preserve">(</w:t>
      </w:r>
      <w:hyperlink w:anchor="ref-FantlMcGrath2009">
        <w:r>
          <w:rPr>
            <w:rStyle w:val="Hyperlink"/>
          </w:rPr>
          <w:t xml:space="preserve">2009</w:t>
        </w:r>
      </w:hyperlink>
      <w:r>
        <w:t xml:space="preserve">)</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jurisidictions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 chapter</w:t>
      </w:r>
      <w:r>
        <w:t xml:space="preserve"> </w:t>
      </w:r>
      <w:r>
        <w:t xml:space="preserve">5</w:t>
      </w:r>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29"/>
        </w:numPr>
        <w:pStyle w:val="Compact"/>
      </w:pPr>
      <w:r>
        <w:t xml:space="preserve">It is worthwhile to conduct the inquiry.</w:t>
      </w:r>
    </w:p>
    <w:p>
      <w:pPr>
        <w:numPr>
          <w:ilvl w:val="0"/>
          <w:numId w:val="1029"/>
        </w:numPr>
        <w:pStyle w:val="Compact"/>
      </w:pPr>
      <w:r>
        <w:t xml:space="preserve">It is sensible, and efficient enough, to choose these particular starting points.</w:t>
      </w:r>
    </w:p>
    <w:p>
      <w:pPr>
        <w:numPr>
          <w:ilvl w:val="0"/>
          <w:numId w:val="1029"/>
        </w:numPr>
        <w:pStyle w:val="Compact"/>
      </w:pPr>
      <w:r>
        <w:t xml:space="preserve">The starting points are all things that are known to be true.</w:t>
      </w:r>
    </w:p>
    <w:p>
      <w:pPr>
        <w:numPr>
          <w:ilvl w:val="0"/>
          <w:numId w:val="1029"/>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w:t>
      </w:r>
      <w:hyperlink w:anchor="ref-BasuSchroeder2019">
        <w:r>
          <w:rPr>
            <w:rStyle w:val="Hyperlink"/>
          </w:rPr>
          <w:t xml:space="preserve">2019</w:t>
        </w:r>
      </w:hyperlink>
      <w:r>
        <w:t xml:space="preserve">)</w:t>
      </w:r>
      <w:r>
        <w:t xml:space="preserve">. Casey is at a fancy fundraising party, where the guests and the wait staff are all wearing suits. The person next to Casey is black, and Casey reasons as follows.</w:t>
      </w:r>
    </w:p>
    <w:p>
      <w:pPr>
        <w:numPr>
          <w:ilvl w:val="0"/>
          <w:numId w:val="1030"/>
        </w:numPr>
        <w:pStyle w:val="Compact"/>
      </w:pPr>
      <w:r>
        <w:t xml:space="preserve">Almost all the black people here are on the wait staff.</w:t>
      </w:r>
    </w:p>
    <w:p>
      <w:pPr>
        <w:numPr>
          <w:ilvl w:val="0"/>
          <w:numId w:val="1030"/>
        </w:numPr>
        <w:pStyle w:val="Compact"/>
      </w:pPr>
      <w:r>
        <w:t xml:space="preserve">The person next to me is black.</w:t>
      </w:r>
    </w:p>
    <w:p>
      <w:pPr>
        <w:numPr>
          <w:ilvl w:val="0"/>
          <w:numId w:val="1030"/>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w:t>
      </w:r>
      <w:hyperlink w:anchor="ref-Wright2002">
        <w:r>
          <w:rPr>
            <w:rStyle w:val="Hyperlink"/>
          </w:rPr>
          <w:t xml:space="preserve">2002</w:t>
        </w:r>
      </w:hyperlink>
      <w:r>
        <w:t xml:space="preserve">)</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And Ada reasons as follows.</w:t>
      </w:r>
    </w:p>
    <w:p>
      <w:pPr>
        <w:numPr>
          <w:ilvl w:val="0"/>
          <w:numId w:val="1031"/>
        </w:numPr>
        <w:pStyle w:val="Compact"/>
      </w:pPr>
      <w:r>
        <w:t xml:space="preserve">The ball was kicked into the net, and no foul or violation was called.</w:t>
      </w:r>
    </w:p>
    <w:p>
      <w:pPr>
        <w:numPr>
          <w:ilvl w:val="0"/>
          <w:numId w:val="1031"/>
        </w:numPr>
        <w:pStyle w:val="Compact"/>
      </w:pPr>
      <w:r>
        <w:t xml:space="preserve">So, a goal was scored.</w:t>
      </w:r>
    </w:p>
    <w:p>
      <w:pPr>
        <w:numPr>
          <w:ilvl w:val="0"/>
          <w:numId w:val="1031"/>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And,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77"/>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 chapter</w:t>
      </w:r>
      <w:r>
        <w:t xml:space="preserve"> </w:t>
      </w:r>
      <w:r>
        <w:t xml:space="preserve">9</w:t>
      </w:r>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 subsection</w:t>
      </w:r>
      <w:r>
        <w:t xml:space="preserve"> </w:t>
      </w:r>
      <w:r>
        <w:t xml:space="preserve">4.3.2</w:t>
      </w:r>
      <w:r>
        <w:t xml:space="preserve">. Until then I’ll be talking about single pieces of knowledge at a time.</w:t>
      </w:r>
    </w:p>
    <w:bookmarkEnd w:id="78"/>
    <w:bookmarkStart w:id="84" w:name="knowledge-and-closure"/>
    <w:p>
      <w:pPr>
        <w:pStyle w:val="Heading2"/>
      </w:pPr>
      <w:r>
        <w:rPr>
          <w:rStyle w:val="SectionNumber"/>
        </w:rPr>
        <w:t xml:space="preserve">4.3</w:t>
      </w:r>
      <w:r>
        <w:tab/>
      </w:r>
      <w:r>
        <w:t xml:space="preserve">Knowledge and Closure</w:t>
      </w:r>
    </w:p>
    <w:p>
      <w:pPr>
        <w:pStyle w:val="FirstParagraph"/>
      </w:pPr>
      <w:r>
        <w:t xml:space="preserve">Here are two very plausible principles about knowledge, both due to John Hawthorne</w:t>
      </w:r>
      <w:r>
        <w:t xml:space="preserve"> </w:t>
      </w:r>
      <w:r>
        <w:t xml:space="preserve">(</w:t>
      </w:r>
      <w:hyperlink w:anchor="ref-Hawthorne2005">
        <w:r>
          <w:rPr>
            <w:rStyle w:val="Hyperlink"/>
          </w:rPr>
          <w:t xml:space="preserve">2005</w:t>
        </w:r>
      </w:hyperlink>
      <w:r>
        <w:t xml:space="preserve">)</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w:t>
      </w:r>
      <w:hyperlink w:anchor="ref-Hawthorne2005">
        <w:r>
          <w:rPr>
            <w:rStyle w:val="Hyperlink"/>
          </w:rPr>
          <w:t xml:space="preserve">Hawthorne 2005, 43</w:t>
        </w:r>
      </w:hyperlink>
      <w:r>
        <w:t xml:space="preserve">)</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w:t>
      </w:r>
      <w:hyperlink w:anchor="ref-Hawthorne2005">
        <w:r>
          <w:rPr>
            <w:rStyle w:val="Hyperlink"/>
          </w:rPr>
          <w:t xml:space="preserve">Hawthorne 2005, 43</w:t>
        </w:r>
      </w:hyperlink>
      <w:r>
        <w:t xml:space="preserve">)</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t>
      </w:r>
      <w:hyperlink w:anchor="ref-Weatherson2005-WEACWD">
        <w:r>
          <w:rPr>
            <w:rStyle w:val="Hyperlink"/>
          </w:rPr>
          <w:t xml:space="preserve">Weatherson 2005a</w:t>
        </w:r>
      </w:hyperlink>
      <w:r>
        <w:t xml:space="preserve">)</w:t>
      </w:r>
      <w:r>
        <w:t xml:space="preserve"> </w:t>
      </w:r>
      <w:r>
        <w:t xml:space="preserve">that concerns about the preface paradox are over-rated, and I think those arguments still hold up. But I have a slightly different qualification than Hawthorne does to Multiple Premise Closure, and I will discuss that more in section</w:t>
      </w:r>
      <w:r>
        <w:t xml:space="preserve"> </w:t>
      </w:r>
      <w:r>
        <w:t xml:space="preserve">4.3.2</w:t>
      </w:r>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80" w:name="andelim"/>
    <w:p>
      <w:pPr>
        <w:pStyle w:val="Heading3"/>
      </w:pPr>
      <w:r>
        <w:rPr>
          <w:rStyle w:val="SectionNumber"/>
        </w:rPr>
        <w:t xml:space="preserve">4.3.1</w:t>
      </w:r>
      <w:r>
        <w:tab/>
      </w:r>
      <w:r>
        <w:t xml:space="preserve">Single Premise Closure</w:t>
      </w:r>
    </w:p>
    <w:p>
      <w:pPr>
        <w:pStyle w:val="FirstParagraph"/>
      </w:pPr>
      <w:r>
        <w:t xml:space="preserve">But it turns out that even showing this is not completely trivial. Imagine yet another version of the red-blue game.</w:t>
      </w:r>
      <w:r>
        <w:rPr>
          <w:rStyle w:val="FootnoteReference"/>
        </w:rPr>
        <w:footnoteReference w:id="79"/>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And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2"/>
        </w:numPr>
        <w:pStyle w:val="Compact"/>
      </w:pPr>
      <w:r>
        <w:t xml:space="preserve">Unconditionally, the player is indifferent between playing red-true and playing blue-true.</w:t>
      </w:r>
    </w:p>
    <w:p>
      <w:pPr>
        <w:numPr>
          <w:ilvl w:val="0"/>
          <w:numId w:val="1032"/>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2"/>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2"/>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w:t>
      </w:r>
      <w:r>
        <w:t xml:space="preserve">∧</w:t>
      </w:r>
      <w:r>
        <w:t xml:space="preserve"> </w:t>
      </w:r>
      <w:r>
        <w:rPr>
          <w:iCs/>
          <w:i/>
        </w:rPr>
        <w:t xml:space="preserve">B</w:t>
      </w:r>
      <w:r>
        <w:t xml:space="preserve">, arguably she does know</w:t>
      </w:r>
      <w:r>
        <w:t xml:space="preserve"> </w:t>
      </w:r>
      <w:r>
        <w:rPr>
          <w:iCs/>
          <w:i/>
        </w:rPr>
        <w:t xml:space="preserve">A</w:t>
      </w:r>
      <w:r>
        <w:t xml:space="preserve"> </w:t>
      </w:r>
      <w:r>
        <w:t xml:space="preserve">∧</w:t>
      </w:r>
      <w:r>
        <w:t xml:space="preserve">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But this is not an entirely satisfactory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But it is not clear why we should look for these indirect approaches, rather than just looking at what is going on in the player’s mind.</w:t>
      </w:r>
    </w:p>
    <w:p>
      <w:pPr>
        <w:pStyle w:val="BodyText"/>
      </w:pPr>
      <w:r>
        <w:t xml:space="preserve">So let’s look again at the two questions that are relevant. And this time, don’t think about what answer the player gives, but about how they get to that answer.</w:t>
      </w:r>
    </w:p>
    <w:p>
      <w:pPr>
        <w:numPr>
          <w:ilvl w:val="0"/>
          <w:numId w:val="1033"/>
        </w:numPr>
        <w:pStyle w:val="Compact"/>
      </w:pPr>
      <w:r>
        <w:t xml:space="preserve">Which option maximises expected returns?</w:t>
      </w:r>
    </w:p>
    <w:p>
      <w:pPr>
        <w:numPr>
          <w:ilvl w:val="0"/>
          <w:numId w:val="1033"/>
        </w:numPr>
        <w:pStyle w:val="Compact"/>
      </w:pPr>
      <w:r>
        <w:t xml:space="preserve">If</w:t>
      </w:r>
      <w:r>
        <w:t xml:space="preserve"> </w:t>
      </w:r>
      <w:r>
        <w:rPr>
          <w:iCs/>
          <w:i/>
        </w:rPr>
        <w:t xml:space="preserve">A</w:t>
      </w:r>
      <w:r>
        <w:t xml:space="preserve"> </w:t>
      </w:r>
      <w:r>
        <w:t xml:space="preserve">∧</w:t>
      </w:r>
      <w:r>
        <w:t xml:space="preserve">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w:t>
      </w:r>
      <w:r>
        <w:t xml:space="preserve">∧</w:t>
      </w:r>
      <w:r>
        <w:t xml:space="preserve">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w:t>
      </w:r>
      <w:r>
        <w:t xml:space="preserve">∧</w:t>
      </w:r>
      <w:r>
        <w:t xml:space="preserve">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 chapter</w:t>
      </w:r>
      <w:r>
        <w:t xml:space="preserve"> </w:t>
      </w:r>
      <w:r>
        <w:t xml:space="preserve">6</w:t>
      </w:r>
      <w:r>
        <w:t xml:space="preserve">.)</w:t>
      </w:r>
    </w:p>
    <w:p>
      <w:pPr>
        <w:pStyle w:val="BodyText"/>
      </w:pPr>
      <w:r>
        <w:t xml:space="preserve">The way she should answer 6 is to take</w:t>
      </w:r>
      <w:r>
        <w:t xml:space="preserve"> </w:t>
      </w:r>
      <w:r>
        <w:rPr>
          <w:iCs/>
          <w:i/>
        </w:rPr>
        <w:t xml:space="preserve">A</w:t>
      </w:r>
      <w:r>
        <w:t xml:space="preserve"> </w:t>
      </w:r>
      <w:r>
        <w:t xml:space="preserve">∧</w:t>
      </w:r>
      <w:r>
        <w:t xml:space="preserve">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80"/>
    <w:bookmarkStart w:id="83" w:name="andintro"/>
    <w:p>
      <w:pPr>
        <w:pStyle w:val="Heading3"/>
      </w:pPr>
      <w:r>
        <w:rPr>
          <w:rStyle w:val="SectionNumber"/>
        </w:rPr>
        <w:t xml:space="preserve">4.3.2</w:t>
      </w:r>
      <w:r>
        <w:tab/>
      </w:r>
      <w:r>
        <w:t xml:space="preserve">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comptenently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w:t>
      </w:r>
      <w:r>
        <w:t xml:space="preserve">∨</w:t>
      </w:r>
      <w:r>
        <w:t xml:space="preserve">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4"/>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4"/>
        </w:numPr>
        <w:pStyle w:val="Compact"/>
      </w:pPr>
      <w:r>
        <w:t xml:space="preserve">If, in the course of an inquiry, one knows some premises, then one can take them for granted in that inquiry.</w:t>
      </w:r>
    </w:p>
    <w:p>
      <w:pPr>
        <w:numPr>
          <w:ilvl w:val="0"/>
          <w:numId w:val="1034"/>
        </w:numPr>
        <w:pStyle w:val="Compact"/>
      </w:pPr>
      <w:r>
        <w:t xml:space="preserve">If one can take some premises for granted in an inquiry, then one can take their conjunction for granted in that inquiry.</w:t>
      </w:r>
    </w:p>
    <w:p>
      <w:pPr>
        <w:numPr>
          <w:ilvl w:val="0"/>
          <w:numId w:val="1034"/>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81"/>
      </w:r>
      <w:r>
        <w:t xml:space="preserve"> </w:t>
      </w:r>
      <w:r>
        <w:t xml:space="preserve">Now the following four claims all seem true.</w:t>
      </w:r>
    </w:p>
    <w:p>
      <w:pPr>
        <w:numPr>
          <w:ilvl w:val="0"/>
          <w:numId w:val="1035"/>
        </w:numPr>
        <w:pStyle w:val="Compact"/>
      </w:pPr>
      <w:r>
        <w:t xml:space="preserve">Unconditionally, the only rational play is Red-True.</w:t>
      </w:r>
    </w:p>
    <w:p>
      <w:pPr>
        <w:numPr>
          <w:ilvl w:val="0"/>
          <w:numId w:val="1035"/>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5"/>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5"/>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w:t>
      </w:r>
      <w:r>
        <w:t xml:space="preserve">∧</w:t>
      </w:r>
      <w:r>
        <w:t xml:space="preserve"> </w:t>
      </w:r>
      <w:r>
        <w:rPr>
          <w:iCs/>
          <w:i/>
        </w:rPr>
        <w:t xml:space="preserve">B</w:t>
      </w:r>
      <w:r>
        <w:t xml:space="preserve">, but not know</w:t>
      </w:r>
      <w:r>
        <w:t xml:space="preserve"> </w:t>
      </w:r>
      <w:r>
        <w:rPr>
          <w:iCs/>
          <w:i/>
        </w:rPr>
        <w:t xml:space="preserve">A</w:t>
      </w:r>
      <w:r>
        <w:t xml:space="preserve"> </w:t>
      </w:r>
      <w:r>
        <w:t xml:space="preserve">∧</w:t>
      </w:r>
      <w:r>
        <w:t xml:space="preserve">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6"/>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6"/>
        </w:numPr>
        <w:pStyle w:val="Compact"/>
      </w:pPr>
      <w:r>
        <w:t xml:space="preserve">Similarly, they can take</w:t>
      </w:r>
      <w:r>
        <w:t xml:space="preserve"> </w:t>
      </w:r>
      <w:r>
        <w:rPr>
          <w:iCs/>
          <w:i/>
        </w:rPr>
        <w:t xml:space="preserve">B</w:t>
      </w:r>
      <w:r>
        <w:t xml:space="preserve"> </w:t>
      </w:r>
      <w:r>
        <w:t xml:space="preserve">for granted.</w:t>
      </w:r>
    </w:p>
    <w:p>
      <w:pPr>
        <w:numPr>
          <w:ilvl w:val="0"/>
          <w:numId w:val="1036"/>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 section</w:t>
      </w:r>
      <w:r>
        <w:t xml:space="preserve"> </w:t>
      </w:r>
      <w:r>
        <w:t xml:space="preserve">4.2</w:t>
      </w:r>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w:t>
      </w:r>
      <w:r>
        <w:t xml:space="preserve">∧</w:t>
      </w:r>
      <w:r>
        <w:t xml:space="preserve">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w:t>
      </w:r>
      <w:hyperlink w:anchor="ref-Kroedel2012">
        <w:r>
          <w:rPr>
            <w:rStyle w:val="Hyperlink"/>
          </w:rPr>
          <w:t xml:space="preserve">2012</w:t>
        </w:r>
      </w:hyperlink>
      <w:r>
        <w:t xml:space="preserve">)</w:t>
      </w:r>
      <w:r>
        <w:t xml:space="preserve"> </w:t>
      </w:r>
      <w:r>
        <w:t xml:space="preserve">offers as a solution to the lottery paradox.</w:t>
      </w:r>
      <w:r>
        <w:rPr>
          <w:rStyle w:val="FootnoteReference"/>
        </w:rPr>
        <w:footnoteReference w:id="82"/>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7"/>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7"/>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7"/>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7"/>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7"/>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83"/>
    <w:bookmarkEnd w:id="84"/>
    <w:bookmarkStart w:id="85" w:name="closuresummary"/>
    <w:p>
      <w:pPr>
        <w:pStyle w:val="Heading2"/>
      </w:pPr>
      <w:r>
        <w:rPr>
          <w:rStyle w:val="SectionNumber"/>
        </w:rPr>
        <w:t xml:space="preserve">4.4</w:t>
      </w:r>
      <w:r>
        <w:tab/>
      </w:r>
      <w:r>
        <w:t xml:space="preserve">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 chapter</w:t>
      </w:r>
      <w:r>
        <w:t xml:space="preserve"> </w:t>
      </w:r>
      <w:r>
        <w:t xml:space="preserve">6</w:t>
      </w:r>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85"/>
    <w:bookmarkEnd w:id="86"/>
    <w:bookmarkStart w:id="102" w:name="inquiry"/>
    <w:p>
      <w:pPr>
        <w:pStyle w:val="Heading1"/>
      </w:pPr>
      <w:r>
        <w:rPr>
          <w:rStyle w:val="SectionNumber"/>
        </w:rPr>
        <w:t xml:space="preserve">5</w:t>
      </w:r>
      <w:r>
        <w:tab/>
      </w:r>
      <w:r>
        <w:t xml:space="preserve">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w:t>
      </w:r>
      <w:hyperlink w:anchor="ref-Brown2008">
        <w:r>
          <w:rPr>
            <w:rStyle w:val="Hyperlink"/>
          </w:rPr>
          <w:t xml:space="preserve">2008</w:t>
        </w:r>
      </w:hyperlink>
      <w:r>
        <w:t xml:space="preserve">)</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w:t>
      </w:r>
      <w:r>
        <w:rPr>
          <w:iCs/>
          <w:i/>
        </w:rPr>
        <w:t xml:space="preserve">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But I now think this is wrong.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This chapter sets out this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w:t>
      </w:r>
      <w:hyperlink w:anchor="ref-Zweber2016">
        <w:r>
          <w:rPr>
            <w:rStyle w:val="Hyperlink"/>
          </w:rPr>
          <w:t xml:space="preserve">2016</w:t>
        </w:r>
      </w:hyperlink>
      <w:r>
        <w:t xml:space="preserve">)</w:t>
      </w:r>
      <w:r>
        <w:t xml:space="preserve"> </w:t>
      </w:r>
      <w:r>
        <w:t xml:space="preserve">and, separately, Charity Anderson and John Hawthorne</w:t>
      </w:r>
      <w:r>
        <w:t xml:space="preserve"> </w:t>
      </w:r>
      <w:r>
        <w:t xml:space="preserve">(</w:t>
      </w:r>
      <w:hyperlink w:anchor="ref-AndersonHawthorne2019a">
        <w:r>
          <w:rPr>
            <w:rStyle w:val="Hyperlink"/>
          </w:rPr>
          <w:t xml:space="preserve">2019a</w:t>
        </w:r>
      </w:hyperlink>
      <w:r>
        <w:t xml:space="preserve">)</w:t>
      </w:r>
      <w:r>
        <w:t xml:space="preserve"> </w:t>
      </w:r>
      <w:r>
        <w:t xml:space="preserve">showed, some simple versions of IRT say implausible things about cases where a person is choosing between very similar options. Now it turns out my preferred version of IRT doesn’t say the particular implausible thing they were accusing IRT of. But that’s little consequence, since the theory looks like it says a different, but equally implausible thing. They thought IRT implied weird closure failures, and my version doesn’t do that, but at the pain of having weird kinds of scepticism. So the objection is a pressing one. The argument that IRT has weird consequences (either closure failures or scepticism) relies on the thought that choosers should maximise expected utility. And my response is going to be that choosers should not maximise expected utility. That might sound like an absurdly radical view, since expected utility theory is at the heart of all contemporary decision theory. But when we look at what it says in the very cases that raise problems for IRT - these close call cases - it looks particularly implausible. A better view is that choosers should adopt a choice procedure that maximises expected utility given their limitations. In close call cases, typically the best procedure by that standard will be to pick arbitrarily; the expected loss of expected utility is less than the effort it would take to maximise expected utility. And given this picture of rational choice, IRT does not entail anything weird in these cases. I’ll say much more about this in chapter</w:t>
      </w:r>
      <w:r>
        <w:t xml:space="preserve"> </w:t>
      </w:r>
      <w:r>
        <w:t xml:space="preserve">6</w:t>
      </w:r>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 chapter</w:t>
      </w:r>
      <w:r>
        <w:t xml:space="preserve"> </w:t>
      </w:r>
      <w:r>
        <w:t xml:space="preserve">1</w:t>
      </w:r>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 chapter</w:t>
      </w:r>
      <w:r>
        <w:t xml:space="preserve"> </w:t>
      </w:r>
      <w:r>
        <w:t xml:space="preserve">7</w:t>
      </w:r>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And it’s what I’ve defended in the past. And, to be honest, it’s still what I mostly believe. But I’m not going to defend that stronger theory here, just the claim that knowledge is interest-relative. If you want to understand that theory in a contextualist or relativist way, go right ahead.</w:t>
      </w:r>
    </w:p>
    <w:p>
      <w:pPr>
        <w:pStyle w:val="BodyText"/>
      </w:pPr>
      <w:r>
        <w:t xml:space="preserve">The argument that if IRT is true, then either a contextualist or relativist version of it is true, turns on some plausible intuitions about extensions of Anisa’s case. Imagine that Anisa knows that her friend Etienne has read the same history book as her, and has just as good a memory as she does, and otherwise has in some intuitive sense the same evidence as her about the Battle of Agincourt. But Etienne is not playing the Red-Blue game, she’s just on the bus to work. On the most straightforward version of IRT, Etienne knows that the Battle of Agincourt was in 1415. Now Anisa can’t know that Etienne knows that, since that would entail that Battle of Agincourt was indeed in 1415. But plausibly, Anisa does know that Etienne might know when the Battle was, and she knows that if it was in 1415, Etienne knows this. The contextualist intuition is that Anisa would be more inclined to deny that Etienne knows this. After all, Etienne is just as well placed as Anisa herself is, and she doesn’t know when the battle is. The relativist intuition is that if Etienne were to say</w:t>
      </w:r>
      <w:r>
        <w:t xml:space="preserve"> </w:t>
      </w:r>
      <w:r>
        <w:rPr>
          <w:iCs/>
          <w:i/>
        </w:rPr>
        <w:t xml:space="preserve">I know the Battle of Agincourt was in 1415</w:t>
      </w:r>
      <w:r>
        <w:t xml:space="preserve"> </w:t>
      </w:r>
      <w:r>
        <w:t xml:space="preserve">(an odd thing to say on the bus I guess), Anisa would judge that as false, for much the same reason. Personally, I think these intuitions are not that strong, and that they are driven by the kind of theoretical intuitions that I’ll argue in chapter</w:t>
      </w:r>
      <w:r>
        <w:t xml:space="preserve"> </w:t>
      </w:r>
      <w:r>
        <w:t xml:space="preserve">7</w:t>
      </w:r>
      <w:r>
        <w:t xml:space="preserve"> </w:t>
      </w:r>
      <w:r>
        <w:t xml:space="preserve">are misguided. But if you want to save one or both of these intuitions, you’ll probably want to adopt either a contextualist or a relativist version of IRT, or perhaps even both a contextualist and a relativist version. I’ll leave those arguments for another book, since I’m not taking a stand on them. Defending IRT is enough work without diving into debates about contextualism and relativism.</w:t>
      </w:r>
    </w:p>
    <w:bookmarkStart w:id="95" w:name="settling"/>
    <w:p>
      <w:pPr>
        <w:pStyle w:val="Heading2"/>
      </w:pPr>
      <w:r>
        <w:rPr>
          <w:rStyle w:val="SectionNumber"/>
        </w:rPr>
        <w:t xml:space="preserve">5.1</w:t>
      </w:r>
      <w:r>
        <w:tab/>
      </w:r>
      <w:r>
        <w:t xml:space="preserve">Starting and Settling</w:t>
      </w:r>
    </w:p>
    <w:p>
      <w:pPr>
        <w:pStyle w:val="FirstParagraph"/>
      </w:pPr>
      <w:r>
        <w:t xml:space="preserve">At the heart of Jane Friedman’s influential picture of inquiry are a number of distinctive attitudes.</w:t>
      </w:r>
      <w:r>
        <w:t xml:space="preserve"> </w:t>
      </w:r>
      <w:r>
        <w:t xml:space="preserve">(</w:t>
      </w:r>
      <w:hyperlink w:anchor="ref-Friedman2017">
        <w:r>
          <w:rPr>
            <w:rStyle w:val="Hyperlink"/>
          </w:rPr>
          <w:t xml:space="preserve">Friedman 2017</w:t>
        </w:r>
      </w:hyperlink>
      <w:r>
        <w:t xml:space="preserve">,</w:t>
      </w:r>
      <w:r>
        <w:t xml:space="preserve"> </w:t>
      </w:r>
      <w:hyperlink w:anchor="ref-Friedman2019a">
        <w:r>
          <w:rPr>
            <w:rStyle w:val="Hyperlink"/>
          </w:rPr>
          <w:t xml:space="preserve">2019b</w:t>
        </w:r>
      </w:hyperlink>
      <w:r>
        <w:t xml:space="preserve">,</w:t>
      </w:r>
      <w:r>
        <w:t xml:space="preserve"> </w:t>
      </w:r>
      <w:hyperlink w:anchor="ref-Friedman2019b">
        <w:r>
          <w:rPr>
            <w:rStyle w:val="Hyperlink"/>
          </w:rPr>
          <w:t xml:space="preserve">2019a</w:t>
        </w:r>
      </w:hyperlink>
      <w:r>
        <w:t xml:space="preserve">,</w:t>
      </w:r>
      <w:r>
        <w:t xml:space="preserve"> </w:t>
      </w:r>
      <w:hyperlink w:anchor="ref-Friedman2020">
        <w:r>
          <w:rPr>
            <w:rStyle w:val="Hyperlink"/>
          </w:rPr>
          <w:t xml:space="preserve">2020</w:t>
        </w:r>
      </w:hyperlink>
      <w:r>
        <w:t xml:space="preserve">)</w:t>
      </w:r>
      <w:r>
        <w:t xml:space="preserve"> </w:t>
      </w:r>
      <w:r>
        <w:t xml:space="preserve">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87"/>
      </w:r>
      <w:r>
        <w:t xml:space="preserve"> </w:t>
      </w:r>
      <w:r>
        <w:t xml:space="preserve">Like the position I’ve adopted here, Friedman holds that to believe something is to treat the question of whether it is true as being affirmatively settled. And this is deeply related to inquiry. Typically things are settled as the result of inquiry. Also typically, one does not inquire into something one has settled. And, she holds, if one does inquire into something one has settled, this is a kind of mistake. It is incoherent to both have a questioning and a settled attitude towards the same question. I’m going to disagree with this last bit, while mostly agreeing with the broad picture.</w:t>
      </w:r>
    </w:p>
    <w:p>
      <w:pPr>
        <w:pStyle w:val="BodyText"/>
      </w:pPr>
      <w:r>
        <w:t xml:space="preserve">The main difference between that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I used to think that this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88"/>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w:t>
      </w:r>
      <w:hyperlink w:anchor="ref-Friedman2017">
        <w:r>
          <w:rPr>
            <w:rStyle w:val="Hyperlink"/>
          </w:rPr>
          <w:t xml:space="preserve">Friedman 2017, 131</w:t>
        </w:r>
      </w:hyperlink>
      <w:r>
        <w:t xml:space="preserve">)</w:t>
      </w:r>
    </w:p>
    <w:p>
      <w:pPr>
        <w:pStyle w:val="BlockText"/>
      </w:pPr>
      <w:r>
        <w:t xml:space="preserve">There is something to be said for the claim that the person who knows they have turned the coffee pot off should not be going back to check.</w:t>
      </w:r>
      <w:r>
        <w:t xml:space="preserve"> </w:t>
      </w:r>
      <w:r>
        <w:t xml:space="preserve">(</w:t>
      </w:r>
      <w:hyperlink w:anchor="ref-HawthorneStanley2008">
        <w:r>
          <w:rPr>
            <w:rStyle w:val="Hyperlink"/>
          </w:rPr>
          <w:t xml:space="preserve">Hawthorne and Stanley 2008</w:t>
        </w:r>
      </w:hyperlink>
      <w:r>
        <w:t xml:space="preserve"> </w:t>
      </w:r>
      <w:r>
        <w:t xml:space="preserve">,587)</w:t>
      </w:r>
    </w:p>
    <w:p>
      <w:pPr>
        <w:pStyle w:val="BlockText"/>
      </w:pPr>
      <w:r>
        <w:t xml:space="preserve">Any such cases [of believing while inquiring] involve peculiarities (such as irrationality or fragmentation).</w:t>
      </w:r>
      <w:r>
        <w:t xml:space="preserve"> </w:t>
      </w:r>
      <w:r>
        <w:t xml:space="preserve">(</w:t>
      </w:r>
      <w:hyperlink w:anchor="ref-McGrath2021">
        <w:r>
          <w:rPr>
            <w:rStyle w:val="Hyperlink"/>
          </w:rPr>
          <w:t xml:space="preserve">McGrath 2021</w:t>
        </w:r>
      </w:hyperlink>
      <w:r>
        <w:t xml:space="preserve"> </w:t>
      </w:r>
      <w:r>
        <w:t xml:space="preserve">,482n37)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this level of abstraction, this doesn’t sound very likely. It seems at first like there should be something like a principle of total evidence for inquiry, saying that you can use whatever tools, whatever evidence, you have to hand. But such a principle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five kinds of cases where one can sensibly inquire into what one already knows. I don’t think any of these examples constitute knock-down proofs, and for reasons I’ll get to later in the chapter, I don’t really need them to. But it is helpful to see the range of cases where inquiry into what one knows is useful.</w:t>
      </w:r>
    </w:p>
    <w:bookmarkStart w:id="89" w:name="sensitiveinquiry"/>
    <w:p>
      <w:pPr>
        <w:pStyle w:val="Heading3"/>
      </w:pPr>
      <w:r>
        <w:rPr>
          <w:rStyle w:val="SectionNumber"/>
        </w:rPr>
        <w:t xml:space="preserve">5.1.1</w:t>
      </w:r>
      <w:r>
        <w:tab/>
      </w:r>
      <w:r>
        <w:t xml:space="preserve">Sensitivity Chasing</w:t>
      </w:r>
    </w:p>
    <w:p>
      <w:pPr>
        <w:pStyle w:val="FirstParagraph"/>
      </w:pPr>
      <w:r>
        <w:t xml:space="preserve">Guido Melchior</w:t>
      </w:r>
      <w:r>
        <w:t xml:space="preserve"> </w:t>
      </w:r>
      <w:r>
        <w:t xml:space="preserve">(</w:t>
      </w:r>
      <w:hyperlink w:anchor="ref-Melchior2019">
        <w:r>
          <w:rPr>
            <w:rStyle w:val="Hyperlink"/>
          </w:rPr>
          <w:t xml:space="preserve">2019</w:t>
        </w:r>
      </w:hyperlink>
      <w:r>
        <w:t xml:space="preserve">)</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w:t>
      </w:r>
      <w:hyperlink w:anchor="ref-Cohen2002">
        <w:r>
          <w:rPr>
            <w:rStyle w:val="Hyperlink"/>
          </w:rPr>
          <w:t xml:space="preserve">Cohen 2002</w:t>
        </w:r>
      </w:hyperlink>
      <w:r>
        <w:t xml:space="preserve">)</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And checking is, at least in part, a matter of</w:t>
      </w:r>
      <w:r>
        <w:t xml:space="preserve"> </w:t>
      </w:r>
      <w:r>
        <w:rPr>
          <w:iCs/>
          <w:i/>
        </w:rPr>
        <w:t xml:space="preserve">sensitivity chasing</w:t>
      </w:r>
      <w:r>
        <w:t xml:space="preserve">. And the best explanation of why checking is a good thing to do is that often sensitivity chasing is sensible, since it’s good to have sensitive beliefs.</w:t>
      </w:r>
    </w:p>
    <w:p>
      <w:pPr>
        <w:pStyle w:val="BodyText"/>
      </w:pPr>
      <w:r>
        <w:t xml:space="preserve">So 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 In that case, sensitivity chasing might be a worthwhile goal in inquiry. It is, I think, the main goal in the kind of inquiry we call checking. But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w:t>
      </w:r>
      <w:hyperlink w:anchor="ref-Jackson1987">
        <w:r>
          <w:rPr>
            <w:rStyle w:val="Hyperlink"/>
          </w:rPr>
          <w:t xml:space="preserve">1987</w:t>
        </w:r>
      </w:hyperlink>
      <w:r>
        <w:t xml:space="preserve">)</w:t>
      </w:r>
      <w:r>
        <w:t xml:space="preserve">, imagine that someone wants to know what _The Age_said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89"/>
    <w:bookmarkStart w:id="90" w:name="rulesinquiry"/>
    <w:p>
      <w:pPr>
        <w:pStyle w:val="Heading3"/>
      </w:pPr>
      <w:r>
        <w:rPr>
          <w:rStyle w:val="SectionNumber"/>
        </w:rPr>
        <w:t xml:space="preserve">5.1.2</w:t>
      </w:r>
      <w:r>
        <w:tab/>
      </w:r>
      <w:r>
        <w:t xml:space="preserve">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 chapter</w:t>
      </w:r>
      <w:r>
        <w:t xml:space="preserve"> </w:t>
      </w:r>
      <w:r>
        <w:t xml:space="preserve">6</w:t>
      </w:r>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w:t>
      </w:r>
      <w:hyperlink w:anchor="ref-Knight1921">
        <w:r>
          <w:rPr>
            <w:rStyle w:val="Hyperlink"/>
          </w:rPr>
          <w:t xml:space="preserve">Knight 1921, 67fn1</w:t>
        </w:r>
      </w:hyperlink>
      <w:r>
        <w:t xml:space="preserve">)</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w:t>
      </w:r>
      <w:hyperlink w:anchor="ref-HawthorneSrinivasan2013">
        <w:r>
          <w:rPr>
            <w:rStyle w:val="Hyperlink"/>
          </w:rPr>
          <w:t xml:space="preserve">2013</w:t>
        </w:r>
      </w:hyperlink>
      <w:r>
        <w:t xml:space="preserve">)</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90"/>
    <w:bookmarkStart w:id="91" w:name="understandinginquiry"/>
    <w:p>
      <w:pPr>
        <w:pStyle w:val="Heading3"/>
      </w:pPr>
      <w:r>
        <w:rPr>
          <w:rStyle w:val="SectionNumber"/>
        </w:rPr>
        <w:t xml:space="preserve">5.1.3</w:t>
      </w:r>
      <w:r>
        <w:tab/>
      </w:r>
      <w:r>
        <w:t xml:space="preserve">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w:t>
      </w:r>
      <w:hyperlink w:anchor="ref-Hills2009">
        <w:r>
          <w:rPr>
            <w:rStyle w:val="Hyperlink"/>
          </w:rPr>
          <w:t xml:space="preserve">2009</w:t>
        </w:r>
      </w:hyperlink>
      <w:r>
        <w:t xml:space="preserve">)</w:t>
      </w:r>
      <w:r>
        <w:t xml:space="preserve">. (There are other answers too, including ones that deny the puzzle exists. But to avoid going down too many rabbit holes, I’m going to assume for now the answer Hills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91"/>
    <w:bookmarkStart w:id="92" w:name="defraginquiry"/>
    <w:p>
      <w:pPr>
        <w:pStyle w:val="Heading3"/>
      </w:pPr>
      <w:r>
        <w:rPr>
          <w:rStyle w:val="SectionNumber"/>
        </w:rPr>
        <w:t xml:space="preserve">5.1.4</w:t>
      </w:r>
      <w:r>
        <w:tab/>
      </w:r>
      <w:r>
        <w:t xml:space="preserve">Defragmentation</w:t>
      </w:r>
    </w:p>
    <w:p>
      <w:pPr>
        <w:pStyle w:val="FirstParagraph"/>
      </w:pPr>
      <w:r>
        <w:t xml:space="preserve">Recall Professor Paresseux from subsection</w:t>
      </w:r>
      <w:r>
        <w:t xml:space="preserve"> </w:t>
      </w:r>
      <w:r>
        <w:t xml:space="preserve">4.3.2</w:t>
      </w:r>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w:t>
      </w:r>
      <w:hyperlink w:anchor="ref-Egan2008">
        <w:r>
          <w:rPr>
            <w:rStyle w:val="Hyperlink"/>
          </w:rPr>
          <w:t xml:space="preserve">2008</w:t>
        </w:r>
      </w:hyperlink>
      <w:r>
        <w:t xml:space="preserve">)</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w:t>
      </w:r>
      <w:hyperlink w:anchor="ref-Lewis1982c">
        <w:r>
          <w:rPr>
            <w:rStyle w:val="Hyperlink"/>
          </w:rPr>
          <w:t xml:space="preserve">1982</w:t>
        </w:r>
      </w:hyperlink>
      <w:r>
        <w:t xml:space="preserve">)</w:t>
      </w:r>
      <w:r>
        <w:t xml:space="preserve"> </w:t>
      </w:r>
      <w:r>
        <w:t xml:space="preserve">and</w:t>
      </w:r>
      <w:r>
        <w:t xml:space="preserve"> </w:t>
      </w:r>
      <w:r>
        <w:t xml:space="preserve">Stalnaker (</w:t>
      </w:r>
      <w:hyperlink w:anchor="ref-Stalnaker1984">
        <w:r>
          <w:rPr>
            <w:rStyle w:val="Hyperlink"/>
          </w:rPr>
          <w:t xml:space="preserve">1984</w:t>
        </w:r>
      </w:hyperlink>
      <w:r>
        <w:t xml:space="preserve">)</w:t>
      </w:r>
      <w:r>
        <w:t xml:space="preserve">. There is a part that contains the information about who the speaker is, but that part isn’t at the front of his attention, so he doesn’t act on it. But it is a part of him; he knows that stuff. Still, it is better to conduct an inquiry, i.e., a Google search, than to rely on this knowledge. So it is rational to inquire into something one knows.</w:t>
      </w:r>
    </w:p>
    <w:bookmarkEnd w:id="92"/>
    <w:bookmarkStart w:id="93" w:name="rawlsinquiry"/>
    <w:p>
      <w:pPr>
        <w:pStyle w:val="Heading3"/>
      </w:pPr>
      <w:r>
        <w:rPr>
          <w:rStyle w:val="SectionNumber"/>
        </w:rPr>
        <w:t xml:space="preserve">5.1.5</w:t>
      </w:r>
      <w:r>
        <w:tab/>
      </w:r>
      <w:r>
        <w:t xml:space="preserve">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w:t>
      </w:r>
      <w:hyperlink w:anchor="ref-Strevens2020">
        <w:r>
          <w:rPr>
            <w:rStyle w:val="Hyperlink"/>
          </w:rPr>
          <w:t xml:space="preserve">2020</w:t>
        </w:r>
      </w:hyperlink>
      <w:r>
        <w:t xml:space="preserve">)</w:t>
      </w:r>
      <w:r>
        <w:t xml:space="preserve"> </w:t>
      </w:r>
      <w:r>
        <w:t xml:space="preserve">argues that the effectiveness of science in the last 350 years has come because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w:t>
      </w:r>
      <w:hyperlink w:anchor="ref-Quong2017">
        <w:r>
          <w:rPr>
            <w:rStyle w:val="Hyperlink"/>
          </w:rPr>
          <w:t xml:space="preserve">Quong 2018</w:t>
        </w:r>
      </w:hyperlink>
      <w:r>
        <w:t xml:space="preserve">)</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93"/>
    <w:bookmarkStart w:id="94" w:name="friedmaninquiry"/>
    <w:p>
      <w:pPr>
        <w:pStyle w:val="Heading3"/>
      </w:pPr>
      <w:r>
        <w:rPr>
          <w:rStyle w:val="SectionNumber"/>
        </w:rPr>
        <w:t xml:space="preserve">5.1.6</w:t>
      </w:r>
      <w:r>
        <w:tab/>
      </w:r>
      <w:r>
        <w:t xml:space="preserve">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five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w:t>
      </w:r>
      <w:hyperlink w:anchor="ref-Woodard2021">
        <w:r>
          <w:rPr>
            <w:rStyle w:val="Hyperlink"/>
          </w:rPr>
          <w:t xml:space="preserve">2020</w:t>
        </w:r>
      </w:hyperlink>
      <w:r>
        <w:t xml:space="preserve">)</w:t>
      </w:r>
      <w:r>
        <w:t xml:space="preserve"> </w:t>
      </w:r>
      <w:r>
        <w:t xml:space="preserve">and (independently) Arienne Falbo</w:t>
      </w:r>
      <w:r>
        <w:t xml:space="preserve"> </w:t>
      </w:r>
      <w:r>
        <w:t xml:space="preserve">(</w:t>
      </w:r>
      <w:hyperlink w:anchor="ref-Falbo2021">
        <w:r>
          <w:rPr>
            <w:rStyle w:val="Hyperlink"/>
          </w:rPr>
          <w:t xml:space="preserve">2021</w:t>
        </w:r>
      </w:hyperlink>
      <w:r>
        <w:t xml:space="preserve">)</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w:t>
      </w:r>
      <w:hyperlink w:anchor="ref-Melchior2019">
        <w:r>
          <w:rPr>
            <w:rStyle w:val="Hyperlink"/>
          </w:rPr>
          <w:t xml:space="preserve">2019</w:t>
        </w:r>
      </w:hyperlink>
      <w:r>
        <w:t xml:space="preserve">)</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94"/>
    <w:bookmarkEnd w:id="95"/>
    <w:bookmarkStart w:id="96" w:name="irtinquiry"/>
    <w:p>
      <w:pPr>
        <w:pStyle w:val="Heading2"/>
      </w:pPr>
      <w:r>
        <w:rPr>
          <w:rStyle w:val="SectionNumber"/>
        </w:rPr>
        <w:t xml:space="preserve">5.2</w:t>
      </w:r>
      <w:r>
        <w:tab/>
      </w:r>
      <w:r>
        <w:t xml:space="preserve">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 section</w:t>
      </w:r>
      <w:r>
        <w:t xml:space="preserve"> </w:t>
      </w:r>
      <w:r>
        <w:t xml:space="preserve">4.2</w:t>
      </w:r>
      <w:r>
        <w:t xml:space="preserve"> </w:t>
      </w:r>
      <w:r>
        <w:t xml:space="preserve">by looking at people whose use of</w:t>
      </w:r>
      <w:r>
        <w:t xml:space="preserve"> </w:t>
      </w:r>
      <w:r>
        <w:rPr>
          <w:iCs/>
          <w:i/>
        </w:rPr>
        <w:t xml:space="preserve">p</w:t>
      </w:r>
      <w:r>
        <w:t xml:space="preserve"> </w:t>
      </w:r>
      <w:r>
        <w:t xml:space="preserve">in inquiry can be criticised on relevance grounds. But here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w:t>
      </w:r>
      <w:hyperlink w:anchor="ref-FantlMcGrath2009">
        <w:r>
          <w:rPr>
            <w:rStyle w:val="Hyperlink"/>
          </w:rPr>
          <w:t xml:space="preserve">Fantl and McGrath 2009, 64</w:t>
        </w:r>
      </w:hyperlink>
      <w:r>
        <w:t xml:space="preserve">)</w:t>
      </w:r>
    </w:p>
    <w:p>
      <w:pPr>
        <w:pStyle w:val="FirstParagraph"/>
      </w:pPr>
      <w:r>
        <w:t xml:space="preserve">I’m going to come back in section</w:t>
      </w:r>
      <w:r>
        <w:t xml:space="preserve"> </w:t>
      </w:r>
      <w:r>
        <w:t xml:space="preserve">9.9</w:t>
      </w:r>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believe should say, that knowledge is compatible with the weakness in one’s epistemic position explaining why an inquiry is in order. It’s just that knowledge is not compatible with weakness of epistemic position preventing the knowledge being used once the inquiry starts.</w:t>
      </w:r>
    </w:p>
    <w:bookmarkEnd w:id="96"/>
    <w:bookmarkStart w:id="98" w:name="independence"/>
    <w:p>
      <w:pPr>
        <w:pStyle w:val="Heading2"/>
      </w:pPr>
      <w:r>
        <w:rPr>
          <w:rStyle w:val="SectionNumber"/>
        </w:rPr>
        <w:t xml:space="preserve">5.3</w:t>
      </w:r>
      <w:r>
        <w:tab/>
      </w:r>
      <w:r>
        <w:t xml:space="preserve">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t>
      </w:r>
      <w:hyperlink w:anchor="ref-Weatherson2019">
        <w:r>
          <w:rPr>
            <w:rStyle w:val="Hyperlink"/>
          </w:rPr>
          <w:t xml:space="preserve">Weatherson 2019</w:t>
        </w:r>
      </w:hyperlink>
      <w:r>
        <w:t xml:space="preserve">)</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w:t>
      </w:r>
      <w:hyperlink w:anchor="ref-Christensen2011">
        <w:r>
          <w:rPr>
            <w:rStyle w:val="Hyperlink"/>
          </w:rPr>
          <w:t xml:space="preserve">Christensen 2011, 1–2</w:t>
        </w:r>
      </w:hyperlink>
      <w:r>
        <w:t xml:space="preserve">)</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w:t>
      </w:r>
      <w:hyperlink w:anchor="ref-Christensen2019">
        <w:r>
          <w:rPr>
            <w:rStyle w:val="Hyperlink"/>
          </w:rPr>
          <w:t xml:space="preserve">Christensen 2019</w:t>
        </w:r>
      </w:hyperlink>
      <w:r>
        <w:t xml:space="preserve">)</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w:t>
      </w:r>
      <w:hyperlink w:anchor="ref-Littlejohn2015">
        <w:r>
          <w:rPr>
            <w:rStyle w:val="Hyperlink"/>
          </w:rPr>
          <w:t xml:space="preserve">2018</w:t>
        </w:r>
      </w:hyperlink>
      <w:r>
        <w:t xml:space="preserve">)</w:t>
      </w:r>
      <w:r>
        <w:t xml:space="preserve">, at the top of page 178.) But I never really spelled it out. Here’s what I now think the right thing to say is.</w:t>
      </w:r>
      <w:r>
        <w:t xml:space="preserve"> </w:t>
      </w:r>
      <w:r>
        <w:rPr>
          <w:rStyle w:val="FootnoteReference"/>
        </w:rPr>
        <w:footnoteReference w:id="97"/>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w:t>
      </w:r>
      <w:hyperlink w:anchor="ref-Christensen2019">
        <w:r>
          <w:rPr>
            <w:rStyle w:val="Hyperlink"/>
          </w:rPr>
          <w:t xml:space="preserve">2019</w:t>
        </w:r>
      </w:hyperlink>
      <w:r>
        <w:t xml:space="preserve">)</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98"/>
    <w:bookmarkStart w:id="99" w:name="doublecheck"/>
    <w:p>
      <w:pPr>
        <w:pStyle w:val="Heading2"/>
      </w:pPr>
      <w:r>
        <w:rPr>
          <w:rStyle w:val="SectionNumber"/>
        </w:rPr>
        <w:t xml:space="preserve">5.4</w:t>
      </w:r>
      <w:r>
        <w:tab/>
      </w:r>
      <w:r>
        <w:t xml:space="preserve">Double Checking</w:t>
      </w:r>
    </w:p>
    <w:p>
      <w:pPr>
        <w:pStyle w:val="FirstParagraph"/>
      </w:pPr>
      <w:r>
        <w:t xml:space="preserve">An example from Jessica Brown</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t xml:space="preserve">Student: I don’t understand. Why is she looking at the patient’s records? She was in clinic with the patient this morning. Doesn’t she even know which kidney it is?</w:t>
      </w:r>
      <w:r>
        <w:t xml:space="preserve"> </w:t>
      </w:r>
      <w:r>
        <w:t xml:space="preserve">Nurse: Of course, she knows which kidney it is. But, imagine what it would be like if she removed the wrong kidney. She shouldn’t operate before checking the patient’s records.</w:t>
      </w:r>
    </w:p>
    <w:p>
      <w:pPr>
        <w:pStyle w:val="FirstParagraph"/>
      </w:pPr>
      <w:r>
        <w:t xml:space="preserve">I think this is a good inquiry even though the doctor knows.</w:t>
      </w:r>
    </w:p>
    <w:p>
      <w:pPr>
        <w:pStyle w:val="BodyText"/>
      </w:pPr>
      <w:r>
        <w:t xml:space="preserve">I don’t have as snappy a story about her next example, Affair. I have several inconclusive thoughts about it.</w:t>
      </w:r>
    </w:p>
    <w:p>
      <w:pPr>
        <w:numPr>
          <w:ilvl w:val="0"/>
          <w:numId w:val="1038"/>
        </w:numPr>
        <w:pStyle w:val="Compact"/>
      </w:pPr>
      <w:r>
        <w:t xml:space="preserve">It strikes me as less compelling that it is coherent</w:t>
      </w:r>
    </w:p>
    <w:p>
      <w:pPr>
        <w:numPr>
          <w:ilvl w:val="0"/>
          <w:numId w:val="1038"/>
        </w:numPr>
        <w:pStyle w:val="Compact"/>
      </w:pPr>
      <w:r>
        <w:t xml:space="preserve">It’s striking that it gets much less attention than surgeon; I wonder if others share my suspicion (but maybe Surgeon is just first)</w:t>
      </w:r>
    </w:p>
    <w:p>
      <w:pPr>
        <w:numPr>
          <w:ilvl w:val="0"/>
          <w:numId w:val="1038"/>
        </w:numPr>
        <w:pStyle w:val="Compact"/>
      </w:pPr>
      <w:r>
        <w:t xml:space="preserve">Feels like loose talk, like</w:t>
      </w:r>
      <w:r>
        <w:t xml:space="preserve"> </w:t>
      </w:r>
      <w:r>
        <w:t xml:space="preserve">“</w:t>
      </w:r>
      <w:r>
        <w:t xml:space="preserve">I knew there was a fire here</w:t>
      </w:r>
      <w:r>
        <w:t xml:space="preserve">”</w:t>
      </w:r>
      <w:r>
        <w:t xml:space="preserve">, or</w:t>
      </w:r>
      <w:r>
        <w:t xml:space="preserve"> </w:t>
      </w:r>
      <w:r>
        <w:t xml:space="preserve">“</w:t>
      </w:r>
      <w:r>
        <w:t xml:space="preserve">I knew we’d lose the game</w:t>
      </w:r>
      <w:r>
        <w:t xml:space="preserve">”</w:t>
      </w:r>
    </w:p>
    <w:p>
      <w:pPr>
        <w:numPr>
          <w:ilvl w:val="0"/>
          <w:numId w:val="1038"/>
        </w:numPr>
        <w:pStyle w:val="Compact"/>
      </w:pPr>
      <w:r>
        <w:t xml:space="preserve">Or maybe it’s just an information possession sense of</w:t>
      </w:r>
      <w:r>
        <w:t xml:space="preserve"> </w:t>
      </w:r>
      <w:r>
        <w:t xml:space="preserve">‘</w:t>
      </w:r>
      <w:r>
        <w:t xml:space="preserve">knows</w:t>
      </w:r>
      <w:r>
        <w:t xml:space="preserve">’</w:t>
      </w:r>
      <w:r>
        <w:t xml:space="preserve">. We sometimes use that as well, and it’s very different to what the vast majority of epistemologists talk about. (Maybe not contextualists, maybe not Dretske.)</w:t>
      </w:r>
    </w:p>
    <w:p>
      <w:pPr>
        <w:numPr>
          <w:ilvl w:val="0"/>
          <w:numId w:val="1038"/>
        </w:numPr>
        <w:pStyle w:val="Compact"/>
      </w:pPr>
      <w:r>
        <w:t xml:space="preserve">In any case, I’m not committed to ordinary usage being good around here. I’m aiming to find a theoretically interesting notion that fits the roles knowledge should fit.</w:t>
      </w:r>
    </w:p>
    <w:bookmarkEnd w:id="99"/>
    <w:bookmarkStart w:id="100" w:name="need"/>
    <w:p>
      <w:pPr>
        <w:pStyle w:val="Heading2"/>
      </w:pPr>
      <w:r>
        <w:rPr>
          <w:rStyle w:val="SectionNumber"/>
        </w:rPr>
        <w:t xml:space="preserve">5.5</w:t>
      </w:r>
      <w:r>
        <w:tab/>
      </w:r>
      <w:r>
        <w:t xml:space="preserve">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Φ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Φ is first checking whether</w:t>
      </w:r>
      <w:r>
        <w:t xml:space="preserve"> </w:t>
      </w:r>
      <w:r>
        <w:rPr>
          <w:iCs/>
          <w:i/>
        </w:rPr>
        <w:t xml:space="preserve">p</w:t>
      </w:r>
      <w:r>
        <w:t xml:space="preserve">, which would be trivial, and then doing Φ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Φ,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Φ. They know that if</w:t>
      </w:r>
      <w:r>
        <w:t xml:space="preserve"> </w:t>
      </w:r>
      <w:r>
        <w:rPr>
          <w:iCs/>
          <w:i/>
        </w:rPr>
        <w:t xml:space="preserve">p</w:t>
      </w:r>
      <w:r>
        <w:t xml:space="preserve"> </w:t>
      </w:r>
      <w:r>
        <w:t xml:space="preserve">is true, Φ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Φ, and</w:t>
      </w:r>
      <w:r>
        <w:t xml:space="preserve"> </w:t>
      </w:r>
      <w:r>
        <w:rPr>
          <w:iCs/>
          <w:i/>
        </w:rPr>
        <w:t xml:space="preserve">p</w:t>
      </w:r>
      <w:r>
        <w:t xml:space="preserve"> </w:t>
      </w:r>
      <w:r>
        <w:t xml:space="preserve">is false, it will be absolutely catastrophic. And they care about the catastrophe. But they’ve sort of forgotten this fact about Φ. It’s not that it has totally vanished from their mind. But they aren’t attending to it, and it doesn’t form any part of their deliberation when thinking about Φ. So they do Φ,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Φ.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Φ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 section</w:t>
      </w:r>
      <w:r>
        <w:t xml:space="preserve"> </w:t>
      </w:r>
      <w:r>
        <w:t xml:space="preserve">8.1</w:t>
      </w:r>
      <w:r>
        <w:t xml:space="preserve">, where it will be useful for distinguishing one of the few points where I disagree with the theory that Jeremy Fantl and Matthew McGrath</w:t>
      </w:r>
      <w:r>
        <w:t xml:space="preserve"> </w:t>
      </w:r>
      <w:r>
        <w:t xml:space="preserve">(</w:t>
      </w:r>
      <w:hyperlink w:anchor="ref-FantlMcGrath2002">
        <w:r>
          <w:rPr>
            <w:rStyle w:val="Hyperlink"/>
          </w:rPr>
          <w:t xml:space="preserve">Fantl and McGrath 2002</w:t>
        </w:r>
      </w:hyperlink>
      <w:r>
        <w:t xml:space="preserve">,</w:t>
      </w:r>
      <w:r>
        <w:t xml:space="preserve"> </w:t>
      </w:r>
      <w:hyperlink w:anchor="ref-FantlMcGrath2009">
        <w:r>
          <w:rPr>
            <w:rStyle w:val="Hyperlink"/>
          </w:rPr>
          <w:t xml:space="preserve">2009</w:t>
        </w:r>
      </w:hyperlink>
      <w:r>
        <w:t xml:space="preserve">)</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And in that inquiry, they shouldn’t take</w:t>
      </w:r>
      <w:r>
        <w:t xml:space="preserve"> </w:t>
      </w:r>
      <w:r>
        <w:rPr>
          <w:iCs/>
          <w:i/>
        </w:rPr>
        <w:t xml:space="preserve">p</w:t>
      </w:r>
      <w:r>
        <w:t xml:space="preserve"> </w:t>
      </w:r>
      <w:r>
        <w:t xml:space="preserve">for granted. And they shouldn’t take it for granted for a very particular reason, because it might be false. The fact that they aren’t …</w:t>
      </w:r>
    </w:p>
    <w:p>
      <w:pPr>
        <w:numPr>
          <w:ilvl w:val="0"/>
          <w:numId w:val="1039"/>
        </w:numPr>
        <w:pStyle w:val="Compact"/>
      </w:pPr>
      <w:r>
        <w:t xml:space="preserve">If one should inquire into Q, and were one to inquire into Q, one shouldn’t take p for granted, one doesn’t know p</w:t>
      </w:r>
    </w:p>
    <w:p>
      <w:pPr>
        <w:numPr>
          <w:ilvl w:val="0"/>
          <w:numId w:val="1039"/>
        </w:numPr>
        <w:pStyle w:val="Compact"/>
      </w:pPr>
      <w:r>
        <w:t xml:space="preserve">So there is a kind of moral encroachment into knowledge</w:t>
      </w:r>
    </w:p>
    <w:p>
      <w:pPr>
        <w:numPr>
          <w:ilvl w:val="0"/>
          <w:numId w:val="1039"/>
        </w:numPr>
        <w:pStyle w:val="Compact"/>
      </w:pPr>
      <w:r>
        <w:t xml:space="preserve">Maybe move some chapter 8 stuff here</w:t>
      </w:r>
    </w:p>
    <w:p>
      <w:pPr>
        <w:numPr>
          <w:ilvl w:val="0"/>
          <w:numId w:val="1039"/>
        </w:numPr>
        <w:pStyle w:val="Compact"/>
      </w:pPr>
      <w:r>
        <w:t xml:space="preserve">Note this is asymmetric; inquiries you don’t need to conduct can lose knowledge</w:t>
      </w:r>
    </w:p>
    <w:bookmarkEnd w:id="100"/>
    <w:bookmarkStart w:id="101" w:name="realism"/>
    <w:p>
      <w:pPr>
        <w:pStyle w:val="Heading2"/>
      </w:pPr>
      <w:r>
        <w:rPr>
          <w:rStyle w:val="SectionNumber"/>
        </w:rPr>
        <w:t xml:space="preserve">5.6</w:t>
      </w:r>
      <w:r>
        <w:tab/>
      </w:r>
      <w:r>
        <w:t xml:space="preserve">Inquiry Realism</w:t>
      </w:r>
    </w:p>
    <w:p>
      <w:pPr>
        <w:numPr>
          <w:ilvl w:val="0"/>
          <w:numId w:val="1040"/>
        </w:numPr>
        <w:pStyle w:val="Compact"/>
      </w:pPr>
      <w:r>
        <w:t xml:space="preserve">There’s a fact of the matter about what people are inquiring about - and what they are doing with that inquiry.</w:t>
      </w:r>
    </w:p>
    <w:p>
      <w:pPr>
        <w:numPr>
          <w:ilvl w:val="0"/>
          <w:numId w:val="1040"/>
        </w:numPr>
        <w:pStyle w:val="Compact"/>
      </w:pPr>
      <w:r>
        <w:t xml:space="preserve">This is independent of what their credences are</w:t>
      </w:r>
    </w:p>
    <w:p>
      <w:pPr>
        <w:numPr>
          <w:ilvl w:val="0"/>
          <w:numId w:val="1040"/>
        </w:numPr>
        <w:pStyle w:val="Compact"/>
      </w:pPr>
      <w:r>
        <w:t xml:space="preserve">And there are facts about what they should inquire about; some of these are given by consequentialist considerations, some by (broadly) deontological</w:t>
      </w:r>
    </w:p>
    <w:p>
      <w:pPr>
        <w:numPr>
          <w:ilvl w:val="0"/>
          <w:numId w:val="1040"/>
        </w:numPr>
        <w:pStyle w:val="Compact"/>
      </w:pPr>
      <w:r>
        <w:t xml:space="preserve">They may be inquiring into multiple things; this is ok, they lose a lot of information, but they retain probabilistic information</w:t>
      </w:r>
    </w:p>
    <w:p>
      <w:pPr>
        <w:numPr>
          <w:ilvl w:val="0"/>
          <w:numId w:val="1040"/>
        </w:numPr>
        <w:pStyle w:val="Compact"/>
      </w:pPr>
      <w:r>
        <w:t xml:space="preserve">So this makes the current view sit uneasily in the current dualism/reductionism debate</w:t>
      </w:r>
    </w:p>
    <w:p>
      <w:pPr>
        <w:numPr>
          <w:ilvl w:val="0"/>
          <w:numId w:val="1040"/>
        </w:numPr>
        <w:pStyle w:val="Compact"/>
      </w:pPr>
      <w:r>
        <w:t xml:space="preserve">I do think belief is reducible to credences plus subjects of inquiry</w:t>
      </w:r>
    </w:p>
    <w:p>
      <w:pPr>
        <w:numPr>
          <w:ilvl w:val="0"/>
          <w:numId w:val="1040"/>
        </w:numPr>
        <w:pStyle w:val="Compact"/>
      </w:pPr>
      <w:r>
        <w:t xml:space="preserve">But I don’t think they are reducible to credences alone</w:t>
      </w:r>
    </w:p>
    <w:p>
      <w:pPr>
        <w:numPr>
          <w:ilvl w:val="0"/>
          <w:numId w:val="1040"/>
        </w:numPr>
        <w:pStyle w:val="Compact"/>
      </w:pPr>
      <w:r>
        <w:t xml:space="preserve">Is this dualism or not? I don’t really care.</w:t>
      </w:r>
    </w:p>
    <w:bookmarkEnd w:id="101"/>
    <w:bookmarkEnd w:id="102"/>
    <w:bookmarkStart w:id="116" w:name="ties"/>
    <w:p>
      <w:pPr>
        <w:pStyle w:val="Heading1"/>
      </w:pPr>
      <w:r>
        <w:rPr>
          <w:rStyle w:val="SectionNumber"/>
        </w:rPr>
        <w:t xml:space="preserve">6</w:t>
      </w:r>
      <w:r>
        <w:tab/>
      </w:r>
      <w:r>
        <w:t xml:space="preserve">Ties</w:t>
      </w:r>
    </w:p>
    <w:p>
      <w:pPr>
        <w:pStyle w:val="FirstParagraph"/>
      </w:pPr>
      <w:r>
        <w:t xml:space="preserve">I have mentioned a couple of times that a natural version of IRT leads to unpleasant closure failures. Alex</w:t>
      </w:r>
      <w:r>
        <w:t xml:space="preserve"> </w:t>
      </w:r>
      <w:r>
        <w:t xml:space="preserve">Zweber (</w:t>
      </w:r>
      <w:hyperlink w:anchor="ref-Zweber2016">
        <w:r>
          <w:rPr>
            <w:rStyle w:val="Hyperlink"/>
          </w:rPr>
          <w:t xml:space="preserve">2016</w:t>
        </w:r>
      </w:hyperlink>
      <w:r>
        <w:t xml:space="preserve">)</w:t>
      </w:r>
      <w:r>
        <w:t xml:space="preserve"> </w:t>
      </w:r>
      <w:r>
        <w:t xml:space="preserve">and, separately, Charity Anderson and John Hawthorne</w:t>
      </w:r>
      <w:r>
        <w:t xml:space="preserve"> </w:t>
      </w:r>
      <w:r>
        <w:t xml:space="preserve">(</w:t>
      </w:r>
      <w:hyperlink w:anchor="ref-AndersonHawthorne2019a">
        <w:r>
          <w:rPr>
            <w:rStyle w:val="Hyperlink"/>
          </w:rPr>
          <w:t xml:space="preserve">2019a</w:t>
        </w:r>
      </w:hyperlink>
      <w:r>
        <w:t xml:space="preserve">)</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that this adding this principle, and no other principle, to a natural theory of knowledge leads to an absurd situation where S knows</w:t>
      </w:r>
      <w:r>
        <w:t xml:space="preserve"> </w:t>
      </w:r>
      <w:r>
        <w:rPr>
          <w:iCs/>
          <w:i/>
        </w:rPr>
        <w:t xml:space="preserve">p</w:t>
      </w:r>
      <w:r>
        <w:t xml:space="preserve"> </w:t>
      </w:r>
      <w:r>
        <w:t xml:space="preserve">∧</w:t>
      </w:r>
      <w:r>
        <w:t xml:space="preserve"> </w:t>
      </w:r>
      <w:r>
        <w:rPr>
          <w:iCs/>
          <w:i/>
        </w:rPr>
        <w:t xml:space="preserve">q</w:t>
      </w:r>
      <w:r>
        <w:t xml:space="preserve"> </w:t>
      </w:r>
      <w:r>
        <w:t xml:space="preserve">but does not know</w:t>
      </w:r>
      <w:r>
        <w:t xml:space="preserve"> </w:t>
      </w:r>
      <w:r>
        <w:rPr>
          <w:iCs/>
          <w:i/>
        </w:rPr>
        <w:t xml:space="preserve">p</w:t>
      </w:r>
      <w:r>
        <w:t xml:space="preserve">. I’ve mentioned a couple of times that my version of IRT does not fall into exactly this trap.</w:t>
      </w:r>
    </w:p>
    <w:p>
      <w:pPr>
        <w:pStyle w:val="BodyText"/>
      </w:pPr>
      <w:r>
        <w:t xml:space="preserve">What I haven’t dwelt on is that their objection to IRT doesn’t stop there. They go on to argue that the natural ways for versions of IRT to avoid this trap will lead to implausible amounts of scepticism. The point of this chapter, in effect, is to respond to this challenge.</w:t>
      </w:r>
    </w:p>
    <w:p>
      <w:pPr>
        <w:pStyle w:val="BodyText"/>
      </w:pPr>
      <w:r>
        <w:t xml:space="preserve">There are a few of reasons that I’m spending this much time on this objection. One is that thinking about it brings up interesting points about the relationship between analysing action in terms of reasons and knowledge, and analysing action in terms of utility maximisation. And another is that it turns out I have to concede a little more than I expected that I would. That is to say, the version of IRT I’m defending here is somewhat more sceptical than I would have realised were it not for thinking through this case. I don’t think this is enough reason to reject the theory; indeed, I think working through the cases gives us reason to accept the moderately sceptical conclusions. Still, this is a more concessive response than I’ll offer to subsequent objections, and the point here is not just to argue that a particular objection fails, but to see some consequences of the best form of IRT. And a final reason is that it turns out my favored version of IRT is inconsistent with the view that rationality requires maximising expected utility. That might seem very bad, since that’s a very popular view of rational choice. But it turns out that the verdicts of expected utility theory that raise problems for IRT are verdicts that are independently problematic. We’ll see that making a minor, well motivated, change to expected utility theory restores consistency with IRT.</w:t>
      </w:r>
    </w:p>
    <w:bookmarkStart w:id="103" w:name="frankielee"/>
    <w:p>
      <w:pPr>
        <w:pStyle w:val="Heading2"/>
      </w:pPr>
      <w:r>
        <w:rPr>
          <w:rStyle w:val="SectionNumber"/>
        </w:rPr>
        <w:t xml:space="preserve">6.1</w:t>
      </w:r>
      <w:r>
        <w:tab/>
      </w:r>
      <w:r>
        <w:t xml:space="preserve">An Example</w:t>
      </w:r>
    </w:p>
    <w:p>
      <w:pPr>
        <w:pStyle w:val="FirstParagraph"/>
      </w:pPr>
      <w:r>
        <w:t xml:space="preserve">Let’s start with an example from a great thinker. It will require a little exegesis, but that’s not unusual when using classic texts.</w:t>
      </w:r>
    </w:p>
    <w:p>
      <w:pPr>
        <w:pStyle w:val="BlockText"/>
      </w:pPr>
      <w:r>
        <w:t xml:space="preserve"> | Well Frankie Lee and Judas Priest</w:t>
      </w:r>
      <w:r>
        <w:t xml:space="preserve"> </w:t>
      </w:r>
      <w:r>
        <w:t xml:space="preserve"> | They were the best of friends</w:t>
      </w:r>
      <w:r>
        <w:t xml:space="preserve"> </w:t>
      </w:r>
      <w:r>
        <w:t xml:space="preserve"> | So when Frankie Lee needed money one day</w:t>
      </w:r>
      <w:r>
        <w:t xml:space="preserve"> </w:t>
      </w:r>
      <w:r>
        <w:t xml:space="preserve"> | Judas quickly pulled out a roll of tens</w:t>
      </w:r>
      <w:r>
        <w:t xml:space="preserve"> </w:t>
      </w:r>
      <w:r>
        <w:t xml:space="preserve"> | And placed them on the footstool</w:t>
      </w:r>
      <w:r>
        <w:t xml:space="preserve"> </w:t>
      </w:r>
      <w:r>
        <w:t xml:space="preserve"> | Just above the potted plain</w:t>
      </w:r>
      <w:r>
        <w:t xml:space="preserve"> </w:t>
      </w:r>
      <w:r>
        <w:t xml:space="preserve"> | Saying</w:t>
      </w:r>
      <w:r>
        <w:t xml:space="preserve"> </w:t>
      </w:r>
      <w:r>
        <w:t xml:space="preserve">“</w:t>
      </w:r>
      <w:r>
        <w:t xml:space="preserve">Take your pick, Frankie boy,</w:t>
      </w:r>
      <w:r>
        <w:t xml:space="preserve"> </w:t>
      </w:r>
      <w:r>
        <w:t xml:space="preserve"> | My loss will be your gain.</w:t>
      </w:r>
      <w:r>
        <w:t xml:space="preserve">”</w:t>
      </w:r>
      <w:r>
        <w:t xml:space="preserve"> </w:t>
      </w:r>
      <w:r>
        <w:t xml:space="preserve"> |  (</w:t>
      </w:r>
      <w:r>
        <w:t xml:space="preserve">“</w:t>
      </w:r>
      <w:r>
        <w:t xml:space="preserve">The Ballad of Frankie Lee and Judas Priest</w:t>
      </w:r>
      <w:r>
        <w:t xml:space="preserve">”</w:t>
      </w:r>
      <w:r>
        <w:t xml:space="preserve">, 1968. Lyrics from Dylan</w:t>
      </w:r>
      <w:r>
        <w:t xml:space="preserve"> </w:t>
      </w:r>
      <w:r>
        <w:t xml:space="preserve">(</w:t>
      </w:r>
      <w:hyperlink w:anchor="ref-Dylan2016">
        <w:r>
          <w:rPr>
            <w:rStyle w:val="Hyperlink"/>
          </w:rPr>
          <w:t xml:space="preserve">2016, 225</w:t>
        </w:r>
      </w:hyperlink>
      <w:r>
        <w:t xml:space="preserve">)</w:t>
      </w:r>
      <w:r>
        <w:t xml:space="preserve">)</w:t>
      </w:r>
    </w:p>
    <w:p>
      <w:pPr>
        <w:pStyle w:val="FirstParagraph"/>
      </w:pPr>
      <w:r>
        <w:t xml:space="preserve">On a common reading of this, Judas Priest isn’t just asking Frankie Lee how much money he wants to take, but which individual notes. Let’s simplify, and say that it is common ground that Frankie Lee should only take $10, so the choice he has is which of the individual notes he will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w:t>
      </w:r>
      <w:r>
        <w:t xml:space="preserve"> </w:t>
      </w:r>
      <w:r>
        <w:rPr>
          <w:bCs/>
          <w:b/>
        </w:rPr>
        <w:t xml:space="preserve">Conditional Preferences</w:t>
      </w:r>
      <w:r>
        <w:t xml:space="preserve">. I’m going to refer to this form of IRT a lot, so let’s give it the memorable moniker IRT-CP. So IRT-CP is what you get by taking a standard theory of knowledge, adding</w:t>
      </w:r>
      <w:r>
        <w:t xml:space="preserve"> </w:t>
      </w:r>
      <w:r>
        <w:rPr>
          <w:bCs/>
          <w:b/>
        </w:rPr>
        <w:t xml:space="preserve">Conditional Preferences</w:t>
      </w:r>
      <w:r>
        <w:t xml:space="preserve"> </w:t>
      </w:r>
      <w:r>
        <w:t xml:space="preserve">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Change the example a bit, so we can generate the third problem. Keep that the probabilities of each note being genuine are equal and independent. But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41"/>
        </w:numPr>
        <w:pStyle w:val="Compact"/>
      </w:pPr>
      <w:r>
        <w:t xml:space="preserve">In the case where Frankie Lee has no reason to choose one note rather than another, he doesn’t know of any note that it is genuine. And this is surprisingly sceptical.</w:t>
      </w:r>
    </w:p>
    <w:p>
      <w:pPr>
        <w:numPr>
          <w:ilvl w:val="0"/>
          <w:numId w:val="1041"/>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41"/>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And, as Frankie Lee knows, no one in the country has yet figured out how to produce forgeries of plastic banknotes that are even remotely plausible.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And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for something like it.</w:t>
      </w:r>
    </w:p>
    <w:bookmarkEnd w:id="103"/>
    <w:bookmarkStart w:id="104" w:name="tiesresponse"/>
    <w:p>
      <w:pPr>
        <w:pStyle w:val="Heading2"/>
      </w:pPr>
      <w:r>
        <w:rPr>
          <w:rStyle w:val="SectionNumber"/>
        </w:rPr>
        <w:t xml:space="preserve">6.2</w:t>
      </w:r>
      <w:r>
        <w:tab/>
      </w:r>
      <w:r>
        <w:t xml:space="preserve">Responding to the Challenge, Quickly</w:t>
      </w:r>
    </w:p>
    <w:p>
      <w:pPr>
        <w:pStyle w:val="FirstParagraph"/>
      </w:pPr>
      <w:r>
        <w:t xml:space="preserve">The second half of this chapter is going to get into the weeds a bit about how choices do and should get made in cases like Frankie Lee’s. So before we do that, I am going to outline how my version of IRT, which of course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 section</w:t>
      </w:r>
      <w:r>
        <w:t xml:space="preserve"> </w:t>
      </w:r>
      <w:r>
        <w:t xml:space="preserve">3.5</w:t>
      </w:r>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w:t>
      </w:r>
      <w:r>
        <w:t xml:space="preserve"> </w:t>
      </w:r>
      <w:r>
        <w:rPr>
          <w:bCs/>
          <w:b/>
        </w:rPr>
        <w:t xml:space="preserve">Conditional Preference</w:t>
      </w:r>
      <w:r>
        <w:t xml:space="preserve"> </w:t>
      </w:r>
      <w:r>
        <w:t xml:space="preserve">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sub-optimal choice. But given that choice has computational (and sometimes investigative) costs, it is worth risking a sub-optimal choice if the reward is a cheaper decision procedure. And in some cases like this, the best decision procedure will ignore certain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w:t>
      </w:r>
    </w:p>
    <w:p>
      <w:pPr>
        <w:pStyle w:val="BodyText"/>
      </w:pPr>
      <w:r>
        <w:t xml:space="preserve">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in this sense is so prevalent, so important, and even so rational.</w:t>
      </w:r>
    </w:p>
    <w:bookmarkEnd w:id="104"/>
    <w:bookmarkStart w:id="107" w:name="backearth"/>
    <w:p>
      <w:pPr>
        <w:pStyle w:val="Heading2"/>
      </w:pPr>
      <w:r>
        <w:rPr>
          <w:rStyle w:val="SectionNumber"/>
        </w:rPr>
        <w:t xml:space="preserve">6.3</w:t>
      </w:r>
      <w:r>
        <w:tab/>
      </w:r>
      <w:r>
        <w:t xml:space="preserve">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the problems are, and as I just hinted, eventually show us a way out of those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05"/>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06"/>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the argument so far relies just on</w:t>
      </w:r>
      <w:r>
        <w:t xml:space="preserve"> </w:t>
      </w:r>
      <w:r>
        <w:rPr>
          <w:bCs/>
          <w:b/>
        </w:rPr>
        <w:t xml:space="preserve">Conditional Preferences</w:t>
      </w:r>
      <w:r>
        <w:t xml:space="preserve"> </w:t>
      </w:r>
      <w:r>
        <w:t xml:space="preserve">being part of the correct theory of IRT, and that’s a much weaker claim than that IRT-CP is true. Assuming there is some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07"/>
    <w:bookmarkStart w:id="109" w:name="supermarketquestions"/>
    <w:p>
      <w:pPr>
        <w:pStyle w:val="Heading2"/>
      </w:pPr>
      <w:r>
        <w:rPr>
          <w:rStyle w:val="SectionNumber"/>
        </w:rPr>
        <w:t xml:space="preserve">6.4</w:t>
      </w:r>
      <w:r>
        <w:tab/>
      </w:r>
      <w:r>
        <w:t xml:space="preserve">I Have Questions</w:t>
      </w:r>
    </w:p>
    <w:p>
      <w:pPr>
        <w:pStyle w:val="FirstParagraph"/>
      </w:pPr>
      <w:r>
        <w:t xml:space="preserve">So far in this chapter I’ve mostly assumed that these two questions are equivalent:</w:t>
      </w:r>
    </w:p>
    <w:p>
      <w:pPr>
        <w:numPr>
          <w:ilvl w:val="0"/>
          <w:numId w:val="1042"/>
        </w:numPr>
        <w:pStyle w:val="Compact"/>
      </w:pPr>
      <w:r>
        <w:t xml:space="preserve">Which option has highest expected utility?</w:t>
      </w:r>
    </w:p>
    <w:p>
      <w:pPr>
        <w:numPr>
          <w:ilvl w:val="0"/>
          <w:numId w:val="1042"/>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 section</w:t>
      </w:r>
      <w:r>
        <w:t xml:space="preserve"> </w:t>
      </w:r>
      <w:r>
        <w:t xml:space="preserve">3.6</w:t>
      </w:r>
      <w:r>
        <w:t xml:space="preserve">. I’ll rehearse that difference, briefly mention a second difference, then spend some time on a third difference.</w:t>
      </w:r>
    </w:p>
    <w:p>
      <w:pPr>
        <w:pStyle w:val="BodyText"/>
      </w:pPr>
      <w:r>
        <w:t xml:space="preserve">The point I made much of back in section</w:t>
      </w:r>
      <w:r>
        <w:t xml:space="preserve"> </w:t>
      </w:r>
      <w:r>
        <w:t xml:space="preserve">3.6</w:t>
      </w:r>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08"/>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w:t>
      </w:r>
      <w:hyperlink w:anchor="ref-Quiggin1982">
        <w:r>
          <w:rPr>
            <w:rStyle w:val="Hyperlink"/>
          </w:rPr>
          <w:t xml:space="preserve">1982</w:t>
        </w:r>
      </w:hyperlink>
      <w:r>
        <w:t xml:space="preserve">)</w:t>
      </w:r>
      <w:r>
        <w:t xml:space="preserve"> </w:t>
      </w:r>
      <w:r>
        <w:t xml:space="preserve">and</w:t>
      </w:r>
      <w:r>
        <w:t xml:space="preserve"> </w:t>
      </w:r>
      <w:r>
        <w:t xml:space="preserve">Buchak (</w:t>
      </w:r>
      <w:hyperlink w:anchor="ref-BuchakRisk">
        <w:r>
          <w:rPr>
            <w:rStyle w:val="Hyperlink"/>
          </w:rPr>
          <w:t xml:space="preserve">2013</w:t>
        </w:r>
      </w:hyperlink>
      <w:r>
        <w:t xml:space="preserve">)</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09"/>
    <w:bookmarkStart w:id="110" w:name="satisfied"/>
    <w:p>
      <w:pPr>
        <w:pStyle w:val="Heading2"/>
      </w:pPr>
      <w:r>
        <w:rPr>
          <w:rStyle w:val="SectionNumber"/>
        </w:rPr>
        <w:t xml:space="preserve">6.5</w:t>
      </w:r>
      <w:r>
        <w:tab/>
      </w:r>
      <w:r>
        <w:t xml:space="preserve">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w:t>
      </w:r>
      <w:hyperlink w:anchor="ref-Manski2017">
        <w:r>
          <w:rPr>
            <w:rStyle w:val="Hyperlink"/>
          </w:rPr>
          <w:t xml:space="preserve">2017</w:t>
        </w:r>
      </w:hyperlink>
      <w:r>
        <w:t xml:space="preserve">)</w:t>
      </w:r>
      <w:r>
        <w:t xml:space="preserve"> </w:t>
      </w:r>
      <w:r>
        <w:t xml:space="preserve">uses the term this way, and notes that it has rarely been defined more precisely than that. But it isn’t the only way that it is used. Mauro Papi</w:t>
      </w:r>
      <w:r>
        <w:t xml:space="preserve"> </w:t>
      </w:r>
      <w:r>
        <w:t xml:space="preserve">(</w:t>
      </w:r>
      <w:hyperlink w:anchor="ref-Papi2013">
        <w:r>
          <w:rPr>
            <w:rStyle w:val="Hyperlink"/>
          </w:rPr>
          <w:t xml:space="preserve">2013</w:t>
        </w:r>
      </w:hyperlink>
      <w:r>
        <w:t xml:space="preserve">)</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w:t>
      </w:r>
      <w:hyperlink w:anchor="ref-Tucker2016">
        <w:r>
          <w:rPr>
            <w:rStyle w:val="Hyperlink"/>
          </w:rPr>
          <w:t xml:space="preserve">2016</w:t>
        </w:r>
      </w:hyperlink>
      <w:r>
        <w:t xml:space="preserve">)</w:t>
      </w:r>
      <w:r>
        <w:t xml:space="preserve">, following a long tradition in philosophy of religion, uses it to mean any choice procedure that does not optimize. Elena Reutskaja et al</w:t>
      </w:r>
      <w:r>
        <w:t xml:space="preserve"> </w:t>
      </w:r>
      <w:r>
        <w:t xml:space="preserve">(</w:t>
      </w:r>
      <w:hyperlink w:anchor="ref-Reutskaja2011">
        <w:r>
          <w:rPr>
            <w:rStyle w:val="Hyperlink"/>
          </w:rPr>
          <w:t xml:space="preserve">2011</w:t>
        </w:r>
      </w:hyperlink>
      <w:r>
        <w:t xml:space="preserve">)</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w:t>
      </w:r>
      <w:hyperlink w:anchor="ref-Caplin2011">
        <w:r>
          <w:rPr>
            <w:rStyle w:val="Hyperlink"/>
          </w:rPr>
          <w:t xml:space="preserve">2011</w:t>
        </w:r>
      </w:hyperlink>
      <w:r>
        <w:t xml:space="preserve">)</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w:t>
      </w:r>
      <w:hyperlink w:anchor="ref-Savage1967">
        <w:r>
          <w:rPr>
            <w:rStyle w:val="Hyperlink"/>
          </w:rPr>
          <w:t xml:space="preserve">Savage 1967</w:t>
        </w:r>
      </w:hyperlink>
      <w:r>
        <w:t xml:space="preserve">)</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w:t>
      </w:r>
      <w:hyperlink w:anchor="ref-SchwartzEtAl2002">
        <w:r>
          <w:rPr>
            <w:rStyle w:val="Hyperlink"/>
          </w:rPr>
          <w:t xml:space="preserve">2002</w:t>
        </w:r>
      </w:hyperlink>
      <w:r>
        <w:t xml:space="preserve">)</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w:t>
      </w:r>
      <w:hyperlink w:anchor="ref-IyengarEtAl2006">
        <w:r>
          <w:rPr>
            <w:rStyle w:val="Hyperlink"/>
          </w:rPr>
          <w:t xml:space="preserve">Iyengar, Wells, and Schwartz 2006</w:t>
        </w:r>
      </w:hyperlink>
      <w:r>
        <w:t xml:space="preserve">)</w:t>
      </w:r>
      <w:r>
        <w:t xml:space="preserve"> </w:t>
      </w:r>
      <w:r>
        <w:t xml:space="preserve">where the maximisers end up with higher salaries but less job satisfaction, and to friend choice</w:t>
      </w:r>
      <w:r>
        <w:t xml:space="preserve"> </w:t>
      </w:r>
      <w:r>
        <w:t xml:space="preserve">(</w:t>
      </w:r>
      <w:hyperlink w:anchor="ref-NewmanEtAl2018">
        <w:r>
          <w:rPr>
            <w:rStyle w:val="Hyperlink"/>
          </w:rPr>
          <w:t xml:space="preserve">Newman et al. 2018</w:t>
        </w:r>
      </w:hyperlink>
      <w:r>
        <w:t xml:space="preserve">)</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w:t>
      </w:r>
      <w:hyperlink w:anchor="ref-Schwartz2004">
        <w:r>
          <w:rPr>
            <w:rStyle w:val="Hyperlink"/>
          </w:rPr>
          <w:t xml:space="preserve">Schwartz 2004</w:t>
        </w:r>
      </w:hyperlink>
      <w:r>
        <w:t xml:space="preserve">)</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w:t>
      </w:r>
      <w:hyperlink w:anchor="ref-ScheibehenneEtAl2010">
        <w:r>
          <w:rPr>
            <w:rStyle w:val="Hyperlink"/>
          </w:rPr>
          <w:t xml:space="preserve">Scheibehenne, Greifeneder, and Todd 2010</w:t>
        </w:r>
      </w:hyperlink>
      <w:r>
        <w:t xml:space="preserve">)</w:t>
      </w:r>
      <w:r>
        <w:t xml:space="preserve"> </w:t>
      </w:r>
      <w:r>
        <w:t xml:space="preserve">did not show the effect existing at all, though a later meta-analysis finds a significant mediated effect</w:t>
      </w:r>
      <w:r>
        <w:t xml:space="preserve"> </w:t>
      </w:r>
      <w:r>
        <w:t xml:space="preserve">(</w:t>
      </w:r>
      <w:hyperlink w:anchor="ref-ChernevEtAl2015">
        <w:r>
          <w:rPr>
            <w:rStyle w:val="Hyperlink"/>
          </w:rPr>
          <w:t xml:space="preserve">Chernev, Böckenholt, and Goodman 2015</w:t>
        </w:r>
      </w:hyperlink>
      <w:r>
        <w:t xml:space="preserve">)</w:t>
      </w:r>
      <w:r>
        <w:t xml:space="preserve">. But it could also be that the result is a feature of an idiosyncratic way of carving up the maximizers from the satisficers. Another way of dividing them up produces no effect at all</w:t>
      </w:r>
      <w:r>
        <w:t xml:space="preserve"> </w:t>
      </w:r>
      <w:r>
        <w:t xml:space="preserve">(</w:t>
      </w:r>
      <w:hyperlink w:anchor="ref-DiabEtAl2008">
        <w:r>
          <w:rPr>
            <w:rStyle w:val="Hyperlink"/>
          </w:rPr>
          <w:t xml:space="preserve">Diab, Gillespie, and Highhouse 2008</w:t>
        </w:r>
      </w:hyperlink>
      <w:r>
        <w:t xml:space="preserve">)</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w:t>
      </w:r>
      <w:hyperlink w:anchor="ref-IyengarEtAl2006">
        <w:r>
          <w:rPr>
            <w:rStyle w:val="Hyperlink"/>
          </w:rPr>
          <w:t xml:space="preserve">2006</w:t>
        </w:r>
      </w:hyperlink>
      <w:r>
        <w:t xml:space="preserve">)</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10"/>
    <w:bookmarkStart w:id="113" w:name="deliberationcosts"/>
    <w:p>
      <w:pPr>
        <w:pStyle w:val="Heading2"/>
      </w:pPr>
      <w:r>
        <w:rPr>
          <w:rStyle w:val="SectionNumber"/>
        </w:rPr>
        <w:t xml:space="preserve">6.6</w:t>
      </w:r>
      <w:r>
        <w:tab/>
      </w:r>
      <w:r>
        <w:t xml:space="preserve">Deliberation Costs and Infinite Regresses</w:t>
      </w:r>
    </w:p>
    <w:p>
      <w:pPr>
        <w:pStyle w:val="FirstParagraph"/>
      </w:pPr>
      <w:r>
        <w:t xml:space="preserve">The picture I’ve been building towards in the last section, on which rational people don’t maximise but choose arbitrarily between choices that are close enough, is not a new one. As I mentioned, the experimental work in</w:t>
      </w:r>
      <w:r>
        <w:t xml:space="preserve"> </w:t>
      </w:r>
      <w:r>
        <w:t xml:space="preserve">Reutskaja et al. (</w:t>
      </w:r>
      <w:hyperlink w:anchor="ref-Reutskaja2011">
        <w:r>
          <w:rPr>
            <w:rStyle w:val="Hyperlink"/>
          </w:rPr>
          <w:t xml:space="preserve">2011</w:t>
        </w:r>
      </w:hyperlink>
      <w:r>
        <w:t xml:space="preserve">)</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w:t>
      </w:r>
      <w:hyperlink w:anchor="ref-Knight1921">
        <w:r>
          <w:rPr>
            <w:rStyle w:val="Hyperlink"/>
          </w:rPr>
          <w:t xml:space="preserve">Knight 1921, 66–67</w:t>
        </w:r>
      </w:hyperlink>
      <w:r>
        <w:t xml:space="preserve">)</w:t>
      </w:r>
    </w:p>
    <w:p>
      <w:pPr>
        <w:pStyle w:val="FirstParagraph"/>
      </w:pPr>
      <w:r>
        <w:t xml:space="preserve">And 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w:t>
      </w:r>
      <w:hyperlink w:anchor="ref-Knight1921">
        <w:r>
          <w:rPr>
            <w:rStyle w:val="Hyperlink"/>
          </w:rPr>
          <w:t xml:space="preserve">Knight 1921, 67fn1</w:t>
        </w:r>
      </w:hyperlink>
      <w:r>
        <w:t xml:space="preserve">)</w:t>
      </w:r>
    </w:p>
    <w:p>
      <w:pPr>
        <w:pStyle w:val="FirstParagraph"/>
      </w:pPr>
      <w:r>
        <w:t xml:space="preserve">Knight doesn’t really give an argument for the claim that these effects will offset. And as John Conlisk</w:t>
      </w:r>
      <w:r>
        <w:t xml:space="preserve"> </w:t>
      </w:r>
      <w:r>
        <w:t xml:space="preserve">(</w:t>
      </w:r>
      <w:hyperlink w:anchor="ref-Conlisk1996">
        <w:r>
          <w:rPr>
            <w:rStyle w:val="Hyperlink"/>
          </w:rPr>
          <w:t xml:space="preserve">1996</w:t>
        </w:r>
      </w:hyperlink>
      <w:r>
        <w:t xml:space="preserve">)</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But our aim here is not to think about economic theorising, but about the nature of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w:t>
      </w:r>
      <w:hyperlink w:anchor="ref-Christensen2007">
        <w:r>
          <w:rPr>
            <w:rStyle w:val="Hyperlink"/>
          </w:rPr>
          <w:t xml:space="preserve">2007</w:t>
        </w:r>
      </w:hyperlink>
      <w:r>
        <w:t xml:space="preserve">,)</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And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And Conlisk thinks that this is what rational agents will do. But he also raises a problem for this view, and indeed offers one of the clearest (and most widely cited) statements of this problem.</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w:t>
      </w:r>
      <w:hyperlink w:anchor="ref-Conlisk1996">
        <w:r>
          <w:rPr>
            <w:rStyle w:val="Hyperlink"/>
          </w:rPr>
          <w:t xml:space="preserve">Conlisk 1996, 687</w:t>
        </w:r>
      </w:hyperlink>
      <w:r>
        <w:t xml:space="preserve">)</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here. As he also notes, there is very little</w:t>
      </w:r>
      <w:r>
        <w:t xml:space="preserve"> </w:t>
      </w:r>
      <w:r>
        <w:rPr>
          <w:iCs/>
          <w:i/>
        </w:rPr>
        <w:t xml:space="preserve">discussion</w:t>
      </w:r>
      <w:r>
        <w:t xml:space="preserve"> </w:t>
      </w:r>
      <w:r>
        <w:t xml:space="preserve">of this infinite regress problem in the literature before 1996. The same remains true after 1996. What is done is that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w:t>
      </w:r>
      <w:hyperlink w:anchor="ref-GigerenzerSelton2001">
        <w:r>
          <w:rPr>
            <w:rStyle w:val="Hyperlink"/>
          </w:rPr>
          <w:t xml:space="preserve">2001</w:t>
        </w:r>
      </w:hyperlink>
      <w:r>
        <w:t xml:space="preserve">)</w:t>
      </w:r>
      <w:r>
        <w:t xml:space="preserve">,</w:t>
      </w:r>
      <w:r>
        <w:t xml:space="preserve"> </w:t>
      </w:r>
      <w:r>
        <w:t xml:space="preserve">Odell (</w:t>
      </w:r>
      <w:hyperlink w:anchor="ref-Odell2002">
        <w:r>
          <w:rPr>
            <w:rStyle w:val="Hyperlink"/>
          </w:rPr>
          <w:t xml:space="preserve">2002</w:t>
        </w:r>
      </w:hyperlink>
      <w:r>
        <w:t xml:space="preserve">)</w:t>
      </w:r>
      <w:r>
        <w:t xml:space="preserve">,</w:t>
      </w:r>
      <w:r>
        <w:t xml:space="preserve"> </w:t>
      </w:r>
      <w:r>
        <w:t xml:space="preserve">Pingle (</w:t>
      </w:r>
      <w:hyperlink w:anchor="ref-Pingle2006">
        <w:r>
          <w:rPr>
            <w:rStyle w:val="Hyperlink"/>
          </w:rPr>
          <w:t xml:space="preserve">2006</w:t>
        </w:r>
      </w:hyperlink>
      <w:r>
        <w:t xml:space="preserve">)</w:t>
      </w:r>
      <w:r>
        <w:t xml:space="preserve">,</w:t>
      </w:r>
      <w:r>
        <w:t xml:space="preserve"> </w:t>
      </w:r>
      <w:r>
        <w:t xml:space="preserve">Mangan, Hughes, and Slack (</w:t>
      </w:r>
      <w:hyperlink w:anchor="ref-ManganEtAl2010">
        <w:r>
          <w:rPr>
            <w:rStyle w:val="Hyperlink"/>
          </w:rPr>
          <w:t xml:space="preserve">2010</w:t>
        </w:r>
      </w:hyperlink>
      <w:r>
        <w:t xml:space="preserve">)</w:t>
      </w:r>
      <w:r>
        <w:t xml:space="preserve">,</w:t>
      </w:r>
      <w:r>
        <w:t xml:space="preserve"> </w:t>
      </w:r>
      <w:r>
        <w:t xml:space="preserve">Ogaki and Tanaka (</w:t>
      </w:r>
      <w:hyperlink w:anchor="ref-OgakiTanaka2017">
        <w:r>
          <w:rPr>
            <w:rStyle w:val="Hyperlink"/>
          </w:rPr>
          <w:t xml:space="preserve">2017</w:t>
        </w:r>
      </w:hyperlink>
      <w:r>
        <w:t xml:space="preserve">)</w:t>
      </w:r>
      <w:r>
        <w:t xml:space="preserve"> </w:t>
      </w:r>
      <w:r>
        <w:t xml:space="preserve">and</w:t>
      </w:r>
      <w:r>
        <w:t xml:space="preserve"> </w:t>
      </w:r>
      <w:r>
        <w:t xml:space="preserve">Chakravarti (</w:t>
      </w:r>
      <w:hyperlink w:anchor="ref-Chakravarti2017">
        <w:r>
          <w:rPr>
            <w:rStyle w:val="Hyperlink"/>
          </w:rPr>
          <w:t xml:space="preserve">2017</w:t>
        </w:r>
      </w:hyperlink>
      <w:r>
        <w:t xml:space="preserve">)</w:t>
      </w:r>
      <w:r>
        <w:t xml:space="preserve">. And proponents of taking deliberation costs seriously within broadly optimizing approaches, like Miles Kimball</w:t>
      </w:r>
      <w:r>
        <w:t xml:space="preserve"> </w:t>
      </w:r>
      <w:r>
        <w:t xml:space="preserve">(</w:t>
      </w:r>
      <w:hyperlink w:anchor="ref-Kimball2015">
        <w:r>
          <w:rPr>
            <w:rStyle w:val="Hyperlink"/>
          </w:rPr>
          <w:t xml:space="preserve">2015</w:t>
        </w:r>
      </w:hyperlink>
      <w:r>
        <w:t xml:space="preserve">)</w:t>
      </w:r>
      <w:r>
        <w:t xml:space="preserve">, say that solving the regress problem is the biggest barrier to having such an approach taken seriously by economists.</w:t>
      </w:r>
    </w:p>
    <w:p>
      <w:pPr>
        <w:pStyle w:val="BodyText"/>
      </w:pPr>
      <w:r>
        <w:t xml:space="preserve">And it really matters for the story of this book that there is a solution to the infinite regress problem within a broadly optimizing framework. More precisely, we need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Because there is this external, success oriented condition, there isn’t any extra problem that arises by</w:t>
      </w:r>
      <w:r>
        <w:t xml:space="preserve"> </w:t>
      </w:r>
      <w:r>
        <w:t xml:space="preserve">‘</w:t>
      </w:r>
      <w:r>
        <w:t xml:space="preserve">folding in</w:t>
      </w:r>
      <w:r>
        <w:t xml:space="preserve">’</w:t>
      </w:r>
      <w:r>
        <w:t xml:space="preserve"> </w:t>
      </w:r>
      <w:r>
        <w:t xml:space="preserve">computational costs. The thinker doesn’t have to compute whether the optimal solution to F(P) is indeed optimal; they just have to follow it.</w:t>
      </w:r>
    </w:p>
    <w:p>
      <w:pPr>
        <w:pStyle w:val="BodyText"/>
      </w:pPr>
      <w:r>
        <w:t xml:space="preserve">So this is a solution to the regress problem. Externalism about optimality of processes suggests that all that matters is that agents follow optimal processes, not that they compute that these are optimal. And so there is no computational regress problem, since we don’t do any computation at the process choosing stage, so there are no computational costs to minimise. And there is no hedonic regress problem, because what makes a process optimal is that it leads to choices that are satisfying when chosen by that very process. If all this is true, the problem is solved.</w:t>
      </w:r>
    </w:p>
    <w:p>
      <w:pPr>
        <w:pStyle w:val="BodyText"/>
      </w:pPr>
      <w:r>
        <w:t xml:space="preserve">This solution to the regress problem is easy to state, but a little harder to motivate. There are two big questions to answer before we can say it is really motivated.</w:t>
      </w:r>
    </w:p>
    <w:p>
      <w:pPr>
        <w:numPr>
          <w:ilvl w:val="0"/>
          <w:numId w:val="1043"/>
        </w:numPr>
        <w:pStyle w:val="Compact"/>
      </w:pPr>
      <w:r>
        <w:t xml:space="preserve">Why should we allow this kind of unreflective rule-following in our solution to the regress?</w:t>
      </w:r>
    </w:p>
    <w:p>
      <w:pPr>
        <w:numPr>
          <w:ilvl w:val="0"/>
          <w:numId w:val="1043"/>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w:t>
      </w:r>
      <w:hyperlink w:anchor="ref-Russell1997">
        <w:r>
          <w:rPr>
            <w:rStyle w:val="Hyperlink"/>
          </w:rPr>
          <w:t xml:space="preserve">1997</w:t>
        </w:r>
      </w:hyperlink>
      <w:r>
        <w:t xml:space="preserve">)</w:t>
      </w:r>
      <w:r>
        <w:t xml:space="preserve">. (Although really it starts with the philosophers Russell cites as inspiration, such as</w:t>
      </w:r>
      <w:r>
        <w:t xml:space="preserve"> </w:t>
      </w:r>
      <w:r>
        <w:t xml:space="preserve">Cherniak (</w:t>
      </w:r>
      <w:hyperlink w:anchor="ref-Cherniak1986">
        <w:r>
          <w:rPr>
            <w:rStyle w:val="Hyperlink"/>
          </w:rPr>
          <w:t xml:space="preserve">1986</w:t>
        </w:r>
      </w:hyperlink>
      <w:r>
        <w:t xml:space="preserve">)</w:t>
      </w:r>
      <w:r>
        <w:t xml:space="preserve"> </w:t>
      </w:r>
      <w:r>
        <w:t xml:space="preserve">and</w:t>
      </w:r>
      <w:r>
        <w:t xml:space="preserve"> </w:t>
      </w:r>
      <w:r>
        <w:t xml:space="preserve">Harman (</w:t>
      </w:r>
      <w:hyperlink w:anchor="ref-Harman1973">
        <w:r>
          <w:rPr>
            <w:rStyle w:val="Hyperlink"/>
          </w:rPr>
          <w:t xml:space="preserve">1973</w:t>
        </w:r>
      </w:hyperlink>
      <w:r>
        <w:t xml:space="preserve">)</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w:t>
      </w:r>
      <w:hyperlink w:anchor="ref-Wittgenstein1953">
        <w:r>
          <w:rPr>
            <w:rStyle w:val="Hyperlink"/>
          </w:rPr>
          <w:t xml:space="preserve">1953</w:t>
        </w:r>
      </w:hyperlink>
      <w:r>
        <w:t xml:space="preserve">)</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But agents are not just informationally limited, they are computationally limited too. And we could treat that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w:t>
      </w:r>
      <w:hyperlink w:anchor="ref-Conlisk1996">
        <w:r>
          <w:rPr>
            <w:rStyle w:val="Hyperlink"/>
          </w:rPr>
          <w:t xml:space="preserve">Conlisk 1996, 691</w:t>
        </w:r>
      </w:hyperlink>
      <w:r>
        <w:t xml:space="preserve">)</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11"/>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12"/>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Martains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w:t>
      </w:r>
      <w:hyperlink w:anchor="ref-Kimball2015">
        <w:r>
          <w:rPr>
            <w:rStyle w:val="Hyperlink"/>
          </w:rPr>
          <w:t xml:space="preserve">2015</w:t>
        </w:r>
      </w:hyperlink>
      <w:r>
        <w:t xml:space="preserve">)</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w:t>
      </w:r>
      <w:hyperlink w:anchor="ref-Kimball2015">
        <w:r>
          <w:rPr>
            <w:rStyle w:val="Hyperlink"/>
          </w:rPr>
          <w:t xml:space="preserve">Kimball 2015, 174</w:t>
        </w:r>
      </w:hyperlink>
      <w:r>
        <w:t xml:space="preserve">)</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w:t>
      </w:r>
      <w:hyperlink w:anchor="ref-Kimball2015">
        <w:r>
          <w:rPr>
            <w:rStyle w:val="Hyperlink"/>
          </w:rPr>
          <w:t xml:space="preserve">Kimball 2015, 175</w:t>
        </w:r>
      </w:hyperlink>
      <w:r>
        <w:t xml:space="preserve">)</w:t>
      </w:r>
    </w:p>
    <w:p>
      <w:pPr>
        <w:pStyle w:val="FirstParagraph"/>
      </w:pPr>
      <w:r>
        <w:t xml:space="preserve">It’s this last idea I plan to explore in more detail. (It has some similarities to the discussion of small worlds in</w:t>
      </w:r>
      <w:r>
        <w:t xml:space="preserve"> </w:t>
      </w:r>
      <w:r>
        <w:t xml:space="preserve">(</w:t>
      </w:r>
      <w:hyperlink w:anchor="ref-Joyce1999">
        <w:r>
          <w:rPr>
            <w:rStyle w:val="Hyperlink"/>
          </w:rPr>
          <w:t xml:space="preserve">J. M. Joyce 1999, 70–77</w:t>
        </w:r>
      </w:hyperlink>
      <w:r>
        <w:t xml:space="preserve">)</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13"/>
    <w:bookmarkStart w:id="115" w:name="ignorancebliss"/>
    <w:p>
      <w:pPr>
        <w:pStyle w:val="Heading2"/>
      </w:pPr>
      <w:r>
        <w:rPr>
          <w:rStyle w:val="SectionNumber"/>
        </w:rPr>
        <w:t xml:space="preserve">6.7</w:t>
      </w:r>
      <w:r>
        <w:tab/>
      </w:r>
      <w:r>
        <w:t xml:space="preserve">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pPr>
        <w:pStyle w:val="BodyText"/>
      </w:pPr>
      <w:r>
        <w:t xml:space="preserve">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w:t>
      </w:r>
      <w:r>
        <w:t xml:space="preserve"> </w:t>
      </w:r>
      <w:r>
        <w:t xml:space="preserve">Sperber et al. (</w:t>
      </w:r>
      <w:hyperlink w:anchor="ref-SperberEtAl2010">
        <w:r>
          <w:rPr>
            <w:rStyle w:val="Hyperlink"/>
          </w:rPr>
          <w:t xml:space="preserve">2010</w:t>
        </w:r>
      </w:hyperlink>
      <w:r>
        <w:t xml:space="preserve">)</w:t>
      </w:r>
      <w:r>
        <w:t xml:space="preserve">, to some of these problems, and ignore the rest. But being vigilant about a problem means, I take it, being willing to consider it if and only if you get evidence that it is worth considering. In the short run, you still ignore the potential problem.</w:t>
      </w:r>
    </w:p>
    <w:p>
      <w:pPr>
        <w:pStyle w:val="BodyText"/>
      </w:pPr>
      <w:r>
        <w:t xml:space="preserve">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uses in setting up the decision problem they face will all be ones in which the chickpeas are safe.)</w:t>
      </w:r>
    </w:p>
    <w:p>
      <w:pPr>
        <w:pStyle w:val="BodyText"/>
      </w:pPr>
      <w:r>
        <w:t xml:space="preserve">But if that’s the toy model the shopper has, then conditionalising on the fact that a particular can is safe doesn’t change anything. Assuming that the can was not obviously damaged, the toy model says that it is fine to eat. So there is no argument from interest-relativity that the shopper does not know this can is fine to eat. So we’ve avoided the worst of the sceptical challenges. By similar reasoning, Frankie Lee knows all of the banknotes are genuine.</w:t>
      </w:r>
    </w:p>
    <w:p>
      <w:pPr>
        <w:pStyle w:val="BodyText"/>
      </w:pPr>
      <w:r>
        <w:t xml:space="preserve">This chapter started with a problem for pragmatic theories of knowledge like IRT. They seemed to lead to rampant scepticism in cases like Frankie Lee’s. But the solution to this problem was, ultimately, more pragmatism. The rational chooser won’t typically use a model where the probability that a particular note is a forgery, or a particular can is contaminated, is 0.99999. Using a model like that, rather than a model where the probability is 1, is more trouble than it’s worth, especially since there is no actionable difference between the models. At least, it’s usually more trouble than it’s worth. If passing a forged banknote will lead to torture, then maybe you use the more complex model. If there is a something to do about differences between nearly 1 and 1, as in the case when some banknotes are plastic, or in the case where you can look inside the egg carton, then you use the more complex model. But usually one should, and does, use the simpler model.</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w:t>
      </w:r>
      <w:r>
        <w:t xml:space="preserve"> </w:t>
      </w:r>
      <w:r>
        <w:rPr>
          <w:bCs/>
          <w:b/>
        </w:rPr>
        <w:t xml:space="preserve">Conditional Preference</w:t>
      </w:r>
      <w:r>
        <w:t xml:space="preserve"> </w:t>
      </w:r>
      <w:r>
        <w:t xml:space="preserve">seems to rule out this knowledge. But there is a pragmatic defeater of that pragmatic defeater. The thought behind</w:t>
      </w:r>
      <w:r>
        <w:t xml:space="preserve"> </w:t>
      </w:r>
      <w:r>
        <w:rPr>
          <w:bCs/>
          <w:b/>
        </w:rPr>
        <w:t xml:space="preserve">Conditional Preference</w:t>
      </w:r>
      <w:r>
        <w:t xml:space="preserve"> </w:t>
      </w:r>
      <w:r>
        <w:t xml:space="preserve">assumes that David will be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But he doesn’t know the eggs aren’t cracked. The toy model that says all eggs on the shelf are uncracked is a bad toy model to use.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w:t>
      </w:r>
    </w:p>
    <w:p>
      <w:pPr>
        <w:pStyle w:val="BodyText"/>
      </w:pPr>
      <w:r>
        <w:t xml:space="preserve">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14"/>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15"/>
    <w:bookmarkEnd w:id="116"/>
    <w:bookmarkStart w:id="125" w:name="changes"/>
    <w:p>
      <w:pPr>
        <w:pStyle w:val="Heading1"/>
      </w:pPr>
      <w:r>
        <w:rPr>
          <w:rStyle w:val="SectionNumber"/>
        </w:rPr>
        <w:t xml:space="preserve">7</w:t>
      </w:r>
      <w:r>
        <w:tab/>
      </w:r>
      <w:r>
        <w:t xml:space="preserve">Changes</w:t>
      </w:r>
    </w:p>
    <w:p>
      <w:pPr>
        <w:pStyle w:val="FirstParagraph"/>
      </w:pPr>
      <w:r>
        <w:t xml:space="preserve">The version of IRT I’m endorsing has enough in common with more familiar versions of IRT that it shares their defects, or at least their alleged defects. This chapter responds to a common complaint leveled at such theories. I’ll start with a recent version of the complaint from Crispin</w:t>
      </w:r>
      <w:r>
        <w:t xml:space="preserve"> </w:t>
      </w:r>
      <w:r>
        <w:t xml:space="preserve">Wright (</w:t>
      </w:r>
      <w:hyperlink w:anchor="ref-Wright2018">
        <w:r>
          <w:rPr>
            <w:rStyle w:val="Hyperlink"/>
          </w:rPr>
          <w:t xml:space="preserve">2018</w:t>
        </w:r>
      </w:hyperlink>
      <w:r>
        <w:t xml:space="preserve">)</w:t>
      </w:r>
      <w:r>
        <w:t xml:space="preserve">, which I think makes the point as well as anyone I’ve seen. (Note he talks about</w:t>
      </w:r>
      <w:r>
        <w:t xml:space="preserve"> </w:t>
      </w:r>
      <w:r>
        <w:t xml:space="preserve">‘</w:t>
      </w:r>
      <w:r>
        <w:t xml:space="preserve">IRI</w:t>
      </w:r>
      <w:r>
        <w:t xml:space="preserve">’</w:t>
      </w:r>
      <w:r>
        <w:t xml:space="preserve"> </w:t>
      </w:r>
      <w:r>
        <w:t xml:space="preserve">here not</w:t>
      </w:r>
      <w:r>
        <w:t xml:space="preserve"> </w:t>
      </w:r>
      <w:r>
        <w:t xml:space="preserve">‘</w:t>
      </w:r>
      <w:r>
        <w:t xml:space="preserve">IRT</w:t>
      </w:r>
      <w:r>
        <w:t xml:space="preserve">’</w:t>
      </w:r>
      <w:r>
        <w:t xml:space="preserve">, but it doesn’t matter; it’s the</w:t>
      </w:r>
      <w:r>
        <w:t xml:space="preserve"> </w:t>
      </w:r>
      <w:r>
        <w:t xml:space="preserve">‘</w:t>
      </w:r>
      <w:r>
        <w:t xml:space="preserve">IR</w:t>
      </w:r>
      <w:r>
        <w:t xml:space="preserve">’</w:t>
      </w:r>
      <w:r>
        <w:t xml:space="preserve"> </w:t>
      </w:r>
      <w:r>
        <w:t xml:space="preserve">part that drives the problem.)</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&gt;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&gt;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t>
      </w:r>
      <w:hyperlink w:anchor="ref-Wright2018">
        <w:r>
          <w:rPr>
            <w:rStyle w:val="Hyperlink"/>
          </w:rPr>
          <w:t xml:space="preserve">Wright 2018, 368</w:t>
        </w:r>
      </w:hyperlink>
      <w:r>
        <w:t xml:space="preserve">)</w:t>
      </w:r>
    </w:p>
    <w:p>
      <w:pPr>
        <w:pStyle w:val="FirstParagraph"/>
      </w:pPr>
      <w:r>
        <w:t xml:space="preserve">The objection here is that IRT makes changes in knowledge depend on something other than evidence, and in particular that it makes changes depend on interests. And that is indeed what the theory says. If the very statement of the theory is objectionable, we have some work to do in defending the theory.</w:t>
      </w:r>
    </w:p>
    <w:p>
      <w:pPr>
        <w:pStyle w:val="BodyText"/>
      </w:pPr>
      <w:r>
        <w:t xml:space="preserve">Wright is hardly the first to note that IRT looks bad in this way. You can see versions of this critique being made by Gillian Russell and John Doris</w:t>
      </w:r>
      <w:r>
        <w:t xml:space="preserve"> </w:t>
      </w:r>
      <w:r>
        <w:t xml:space="preserve">(</w:t>
      </w:r>
      <w:hyperlink w:anchor="ref-RussellDoris2008">
        <w:r>
          <w:rPr>
            <w:rStyle w:val="Hyperlink"/>
          </w:rPr>
          <w:t xml:space="preserve">2009</w:t>
        </w:r>
      </w:hyperlink>
      <w:r>
        <w:t xml:space="preserve">)</w:t>
      </w:r>
      <w:r>
        <w:t xml:space="preserve">, and by Michael</w:t>
      </w:r>
      <w:r>
        <w:t xml:space="preserve"> </w:t>
      </w:r>
      <w:r>
        <w:t xml:space="preserve">Blome-Tillmann (</w:t>
      </w:r>
      <w:hyperlink w:anchor="ref-BlomeTillmann2009">
        <w:r>
          <w:rPr>
            <w:rStyle w:val="Hyperlink"/>
          </w:rPr>
          <w:t xml:space="preserve">2009</w:t>
        </w:r>
      </w:hyperlink>
      <w:r>
        <w:t xml:space="preserve">)</w:t>
      </w:r>
      <w:r>
        <w:t xml:space="preserve">. David Eaton and Timothy Pickavance</w:t>
      </w:r>
      <w:r>
        <w:t xml:space="preserve"> </w:t>
      </w:r>
      <w:r>
        <w:t xml:space="preserve">(</w:t>
      </w:r>
      <w:hyperlink w:anchor="ref-EatonPickavance2015">
        <w:r>
          <w:rPr>
            <w:rStyle w:val="Hyperlink"/>
          </w:rPr>
          <w:t xml:space="preserve">2015</w:t>
        </w:r>
      </w:hyperlink>
      <w:r>
        <w:t xml:space="preserve">)</w:t>
      </w:r>
      <w:r>
        <w:t xml:space="preserve"> </w:t>
      </w:r>
      <w:r>
        <w:t xml:space="preserve">note a similar but even stranger consequence of the theory. Sometimes a single event can reduce a person’s evidence for</w:t>
      </w:r>
      <w:r>
        <w:t xml:space="preserve"> </w:t>
      </w:r>
      <w:r>
        <w:rPr>
          <w:iCs/>
          <w:i/>
        </w:rPr>
        <w:t xml:space="preserve">p</w:t>
      </w:r>
      <w:r>
        <w:t xml:space="preserve">, and be the event turns them from not knowing that</w:t>
      </w:r>
      <w:r>
        <w:t xml:space="preserve"> </w:t>
      </w:r>
      <w:r>
        <w:rPr>
          <w:iCs/>
          <w:i/>
        </w:rPr>
        <w:t xml:space="preserve">p</w:t>
      </w:r>
      <w:r>
        <w:t xml:space="preserve"> </w:t>
      </w:r>
      <w:r>
        <w:t xml:space="preserve">to knowing that</w:t>
      </w:r>
      <w:r>
        <w:t xml:space="preserve"> </w:t>
      </w:r>
      <w:r>
        <w:rPr>
          <w:iCs/>
          <w:i/>
        </w:rPr>
        <w:t xml:space="preserve">p</w:t>
      </w:r>
      <w:r>
        <w:t xml:space="preserve">. All of this is very strange, and the IRT defender should have something to say.</w:t>
      </w:r>
    </w:p>
    <w:p>
      <w:pPr>
        <w:pStyle w:val="BodyText"/>
      </w:pPr>
      <w:r>
        <w:t xml:space="preserve">My main reply to these objections is that they overgenerate. If they worked, they would be successful objections to any theory that separated knowledge from rational true belief. But since knowledge is not rational true belief, there can be no successful objections to all such theories. But it will take a bit of work to get to this reply; let’s get started.</w:t>
      </w:r>
      <w:r>
        <w:rPr>
          <w:rStyle w:val="FootnoteReference"/>
        </w:rPr>
        <w:footnoteReference w:id="117"/>
      </w:r>
    </w:p>
    <w:bookmarkStart w:id="118" w:name="overview"/>
    <w:p>
      <w:pPr>
        <w:pStyle w:val="Heading2"/>
      </w:pPr>
      <w:r>
        <w:rPr>
          <w:rStyle w:val="SectionNumber"/>
        </w:rPr>
        <w:t xml:space="preserve">7.1</w:t>
      </w:r>
      <w:r>
        <w:tab/>
      </w:r>
      <w:r>
        <w:t xml:space="preserve">Overview of Replies</w:t>
      </w:r>
    </w:p>
    <w:p>
      <w:pPr>
        <w:pStyle w:val="FirstParagraph"/>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w:t>
      </w:r>
      <w:hyperlink w:anchor="ref-Lewis1982c">
        <w:r>
          <w:rPr>
            <w:rStyle w:val="Hyperlink"/>
          </w:rPr>
          <w:t xml:space="preserve">Lewis 1982</w:t>
        </w:r>
      </w:hyperlink>
      <w:r>
        <w:t xml:space="preserve">)</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and slightly more helpful,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w:t>
      </w:r>
      <w:hyperlink w:anchor="ref-Stanley2005">
        <w:r>
          <w:rPr>
            <w:rStyle w:val="Hyperlink"/>
          </w:rPr>
          <w:t xml:space="preserve">2005</w:t>
        </w:r>
      </w:hyperlink>
      <w:r>
        <w:t xml:space="preserve">)</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 section</w:t>
      </w:r>
      <w:r>
        <w:t xml:space="preserve"> </w:t>
      </w:r>
      <w:r>
        <w:t xml:space="preserve">7.2</w:t>
      </w:r>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w:t>
      </w:r>
      <w:hyperlink w:anchor="ref-Bennett2017">
        <w:r>
          <w:rPr>
            <w:rStyle w:val="Hyperlink"/>
          </w:rPr>
          <w:t xml:space="preserve">2017</w:t>
        </w:r>
      </w:hyperlink>
      <w:r>
        <w:t xml:space="preserve">)</w:t>
      </w:r>
      <w:r>
        <w:t xml:space="preserve">, out of those three components, justification, truth and belief. Now this needs a notion of building that doesn’t involve necessitation, and spelling that out would be a task for a different (and longer!) book. I’ll try and say enough in section</w:t>
      </w:r>
      <w:r>
        <w:t xml:space="preserve"> </w:t>
      </w:r>
      <w:r>
        <w:t xml:space="preserve">7.3</w:t>
      </w:r>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w:t>
      </w:r>
      <w:hyperlink w:anchor="ref-DasThesis">
        <w:r>
          <w:rPr>
            <w:rStyle w:val="Hyperlink"/>
          </w:rPr>
          <w:t xml:space="preserve">2016</w:t>
        </w:r>
      </w:hyperlink>
      <w:r>
        <w:t xml:space="preserve">)</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 section</w:t>
      </w:r>
      <w:r>
        <w:t xml:space="preserve"> </w:t>
      </w:r>
      <w:r>
        <w:t xml:space="preserve">7.4</w:t>
      </w:r>
      <w:r>
        <w:t xml:space="preserve"> </w:t>
      </w:r>
      <w:r>
        <w:t xml:space="preserve">by spelling out this response.</w:t>
      </w:r>
    </w:p>
    <w:bookmarkEnd w:id="118"/>
    <w:bookmarkStart w:id="119" w:name="gettier"/>
    <w:p>
      <w:pPr>
        <w:pStyle w:val="Heading2"/>
      </w:pPr>
      <w:r>
        <w:rPr>
          <w:rStyle w:val="SectionNumber"/>
        </w:rPr>
        <w:t xml:space="preserve">7.2</w:t>
      </w:r>
      <w:r>
        <w:tab/>
      </w:r>
      <w:r>
        <w:t xml:space="preserve">So Long JTB</w:t>
      </w:r>
    </w:p>
    <w:p>
      <w:pPr>
        <w:pStyle w:val="FirstParagraph"/>
      </w:pPr>
      <w:r>
        <w:t xml:space="preserve">The story of investigations into knowledge over the last fifty years is the story of finding ever more things that knowledge is sensitive to. The thesis of this book is that human interests, in particular the interests of the would be knower, should be added to that list. But to defend that thesis, and especially to defend it from the kind of blank stare objection that I’m worrying about in this chapter, it helps to remind ourselves of a list of some of the things which we all already know that knowledge is sensitive to.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w:t>
      </w:r>
      <w:hyperlink w:anchor="ref-Clark2012">
        <w:r>
          <w:rPr>
            <w:rStyle w:val="Hyperlink"/>
          </w:rPr>
          <w:t xml:space="preserve">Clark 2012</w:t>
        </w:r>
      </w:hyperlink>
      <w:r>
        <w:t xml:space="preserve">)</w:t>
      </w:r>
      <w:r>
        <w:t xml:space="preserve">, though in some of the variants we’ll discuss she reads a less impressive book. In it she reads the remarkable story of Henriette Calliaux, the second wife of anti-war French politician Joseph Calliaux. As you may already know, Henriette Calliaux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Calliaux.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Calliaux,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In all three of these variants, Charlotte does not know that</w:t>
      </w:r>
      <w:r>
        <w:t xml:space="preserve"> </w:t>
      </w:r>
      <w:r>
        <w:rPr>
          <w:iCs/>
          <w:i/>
        </w:rPr>
        <w:t xml:space="preserve">p</w:t>
      </w:r>
      <w:r>
        <w:t xml:space="preserve">. I take these three kinds of cases to be good evidence that knowledge requires (respectively) justification, truth, and belief. In variant J, Charlotte lacks knowledge because her belief in</w:t>
      </w:r>
      <w:r>
        <w:t xml:space="preserve"> </w:t>
      </w:r>
      <w:r>
        <w:rPr>
          <w:iCs/>
          <w:i/>
        </w:rPr>
        <w:t xml:space="preserve">p</w:t>
      </w:r>
      <w:r>
        <w:t xml:space="preserve"> </w:t>
      </w:r>
      <w:r>
        <w:t xml:space="preserve">is not justified; it is a mere hunch. In variant T, Charlotte lacks knowledge because her belief is not true; it is an honest mistake.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In all three cases there are philosophers who argue that these conditions are not strictly necessary, but it would take us too far afield to debate these points. I will simply take for granted that cases like Variant J show justification (or some kind of rationality) is necessary for knowledge, Variant T shows that truth is necessary for knowledge, and Variant B shows belief (or at least some kind of strong acceptance) is necessary for knowledge. (I discussed issues about belief more back in chapter</w:t>
      </w:r>
      <w:r>
        <w:t xml:space="preserve"> </w:t>
      </w:r>
      <w:r>
        <w:t xml:space="preserve">3</w:t>
      </w:r>
      <w:r>
        <w:t xml:space="preserv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w:t>
      </w:r>
      <w:hyperlink w:anchor="ref-Gettier1963">
        <w:r>
          <w:rPr>
            <w:rStyle w:val="Hyperlink"/>
          </w:rPr>
          <w:t xml:space="preserve">1963</w:t>
        </w:r>
      </w:hyperlink>
      <w:r>
        <w:t xml:space="preserve">)</w:t>
      </w:r>
      <w:r>
        <w:t xml:space="preserve">. But Gettier’s criticism was not original; he had independently rediscovered a point made by the 8th century philosopher Dharmottara</w:t>
      </w:r>
      <w:r>
        <w:t xml:space="preserve"> </w:t>
      </w:r>
      <w:r>
        <w:t xml:space="preserve">(</w:t>
      </w:r>
      <w:hyperlink w:anchor="ref-Nagel2014">
        <w:r>
          <w:rPr>
            <w:rStyle w:val="Hyperlink"/>
          </w:rPr>
          <w:t xml:space="preserve">Nagel 2014</w:t>
        </w:r>
      </w:hyperlink>
      <w:r>
        <w:t xml:space="preserve">)</w:t>
      </w:r>
      <w:r>
        <w:t xml:space="preserve">. Here is a version of the kind of case Dharmottara discovered.</w:t>
      </w:r>
    </w:p>
    <w:p>
      <w:pPr>
        <w:pStyle w:val="BlockText"/>
      </w:pPr>
      <w:r>
        <w:rPr>
          <w:iCs/>
          <w:i/>
        </w:rPr>
        <w:t xml:space="preserve">Variant D</w:t>
      </w:r>
    </w:p>
    <w:p>
      <w:pPr>
        <w:pStyle w:val="BlockText"/>
      </w:pPr>
      <w:r>
        <w:t xml:space="preserve">Like in Variant J, Charlotte stops reading before the denouement. And she believes that Caillaux was acquitted. But she does not believe this on the basis of a hunch. Rather, she believes it because she read in another book that official France was so discombobulated in July 1914 that it didn’t manage to convict a single murderer. This is false, but Charlotte used it to reason to the true conclusion that</w:t>
      </w:r>
      <w:r>
        <w:t xml:space="preserve"> </w:t>
      </w:r>
      <w:r>
        <w:rPr>
          <w:iCs/>
          <w:i/>
        </w:rPr>
        <w:t xml:space="preserve">p</w:t>
      </w:r>
      <w:r>
        <w:t xml:space="preserve">.</w:t>
      </w:r>
    </w:p>
    <w:p>
      <w:pPr>
        <w:pStyle w:val="FirstParagraph"/>
      </w:pPr>
      <w:r>
        <w:t xml:space="preserve">In Variant D Charlotte does not know that</w:t>
      </w:r>
      <w:r>
        <w:t xml:space="preserve"> </w:t>
      </w:r>
      <w:r>
        <w:rPr>
          <w:iCs/>
          <w:i/>
        </w:rPr>
        <w:t xml:space="preserve">p</w:t>
      </w:r>
      <w:r>
        <w:t xml:space="preserve">. She does not know it because reasoning that relies on a falsehood in just this way does not ground knowledge. So here is another thing that knowledge is sensitive to - whether the grounds for one’s belief are true.</w:t>
      </w:r>
    </w:p>
    <w:p>
      <w:pPr>
        <w:pStyle w:val="BodyText"/>
      </w:pPr>
      <w:r>
        <w:t xml:space="preserve">The variations from now on will not be as intuitively clear; whether Charlotte knows that</w:t>
      </w:r>
      <w:r>
        <w:t xml:space="preserve"> </w:t>
      </w:r>
      <w:r>
        <w:rPr>
          <w:iCs/>
          <w:i/>
        </w:rPr>
        <w:t xml:space="preserve">p</w:t>
      </w:r>
      <w:r>
        <w:t xml:space="preserve"> </w:t>
      </w:r>
      <w:r>
        <w:t xml:space="preserve">will be matters of greater dispute than in these first four variants. And I’m not going to use intuitions about any of the cases to provide evidence for the view I am endorsing. But I think the cases are good illustrations of ways knowledge might be sensitive to environmental factors. The first case is a version of an example due to Gilbert Harman</w:t>
      </w:r>
      <w:r>
        <w:t xml:space="preserve"> </w:t>
      </w:r>
      <w:r>
        <w:t xml:space="preserve">(</w:t>
      </w:r>
      <w:hyperlink w:anchor="ref-Harman1973">
        <w:r>
          <w:rPr>
            <w:rStyle w:val="Hyperlink"/>
          </w:rPr>
          <w:t xml:space="preserve">1973, 143ff</w:t>
        </w:r>
      </w:hyperlink>
      <w:r>
        <w:t xml:space="preserve">)</w:t>
      </w:r>
      <w:r>
        <w:t xml:space="preserve">.</w:t>
      </w:r>
    </w:p>
    <w:p>
      <w:pPr>
        <w:pStyle w:val="BlockText"/>
      </w:pPr>
      <w:r>
        <w:rPr>
          <w:iCs/>
          <w:i/>
        </w:rPr>
        <w:t xml:space="preserve">Variant H</w:t>
      </w:r>
    </w:p>
    <w:p>
      <w:pPr>
        <w:pStyle w:val="BlockText"/>
      </w:pPr>
      <w:r>
        <w:t xml:space="preserve">It is surprising that Charlotte has never heard of Henriette Caillaux, because in the world she inhabits, the story of Calliaux is infamous. She is as well known as other famous killers like Ned Kelly, Jack the Ripper, and Lee Harvey Oswald. Novels, plays and movies are frequently made about her killing of Calmette. But in all of these popular depictions, the ending is fictionalised. Every one of them ends with Caillaux’s conviction and execution. This happened because the authorities were so embarrassed by her acquittal that they created a vast alternative reality in which Caillaux was convicted. Charlotte, by an amazing coincidence, is the only person to have not encountered this story. So when she reads a word-for-word duplicate of Clark’s book, she doesn’t realise it is controversial, and believes that</w:t>
      </w:r>
      <w:r>
        <w:t xml:space="preserve"> </w:t>
      </w:r>
      <w:r>
        <w:rPr>
          <w:iCs/>
          <w:i/>
        </w:rPr>
        <w:t xml:space="preserve">p</w:t>
      </w:r>
      <w:r>
        <w:t xml:space="preserve">. Had she seen any of these books or plays, she would have assumed her book was making some mistake, since it is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it is only the very first printing of the book that contains the mistake. Charlotte started reading the book after seeing it in a second-hand shop. The shop had two copies: one from the flawed first printing, and one from a later printing. Charlotte buys the later one because it is the first one she sees; had she entered the history section from the other direction, she would have bought the first printing, and come to believe that</w:t>
      </w:r>
      <w:r>
        <w:t xml:space="preserve"> </w:t>
      </w:r>
      <w:r>
        <w:rPr>
          <w:iCs/>
          <w:i/>
        </w:rPr>
        <w:t xml:space="preserve">p</w:t>
      </w:r>
      <w:r>
        <w:t xml:space="preserve"> </w:t>
      </w:r>
      <w:r>
        <w:t xml:space="preserve">is false.</w:t>
      </w:r>
    </w:p>
    <w:p>
      <w:pPr>
        <w:pStyle w:val="FirstParagraph"/>
      </w:pPr>
      <w:r>
        <w:t xml:space="preserve">In this case, Charlotte doesn’t know that</w:t>
      </w:r>
      <w:r>
        <w:t xml:space="preserve"> </w:t>
      </w:r>
      <w:r>
        <w:rPr>
          <w:iCs/>
          <w:i/>
        </w:rPr>
        <w:t xml:space="preserve">p</w:t>
      </w:r>
      <w:r>
        <w:t xml:space="preserve"> </w:t>
      </w:r>
      <w:r>
        <w:t xml:space="preserve">is true. There is too much luck in her happening to buy the later printing rather than the earlier printing. The belief-forming method that she uses - buy an apparently authoritative history book and believe the plausible and well-supported things it says - goes wrong on just this question in a very nearby possible world. (That is, it goes wrong in the world where she picks up the other copy.) And that kind of luck is incompatible with knowledge.</w:t>
      </w:r>
    </w:p>
    <w:p>
      <w:pPr>
        <w:pStyle w:val="BodyText"/>
      </w:pPr>
      <w:r>
        <w:t xml:space="preserve">The contemporary terminology for this is that a belief forming method only yields knowledge if it is</w:t>
      </w:r>
      <w:r>
        <w:t xml:space="preserve"> </w:t>
      </w:r>
      <w:r>
        <w:rPr>
          <w:iCs/>
          <w:i/>
        </w:rPr>
        <w:t xml:space="preserve">safe</w:t>
      </w:r>
      <w:r>
        <w:t xml:space="preserve">. And a method is safe only if it doesn’t go wrong in nearby, realistic, scenarios</w:t>
      </w:r>
      <w:r>
        <w:t xml:space="preserve"> </w:t>
      </w:r>
      <w:r>
        <w:t xml:space="preserve">(</w:t>
      </w:r>
      <w:hyperlink w:anchor="ref-Williamson2000">
        <w:r>
          <w:rPr>
            <w:rStyle w:val="Hyperlink"/>
          </w:rPr>
          <w:t xml:space="preserve">Williamson 2000</w:t>
        </w:r>
      </w:hyperlink>
      <w:r>
        <w:t xml:space="preserve">)</w:t>
      </w:r>
      <w:r>
        <w:t xml:space="preserve">. So whether one knows is sensitive to not just the evidence one has, but the evidence one could easily have had.</w:t>
      </w:r>
    </w:p>
    <w:p>
      <w:pPr>
        <w:pStyle w:val="BodyText"/>
      </w:pPr>
      <w:r>
        <w:t xml:space="preserve">But 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w:t>
      </w:r>
    </w:p>
    <w:p>
      <w:pPr>
        <w:pStyle w:val="BodyText"/>
      </w:pPr>
      <w:r>
        <w:t xml:space="preserve">I’ll return to the difference between Variants S and K in section</w:t>
      </w:r>
      <w:r>
        <w:t xml:space="preserve"> </w:t>
      </w:r>
      <w:r>
        <w:t xml:space="preserve">7.4</w:t>
      </w:r>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And at last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Now I think Variant I is just like the others; it’s a case where knowledge is lost. And in fact I think Variant I is basically a special case of Variant C.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 section</w:t>
      </w:r>
      <w:r>
        <w:t xml:space="preserve"> </w:t>
      </w:r>
      <w:r>
        <w:t xml:space="preserve">7.3</w:t>
      </w:r>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But this terminology has a very short shelf-life. After all, we’ve been discussing the role of interests in epistemology since at least 2002</w:t>
      </w:r>
      <w:r>
        <w:t xml:space="preserve"> </w:t>
      </w:r>
      <w:r>
        <w:t xml:space="preserve">(</w:t>
      </w:r>
      <w:hyperlink w:anchor="ref-FantlMcGrath2002">
        <w:r>
          <w:rPr>
            <w:rStyle w:val="Hyperlink"/>
          </w:rPr>
          <w:t xml:space="preserve">Fantl and McGrath 2002</w:t>
        </w:r>
      </w:hyperlink>
      <w:r>
        <w:t xml:space="preserve">)</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truth-connected. It says knowledge requires strong evidence. Now, of course, it also says just how strong a requirement is depends on what their inquiries are. But what the critics want to say is not just that every factor that matters to knowledge is truth-relevant, but every aspect of every factor that matters is truth-relevant.</w:t>
      </w:r>
    </w:p>
    <w:p>
      <w:pPr>
        <w:pStyle w:val="BodyText"/>
      </w:pPr>
      <w:r>
        <w:t xml:space="preserve">And that really can’t be right. Or, at least, it can’t be right unless you believe the JTB theory of knowledge. If the JTB theory is false, then there are bound to be counterexamples to the principles that IRT is inconsistent with. So consider Wright’s</w:t>
      </w:r>
      <w:r>
        <w:t xml:space="preserve"> </w:t>
      </w:r>
      <w:r>
        <w:t xml:space="preserve">‘</w:t>
      </w:r>
      <w:r>
        <w:t xml:space="preserve">ugly conjunction</w:t>
      </w:r>
      <w:r>
        <w:t xml:space="preserve">’</w:t>
      </w:r>
      <w:r>
        <w:t xml:space="preserve">.</w:t>
      </w:r>
    </w:p>
    <w:p>
      <w:pPr>
        <w:pStyle w:val="BodyText"/>
      </w:pPr>
      <w:r>
        <w:t xml:space="preserve"> &gt; X didn’t (have enough evidence to) know P at t but does at t* and has exactly the same body of P-relevant evidence at t* as at t.</w:t>
      </w:r>
      <w:r>
        <w:t xml:space="preserve"> </w:t>
      </w:r>
      <w:r>
        <w:t xml:space="preserve">(</w:t>
      </w:r>
      <w:hyperlink w:anchor="ref-Wright2018">
        <w:r>
          <w:rPr>
            <w:rStyle w:val="Hyperlink"/>
          </w:rPr>
          <w:t xml:space="preserve">Wright 2018, 368</w:t>
        </w:r>
      </w:hyperlink>
      <w:r>
        <w:t xml:space="preserve">)</w:t>
      </w:r>
    </w:p>
    <w:p>
      <w:pPr>
        <w:pStyle w:val="BodyText"/>
      </w:pPr>
      <w:r>
        <w:t xml:space="preserve">If evidence goes primarily to justification, then similarity of evidence at t and t* should just tell us that X is rational in believing P at both times or neither. Let’s say that it’s both times. Then as long as one could be in a JTB-but-not-knowledge at t and not at t* this conjunction should be possible. So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t0.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19"/>
    <w:bookmarkStart w:id="122" w:name="building"/>
    <w:p>
      <w:pPr>
        <w:pStyle w:val="Heading2"/>
      </w:pPr>
      <w:r>
        <w:rPr>
          <w:rStyle w:val="SectionNumber"/>
        </w:rPr>
        <w:t xml:space="preserve">7.3</w:t>
      </w:r>
      <w:r>
        <w:tab/>
      </w:r>
      <w:r>
        <w:t xml:space="preserve">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20"/>
      </w:r>
      <w:r>
        <w:t xml:space="preserve"> </w:t>
      </w:r>
      <w:r>
        <w:t xml:space="preserve">It isn’t extensional adequacy; Dharmottara refuted that 1300 years ago. But it can be expressed using the modern</w:t>
      </w:r>
      <w:r>
        <w:rPr>
          <w:rStyle w:val="FootnoteReference"/>
        </w:rPr>
        <w:footnoteReference w:id="121"/>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w:t>
      </w:r>
      <w:hyperlink w:anchor="ref-Bennett2017">
        <w:r>
          <w:rPr>
            <w:rStyle w:val="Hyperlink"/>
          </w:rPr>
          <w:t xml:space="preserve">2017</w:t>
        </w:r>
      </w:hyperlink>
      <w:r>
        <w:t xml:space="preserve">)</w:t>
      </w:r>
      <w:r>
        <w:t xml:space="preserve"> </w:t>
      </w:r>
      <w:r>
        <w:t xml:space="preserve">describes.</w:t>
      </w:r>
    </w:p>
    <w:p>
      <w:pPr>
        <w:pStyle w:val="BodyText"/>
      </w:pPr>
      <w:r>
        <w:t xml:space="preserve">Consider a very abstractly described case where all of 1-4 are true.</w:t>
      </w:r>
    </w:p>
    <w:p>
      <w:pPr>
        <w:numPr>
          <w:ilvl w:val="0"/>
          <w:numId w:val="1044"/>
        </w:numPr>
        <w:pStyle w:val="Compact"/>
      </w:pPr>
      <w:r>
        <w:t xml:space="preserve">S knows that</w:t>
      </w:r>
      <w:r>
        <w:t xml:space="preserve"> </w:t>
      </w:r>
      <w:r>
        <w:rPr>
          <w:iCs/>
          <w:i/>
        </w:rPr>
        <w:t xml:space="preserve">p</w:t>
      </w:r>
      <w:r>
        <w:t xml:space="preserve">.</w:t>
      </w:r>
    </w:p>
    <w:p>
      <w:pPr>
        <w:numPr>
          <w:ilvl w:val="0"/>
          <w:numId w:val="1044"/>
        </w:numPr>
        <w:pStyle w:val="Compact"/>
      </w:pPr>
      <w:r>
        <w:rPr>
          <w:iCs/>
          <w:i/>
        </w:rPr>
        <w:t xml:space="preserve">p</w:t>
      </w:r>
      <w:r>
        <w:t xml:space="preserve">.</w:t>
      </w:r>
    </w:p>
    <w:p>
      <w:pPr>
        <w:numPr>
          <w:ilvl w:val="0"/>
          <w:numId w:val="1044"/>
        </w:numPr>
        <w:pStyle w:val="Compact"/>
      </w:pPr>
      <w:r>
        <w:t xml:space="preserve">S’s attitude to</w:t>
      </w:r>
      <w:r>
        <w:t xml:space="preserve"> </w:t>
      </w:r>
      <w:r>
        <w:rPr>
          <w:iCs/>
          <w:i/>
        </w:rPr>
        <w:t xml:space="preserve">p</w:t>
      </w:r>
      <w:r>
        <w:t xml:space="preserve"> </w:t>
      </w:r>
      <w:r>
        <w:t xml:space="preserve">is rational.</w:t>
      </w:r>
    </w:p>
    <w:p>
      <w:pPr>
        <w:numPr>
          <w:ilvl w:val="0"/>
          <w:numId w:val="1044"/>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t>
      </w:r>
      <w:hyperlink w:anchor="ref-Williams1976">
        <w:r>
          <w:rPr>
            <w:rStyle w:val="Hyperlink"/>
          </w:rPr>
          <w:t xml:space="preserve">Williams 1976</w:t>
        </w:r>
      </w:hyperlink>
      <w:r>
        <w:t xml:space="preserve">)</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I want to say the same thing about knowledge and interests. What one knows is always (in principle) sensitive to what one’s interests are. But in cases where one knows, one’s knowledge is not explained by what one’s interests are. Indeed, it is explained just by the factors that go into RTB, and perhaps the interplay between them.</w:t>
      </w:r>
    </w:p>
    <w:p>
      <w:pPr>
        <w:pStyle w:val="BodyText"/>
      </w:pPr>
      <w:r>
        <w:t xml:space="preserve">And I want to suggest, somewhat tentatively, that some of the objections to the very plausibility of IRT rely on running together the notions of building and of counterfactual dependence. In their critique of IRT, Gillian Russell and John Doris</w:t>
      </w:r>
      <w:r>
        <w:t xml:space="preserve"> </w:t>
      </w:r>
      <w:r>
        <w:t xml:space="preserve">(</w:t>
      </w:r>
      <w:hyperlink w:anchor="ref-RussellDoris2008">
        <w:r>
          <w:rPr>
            <w:rStyle w:val="Hyperlink"/>
          </w:rPr>
          <w:t xml:space="preserve">2009</w:t>
        </w:r>
      </w:hyperlink>
      <w:r>
        <w:t xml:space="preserve">)</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But while I think attending to the distinction between counterfactual dependence and building explains some of the implausibility of IRT, it surely doesn’t explain all of it. So in the next and last section of the chapter, I’ll go over an argument by Nilanjan Das that when we look at the particular ways people have tried to get around the failures of RTB, we see that everyone is committed to at least some interest-relativity.</w:t>
      </w:r>
    </w:p>
    <w:bookmarkEnd w:id="122"/>
    <w:bookmarkStart w:id="124" w:name="das"/>
    <w:p>
      <w:pPr>
        <w:pStyle w:val="Heading2"/>
      </w:pPr>
      <w:r>
        <w:rPr>
          <w:rStyle w:val="SectionNumber"/>
        </w:rPr>
        <w:t xml:space="preserve">7.4</w:t>
      </w:r>
      <w:r>
        <w:tab/>
      </w:r>
      <w:r>
        <w:t xml:space="preserve">Every Theory is Interest-Relative</w:t>
      </w:r>
    </w:p>
    <w:p>
      <w:pPr>
        <w:pStyle w:val="FirstParagraph"/>
      </w:pPr>
      <w:r>
        <w:t xml:space="preserve">Think about the difference between Variant S and Variant K.</w:t>
      </w:r>
      <w:r>
        <w:rPr>
          <w:rStyle w:val="FootnoteReference"/>
        </w:rPr>
        <w:footnoteReference w:id="123"/>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If Charlotte knows that</w:t>
      </w:r>
      <w:r>
        <w:t xml:space="preserve"> </w:t>
      </w:r>
      <w:r>
        <w:rPr>
          <w:iCs/>
          <w:i/>
        </w:rPr>
        <w:t xml:space="preserve">p</w:t>
      </w:r>
      <w:r>
        <w:t xml:space="preserve"> </w:t>
      </w:r>
      <w:r>
        <w:t xml:space="preserve">in Variant K, but not in Variant S, then whether she knows that</w:t>
      </w:r>
      <w:r>
        <w:t xml:space="preserve"> </w:t>
      </w:r>
      <w:r>
        <w:rPr>
          <w:iCs/>
          <w:i/>
        </w:rPr>
        <w:t xml:space="preserve">p</w:t>
      </w:r>
      <w:r>
        <w:t xml:space="preserve"> </w:t>
      </w:r>
      <w:r>
        <w:t xml:space="preserve">depends, among many other things, on her preferred format for reading books. The first thing to note here is that it is very hard to explain this dependence if we insist that all the factors relevant to knowledge are</w:t>
      </w:r>
      <w:r>
        <w:t xml:space="preserve"> </w:t>
      </w:r>
      <w:r>
        <w:t xml:space="preserve">‘</w:t>
      </w:r>
      <w:r>
        <w:t xml:space="preserve">truth-relevant</w:t>
      </w:r>
      <w:r>
        <w:t xml:space="preserve">’</w:t>
      </w:r>
      <w:r>
        <w:t xml:space="preserve"> </w:t>
      </w:r>
      <w:r>
        <w:t xml:space="preserve">or</w:t>
      </w:r>
      <w:r>
        <w:t xml:space="preserve"> </w:t>
      </w:r>
      <w:r>
        <w:t xml:space="preserve">‘</w:t>
      </w:r>
      <w:r>
        <w:t xml:space="preserve">truth-connected</w:t>
      </w:r>
      <w:r>
        <w:t xml:space="preserve">’</w:t>
      </w:r>
      <w:r>
        <w:t xml:space="preserve">. She gets the truth in both cases; it’s just that she is lucky one time and not another. We can make the same point using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that isn’t truth-relevant or truth-connected. 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The solution to that problem will rely on factors that are not in themselves truth-relevant. But given that different reference classes will have different success rates, it will turn out that knowledge depends on things that are not truth-relevant, i.e., things that put one in different reference classes.</w:t>
      </w:r>
    </w:p>
    <w:p>
      <w:pPr>
        <w:pStyle w:val="BodyText"/>
      </w:pPr>
      <w:r>
        <w:t xml:space="preserve">That’s enough to argue against sweeping generalisations about what knowledge could or could not be sensitive to. Knowledge could be sensitive to anything, because anything could matter to a reference class. But as Nilanjan Das</w:t>
      </w:r>
      <w:r>
        <w:t xml:space="preserve"> </w:t>
      </w:r>
      <w:r>
        <w:t xml:space="preserve">(</w:t>
      </w:r>
      <w:hyperlink w:anchor="ref-DasThesis">
        <w:r>
          <w:rPr>
            <w:rStyle w:val="Hyperlink"/>
          </w:rPr>
          <w:t xml:space="preserve">2016, 116</w:t>
        </w:r>
      </w:hyperlink>
      <w:r>
        <w:t xml:space="preserve">)</w:t>
      </w:r>
      <w:r>
        <w:t xml:space="preserve"> </w:t>
      </w:r>
      <w:r>
        <w:t xml:space="preserve">shows,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a function of one’s interests, then knowledge is going to be interest-relative. That’s the point about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In general, any theory that appeals to safety, or reliability, or publicly available evidence, or almost any other external factor, will make knowledge interest-relative. Knowledge means you couldn’t easily have gone wrong. But what could easily happen, in the relevant sense, is an interest-relative notion. When you’re assessing whether my belief forming mechanisms are safe and reliable, you should worry about whether they work in college towns the other side of the world, but not about whether they work in lakeshore towns across the state. The opposite is true when thinking about my neighbors. And that’s solely because of a difference in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24"/>
    <w:bookmarkEnd w:id="125"/>
    <w:bookmarkStart w:id="147" w:name="ratbel"/>
    <w:p>
      <w:pPr>
        <w:pStyle w:val="Heading1"/>
      </w:pPr>
      <w:r>
        <w:rPr>
          <w:rStyle w:val="SectionNumber"/>
        </w:rPr>
        <w:t xml:space="preserve">8</w:t>
      </w:r>
      <w:r>
        <w:tab/>
      </w:r>
      <w:r>
        <w:t xml:space="preserve">Rationality</w:t>
      </w:r>
    </w:p>
    <w:p>
      <w:pPr>
        <w:pStyle w:val="FirstParagraph"/>
      </w:pPr>
      <w:r>
        <w:t xml:space="preserve">This chapter discusses the role of rational belief in the version of IRT that I defend. It starts by noting that the theory allows for a new kind of Dharmottara case, where a rational, true belief is not actually knowledge. And I argue that it is a good thing it allows this, for once we see the kind of case in question, it is plausible that it is a Dharmottara case. Then I present two arguments, one of them due to Timothy Williamson and the other novel, for the conclusion that it is possible to have rational credence 1 in a proposition without fully believing it. If that’s right, it refutes two prominent theories of the relationship between credence and full belief. The first is that full belief is credence one, and the second is that full belief is credence above some interest-invariant threshold. These are metaphysical theses about the nature of belief, but each of them comes with a matching normative thesis: that rational belief is a matter of having such-and-such rational credence. I’m going to focus primarily on the second of these, that rational belief is a matter of having rational credence above some interest-invariant threshold. If that fails, then so does the theory that rational belief is a matter of rationally having credence 1. But there are independent problems for the view that the threshold is high but not maximal, and the arguments against that view are less controversial than the ones against the view that rational belief is rational maximal credence. I’ll end the chapter by noting how the view of rational belief that comes out of IRT is immune to those problems.</w:t>
      </w:r>
    </w:p>
    <w:bookmarkStart w:id="128" w:name="atomism"/>
    <w:p>
      <w:pPr>
        <w:pStyle w:val="Heading2"/>
      </w:pPr>
      <w:r>
        <w:rPr>
          <w:rStyle w:val="SectionNumber"/>
        </w:rPr>
        <w:t xml:space="preserve">8.1</w:t>
      </w:r>
      <w:r>
        <w:tab/>
      </w:r>
      <w:r>
        <w:t xml:space="preserve">Atomism about Rational Belief</w:t>
      </w:r>
    </w:p>
    <w:p>
      <w:pPr>
        <w:pStyle w:val="FirstParagraph"/>
      </w:pPr>
      <w:r>
        <w:t xml:space="preserve">In chapter</w:t>
      </w:r>
      <w:r>
        <w:t xml:space="preserve"> </w:t>
      </w:r>
      <w:r>
        <w:t xml:space="preserve">3</w:t>
      </w:r>
      <w:r>
        <w:t xml:space="preserve"> </w:t>
      </w:r>
      <w:r>
        <w:t xml:space="preserve">I argued for two individually necessary and jointly sufficient conditions for belief.</w:t>
      </w:r>
      <w:r>
        <w:rPr>
          <w:rStyle w:val="FootnoteReference"/>
        </w:rPr>
        <w:footnoteReference w:id="126"/>
      </w:r>
      <w:r>
        <w:t xml:space="preserve"> </w:t>
      </w:r>
      <w:r>
        <w:t xml:space="preserve">They are</w:t>
      </w:r>
    </w:p>
    <w:p>
      <w:pPr>
        <w:numPr>
          <w:ilvl w:val="0"/>
          <w:numId w:val="1045"/>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5"/>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6"/>
        </w:numPr>
        <w:pStyle w:val="Compact"/>
      </w:pPr>
      <w:r>
        <w:t xml:space="preserve">If she declines the bet, nothing happens.</w:t>
      </w:r>
    </w:p>
    <w:p>
      <w:pPr>
        <w:numPr>
          <w:ilvl w:val="0"/>
          <w:numId w:val="1046"/>
        </w:numPr>
        <w:pStyle w:val="Compact"/>
      </w:pPr>
      <w:r>
        <w:t xml:space="preserve">If she accepts the bet, and the Battle of Agincourt was in 1415, she wins $1.</w:t>
      </w:r>
    </w:p>
    <w:p>
      <w:pPr>
        <w:numPr>
          <w:ilvl w:val="0"/>
          <w:numId w:val="1046"/>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was really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7"/>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7"/>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t>
      </w:r>
      <w:hyperlink w:anchor="ref-Weatherson2012">
        <w:r>
          <w:rPr>
            <w:rStyle w:val="Hyperlink"/>
          </w:rPr>
          <w:t xml:space="preserve">Weatherson 2012</w:t>
        </w:r>
      </w:hyperlink>
      <w:r>
        <w:t xml:space="preserve">)</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w:t>
      </w:r>
      <w:r>
        <w:t xml:space="preserve"> </w:t>
      </w:r>
      <w:r>
        <w:rPr>
          <w:iCs/>
          <w:i/>
        </w:rPr>
        <w:t xml:space="preserve">X</w:t>
      </w:r>
      <w:r>
        <w:t xml:space="preserv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w:t>
      </w:r>
    </w:p>
    <w:p>
      <w:pPr>
        <w:pStyle w:val="BodyText"/>
      </w:pPr>
      <w:r>
        <w:t xml:space="preserve">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w:t>
      </w:r>
      <w:hyperlink w:anchor="ref-Lewis2004a">
        <w:r>
          <w:rPr>
            <w:rStyle w:val="Hyperlink"/>
          </w:rPr>
          <w:t xml:space="preserve">Lewis 2004</w:t>
        </w:r>
      </w:hyperlink>
      <w:r>
        <w:t xml:space="preserve">)</w:t>
      </w:r>
      <w:r>
        <w:t xml:space="preserve">. But doing so would invariably run up against edge cases that would be more trouble to resolve than they are worth.</w:t>
      </w:r>
    </w:p>
    <w:p>
      <w:pPr>
        <w:pStyle w:val="BodyText"/>
      </w:pPr>
      <w:r>
        <w:t xml:space="preserve">That’s because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8"/>
        </w:numPr>
        <w:pStyle w:val="Compact"/>
      </w:pPr>
      <w:r>
        <w:t xml:space="preserve">It has been her life goal to lose a billion dollars in a day, so taking the bet strictly dominates not taking it.</w:t>
      </w:r>
    </w:p>
    <w:p>
      <w:pPr>
        <w:numPr>
          <w:ilvl w:val="0"/>
          <w:numId w:val="1048"/>
        </w:numPr>
        <w:pStyle w:val="Compact"/>
      </w:pPr>
      <w:r>
        <w:t xml:space="preserve">She believes (irrationally) that anyone who loses a billion dollars in a day goes to heaven, and she (rationally) values heaven above any monetary amount.</w:t>
      </w:r>
    </w:p>
    <w:p>
      <w:pPr>
        <w:numPr>
          <w:ilvl w:val="0"/>
          <w:numId w:val="1048"/>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w:t>
      </w:r>
      <w:hyperlink w:anchor="ref-SperberEtAl2010">
        <w:r>
          <w:rPr>
            <w:rStyle w:val="Hyperlink"/>
          </w:rPr>
          <w:t xml:space="preserve">Sperber et al. 2010</w:t>
        </w:r>
      </w:hyperlink>
      <w:r>
        <w:t xml:space="preserve">)</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27"/>
      </w:r>
    </w:p>
    <w:p>
      <w:pPr>
        <w:pStyle w:val="BodyText"/>
      </w:pP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w:t>
      </w:r>
    </w:p>
    <w:p>
      <w:pPr>
        <w:pStyle w:val="BodyText"/>
      </w:pPr>
      <w:r>
        <w:t xml:space="preserve">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w:t>
      </w:r>
    </w:p>
    <w:p>
      <w:pPr>
        <w:pStyle w:val="BodyText"/>
      </w:pPr>
      <w:r>
        <w:t xml:space="preserve">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and that theorem to say that one can be represented by a probability function</w:t>
      </w:r>
      <w:r>
        <w:t xml:space="preserve"> </w:t>
      </w:r>
      <w:r>
        <w:rPr>
          <w:iCs/>
          <w:i/>
        </w:rPr>
        <w:t xml:space="preserve">Pr</w:t>
      </w:r>
      <w:r>
        <w:t xml:space="preserve"> </w:t>
      </w:r>
      <w:r>
        <w:t xml:space="preserve">and a utility function</w:t>
      </w:r>
      <w:r>
        <w:t xml:space="preserve"> </w:t>
      </w:r>
      <w:r>
        <w:rPr>
          <w:iCs/>
          <w:i/>
        </w:rPr>
        <w:t xml:space="preserve">U</w:t>
      </w:r>
      <w:r>
        <w:t xml:space="preserve"> </w:t>
      </w:r>
      <w:r>
        <w:t xml:space="preserve">such that</w:t>
      </w:r>
      <w:r>
        <w:t xml:space="preserve"> </w:t>
      </w:r>
      <w:r>
        <w:rPr>
          <w:iCs/>
          <w:i/>
        </w:rPr>
        <w:t xml:space="preserve">Pr</w:t>
      </w:r>
      <w:r>
        <w:t xml:space="preserve">(</w:t>
      </w:r>
      <w:r>
        <w:rPr>
          <w:iCs/>
          <w:i/>
        </w:rPr>
        <w:t xml:space="preserve">p</w:t>
      </w:r>
      <w:r>
        <w:t xml:space="preserve">) = 0.6. That can’t be right because some people will, intuitively,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w:t>
      </w:r>
      <w:hyperlink w:anchor="ref-WilliamsonLofoten">
        <w:r>
          <w:rPr>
            <w:rStyle w:val="Hyperlink"/>
          </w:rPr>
          <w:t xml:space="preserve">2013</w:t>
        </w:r>
      </w:hyperlink>
      <w:r>
        <w:t xml:space="preserve">)</w:t>
      </w:r>
      <w:r>
        <w:t xml:space="preserve"> </w:t>
      </w:r>
      <w:r>
        <w:t xml:space="preserve">and</w:t>
      </w:r>
      <w:r>
        <w:t xml:space="preserve"> </w:t>
      </w:r>
      <w:r>
        <w:t xml:space="preserve">Nagel (</w:t>
      </w:r>
      <w:hyperlink w:anchor="ref-Nagel2013-Williamson">
        <w:r>
          <w:rPr>
            <w:rStyle w:val="Hyperlink"/>
          </w:rPr>
          <w:t xml:space="preserve">2013</w:t>
        </w:r>
      </w:hyperlink>
      <w:r>
        <w:t xml:space="preserve">)</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28"/>
    <w:bookmarkStart w:id="129" w:name="lockecoin"/>
    <w:p>
      <w:pPr>
        <w:pStyle w:val="Heading2"/>
      </w:pPr>
      <w:r>
        <w:rPr>
          <w:rStyle w:val="SectionNumber"/>
        </w:rPr>
        <w:t xml:space="preserve">8.2</w:t>
      </w:r>
      <w:r>
        <w:tab/>
      </w:r>
      <w:r>
        <w:t xml:space="preserve">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w:t>
      </w:r>
    </w:p>
    <w:p>
      <w:pPr>
        <w:pStyle w:val="BodyText"/>
      </w:pPr>
      <w:r>
        <w:t xml:space="preserve">The first puzzle for this Lockean view comes from an argument that Timothy Williamson</w:t>
      </w:r>
      <w:r>
        <w:t xml:space="preserve"> </w:t>
      </w:r>
      <w:r>
        <w:t xml:space="preserve">(</w:t>
      </w:r>
      <w:hyperlink w:anchor="ref-Williamson2007">
        <w:r>
          <w:rPr>
            <w:rStyle w:val="Hyperlink"/>
          </w:rPr>
          <w:t xml:space="preserve">2007</w:t>
        </w:r>
      </w:hyperlink>
      <w:r>
        <w:t xml:space="preserve">)</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9"/>
        </w:numPr>
        <w:pStyle w:val="Compact"/>
      </w:pPr>
      <w:r>
        <w:t xml:space="preserve">At least one of the coin tosses will land either heads or tails.</w:t>
      </w:r>
    </w:p>
    <w:p>
      <w:pPr>
        <w:numPr>
          <w:ilvl w:val="0"/>
          <w:numId w:val="1049"/>
        </w:numPr>
        <w:pStyle w:val="Compact"/>
      </w:pPr>
      <w:r>
        <w:t xml:space="preserve">At least one of the coin tosses will land heads.</w:t>
      </w:r>
    </w:p>
    <w:p>
      <w:pPr>
        <w:numPr>
          <w:ilvl w:val="0"/>
          <w:numId w:val="1049"/>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But 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29"/>
    <w:bookmarkStart w:id="135" w:name="lockegames"/>
    <w:p>
      <w:pPr>
        <w:pStyle w:val="Heading2"/>
      </w:pPr>
      <w:r>
        <w:rPr>
          <w:rStyle w:val="SectionNumber"/>
        </w:rPr>
        <w:t xml:space="preserve">8.3</w:t>
      </w:r>
      <w:r>
        <w:tab/>
      </w:r>
      <w:r>
        <w:t xml:space="preserve">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30"/>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w:t>
      </w:r>
      <w:hyperlink w:anchor="ref-KohlbergMertens1986">
        <w:r>
          <w:rPr>
            <w:rStyle w:val="Hyperlink"/>
          </w:rPr>
          <w:t xml:space="preserve">1986</w:t>
        </w:r>
      </w:hyperlink>
      <w:r>
        <w:t xml:space="preserve">)</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w:t>
      </w:r>
      <w:hyperlink w:anchor="ref-Stalnaker1994">
        <w:r>
          <w:rPr>
            <w:rStyle w:val="Hyperlink"/>
          </w:rPr>
          <w:t xml:space="preserve">1994</w:t>
        </w:r>
      </w:hyperlink>
      <w:r>
        <w:t xml:space="preserve">,</w:t>
      </w:r>
      <w:r>
        <w:t xml:space="preserve"> </w:t>
      </w:r>
      <w:hyperlink w:anchor="ref-Stalnaker1996">
        <w:r>
          <w:rPr>
            <w:rStyle w:val="Hyperlink"/>
          </w:rPr>
          <w:t xml:space="preserve">1996</w:t>
        </w:r>
      </w:hyperlink>
      <w:r>
        <w:t xml:space="preserve">,</w:t>
      </w:r>
      <w:r>
        <w:t xml:space="preserve"> </w:t>
      </w:r>
      <w:hyperlink w:anchor="ref-Stalnaker1998">
        <w:r>
          <w:rPr>
            <w:rStyle w:val="Hyperlink"/>
          </w:rPr>
          <w:t xml:space="preserve">1998</w:t>
        </w:r>
      </w:hyperlink>
      <w:r>
        <w:t xml:space="preserve">,</w:t>
      </w:r>
      <w:r>
        <w:t xml:space="preserve"> </w:t>
      </w:r>
      <w:hyperlink w:anchor="ref-Stalnaker1999">
        <w:r>
          <w:rPr>
            <w:rStyle w:val="Hyperlink"/>
          </w:rPr>
          <w:t xml:space="preserve">1999</w:t>
        </w:r>
      </w:hyperlink>
      <w:r>
        <w:t xml:space="preserve">)</w:t>
      </w:r>
      <w:r>
        <w:t xml:space="preserve">. But the underlying philosophical points are important, and it is easy to get confused about them. (At least, I used to get these points all wrong, and that’s got to be evidence they are easy to get confused about, right?) So I’ll set the basic points slowly, and then circle back to the puzzle for the Lockeans.</w:t>
      </w:r>
      <w:r>
        <w:rPr>
          <w:rStyle w:val="FootnoteReference"/>
        </w:rPr>
        <w:footnoteReference w:id="131"/>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m:oMath>
              <m:sSub>
                <m:e>
                  <m:r>
                    <m:t>S</m:t>
                  </m:r>
                </m:e>
                <m:sub>
                  <m:r>
                    <m:t>1</m:t>
                  </m:r>
                </m:sub>
              </m:sSub>
            </m:oMath>
          </w:p>
        </w:tc>
        <w:tc>
          <w:tcPr/>
          <w:p>
            <w:pPr>
              <w:pStyle w:val="Compact"/>
              <w:jc w:val="center"/>
            </w:pPr>
            <m:oMath>
              <m:sSub>
                <m:e>
                  <m:r>
                    <m:t>S</m:t>
                  </m:r>
                </m:e>
                <m:sub>
                  <m:r>
                    <m:t>2</m:t>
                  </m:r>
                </m:sub>
              </m:sSub>
            </m:oMath>
          </w:p>
        </w:tc>
      </w:tr>
      <w:tr>
        <w:tc>
          <w:tcPr/>
          <w:p>
            <w:pPr>
              <w:pStyle w:val="Compact"/>
              <w:jc w:val="left"/>
            </w:pPr>
            <w:r>
              <w:rPr>
                <w:iCs/>
                <w:i/>
              </w:rPr>
              <w:t xml:space="preserve">A</w:t>
            </w:r>
            <w:r>
              <w:rPr>
                <w:vertAlign w:val="subscript"/>
              </w:rPr>
              <w:t xml:space="preserve">1</w:t>
            </w:r>
          </w:p>
        </w:tc>
        <w:tc>
          <w:tcPr/>
          <w:p>
            <w:pPr>
              <w:pStyle w:val="Compact"/>
              <w:jc w:val="center"/>
            </w:pPr>
            <w:r>
              <w:t xml:space="preserve">4</w:t>
            </w:r>
          </w:p>
        </w:tc>
        <w:tc>
          <w:tcPr/>
          <w:p>
            <w:pPr>
              <w:pStyle w:val="Compact"/>
              <w:jc w:val="center"/>
            </w:pPr>
            <w:r>
              <w:t xml:space="preserve">0</w:t>
            </w:r>
          </w:p>
        </w:tc>
      </w:tr>
      <w:tr>
        <w:tc>
          <w:tcPr/>
          <w:p>
            <w:pPr>
              <w:pStyle w:val="Compact"/>
              <w:jc w:val="left"/>
            </w:pPr>
            <w:r>
              <w:rPr>
                <w:iCs/>
                <w:i/>
              </w:rPr>
              <w:t xml:space="preserve">A</w:t>
            </w:r>
            <w:r>
              <w:rPr>
                <w:vertAlign w:val="subscript"/>
              </w:rP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m:oMath>
              <m:sSub>
                <m:e>
                  <m:r>
                    <m:t>S</m:t>
                  </m:r>
                </m:e>
                <m:sub>
                  <m:r>
                    <m:t>1</m:t>
                  </m:r>
                </m:sub>
              </m:sSub>
            </m:oMath>
          </w:p>
        </w:tc>
        <w:tc>
          <w:tcPr/>
          <w:p>
            <w:pPr>
              <w:pStyle w:val="Compact"/>
              <w:jc w:val="center"/>
            </w:pPr>
            <m:oMath>
              <m:sSub>
                <m:e>
                  <m:r>
                    <m:t>S</m:t>
                  </m:r>
                </m:e>
                <m:sub>
                  <m:r>
                    <m:t>2</m:t>
                  </m:r>
                </m:sub>
              </m:sSub>
            </m:oMath>
          </w:p>
        </w:tc>
      </w:tr>
      <w:tr>
        <w:tc>
          <w:tcPr/>
          <w:p>
            <w:pPr>
              <w:pStyle w:val="Compact"/>
              <w:jc w:val="left"/>
            </w:pPr>
            <w:r>
              <w:rPr>
                <w:iCs/>
                <w:i/>
              </w:rPr>
              <w:t xml:space="preserve">A</w:t>
            </w:r>
            <w:r>
              <w:rPr>
                <w:vertAlign w:val="subscript"/>
              </w:rPr>
              <w:t xml:space="preserve">1</w:t>
            </w:r>
          </w:p>
        </w:tc>
        <w:tc>
          <w:tcPr/>
          <w:p>
            <w:pPr>
              <w:pStyle w:val="Compact"/>
              <w:jc w:val="center"/>
            </w:pPr>
            <w:r>
              <w:t xml:space="preserve">4, 0</w:t>
            </w:r>
          </w:p>
        </w:tc>
        <w:tc>
          <w:tcPr/>
          <w:p>
            <w:pPr>
              <w:pStyle w:val="Compact"/>
              <w:jc w:val="center"/>
            </w:pPr>
            <w:r>
              <w:t xml:space="preserve">0, 1</w:t>
            </w:r>
          </w:p>
        </w:tc>
      </w:tr>
      <w:tr>
        <w:tc>
          <w:tcPr/>
          <w:p>
            <w:pPr>
              <w:pStyle w:val="Compact"/>
              <w:jc w:val="left"/>
            </w:pPr>
            <w:r>
              <w:rPr>
                <w:iCs/>
                <w:i/>
              </w:rPr>
              <w:t xml:space="preserve">A</w:t>
            </w:r>
            <w:r>
              <w:rPr>
                <w:vertAlign w:val="subscript"/>
              </w:rPr>
              <w:t xml:space="preserve">2</w:t>
            </w:r>
          </w:p>
        </w:tc>
        <w:tc>
          <w:tcPr/>
          <w:p>
            <w:pPr>
              <w:pStyle w:val="Compact"/>
              <w:jc w:val="center"/>
            </w:pPr>
            <w:r>
              <w:t xml:space="preserve">1, 0</w:t>
            </w:r>
          </w:p>
        </w:tc>
        <w:tc>
          <w:tcPr/>
          <w:p>
            <w:pPr>
              <w:pStyle w:val="Compact"/>
              <w:jc w:val="center"/>
            </w:pPr>
            <w:r>
              <w:t xml:space="preserve">1, 1</w:t>
            </w:r>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But that’s fine; the layout of that decision problem was neutral on what constituted the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Note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32"/>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w:t>
      </w:r>
      <w:hyperlink w:anchor="ref-Aumann1999">
        <w:r>
          <w:rPr>
            <w:rStyle w:val="Hyperlink"/>
          </w:rPr>
          <w:t xml:space="preserve">Aumann 1999</w:t>
        </w:r>
      </w:hyperlink>
      <w:r>
        <w:t xml:space="preserve">)</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m:oMath>
              <m:sSub>
                <m:e>
                  <m:r>
                    <m:t>S</m:t>
                  </m:r>
                </m:e>
                <m:sub>
                  <m:r>
                    <m:t>1</m:t>
                  </m:r>
                </m:sub>
              </m:sSub>
            </m:oMath>
          </w:p>
        </w:tc>
        <w:tc>
          <w:tcPr/>
          <w:p>
            <w:pPr>
              <w:pStyle w:val="Compact"/>
              <w:jc w:val="center"/>
            </w:pPr>
            <m:oMath>
              <m:sSub>
                <m:e>
                  <m:r>
                    <m:t>S</m:t>
                  </m:r>
                </m:e>
                <m:sub>
                  <m:r>
                    <m:t>2</m:t>
                  </m:r>
                </m:sub>
              </m:sSub>
            </m:oMath>
          </w:p>
        </w:tc>
      </w:tr>
      <w:tr>
        <w:tc>
          <w:tcPr/>
          <w:p>
            <w:pPr>
              <w:pStyle w:val="Compact"/>
              <w:jc w:val="left"/>
            </w:pPr>
            <w:r>
              <w:rPr>
                <w:iCs/>
                <w:i/>
              </w:rPr>
              <w:t xml:space="preserve">A</w:t>
            </w:r>
            <w:r>
              <w:rPr>
                <w:vertAlign w:val="subscript"/>
              </w:rPr>
              <w:t xml:space="preserve">1</w:t>
            </w:r>
          </w:p>
        </w:tc>
        <w:tc>
          <w:tcPr/>
          <w:p>
            <w:pPr>
              <w:pStyle w:val="Compact"/>
              <w:jc w:val="center"/>
            </w:pPr>
            <w:r>
              <w:t xml:space="preserve">0, 1</w:t>
            </w:r>
          </w:p>
        </w:tc>
        <w:tc>
          <w:tcPr/>
          <w:p>
            <w:pPr>
              <w:pStyle w:val="Compact"/>
              <w:jc w:val="center"/>
            </w:pPr>
            <w:r>
              <w:t xml:space="preserve">10, 0</w:t>
            </w:r>
          </w:p>
        </w:tc>
      </w:tr>
      <w:tr>
        <w:tc>
          <w:tcPr/>
          <w:p>
            <w:pPr>
              <w:pStyle w:val="Compact"/>
              <w:jc w:val="left"/>
            </w:pPr>
            <w:r>
              <w:rPr>
                <w:iCs/>
                <w:i/>
              </w:rPr>
              <w:t xml:space="preserve">A</w:t>
            </w:r>
            <w:r>
              <w:rPr>
                <w:vertAlign w:val="subscript"/>
              </w:rPr>
              <w:t xml:space="preserve">2</w:t>
            </w:r>
          </w:p>
        </w:tc>
        <w:tc>
          <w:tcPr/>
          <w:p>
            <w:pPr>
              <w:pStyle w:val="Compact"/>
              <w:jc w:val="center"/>
            </w:pPr>
            <w:r>
              <w:t xml:space="preserve">9, 0</w:t>
            </w:r>
          </w:p>
        </w:tc>
        <w:tc>
          <w:tcPr/>
          <w:p>
            <w:pPr>
              <w:pStyle w:val="Compact"/>
              <w:jc w:val="center"/>
            </w:pPr>
            <w:r>
              <w:t xml:space="preserve">-1, 1</w:t>
            </w:r>
          </w:p>
        </w:tc>
      </w:tr>
    </w:tbl>
    <w:p>
      <w:pPr>
        <w:pStyle w:val="BodyText"/>
      </w:pPr>
      <w:r>
        <w:t xml:space="preserve">This game is reminiscent of some puzzles that have been much discussed in the decision theory literature, namely asymmetric Death in Damascus puzzles</w:t>
      </w:r>
      <w:r>
        <w:t xml:space="preserve"> </w:t>
      </w:r>
      <w:r>
        <w:t xml:space="preserve">(</w:t>
      </w:r>
      <w:hyperlink w:anchor="ref-Richter1984">
        <w:r>
          <w:rPr>
            <w:rStyle w:val="Hyperlink"/>
          </w:rPr>
          <w:t xml:space="preserve">Richter 1984</w:t>
        </w:r>
      </w:hyperlink>
      <w:r>
        <w:t xml:space="preserve">)</w:t>
      </w:r>
      <w:r>
        <w:t xml:space="preserve"> </w:t>
      </w:r>
      <w:r>
        <w:t xml:space="preserve">. Here Column wants herself and Row to make the</w:t>
      </w:r>
      <w:r>
        <w:t xml:space="preserve"> </w:t>
      </w:r>
      <w:r>
        <w:t xml:space="preserve">‘</w:t>
      </w:r>
      <w:r>
        <w:t xml:space="preserve">same</w:t>
      </w:r>
      <w:r>
        <w:t xml:space="preserve">’</w:t>
      </w:r>
      <w:r>
        <w:t xml:space="preserve"> </w:t>
      </w:r>
      <w:r>
        <w:t xml:space="preserve">choice, i.e.,</w:t>
      </w:r>
      <w:r>
        <w:t xml:space="preserve"> </w:t>
      </w:r>
      <w:r>
        <w:rPr>
          <w:iCs/>
          <w:i/>
        </w:rPr>
        <w:t xml:space="preserve">A</w:t>
      </w:r>
      <w:r>
        <w:rPr>
          <w:vertAlign w:val="subscript"/>
        </w:rPr>
        <w:t xml:space="preserve">1</w:t>
      </w:r>
      <w:r>
        <w:t xml:space="preserve"> </w:t>
      </w:r>
      <w:r>
        <w:t xml:space="preserve">and</w:t>
      </w:r>
      <w:r>
        <w:t xml:space="preserve"> </w:t>
      </w:r>
      <w:r>
        <w:rPr>
          <w:iCs/>
          <w:i/>
        </w:rPr>
        <w:t xml:space="preserve">S</w:t>
      </w:r>
      <w:r>
        <w:rPr>
          <w:vertAlign w:val="subscript"/>
        </w:rPr>
        <w:t xml:space="preserve">1</w:t>
      </w:r>
      <w:r>
        <w:t xml:space="preserve">~ or</w:t>
      </w:r>
      <w:r>
        <w:t xml:space="preserve"> </w:t>
      </w:r>
      <w:r>
        <w:rPr>
          <w:iCs/>
          <w:i/>
          <w:vertAlign w:val="subscript"/>
        </w:rPr>
        <w:t xml:space="preserve">A</w:t>
      </w:r>
      <w:r>
        <w:t xml:space="preserve">2~ and</w:t>
      </w:r>
      <w:r>
        <w:t xml:space="preserve"> </w:t>
      </w:r>
      <w:r>
        <w:rPr>
          <w:iCs/>
          <w:i/>
        </w:rPr>
        <w:t xml:space="preserve">S</w:t>
      </w:r>
      <w:r>
        <w:rPr>
          <w:vertAlign w:val="subscript"/>
        </w:rPr>
        <w:t xml:space="preserve">2</w:t>
      </w:r>
      <w:r>
        <w:t xml:space="preserve">. She gets 1 if they do, 0 otherwise. And Row wants them to make different choices, and gets 10 if they do. Row also dislikes playing</w:t>
      </w:r>
      <w:r>
        <w:t xml:space="preserve"> </w:t>
      </w:r>
      <w:r>
        <w:rPr>
          <w:iCs/>
          <w:i/>
        </w:rPr>
        <w:t xml:space="preserve">A</w:t>
      </w:r>
      <w:r>
        <w:rPr>
          <w:vertAlign w:val="subscript"/>
        </w:rPr>
        <w:t xml:space="preserve">2</w:t>
      </w:r>
      <w:r>
        <w:t xml:space="preserve">, and this costs her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bCs/>
          <w:b/>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w:t>
      </w:r>
      <w:hyperlink w:anchor="ref-DixitSkeath2004">
        <w:r>
          <w:rPr>
            <w:rStyle w:val="Hyperlink"/>
          </w:rPr>
          <w:t xml:space="preserve">Dixit and Skeath 2004, 186</w:t>
        </w:r>
      </w:hyperlink>
      <w:r>
        <w:t xml:space="preserve">)</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bCs/>
          <w:b/>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w:t>
      </w:r>
      <w:hyperlink w:anchor="ref-Stalnaker1994">
        <w:r>
          <w:rPr>
            <w:rStyle w:val="Hyperlink"/>
          </w:rPr>
          <w:t xml:space="preserve">Stalnaker 1994, 57–58</w:t>
        </w:r>
      </w:hyperlink>
      <w:r>
        <w:t xml:space="preserve">)</w:t>
      </w:r>
    </w:p>
    <w:p>
      <w:pPr>
        <w:pStyle w:val="FirstParagraph"/>
      </w:pPr>
      <w:r>
        <w:t xml:space="preserve">One nice advantage of the epistemological interpretation, as noted by Binmore</w:t>
      </w:r>
      <w:r>
        <w:t xml:space="preserve"> </w:t>
      </w:r>
      <w:r>
        <w:t xml:space="preserve">(</w:t>
      </w:r>
      <w:hyperlink w:anchor="ref-Binmore2007">
        <w:r>
          <w:rPr>
            <w:rStyle w:val="Hyperlink"/>
          </w:rPr>
          <w:t xml:space="preserve">2007, 185</w:t>
        </w:r>
      </w:hyperlink>
      <w:r>
        <w:t xml:space="preserve">)</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33"/>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34"/>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_1. If two cards with arrows facing down are played, each gets nothing. Each cares just about their own wealth, so getting _1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rPr>
                <w:iCs/>
                <w:i/>
              </w:rPr>
              <w:t xml:space="preserve">up</w:t>
            </w:r>
          </w:p>
        </w:tc>
        <w:tc>
          <w:tcPr/>
          <w:p>
            <w:pPr>
              <w:pStyle w:val="Compact"/>
              <w:jc w:val="center"/>
            </w:pPr>
            <w:r>
              <w:rPr>
                <w:iCs/>
                <w:i/>
              </w:rPr>
              <w:t xml:space="preserve">down</w:t>
            </w:r>
          </w:p>
        </w:tc>
      </w:tr>
      <w:tr>
        <w:tc>
          <w:tcPr/>
          <w:p>
            <w:pPr>
              <w:pStyle w:val="Compact"/>
              <w:jc w:val="left"/>
            </w:pPr>
            <w:r>
              <w:t xml:space="preserve">UP</w:t>
            </w:r>
          </w:p>
        </w:tc>
        <w:tc>
          <w:tcPr/>
          <w:p>
            <w:pPr>
              <w:pStyle w:val="Compact"/>
              <w:jc w:val="center"/>
            </w:pPr>
            <w:r>
              <w:t xml:space="preserve">1, 1</w:t>
            </w:r>
          </w:p>
        </w:tc>
        <w:tc>
          <w:tcPr/>
          <w:p>
            <w:pPr>
              <w:pStyle w:val="Compact"/>
              <w:jc w:val="center"/>
            </w:pPr>
            <w:r>
              <w:t xml:space="preserve">1, 1</w:t>
            </w:r>
          </w:p>
        </w:tc>
      </w:tr>
      <w:tr>
        <w:tc>
          <w:tcPr/>
          <w:p>
            <w:pPr>
              <w:pStyle w:val="Compact"/>
              <w:jc w:val="left"/>
            </w:pPr>
            <w:r>
              <w:t xml:space="preserve">DOWN</w:t>
            </w:r>
          </w:p>
        </w:tc>
        <w:tc>
          <w:tcPr/>
          <w:p>
            <w:pPr>
              <w:pStyle w:val="Compact"/>
              <w:jc w:val="center"/>
            </w:pPr>
            <w:r>
              <w:t xml:space="preserve">1, 1</w:t>
            </w:r>
          </w:p>
        </w:tc>
        <w:tc>
          <w:tcPr/>
          <w:p>
            <w:pPr>
              <w:pStyle w:val="Compact"/>
              <w:jc w:val="center"/>
            </w:pPr>
            <w:r>
              <w:t xml:space="preserve">0, 0</w:t>
            </w:r>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somewhat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t>
      </w:r>
      <w:hyperlink w:anchor="ref-White2005-WHIEP">
        <w:r>
          <w:rPr>
            <w:rStyle w:val="Hyperlink"/>
          </w:rPr>
          <w:t xml:space="preserve">White 2005</w:t>
        </w:r>
      </w:hyperlink>
      <w:r>
        <w:t xml:space="preserve">)</w:t>
      </w:r>
      <w:r>
        <w:t xml:space="preserve">. I join with those such as North</w:t>
      </w:r>
      <w:r>
        <w:t xml:space="preserve"> </w:t>
      </w:r>
      <w:r>
        <w:t xml:space="preserve">(</w:t>
      </w:r>
      <w:hyperlink w:anchor="ref-North2010">
        <w:r>
          <w:rPr>
            <w:rStyle w:val="Hyperlink"/>
          </w:rPr>
          <w:t xml:space="preserve">2010</w:t>
        </w:r>
      </w:hyperlink>
      <w:r>
        <w:t xml:space="preserve">)</w:t>
      </w:r>
      <w:r>
        <w:t xml:space="preserve"> </w:t>
      </w:r>
      <w:r>
        <w:t xml:space="preserve">and Schoenfield</w:t>
      </w:r>
      <w:r>
        <w:t xml:space="preserve"> </w:t>
      </w:r>
      <w:r>
        <w:t xml:space="preserve">(</w:t>
      </w:r>
      <w:hyperlink w:anchor="ref-Schoenfield2013">
        <w:r>
          <w:rPr>
            <w:rStyle w:val="Hyperlink"/>
          </w:rPr>
          <w:t xml:space="preserve">2013</w:t>
        </w:r>
      </w:hyperlink>
      <w:r>
        <w:t xml:space="preserve">)</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Now I don’t want to insist on expected utility maximisation as the only rule for rational decision making. Sometimes, I think some kind of tie-breaker procedure is part of rationality. In the papers by Stalnaker I mentioned above, he often appeals to this kind of weak dominance reasoning to resolve various hard cases. But I don’t think weak dominance provides a reason to play UP in this particular case.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But that’s not what we’ve got here. Assuming that rationality requires playing UP/</w:t>
      </w:r>
      <w:r>
        <w:rPr>
          <w:iCs/>
          <w:i/>
        </w:rPr>
        <w:t xml:space="preserve">up</w:t>
      </w:r>
      <w:r>
        <w:t xml:space="preserve">, the players know we’ll end up in the top left corner of the table. There’s no chance that we’ll end up elsewhere. Or, perhaps better, there is just as much chance we’ll end up</w:t>
      </w:r>
      <w:r>
        <w:t xml:space="preserve"> </w:t>
      </w:r>
      <w:r>
        <w:t xml:space="preserve">‘</w:t>
      </w:r>
      <w:r>
        <w:t xml:space="preserve">off the table</w:t>
      </w:r>
      <w:r>
        <w:t xml:space="preserve">’</w:t>
      </w:r>
      <w:r>
        <w:t xml:space="preserve">, as that we’ll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35"/>
    <w:bookmarkStart w:id="141" w:name="lockepuzzles"/>
    <w:p>
      <w:pPr>
        <w:pStyle w:val="Heading2"/>
      </w:pPr>
      <w:r>
        <w:rPr>
          <w:rStyle w:val="SectionNumber"/>
        </w:rPr>
        <w:t xml:space="preserve">8.4</w:t>
      </w:r>
      <w:r>
        <w:tab/>
      </w:r>
      <w:r>
        <w:t xml:space="preserve">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Lockean, the theorist who identifies belief with credence above some non-maximal, interest-invariant, threshold.</w:t>
      </w:r>
    </w:p>
    <w:bookmarkStart w:id="136" w:name="lockearb"/>
    <w:p>
      <w:pPr>
        <w:pStyle w:val="Heading3"/>
      </w:pPr>
      <w:r>
        <w:rPr>
          <w:rStyle w:val="SectionNumber"/>
        </w:rPr>
        <w:t xml:space="preserve">8.4.1</w:t>
      </w:r>
      <w:r>
        <w:tab/>
      </w:r>
      <w:r>
        <w:t xml:space="preserve">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w:t>
      </w:r>
      <w:hyperlink w:anchor="ref-Stalnaker1984">
        <w:r>
          <w:rPr>
            <w:rStyle w:val="Hyperlink"/>
          </w:rPr>
          <w:t xml:space="preserve">1984, 91</w:t>
        </w:r>
      </w:hyperlink>
      <w:r>
        <w:t xml:space="preserve">)</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w:t>
      </w:r>
      <w:r>
        <w:t xml:space="preserve"> </w:t>
      </w:r>
      <w:r>
        <w:rPr>
          <w:iCs/>
          <w:i/>
        </w:rPr>
        <w:t xml:space="preserve">t</w:t>
      </w:r>
      <w:r>
        <w:t xml:space="preserve"> </w:t>
      </w:r>
      <w:r>
        <w:t xml:space="preserve">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w:t>
      </w:r>
      <w:hyperlink w:anchor="ref-Foley1993">
        <w:r>
          <w:rPr>
            <w:rStyle w:val="Hyperlink"/>
          </w:rPr>
          <w:t xml:space="preserve">1993</w:t>
        </w:r>
      </w:hyperlink>
      <w:r>
        <w:t xml:space="preserve"> </w:t>
      </w:r>
      <w:r>
        <w:t xml:space="preserve">Ch. 4)</w:t>
      </w:r>
      <w:r>
        <w:t xml:space="preserve">, Hunter</w:t>
      </w:r>
      <w:r>
        <w:t xml:space="preserve"> </w:t>
      </w:r>
      <w:r>
        <w:t xml:space="preserve">(</w:t>
      </w:r>
      <w:hyperlink w:anchor="ref-Hunter1996">
        <w:r>
          <w:rPr>
            <w:rStyle w:val="Hyperlink"/>
          </w:rPr>
          <w:t xml:space="preserve">1996</w:t>
        </w:r>
      </w:hyperlink>
      <w:r>
        <w:t xml:space="preserve">)</w:t>
      </w:r>
      <w:r>
        <w:t xml:space="preserve"> </w:t>
      </w:r>
      <w:r>
        <w:t xml:space="preserve">and Lee</w:t>
      </w:r>
      <w:r>
        <w:t xml:space="preserve"> </w:t>
      </w:r>
      <w:r>
        <w:t xml:space="preserve">(</w:t>
      </w:r>
      <w:hyperlink w:anchor="ref-Lee2017b">
        <w:r>
          <w:rPr>
            <w:rStyle w:val="Hyperlink"/>
          </w:rPr>
          <w:t xml:space="preserve">2017</w:t>
        </w:r>
      </w:hyperlink>
      <w:r>
        <w:t xml:space="preserve">)</w:t>
      </w:r>
      <w:r>
        <w:t xml:space="preserve">, is to say that the boundary is vague. Now we might respond to this by noting that this only helps on an implausible theory of vagueness. On epistemicist theories, or supervaluationist theories, or on my preferred comparative truth theory</w:t>
      </w:r>
      <w:r>
        <w:t xml:space="preserve"> </w:t>
      </w:r>
      <w:r>
        <w:t xml:space="preserve">(</w:t>
      </w:r>
      <w:hyperlink w:anchor="ref-Weatherson2005b">
        <w:r>
          <w:rPr>
            <w:rStyle w:val="Hyperlink"/>
          </w:rPr>
          <w:t xml:space="preserve">Weatherson 2005b</w:t>
        </w:r>
      </w:hyperlink>
      <w:r>
        <w:t xml:space="preserve">)</w:t>
      </w:r>
      <w:r>
        <w:t xml:space="preserve">, there will still be an arbitrary point which marks the difference between belief and non-belief. This won’t be the case on various kinds of degree of truth theories. But, as Williamson</w:t>
      </w:r>
      <w:r>
        <w:t xml:space="preserve"> </w:t>
      </w:r>
      <w:r>
        <w:t xml:space="preserve">(</w:t>
      </w:r>
      <w:hyperlink w:anchor="ref-Williamson1994">
        <w:r>
          <w:rPr>
            <w:rStyle w:val="Hyperlink"/>
          </w:rPr>
          <w:t xml:space="preserve">1994</w:t>
        </w:r>
      </w:hyperlink>
      <w:r>
        <w:t xml:space="preserve">)</w:t>
      </w:r>
      <w:r>
        <w:t xml:space="preserve"> </w:t>
      </w:r>
      <w:r>
        <w:t xml:space="preserve">pointed out, those are theories on which contradictions end up being half-true. And if saving the Lockean theory requires that we give up on the idea that contradictions are simply false, it is hard to see how it is worth the price.</w:t>
      </w:r>
    </w:p>
    <w:p>
      <w:pPr>
        <w:pStyle w:val="BodyText"/>
      </w:pPr>
      <w:r>
        <w:t xml:space="preserve">But a better response is to think about what it means to say that the belief/non-belief boundary is a vague point on a scale. We know plenty of terms where the boundary is a vague point on a scale. Comparative adjectives are typically like that. Whether a day is hot depends on whether it is above some vague point on a temperature scale, for example. But here’s the thing about these vague terms - they don’t enter into lawlike generalisations. (At least in a non-trivial way. Hot days are 24 hours long, and that’s a law, but not one that hotness has a particular role in grounding.) The laws involve the scale; the most you can say using the vague term is some kind of generic.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not like that. Belief plays a key role in all sorts of non-trivial lawlike generalisations. Folk psychology is full of such lawlike generalisations. We’re doing social science here, so the laws in question are hardly exceptionless. But they are counterfactually resilient, and explanatorily deep, and not just generics that are best explained using the underlying scale.</w:t>
      </w:r>
    </w:p>
    <w:p>
      <w:pPr>
        <w:pStyle w:val="BodyText"/>
      </w:pPr>
      <w:r>
        <w:t xml:space="preserve">Of course, the Lockean doesn’t believe that these generalisations of folk psychology are anything more than generics, so this is a somewhat question-begging argument. But if you’re not antecedently disposed to give up on folk psychology, or reduce it to the status of a bunch of helpful generics, it’s worth seeing how striking the Lockean view here is. So consider a generalisation like the following.</w:t>
      </w:r>
    </w:p>
    <w:p>
      <w:pPr>
        <w:numPr>
          <w:ilvl w:val="0"/>
          <w:numId w:val="1050"/>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Or so I say. But the Lockean does not say this; they say that this has widespread counterexamples, and when it is true, it is a relatively superficial truth whose explanatory force is entirely derived from deeper truths about credences.</w:t>
      </w:r>
    </w:p>
    <w:p>
      <w:pPr>
        <w:pStyle w:val="BodyText"/>
      </w:pPr>
      <w:r>
        <w:t xml:space="preserve">The Lockean, for instance,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36"/>
    <w:bookmarkStart w:id="137" w:name="lockecorrect"/>
    <w:p>
      <w:pPr>
        <w:pStyle w:val="Heading3"/>
      </w:pPr>
      <w:r>
        <w:rPr>
          <w:rStyle w:val="SectionNumber"/>
        </w:rPr>
        <w:t xml:space="preserve">8.4.2</w:t>
      </w:r>
      <w:r>
        <w:tab/>
      </w:r>
      <w:r>
        <w:t xml:space="preserve">Correctness</w:t>
      </w:r>
    </w:p>
    <w:p>
      <w:pPr>
        <w:pStyle w:val="FirstParagraph"/>
      </w:pPr>
      <w:r>
        <w:t xml:space="preserve">I’ve talked about this one a bit in subsection</w:t>
      </w:r>
      <w:r>
        <w:t xml:space="preserve"> </w:t>
      </w:r>
      <w:r>
        <w:t xml:space="preserve">3.7.1</w:t>
      </w:r>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w:t>
      </w:r>
      <w:hyperlink w:anchor="ref-Lee2017a">
        <w:r>
          <w:rPr>
            <w:rStyle w:val="Hyperlink"/>
          </w:rPr>
          <w:t xml:space="preserve">2017</w:t>
        </w:r>
      </w:hyperlink>
      <w:r>
        <w:t xml:space="preserve">)</w:t>
      </w:r>
      <w:r>
        <w:t xml:space="preserve"> </w:t>
      </w:r>
      <w:r>
        <w:t xml:space="preserve">argues that the versions of this argument by Ross and Schroeder</w:t>
      </w:r>
      <w:r>
        <w:t xml:space="preserve"> </w:t>
      </w:r>
      <w:r>
        <w:t xml:space="preserve">(</w:t>
      </w:r>
      <w:hyperlink w:anchor="ref-RossSchroeder2014">
        <w:r>
          <w:rPr>
            <w:rStyle w:val="Hyperlink"/>
          </w:rPr>
          <w:t xml:space="preserve">2014</w:t>
        </w:r>
      </w:hyperlink>
      <w:r>
        <w:t xml:space="preserve">)</w:t>
      </w:r>
      <w:r>
        <w:t xml:space="preserve"> </w:t>
      </w:r>
      <w:r>
        <w:t xml:space="preserve">and Fantl and McGrath</w:t>
      </w:r>
      <w:r>
        <w:t xml:space="preserve"> </w:t>
      </w:r>
      <w:r>
        <w:t xml:space="preserve">(</w:t>
      </w:r>
      <w:hyperlink w:anchor="ref-FantlMcGrath2009">
        <w:r>
          <w:rPr>
            <w:rStyle w:val="Hyperlink"/>
          </w:rPr>
          <w:t xml:space="preserve">2009</w:t>
        </w:r>
      </w:hyperlink>
      <w:r>
        <w:t xml:space="preserve">)</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w:t>
      </w:r>
      <w:r>
        <w:t xml:space="preserve"> </w:t>
      </w:r>
      <w:r>
        <w:rPr>
          <w:iCs/>
          <w:i/>
        </w:rPr>
        <w:t xml:space="preserve">t</w:t>
      </w:r>
      <w:r>
        <w:t xml:space="preserve"> &gt;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37"/>
    <w:bookmarkStart w:id="138" w:name="lockemoore"/>
    <w:p>
      <w:pPr>
        <w:pStyle w:val="Heading3"/>
      </w:pPr>
      <w:r>
        <w:rPr>
          <w:rStyle w:val="SectionNumber"/>
        </w:rPr>
        <w:t xml:space="preserve">8.4.3</w:t>
      </w:r>
      <w:r>
        <w:tab/>
      </w:r>
      <w:r>
        <w:t xml:space="preserve">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 subsection</w:t>
      </w:r>
      <w:r>
        <w:t xml:space="preserve"> </w:t>
      </w:r>
      <w:r>
        <w:t xml:space="preserve">2.3.1</w:t>
      </w:r>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38"/>
    <w:bookmarkStart w:id="140" w:name="closure"/>
    <w:p>
      <w:pPr>
        <w:pStyle w:val="Heading3"/>
      </w:pPr>
      <w:r>
        <w:rPr>
          <w:rStyle w:val="SectionNumber"/>
        </w:rPr>
        <w:t xml:space="preserve">8.4.4</w:t>
      </w:r>
      <w:r>
        <w:tab/>
      </w:r>
      <w:r>
        <w:t xml:space="preserve">Closure and the Lockean Theory</w:t>
      </w:r>
    </w:p>
    <w:p>
      <w:pPr>
        <w:pStyle w:val="FirstParagraph"/>
      </w:pPr>
      <w:r>
        <w:t xml:space="preserve">The Lockean theory makes an implausible prediction about conjunction.</w:t>
      </w:r>
      <w:r>
        <w:rPr>
          <w:rStyle w:val="FootnoteReference"/>
        </w:rPr>
        <w:footnoteReference w:id="139"/>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w:t>
      </w:r>
      <w:hyperlink w:anchor="ref-Stalnaker1984">
        <w:r>
          <w:rPr>
            <w:rStyle w:val="Hyperlink"/>
          </w:rPr>
          <w:t xml:space="preserve">Stalnaker 1984, 92</w:t>
        </w:r>
      </w:hyperlink>
      <w:r>
        <w:t xml:space="preserve">)</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51"/>
        </w:numPr>
        <w:pStyle w:val="Compact"/>
      </w:pPr>
      <w:r>
        <w:rPr>
          <w:iCs/>
          <w:i/>
        </w:rPr>
        <w:t xml:space="preserve">S</w:t>
      </w:r>
      <w:r>
        <w:t xml:space="preserve"> </w:t>
      </w:r>
      <w:r>
        <w:t xml:space="preserve">is a rational agent.</w:t>
      </w:r>
    </w:p>
    <w:p>
      <w:pPr>
        <w:numPr>
          <w:ilvl w:val="0"/>
          <w:numId w:val="1051"/>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51"/>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51"/>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51"/>
        </w:numPr>
        <w:pStyle w:val="Compact"/>
      </w:pPr>
      <w:r>
        <w:rPr>
          <w:iCs/>
          <w:i/>
        </w:rPr>
        <w:t xml:space="preserve">S</w:t>
      </w:r>
      <w:r>
        <w:t xml:space="preserve"> </w:t>
      </w:r>
      <w:r>
        <w:t xml:space="preserve">knows that she has all these states, and consciously reflectively</w:t>
      </w:r>
      <w:r>
        <w:t xml:space="preserve"> </w:t>
      </w:r>
      <w:r>
        <w:t xml:space="preserve">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2"/>
        </w:numPr>
        <w:pStyle w:val="Compact"/>
      </w:pPr>
      <w:r>
        <w:rPr>
          <w:iCs/>
          <w:i/>
        </w:rPr>
        <w:t xml:space="preserve">S</w:t>
      </w:r>
      <w:r>
        <w:t xml:space="preserve"> </w:t>
      </w:r>
      <w:r>
        <w:t xml:space="preserve">is a rational agent.</w:t>
      </w:r>
    </w:p>
    <w:p>
      <w:pPr>
        <w:numPr>
          <w:ilvl w:val="0"/>
          <w:numId w:val="1052"/>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2"/>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2"/>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2"/>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w:t>
      </w:r>
      <w:hyperlink w:anchor="ref-Christensen2005">
        <w:r>
          <w:rPr>
            <w:rStyle w:val="Hyperlink"/>
          </w:rPr>
          <w:t xml:space="preserve">2005</w:t>
        </w:r>
      </w:hyperlink>
      <w:r>
        <w:t xml:space="preserve">)</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40"/>
    <w:bookmarkEnd w:id="141"/>
    <w:bookmarkStart w:id="146" w:name="solving"/>
    <w:p>
      <w:pPr>
        <w:pStyle w:val="Heading2"/>
      </w:pPr>
      <w:r>
        <w:rPr>
          <w:rStyle w:val="SectionNumber"/>
        </w:rPr>
        <w:t xml:space="preserve">8.5</w:t>
      </w:r>
      <w:r>
        <w:tab/>
      </w:r>
      <w:r>
        <w:t xml:space="preserve">Solving the Challenges</w:t>
      </w:r>
    </w:p>
    <w:p>
      <w:pPr>
        <w:pStyle w:val="FirstParagraph"/>
      </w:pPr>
      <w:r>
        <w:t xml:space="preserve">It’s not fair to criticise other theories for their inability to meet a challenge that one’s own theory cannot meet. So I’ll end this chapter by noting that the six problems I’ve raised so far for Lockeans are not problems for my interest-relative theory of (rational) belief. I’ve already discussed the points about correctness in subsection</w:t>
      </w:r>
      <w:r>
        <w:t xml:space="preserve"> </w:t>
      </w:r>
      <w:r>
        <w:t xml:space="preserve">3.7.1</w:t>
      </w:r>
      <w:r>
        <w:t xml:space="preserve">, and about closure in chapters</w:t>
      </w:r>
      <w:r>
        <w:t xml:space="preserve"> </w:t>
      </w:r>
      <w:r>
        <w:t xml:space="preserve">4</w:t>
      </w:r>
      <w:r>
        <w:t xml:space="preserve"> </w:t>
      </w:r>
      <w:r>
        <w:t xml:space="preserve">and</w:t>
      </w:r>
      <w:r>
        <w:t xml:space="preserve"> </w:t>
      </w:r>
      <w:r>
        <w:t xml:space="preserve">6</w:t>
      </w:r>
      <w:r>
        <w:t xml:space="preserve">, and there isn’t much to be added. But it’s worth saying a few words about the other four problems.</w:t>
      </w:r>
    </w:p>
    <w:bookmarkStart w:id="142" w:name="coins"/>
    <w:p>
      <w:pPr>
        <w:pStyle w:val="Heading3"/>
      </w:pPr>
      <w:r>
        <w:rPr>
          <w:rStyle w:val="SectionNumber"/>
        </w:rPr>
        <w:t xml:space="preserve">8.5.1</w:t>
      </w:r>
      <w:r>
        <w:tab/>
      </w:r>
      <w:r>
        <w:t xml:space="preserve">Coins</w:t>
      </w:r>
    </w:p>
    <w:p>
      <w:pPr>
        <w:pStyle w:val="FirstParagraph"/>
      </w:pPr>
      <w:r>
        <w:t xml:space="preserve">I say that a necessary condition of believing that</w:t>
      </w:r>
      <w:r>
        <w:t xml:space="preserve"> </w:t>
      </w:r>
      <w:r>
        <w:rPr>
          <w:iCs/>
          <w:i/>
        </w:rPr>
        <w:t xml:space="preserve">p</w:t>
      </w:r>
      <w:r>
        <w:t xml:space="preserve"> </w:t>
      </w:r>
      <w:r>
        <w:t xml:space="preserve">is a disposition to take</w:t>
      </w:r>
      <w:r>
        <w:t xml:space="preserve"> </w:t>
      </w:r>
      <w:r>
        <w:rPr>
          <w:iCs/>
          <w:i/>
        </w:rPr>
        <w:t xml:space="preserve">p</w:t>
      </w:r>
      <w:r>
        <w:t xml:space="preserve"> </w:t>
      </w:r>
      <w:r>
        <w:t xml:space="preserve">for granted. The rational person will prefer betting on logically weaker rather than logically stronger propositions in the coin case, so they will not take the logically stronger ones for granted. If they did take them for granted, they would be indifferent between the bets. So they will not believe that one of the coin flips after the second will land heads, or even that one of the coin flips after the first will land heads. And that’s the right result. The rational person should assign those propositions probability one, but not believe them.</w:t>
      </w:r>
    </w:p>
    <w:bookmarkEnd w:id="142"/>
    <w:bookmarkStart w:id="143" w:name="games"/>
    <w:p>
      <w:pPr>
        <w:pStyle w:val="Heading3"/>
      </w:pPr>
      <w:r>
        <w:rPr>
          <w:rStyle w:val="SectionNumber"/>
        </w:rPr>
        <w:t xml:space="preserve">8.5.2</w:t>
      </w:r>
      <w:r>
        <w:tab/>
      </w:r>
      <w:r>
        <w:t xml:space="preserve">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43"/>
    <w:bookmarkStart w:id="144" w:name="arbitrariness"/>
    <w:p>
      <w:pPr>
        <w:pStyle w:val="Heading3"/>
      </w:pPr>
      <w:r>
        <w:rPr>
          <w:rStyle w:val="SectionNumber"/>
        </w:rPr>
        <w:t xml:space="preserve">8.5.3</w:t>
      </w:r>
      <w:r>
        <w:tab/>
      </w:r>
      <w:r>
        <w:t xml:space="preserve">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44"/>
    <w:bookmarkStart w:id="145" w:name="moore"/>
    <w:p>
      <w:pPr>
        <w:pStyle w:val="Heading3"/>
      </w:pPr>
      <w:r>
        <w:rPr>
          <w:rStyle w:val="SectionNumber"/>
        </w:rPr>
        <w:t xml:space="preserve">8.5.4</w:t>
      </w:r>
      <w:r>
        <w:tab/>
      </w:r>
      <w:r>
        <w:t xml:space="preserve">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45"/>
    <w:bookmarkEnd w:id="146"/>
    <w:bookmarkEnd w:id="147"/>
    <w:bookmarkStart w:id="163" w:name="evidence"/>
    <w:p>
      <w:pPr>
        <w:pStyle w:val="Heading1"/>
      </w:pPr>
      <w:r>
        <w:rPr>
          <w:rStyle w:val="SectionNumber"/>
        </w:rPr>
        <w:t xml:space="preserve">9</w:t>
      </w:r>
      <w:r>
        <w:tab/>
      </w:r>
      <w:r>
        <w:t xml:space="preserve">Evidence</w:t>
      </w:r>
    </w:p>
    <w:bookmarkStart w:id="149" w:name="evpuzzle"/>
    <w:p>
      <w:pPr>
        <w:pStyle w:val="Heading2"/>
      </w:pPr>
      <w:r>
        <w:rPr>
          <w:rStyle w:val="SectionNumber"/>
        </w:rPr>
        <w:t xml:space="preserve">9.1</w:t>
      </w:r>
      <w:r>
        <w:tab/>
      </w:r>
      <w:r>
        <w:t xml:space="preserve">A Puzzle About Evidence</w:t>
      </w:r>
    </w:p>
    <w:p>
      <w:pPr>
        <w:pStyle w:val="FirstParagraph"/>
      </w:pPr>
      <w:r>
        <w:t xml:space="preserve">Think back to the red-blue game from back in section</w:t>
      </w:r>
      <w:r>
        <w:t xml:space="preserve"> </w:t>
      </w:r>
      <w:r>
        <w:t xml:space="preserve">2.1</w:t>
      </w:r>
      <w:r>
        <w:t xml:space="preserve">, and consider a variant on it with the following two characteristics.</w:t>
      </w:r>
      <w:r>
        <w:rPr>
          <w:rStyle w:val="FootnoteReference"/>
        </w:rPr>
        <w:footnoteReference w:id="148"/>
      </w:r>
    </w:p>
    <w:p>
      <w:pPr>
        <w:numPr>
          <w:ilvl w:val="0"/>
          <w:numId w:val="1053"/>
        </w:numPr>
        <w:pStyle w:val="Compact"/>
      </w:pPr>
      <w:r>
        <w:t xml:space="preserve">The red sentence is that two plus two equals four.</w:t>
      </w:r>
    </w:p>
    <w:p>
      <w:pPr>
        <w:numPr>
          <w:ilvl w:val="0"/>
          <w:numId w:val="1053"/>
        </w:numPr>
        <w:pStyle w:val="Compact"/>
      </w:pPr>
      <w:r>
        <w:t xml:space="preserve">The blue sentence is something that, if known, would be part of the</w:t>
      </w:r>
      <w:r>
        <w:t xml:space="preserve"> </w:t>
      </w:r>
      <w:r>
        <w:t xml:space="preserve">agent’s evidence.</w:t>
      </w:r>
    </w:p>
    <w:p>
      <w:pPr>
        <w:pStyle w:val="FirstParagraph"/>
      </w:pPr>
      <w:r>
        <w:t xml:space="preserve">I’m going to argue that there are cases where the only rational play is Red-True, but the blue sentence is something we want to say that, ordinarily, the subject knows.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But 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there is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 subsection</w:t>
      </w:r>
      <w:r>
        <w:t xml:space="preserve"> </w:t>
      </w:r>
      <w:r>
        <w:t xml:space="preserve">2.3.4</w:t>
      </w:r>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4"/>
        </w:numPr>
        <w:pStyle w:val="Compact"/>
      </w:pPr>
      <w:r>
        <w:t xml:space="preserve">The red sentence is</w:t>
      </w:r>
      <w:r>
        <w:t xml:space="preserve"> </w:t>
      </w:r>
      <w:r>
        <w:rPr>
          <w:iCs/>
          <w:i/>
        </w:rPr>
        <w:t xml:space="preserve">Two plus two equals four</w:t>
      </w:r>
      <w:r>
        <w:t xml:space="preserve">.</w:t>
      </w:r>
    </w:p>
    <w:p>
      <w:pPr>
        <w:numPr>
          <w:ilvl w:val="0"/>
          <w:numId w:val="1054"/>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5"/>
        </w:numPr>
        <w:pStyle w:val="Compact"/>
      </w:pPr>
      <w:r>
        <w:t xml:space="preserve">The unique rational play for Parveen is Red-True; and</w:t>
      </w:r>
    </w:p>
    <w:p>
      <w:pPr>
        <w:numPr>
          <w:ilvl w:val="0"/>
          <w:numId w:val="1055"/>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t>
      </w:r>
      <w:hyperlink w:anchor="ref-Williamson2007">
        <w:r>
          <w:rPr>
            <w:rStyle w:val="Hyperlink"/>
          </w:rPr>
          <w:t xml:space="preserve">Williamson 2007</w:t>
        </w:r>
      </w:hyperlink>
      <w:r>
        <w:t xml:space="preserve">)</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w:t>
      </w:r>
      <w:hyperlink w:anchor="ref-Schwitzgebel2008">
        <w:r>
          <w:rPr>
            <w:rStyle w:val="Hyperlink"/>
          </w:rPr>
          <w:t xml:space="preserve">Schwitzgebel 2008</w:t>
        </w:r>
      </w:hyperlink>
      <w:r>
        <w:t xml:space="preserve">)</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49"/>
    <w:bookmarkStart w:id="150" w:name="simplesolution"/>
    <w:p>
      <w:pPr>
        <w:pStyle w:val="Heading2"/>
      </w:pPr>
      <w:r>
        <w:rPr>
          <w:rStyle w:val="SectionNumber"/>
        </w:rPr>
        <w:t xml:space="preserve">9.2</w:t>
      </w:r>
      <w:r>
        <w:tab/>
      </w:r>
      <w:r>
        <w:t xml:space="preserve">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 chapter</w:t>
      </w:r>
      <w:r>
        <w:t xml:space="preserve"> </w:t>
      </w:r>
      <w:r>
        <w:t xml:space="preserve">6</w:t>
      </w:r>
      <w:r>
        <w:t xml:space="preserve"> </w:t>
      </w:r>
      <w:r>
        <w:t xml:space="preserve">that tell against expected utility maximisation in close call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w:t>
      </w:r>
      <w:r>
        <w:t xml:space="preserve">|</w:t>
      </w:r>
      <w:r>
        <w:t xml:space="preserve">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w:t>
      </w:r>
      <w:r>
        <w:t xml:space="preserve">|</w:t>
      </w:r>
      <w:r>
        <w:t xml:space="preserve">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w:t>
      </w:r>
      <w:r>
        <w:t xml:space="preserve">|</w:t>
      </w:r>
      <w:r>
        <w:t xml:space="preserve"> </w:t>
      </w:r>
      <w:r>
        <w:rPr>
          <w:iCs/>
          <w:i/>
        </w:rPr>
        <w:t xml:space="preserve">E</w:t>
      </w:r>
      <w:r>
        <w:t xml:space="preserve">), where</w:t>
      </w:r>
      <w:r>
        <w:t xml:space="preserve"> </w:t>
      </w:r>
      <w:r>
        <w:rPr>
          <w:iCs/>
          <w:i/>
        </w:rPr>
        <w:t xml:space="preserve">E</w:t>
      </w:r>
      <w:r>
        <w:t xml:space="preserve"> </w:t>
      </w:r>
      <w:r>
        <w:t xml:space="preserve">is the evidence the agent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the following is true:</w:t>
      </w:r>
    </w:p>
    <w:p>
      <w:pPr>
        <w:pStyle w:val="BodyText"/>
      </w:pPr>
      <m:oMathPara>
        <m:oMathParaPr>
          <m:jc m:val="center"/>
        </m:oMathParaPr>
        <m:oMath>
          <m:f>
            <m:fPr>
              <m:type m:val="bar"/>
            </m:fPr>
            <m:num>
              <m:sSup>
                <m:e>
                  <m:r>
                    <m:t>V</m:t>
                  </m:r>
                </m:e>
                <m:sup>
                  <m:r>
                    <m:rPr>
                      <m:sty m:val="p"/>
                    </m:rPr>
                    <m:t>−</m:t>
                  </m:r>
                </m:sup>
              </m:sSup>
              <m:d>
                <m:dPr>
                  <m:begChr m:val="("/>
                  <m:endChr m:val=")"/>
                  <m:sepChr m:val=""/>
                  <m:grow/>
                </m:dPr>
                <m:e>
                  <m:r>
                    <m:t>O</m:t>
                  </m:r>
                  <m:r>
                    <m:rPr>
                      <m:sty m:val="p"/>
                    </m:rPr>
                    <m:t>|</m:t>
                  </m:r>
                  <m:r>
                    <m:t>K</m:t>
                  </m:r>
                </m:e>
              </m:d>
              <m:r>
                <m:rPr>
                  <m:sty m:val="p"/>
                </m:rPr>
                <m:t>+</m:t>
              </m:r>
              <m:sSup>
                <m:e>
                  <m:r>
                    <m:t>V</m:t>
                  </m:r>
                </m:e>
                <m:sup>
                  <m:r>
                    <m:rPr>
                      <m:sty m:val="p"/>
                    </m:rPr>
                    <m:t>−</m:t>
                  </m:r>
                </m:sup>
              </m:sSup>
              <m:d>
                <m:dPr>
                  <m:begChr m:val="("/>
                  <m:endChr m:val=")"/>
                  <m:sepChr m:val=""/>
                  <m:grow/>
                </m:dPr>
                <m:e>
                  <m:r>
                    <m:t>O</m:t>
                  </m:r>
                  <m:r>
                    <m:rPr>
                      <m:sty m:val="p"/>
                    </m:rPr>
                    <m:t>|</m:t>
                  </m:r>
                  <m:r>
                    <m:t>K</m:t>
                  </m:r>
                  <m:r>
                    <m:rPr>
                      <m:sty m:val="p"/>
                    </m:rPr>
                    <m:t>∧</m:t>
                  </m:r>
                  <m:r>
                    <m:t>p</m:t>
                  </m:r>
                </m:e>
              </m:d>
            </m:num>
            <m:den>
              <m:r>
                <m:t>2</m:t>
              </m:r>
            </m:den>
          </m:f>
          <m:r>
            <m:rPr>
              <m:sty m:val="p"/>
            </m:rPr>
            <m:t>≥</m:t>
          </m:r>
          <m:r>
            <m:t>x</m:t>
          </m:r>
        </m:oMath>
      </m:oMathPara>
    </w:p>
    <w:p>
      <w:pPr>
        <w:pStyle w:val="FirstParagraph"/>
      </w:pPr>
      <w:r>
        <w:t xml:space="preserve">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50"/>
    <w:bookmarkStart w:id="151" w:name="radicalinterpretation"/>
    <w:p>
      <w:pPr>
        <w:pStyle w:val="Heading2"/>
      </w:pPr>
      <w:r>
        <w:rPr>
          <w:rStyle w:val="SectionNumber"/>
        </w:rPr>
        <w:t xml:space="preserve">9.3</w:t>
      </w:r>
      <w:r>
        <w:tab/>
      </w:r>
      <w:r>
        <w:t xml:space="preserve">The Radical Interpreter</w:t>
      </w:r>
    </w:p>
    <w:p>
      <w:pPr>
        <w:pStyle w:val="FirstParagraph"/>
      </w:pPr>
      <w:r>
        <w:t xml:space="preserve">Many philosophical problems can be usefully thought of as games, and hence studied using game theoretic techniques. This is especially when the problems involve interactions of rational agents. Here, for example, is the game table for Newcomb’s problem, with the human who is usually the focus of the problem as Row, and the demon as Column.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t xml:space="preserve">Predict 1 Box</w:t>
            </w:r>
          </w:p>
        </w:tc>
        <w:tc>
          <w:tcPr/>
          <w:p>
            <w:pPr>
              <w:pStyle w:val="Compact"/>
              <w:jc w:val="center"/>
            </w:pPr>
            <w:r>
              <w:t xml:space="preserve">Predict 2 Boxes</w:t>
            </w:r>
          </w:p>
        </w:tc>
      </w:tr>
      <w:tr>
        <w:tc>
          <w:tcPr/>
          <w:p>
            <w:pPr>
              <w:pStyle w:val="Compact"/>
              <w:jc w:val="left"/>
            </w:pPr>
            <w:r>
              <w:t xml:space="preserve">Choose 1 Box</w:t>
            </w:r>
          </w:p>
        </w:tc>
        <w:tc>
          <w:tcPr/>
          <w:p>
            <w:pPr>
              <w:pStyle w:val="Compact"/>
              <w:jc w:val="center"/>
            </w:pPr>
            <w:r>
              <w:t xml:space="preserve">1000, 1</w:t>
            </w:r>
          </w:p>
        </w:tc>
        <w:tc>
          <w:tcPr/>
          <w:p>
            <w:pPr>
              <w:pStyle w:val="Compact"/>
              <w:jc w:val="center"/>
            </w:pPr>
            <w:r>
              <w:t xml:space="preserve">0, 0</w:t>
            </w:r>
          </w:p>
        </w:tc>
      </w:tr>
      <w:tr>
        <w:tc>
          <w:tcPr/>
          <w:p>
            <w:pPr>
              <w:pStyle w:val="Compact"/>
              <w:jc w:val="left"/>
            </w:pPr>
            <w:r>
              <w:t xml:space="preserve">Choose 2 Boxes</w:t>
            </w:r>
          </w:p>
        </w:tc>
        <w:tc>
          <w:tcPr/>
          <w:p>
            <w:pPr>
              <w:pStyle w:val="Compact"/>
              <w:jc w:val="center"/>
            </w:pPr>
            <w:r>
              <w:t xml:space="preserve">1001, 0</w:t>
            </w:r>
          </w:p>
        </w:tc>
        <w:tc>
          <w:tcPr/>
          <w:p>
            <w:pPr>
              <w:pStyle w:val="Compact"/>
              <w:jc w:val="center"/>
            </w:pPr>
            <w:r>
              <w:t xml:space="preserve">1, 1</w:t>
            </w:r>
          </w:p>
        </w:tc>
      </w:tr>
    </w:tbl>
    <w:p>
      <w:pPr>
        <w:pStyle w:val="BodyText"/>
      </w:pPr>
      <w:r>
        <w:t xml:space="preserve">This game has a unique Nash equilbrium;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But in this case the invention is not a demon, but The Radical Interpreter. To know the payouts for the players, we need to know their value function. More colloquially, we need to know their goals.</w:t>
      </w:r>
    </w:p>
    <w:p>
      <w:pPr>
        <w:numPr>
          <w:ilvl w:val="0"/>
          <w:numId w:val="1056"/>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6"/>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t xml:space="preserve"> </w:t>
      </w:r>
      <w:r>
        <w:rPr>
          <w:iCs/>
          <w:i/>
        </w:rPr>
        <w:t xml:space="preserve">K</w:t>
      </w:r>
      <w:r>
        <w:t xml:space="preserve">) = 0.9. Each party now faces a choice.</w:t>
      </w:r>
    </w:p>
    <w:p>
      <w:pPr>
        <w:numPr>
          <w:ilvl w:val="0"/>
          <w:numId w:val="1057"/>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7"/>
        </w:numPr>
        <w:pStyle w:val="Compact"/>
      </w:pPr>
      <w:r>
        <w:t xml:space="preserve">Human has to decide whether to Take or Decline the bet.</w:t>
      </w:r>
    </w:p>
    <w:p>
      <w:pPr>
        <w:pStyle w:val="FirstParagraph"/>
      </w:pPr>
      <w:r>
        <w:t xml:space="preserve">The Radical Interpreter achieves their goal if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rPr>
                <w:iCs/>
                <w:i/>
              </w:rPr>
              <w:t xml:space="preserve">p</w:t>
            </w:r>
            <w:r>
              <w:t xml:space="preserve"> ∈ </w:t>
            </w:r>
            <w:r>
              <w:rPr>
                <w:iCs/>
                <w:i/>
              </w:rPr>
              <w:t xml:space="preserve">E</w:t>
            </w:r>
          </w:p>
        </w:tc>
        <w:tc>
          <w:tcPr/>
          <w:p>
            <w:pPr>
              <w:pStyle w:val="Compact"/>
              <w:jc w:val="center"/>
            </w:pPr>
            <w:r>
              <w:rPr>
                <w:iCs/>
                <w:i/>
              </w:rPr>
              <w:t xml:space="preserve">p</w:t>
            </w:r>
            <w:r>
              <w:t xml:space="preserve"> ∉ </w:t>
            </w:r>
            <w:r>
              <w:rPr>
                <w:iCs/>
                <w:i/>
              </w:rPr>
              <w:t xml:space="preserve">E</w:t>
            </w:r>
          </w:p>
        </w:tc>
      </w:tr>
      <w:tr>
        <w:tc>
          <w:tcPr/>
          <w:p>
            <w:pPr>
              <w:pStyle w:val="Compact"/>
              <w:jc w:val="left"/>
            </w:pPr>
            <w:r>
              <w:t xml:space="preserve">Take the Bet</w:t>
            </w:r>
          </w:p>
        </w:tc>
        <w:tc>
          <w:tcPr/>
          <w:p>
            <w:pPr>
              <w:pStyle w:val="Compact"/>
              <w:jc w:val="center"/>
            </w:pPr>
            <w:r>
              <w:t xml:space="preserve">1, 1</w:t>
            </w:r>
          </w:p>
        </w:tc>
        <w:tc>
          <w:tcPr/>
          <w:p>
            <w:pPr>
              <w:pStyle w:val="Compact"/>
              <w:jc w:val="center"/>
            </w:pPr>
            <w:r>
              <w:t xml:space="preserve">-9.1, 0</w:t>
            </w:r>
          </w:p>
        </w:tc>
      </w:tr>
      <w:tr>
        <w:tc>
          <w:tcPr/>
          <w:p>
            <w:pPr>
              <w:pStyle w:val="Compact"/>
              <w:jc w:val="left"/>
            </w:pPr>
            <w:r>
              <w:t xml:space="preserve">Decline the Bet</w:t>
            </w:r>
          </w:p>
        </w:tc>
        <w:tc>
          <w:tcPr/>
          <w:p>
            <w:pPr>
              <w:pStyle w:val="Compact"/>
              <w:jc w:val="center"/>
            </w:pPr>
            <w:r>
              <w:t xml:space="preserve">0, 0</w:t>
            </w:r>
          </w:p>
        </w:tc>
        <w:tc>
          <w:tcPr/>
          <w:p>
            <w:pPr>
              <w:pStyle w:val="Compact"/>
              <w:jc w:val="center"/>
            </w:pPr>
            <w:r>
              <w:t xml:space="preserve">0, 1</w:t>
            </w:r>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51"/>
    <w:bookmarkStart w:id="156" w:name="globalgame"/>
    <w:p>
      <w:pPr>
        <w:pStyle w:val="Heading2"/>
      </w:pPr>
      <w:r>
        <w:rPr>
          <w:rStyle w:val="SectionNumber"/>
        </w:rPr>
        <w:t xml:space="preserve">9.4</w:t>
      </w:r>
      <w:r>
        <w:tab/>
      </w:r>
      <w:r>
        <w:t xml:space="preserve">Risk-Dominant Equilibria</w:t>
      </w:r>
    </w:p>
    <w:p>
      <w:pPr>
        <w:pStyle w:val="FirstParagraph"/>
      </w:pPr>
      <w:r>
        <w:t xml:space="preserve">At an almost maximal level of abstraction, a two player, two option each game looks like this.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left"/>
            </w:pPr>
            <w:r>
              <w:rPr>
                <w:iCs/>
                <w:i/>
              </w:rPr>
              <w:t xml:space="preserve">A</w:t>
            </w:r>
          </w:p>
        </w:tc>
        <w:tc>
          <w:tcPr/>
          <w:p>
            <w:pPr>
              <w:pStyle w:val="Compact"/>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left"/>
            </w:pPr>
            <w:r>
              <w:rPr>
                <w:iCs/>
                <w:i/>
              </w:rPr>
              <w:t xml:space="preserve">B</w:t>
            </w:r>
          </w:p>
        </w:tc>
        <w:tc>
          <w:tcPr/>
          <w:p>
            <w:pPr>
              <w:pStyle w:val="Compact"/>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p>
      <w:pPr>
        <w:pStyle w:val="BodyText"/>
      </w:pPr>
      <w:r>
        <w:t xml:space="preserve">We’re going to focus on games that have the following eight properties:</w:t>
      </w:r>
    </w:p>
    <w:p>
      <w:pPr>
        <w:numPr>
          <w:ilvl w:val="0"/>
          <w:numId w:val="1058"/>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8"/>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8"/>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8"/>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8"/>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8"/>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22</w:t>
      </w:r>
    </w:p>
    <w:p>
      <w:pPr>
        <w:numPr>
          <w:ilvl w:val="0"/>
          <w:numId w:val="1058"/>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8"/>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&gt;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bCs/>
          <w:b/>
        </w:rPr>
        <w:t xml:space="preserve">Pareto-optimal</w:t>
      </w:r>
      <w:r>
        <w:t xml:space="preserve">: no one prefers the other equilibria to it.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bCs/>
          <w:b/>
        </w:rPr>
        <w:t xml:space="preserve">risk-optimal</w:t>
      </w:r>
      <w:r>
        <w:t xml:space="preserve">.</w:t>
      </w:r>
    </w:p>
    <w:p>
      <w:pPr>
        <w:pStyle w:val="BodyText"/>
      </w:pPr>
      <w:r>
        <w:t xml:space="preserve">I’m going to set out an argument from Hans Carlsson and Eric van Damme</w:t>
      </w:r>
      <w:r>
        <w:t xml:space="preserve"> </w:t>
      </w:r>
      <w:r>
        <w:t xml:space="preserve">(</w:t>
      </w:r>
      <w:hyperlink w:anchor="ref-CarlssonVanDamme1993">
        <w:r>
          <w:rPr>
            <w:rStyle w:val="Hyperlink"/>
          </w:rPr>
          <w:t xml:space="preserve">1993</w:t>
        </w:r>
      </w:hyperlink>
      <w:r>
        <w:t xml:space="preserve">)</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w:t>
      </w:r>
      <w:hyperlink w:anchor="ref-Rousseau1913">
        <w:r>
          <w:rPr>
            <w:rStyle w:val="Hyperlink"/>
          </w:rPr>
          <w:t xml:space="preserve">Rousseau 1913, 209–10</w:t>
        </w:r>
      </w:hyperlink>
      <w:r>
        <w:t xml:space="preserve">)</w:t>
      </w:r>
    </w:p>
    <w:p>
      <w:pPr>
        <w:pStyle w:val="FirstParagraph"/>
      </w:pPr>
      <w:r>
        <w:t xml:space="preserve">It is rather interesting to think through which real-life situations are best modeled as Stag Hunts, especially in situations where people have thought that the right model was a version of Prisoners’ Dilemma.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left"/>
            </w:pPr>
            <w:r>
              <w:rPr>
                <w:iCs/>
                <w:i/>
              </w:rPr>
              <w:t xml:space="preserve">A</w:t>
            </w:r>
          </w:p>
        </w:tc>
        <w:tc>
          <w:tcPr/>
          <w:p>
            <w:pPr>
              <w:pStyle w:val="Compact"/>
              <w:jc w:val="center"/>
            </w:pPr>
            <w:r>
              <w:t xml:space="preserve">4, 4</w:t>
            </w:r>
          </w:p>
        </w:tc>
        <w:tc>
          <w:tcPr/>
          <w:p>
            <w:pPr>
              <w:pStyle w:val="Compact"/>
              <w:jc w:val="left"/>
            </w:pPr>
            <w:r>
              <w:t xml:space="preserve">0, 3</w:t>
            </w:r>
          </w:p>
        </w:tc>
      </w:tr>
      <w:tr>
        <w:tc>
          <w:tcPr/>
          <w:p>
            <w:pPr>
              <w:pStyle w:val="Compact"/>
              <w:jc w:val="left"/>
            </w:pPr>
            <w:r>
              <w:rPr>
                <w:iCs/>
                <w:i/>
              </w:rPr>
              <w:t xml:space="preserve">B</w:t>
            </w:r>
          </w:p>
        </w:tc>
        <w:tc>
          <w:tcPr/>
          <w:p>
            <w:pPr>
              <w:pStyle w:val="Compact"/>
              <w:jc w:val="center"/>
            </w:pPr>
            <w:r>
              <w:t xml:space="preserve">3, 0</w:t>
            </w:r>
          </w:p>
        </w:tc>
        <w:tc>
          <w:tcPr/>
          <w:p>
            <w:pPr>
              <w:pStyle w:val="Compact"/>
              <w:jc w:val="left"/>
            </w:pPr>
            <w:r>
              <w:t xml:space="preserve">3, 3</w:t>
            </w:r>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left"/>
            </w:pPr>
            <w:r>
              <w:rPr>
                <w:iCs/>
                <w:i/>
              </w:rPr>
              <w:t xml:space="preserve">A</w:t>
            </w:r>
          </w:p>
        </w:tc>
        <w:tc>
          <w:tcPr/>
          <w:p>
            <w:pPr>
              <w:pStyle w:val="Compact"/>
              <w:jc w:val="center"/>
            </w:pPr>
            <w:r>
              <w:t xml:space="preserve">4, 4</w:t>
            </w:r>
          </w:p>
        </w:tc>
        <w:tc>
          <w:tcPr/>
          <w:p>
            <w:pPr>
              <w:pStyle w:val="Compact"/>
              <w:jc w:val="left"/>
            </w:pPr>
            <w:r>
              <w:t xml:space="preserve">0, </w:t>
            </w:r>
            <w:r>
              <w:rPr>
                <w:iCs/>
                <w:i/>
              </w:rPr>
              <w:t xml:space="preserve">x</w:t>
            </w:r>
          </w:p>
        </w:tc>
      </w:tr>
      <w:tr>
        <w:tc>
          <w:tcPr/>
          <w:p>
            <w:pPr>
              <w:pStyle w:val="Compact"/>
              <w:jc w:val="left"/>
            </w:pPr>
            <w:r>
              <w:rPr>
                <w:iCs/>
                <w:i/>
              </w:rPr>
              <w:t xml:space="preserve">B</w:t>
            </w:r>
          </w:p>
        </w:tc>
        <w:tc>
          <w:tcPr/>
          <w:p>
            <w:pPr>
              <w:pStyle w:val="Compact"/>
              <w:jc w:val="center"/>
            </w:pPr>
            <w:r>
              <w:rPr>
                <w:iCs/>
                <w:i/>
              </w:rPr>
              <w:t xml:space="preserve">x</w:t>
            </w:r>
            <w:r>
              <w:t xml:space="preserve">, 0</w:t>
            </w:r>
          </w:p>
        </w:tc>
        <w:tc>
          <w:tcPr/>
          <w:p>
            <w:pPr>
              <w:pStyle w:val="Compact"/>
              <w:jc w:val="left"/>
            </w:pPr>
            <w:r>
              <w:rPr>
                <w:iCs/>
                <w:i/>
              </w:rPr>
              <w:t xml:space="preserve">x</w:t>
            </w:r>
            <w:r>
              <w:t xml:space="preserve">, </w:t>
            </w:r>
            <w:r>
              <w:rPr>
                <w:iCs/>
                <w:i/>
              </w:rPr>
              <w:t xml:space="preserve">x</w:t>
            </w:r>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But this is a margin of error model, and in those models there is very little that is common knowledge. That, they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52"/>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t>
      </w:r>
      <w:hyperlink w:anchor="ref-Weatherson2018-WEAIEA-2">
        <w:r>
          <w:rPr>
            <w:rStyle w:val="Hyperlink"/>
          </w:rPr>
          <w:t xml:space="preserve">Weatherson 2018</w:t>
        </w:r>
      </w:hyperlink>
      <w:r>
        <w:t xml:space="preserve">)</w:t>
      </w:r>
      <w:r>
        <w:t xml:space="preserve">. But I now think this was a mistake.</w:t>
      </w:r>
      <w:r>
        <w:rPr>
          <w:rStyle w:val="FootnoteReference"/>
        </w:rPr>
        <w:footnoteReference w:id="153"/>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So think about the case with Parveen. Given that Parveen’s evidence is not luminous</w:t>
      </w:r>
      <w:r>
        <w:t xml:space="preserve"> </w:t>
      </w:r>
      <w:r>
        <w:t xml:space="preserve">(</w:t>
      </w:r>
      <w:hyperlink w:anchor="ref-Williamson2000">
        <w:r>
          <w:rPr>
            <w:rStyle w:val="Hyperlink"/>
          </w:rPr>
          <w:t xml:space="preserve">Williamson 2000</w:t>
        </w:r>
      </w:hyperlink>
      <w:r>
        <w:t xml:space="preserve">)</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But it turns out, as I’ll go over in subsection</w:t>
      </w:r>
      <w:r>
        <w:t xml:space="preserve"> </w:t>
      </w:r>
      <w:r>
        <w:t xml:space="preserve">9.4.2</w:t>
      </w:r>
      <w:r>
        <w:t xml:space="preserve">, that Carlsson and van Damme’s result only needs that one player is uncertain of the payouts. And given that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in these games where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But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154" w:name="cvdproof"/>
    <w:p>
      <w:pPr>
        <w:pStyle w:val="Heading3"/>
      </w:pPr>
      <w:r>
        <w:rPr>
          <w:rStyle w:val="SectionNumber"/>
        </w:rPr>
        <w:t xml:space="preserve">9.4.1</w:t>
      </w:r>
      <w:r>
        <w:tab/>
      </w:r>
      <w:r>
        <w:t xml:space="preserve">The Dominance Argument for Risk-Dominant Equilibria</w:t>
      </w:r>
    </w:p>
    <w:p>
      <w:pPr>
        <w:pStyle w:val="FirstParagraph"/>
      </w:pPr>
      <w:r>
        <w:t xml:space="preserve">Two players, Row (or R) and Column (or C) will play a version of the following game.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m:oMath>
              <m:r>
                <m:t>a</m:t>
              </m:r>
            </m:oMath>
          </w:p>
        </w:tc>
        <w:tc>
          <w:tcPr/>
          <w:p>
            <w:pPr>
              <w:pStyle w:val="Compact"/>
              <w:jc w:val="center"/>
            </w:pPr>
            <m:oMath>
              <m:r>
                <m:t>b</m:t>
              </m:r>
            </m:oMath>
          </w:p>
        </w:tc>
      </w:tr>
      <w:tr>
        <w:tc>
          <w:tcPr/>
          <w:p>
            <w:pPr>
              <w:pStyle w:val="Compact"/>
              <w:jc w:val="left"/>
            </w:pPr>
            <w:r>
              <w:rPr>
                <w:iCs/>
                <w:i/>
              </w:rPr>
              <w:t xml:space="preserve">A</w:t>
            </w:r>
          </w:p>
        </w:tc>
        <w:tc>
          <w:tcPr/>
          <w:p>
            <w:pPr>
              <w:pStyle w:val="Compact"/>
              <w:jc w:val="center"/>
            </w:pPr>
            <w:r>
              <w:t xml:space="preserve">4, 4</w:t>
            </w:r>
          </w:p>
        </w:tc>
        <w:tc>
          <w:tcPr/>
          <w:p>
            <w:pPr>
              <w:pStyle w:val="Compact"/>
              <w:jc w:val="center"/>
            </w:pPr>
            <w:r>
              <w:t xml:space="preserve">0, </w:t>
            </w:r>
            <w:r>
              <w:rPr>
                <w:iCs/>
                <w:i/>
              </w:rPr>
              <w:t xml:space="preserve">x</w:t>
            </w:r>
          </w:p>
        </w:tc>
      </w:tr>
      <w:tr>
        <w:tc>
          <w:tcPr/>
          <w:p>
            <w:pPr>
              <w:pStyle w:val="Compact"/>
              <w:jc w:val="left"/>
            </w:pPr>
            <w:r>
              <w:rPr>
                <w:iCs/>
                <w:i/>
              </w:rPr>
              <w:t xml:space="preserve">B</w:t>
            </w:r>
          </w:p>
        </w:tc>
        <w:tc>
          <w:tcPr/>
          <w:p>
            <w:pPr>
              <w:pStyle w:val="Compact"/>
              <w:jc w:val="center"/>
            </w:pPr>
            <w:r>
              <w:rPr>
                <w:iCs/>
                <w:i/>
              </w:rPr>
              <w:t xml:space="preserve">x</w:t>
            </w:r>
            <w:r>
              <w:t xml:space="preserve">, 0</w:t>
            </w:r>
          </w:p>
        </w:tc>
        <w:tc>
          <w:tcPr/>
          <w:p>
            <w:pPr>
              <w:pStyle w:val="Compact"/>
              <w:jc w:val="center"/>
            </w:pPr>
            <w:r>
              <w:rPr>
                <w:iCs/>
                <w:i/>
              </w:rPr>
              <w:t xml:space="preserve">x</w:t>
            </w:r>
            <w:r>
              <w:t xml:space="preserve">, </w:t>
            </w:r>
            <w:r>
              <w:rPr>
                <w:iCs/>
                <w:i/>
              </w:rPr>
              <w:t xml:space="preserve">x</w:t>
            </w:r>
          </w:p>
        </w:tc>
      </w:tr>
    </w:tbl>
    <w:p>
      <w:pPr>
        <w:pStyle w:val="BodyText"/>
      </w:pPr>
      <w:r>
        <w:t xml:space="preserve">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 when the following is true. (The working out is a tedious but trivial application of the quadratic formula, plus some rearranging.)</w:t>
      </w:r>
    </w:p>
    <w:p>
      <w:pPr>
        <w:pStyle w:val="BodyText"/>
      </w:pPr>
      <m:oMathPara>
        <m:oMathParaPr>
          <m:jc m:val="center"/>
        </m:oMathParaPr>
        <m:oMath>
          <m:sSub>
            <m:e>
              <m:r>
                <m:t>s</m:t>
              </m:r>
            </m:e>
            <m:sub>
              <m:r>
                <m:t>R</m:t>
              </m:r>
            </m:sub>
          </m:sSub>
          <m:r>
            <m:rPr>
              <m:sty m:val="p"/>
            </m:rPr>
            <m:t>=</m:t>
          </m:r>
          <m:r>
            <m:t>y</m:t>
          </m:r>
          <m:r>
            <m:rPr>
              <m:sty m:val="p"/>
            </m:rPr>
            <m:t>+</m:t>
          </m:r>
          <m:f>
            <m:fPr>
              <m:type m:val="bar"/>
            </m:fPr>
            <m:num>
              <m:rad>
                <m:radPr>
                  <m:degHide m:val="1"/>
                </m:radPr>
                <m:deg/>
                <m:e>
                  <m:r>
                    <m:t>145</m:t>
                  </m:r>
                  <m:r>
                    <m:rPr>
                      <m:sty m:val="p"/>
                    </m:rPr>
                    <m:t>−</m:t>
                  </m:r>
                  <m:r>
                    <m:t>32</m:t>
                  </m:r>
                  <m:r>
                    <m:t>y</m:t>
                  </m:r>
                </m:e>
              </m:rad>
              <m:r>
                <m:rPr>
                  <m:sty m:val="p"/>
                </m:rPr>
                <m:t>−</m:t>
              </m:r>
              <m:r>
                <m:t>9</m:t>
              </m:r>
            </m:num>
            <m:den>
              <m:r>
                <m:t>16</m:t>
              </m:r>
            </m:den>
          </m:f>
        </m:oMath>
      </m:oMathPara>
    </w:p>
    <w:p>
      <w:pPr>
        <w:pStyle w:val="FirstParagraph"/>
      </w:pPr>
      <w:r>
        <w:t xml:space="preserve">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1"/>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Round</w:t>
            </w:r>
          </w:p>
        </w:tc>
        <w:tc>
          <w:tcPr/>
          <w:p>
            <w:pPr>
              <w:pStyle w:val="Compact"/>
              <w:jc w:val="center"/>
            </w:pPr>
            <w:r>
              <w:t xml:space="preserve">Upper Bound on Threshold</w:t>
            </w:r>
          </w:p>
        </w:tc>
      </w:tr>
      <w:tr>
        <w:tc>
          <w:tcPr/>
          <w:p>
            <w:pPr>
              <w:pStyle w:val="Compact"/>
              <w:jc w:val="center"/>
            </w:pPr>
            <w:r>
              <w:t xml:space="preserve">1</w:t>
            </w:r>
          </w:p>
        </w:tc>
        <w:tc>
          <w:tcPr/>
          <w:p>
            <w:pPr>
              <w:pStyle w:val="Compact"/>
              <w:jc w:val="center"/>
            </w:pPr>
            <w:r>
              <w:t xml:space="preserve">4.250</w:t>
            </w:r>
          </w:p>
        </w:tc>
      </w:tr>
      <w:tr>
        <w:tc>
          <w:tcPr/>
          <w:p>
            <w:pPr>
              <w:pStyle w:val="Compact"/>
              <w:jc w:val="center"/>
            </w:pPr>
            <w:r>
              <w:t xml:space="preserve">2</w:t>
            </w:r>
          </w:p>
        </w:tc>
        <w:tc>
          <w:tcPr/>
          <w:p>
            <w:pPr>
              <w:pStyle w:val="Compact"/>
              <w:jc w:val="center"/>
            </w:pPr>
            <w:r>
              <w:t xml:space="preserve">3.875</w:t>
            </w:r>
          </w:p>
        </w:tc>
      </w:tr>
      <w:tr>
        <w:tc>
          <w:tcPr/>
          <w:p>
            <w:pPr>
              <w:pStyle w:val="Compact"/>
              <w:jc w:val="center"/>
            </w:pPr>
            <w:r>
              <w:t xml:space="preserve">3</w:t>
            </w:r>
          </w:p>
        </w:tc>
        <w:tc>
          <w:tcPr/>
          <w:p>
            <w:pPr>
              <w:pStyle w:val="Compact"/>
              <w:jc w:val="center"/>
            </w:pPr>
            <w:r>
              <w:t xml:space="preserve">3.599</w:t>
            </w:r>
          </w:p>
        </w:tc>
      </w:tr>
      <w:tr>
        <w:tc>
          <w:tcPr/>
          <w:p>
            <w:pPr>
              <w:pStyle w:val="Compact"/>
              <w:jc w:val="center"/>
            </w:pPr>
            <w:r>
              <w:t xml:space="preserve">4</w:t>
            </w:r>
          </w:p>
        </w:tc>
        <w:tc>
          <w:tcPr/>
          <w:p>
            <w:pPr>
              <w:pStyle w:val="Compact"/>
              <w:jc w:val="center"/>
            </w:pPr>
            <w:r>
              <w:t xml:space="preserve">3.378</w:t>
            </w:r>
          </w:p>
        </w:tc>
      </w:tr>
      <w:tr>
        <w:tc>
          <w:tcPr/>
          <w:p>
            <w:pPr>
              <w:pStyle w:val="Compact"/>
              <w:jc w:val="center"/>
            </w:pPr>
            <w:r>
              <w:t xml:space="preserve">5</w:t>
            </w:r>
          </w:p>
        </w:tc>
        <w:tc>
          <w:tcPr/>
          <w:p>
            <w:pPr>
              <w:pStyle w:val="Compact"/>
              <w:jc w:val="center"/>
            </w:pPr>
            <w:r>
              <w:t xml:space="preserve">3.195</w:t>
            </w:r>
          </w:p>
        </w:tc>
      </w:tr>
      <w:tr>
        <w:tc>
          <w:tcPr/>
          <w:p>
            <w:pPr>
              <w:pStyle w:val="Compact"/>
              <w:jc w:val="center"/>
            </w:pPr>
            <w:r>
              <w:t xml:space="preserve">6</w:t>
            </w:r>
          </w:p>
        </w:tc>
        <w:tc>
          <w:tcPr/>
          <w:p>
            <w:pPr>
              <w:pStyle w:val="Compact"/>
              <w:jc w:val="center"/>
            </w:pPr>
            <w:r>
              <w:t xml:space="preserve">3.041</w:t>
            </w:r>
          </w:p>
        </w:tc>
      </w:tr>
      <w:tr>
        <w:tc>
          <w:tcPr/>
          <w:p>
            <w:pPr>
              <w:pStyle w:val="Compact"/>
              <w:jc w:val="center"/>
            </w:pPr>
            <w:r>
              <w:t xml:space="preserve">7</w:t>
            </w:r>
          </w:p>
        </w:tc>
        <w:tc>
          <w:tcPr/>
          <w:p>
            <w:pPr>
              <w:pStyle w:val="Compact"/>
              <w:jc w:val="center"/>
            </w:pPr>
            <w:r>
              <w:t xml:space="preserve">2.910</w:t>
            </w:r>
          </w:p>
        </w:tc>
      </w:tr>
      <w:tr>
        <w:tc>
          <w:tcPr/>
          <w:p>
            <w:pPr>
              <w:pStyle w:val="Compact"/>
              <w:jc w:val="center"/>
            </w:pPr>
            <w:r>
              <w:t xml:space="preserve">8</w:t>
            </w:r>
          </w:p>
        </w:tc>
        <w:tc>
          <w:tcPr/>
          <w:p>
            <w:pPr>
              <w:pStyle w:val="Compact"/>
              <w:jc w:val="center"/>
            </w:pPr>
            <w:r>
              <w:t xml:space="preserve">2.798</w:t>
            </w:r>
          </w:p>
        </w:tc>
      </w:tr>
      <w:tr>
        <w:tc>
          <w:tcPr/>
          <w:p>
            <w:pPr>
              <w:pStyle w:val="Compact"/>
              <w:jc w:val="center"/>
            </w:pPr>
            <w:r>
              <w:t xml:space="preserve">9</w:t>
            </w:r>
          </w:p>
        </w:tc>
        <w:tc>
          <w:tcPr/>
          <w:p>
            <w:pPr>
              <w:pStyle w:val="Compact"/>
              <w:jc w:val="center"/>
            </w:pPr>
            <w:r>
              <w:t xml:space="preserve">2.701</w:t>
            </w:r>
          </w:p>
        </w:tc>
      </w:tr>
      <w:tr>
        <w:tc>
          <w:tcPr/>
          <w:p>
            <w:pPr>
              <w:pStyle w:val="Compact"/>
              <w:jc w:val="center"/>
            </w:pPr>
            <w:r>
              <w:t xml:space="preserve">10</w:t>
            </w:r>
          </w:p>
        </w:tc>
        <w:tc>
          <w:tcPr/>
          <w:p>
            <w:pPr>
              <w:pStyle w:val="Compact"/>
              <w:jc w:val="center"/>
            </w:pPr>
            <w:r>
              <w:t xml:space="preserve">2.617</w:t>
            </w:r>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154"/>
    <w:bookmarkStart w:id="155" w:name="perfectri"/>
    <w:p>
      <w:pPr>
        <w:pStyle w:val="Heading3"/>
      </w:pPr>
      <w:r>
        <w:rPr>
          <w:rStyle w:val="SectionNumber"/>
        </w:rPr>
        <w:t xml:space="preserve">9.4.2</w:t>
      </w:r>
      <w:r>
        <w:tab/>
      </w:r>
      <w:r>
        <w:t xml:space="preserve">Making One Signal Precise</w:t>
      </w:r>
    </w:p>
    <w:p>
      <w:pPr>
        <w:pStyle w:val="FirstParagraph"/>
      </w:pPr>
      <w:r>
        <w:t xml:space="preserve">The aim of this sub-section is to prove something that Carllson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But this only slows the proof down, it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p>
    <w:p>
      <w:pPr>
        <w:pStyle w:val="BodyText"/>
      </w:pPr>
      <m:oMathPara>
        <m:oMathParaPr>
          <m:jc m:val="center"/>
        </m:oMathParaPr>
        <m:oMath>
          <m:r>
            <m:t>x</m:t>
          </m:r>
          <m:r>
            <m:rPr>
              <m:sty m:val="p"/>
            </m:rPr>
            <m:t>&lt;</m:t>
          </m:r>
          <m:f>
            <m:fPr>
              <m:type m:val="bar"/>
            </m:fPr>
            <m:num>
              <m:r>
                <m:t>2</m:t>
              </m:r>
              <m:r>
                <m:rPr>
                  <m:sty m:val="p"/>
                </m:rPr>
                <m:t>+</m:t>
              </m:r>
              <m:r>
                <m:t>4</m:t>
              </m:r>
              <m:r>
                <m:t>y</m:t>
              </m:r>
            </m:num>
            <m:den>
              <m:r>
                <m:t>5</m:t>
              </m:r>
            </m:den>
          </m:f>
        </m:oMath>
      </m:oMathPara>
    </w:p>
    <w:p>
      <w:pPr>
        <w:pStyle w:val="FirstParagraph"/>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So now 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155"/>
    <w:bookmarkEnd w:id="156"/>
    <w:bookmarkStart w:id="157" w:name="evsolution"/>
    <w:p>
      <w:pPr>
        <w:pStyle w:val="Heading2"/>
      </w:pPr>
      <w:r>
        <w:rPr>
          <w:rStyle w:val="SectionNumber"/>
        </w:rPr>
        <w:t xml:space="preserve">9.5</w:t>
      </w:r>
      <w:r>
        <w:tab/>
      </w:r>
      <w:r>
        <w:t xml:space="preserve">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 section</w:t>
      </w:r>
      <w:r>
        <w:t xml:space="preserve"> </w:t>
      </w:r>
      <w:r>
        <w:t xml:space="preserve">9.6</w:t>
      </w:r>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But what really matters is the game where the error in Human’s knowledge of the payoffs is determined by their actual epistemic limitations. I think that will lead to something like the model we have here. But it is possible that the final result will differ a bit from what I have here, or (more likely) have some indeterminacy about just how interests interact with evidence and knowledge.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157"/>
    <w:bookmarkStart w:id="158" w:name="cutelim"/>
    <w:p>
      <w:pPr>
        <w:pStyle w:val="Heading2"/>
      </w:pPr>
      <w:r>
        <w:rPr>
          <w:rStyle w:val="SectionNumber"/>
        </w:rPr>
        <w:t xml:space="preserve">9.6</w:t>
      </w:r>
      <w:r>
        <w:tab/>
      </w:r>
      <w:r>
        <w:t xml:space="preserve">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w:t>
      </w:r>
      <w:hyperlink w:anchor="ref-Nair2019">
        <w:r>
          <w:rPr>
            <w:rStyle w:val="Hyperlink"/>
          </w:rPr>
          <w:t xml:space="preserve">2019</w:t>
        </w:r>
      </w:hyperlink>
      <w:r>
        <w:t xml:space="preserve">)</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bCs/>
          <w:b/>
        </w:rPr>
        <w:t xml:space="preserve">Cut</w:t>
      </w:r>
      <w:r>
        <w:t xml:space="preserve"> </w:t>
      </w:r>
      <w:r>
        <w:t xml:space="preserve">that Nair focusses on is that if 1 and 2 are true, so is 3.</w:t>
      </w:r>
    </w:p>
    <w:p>
      <w:pPr>
        <w:numPr>
          <w:ilvl w:val="0"/>
          <w:numId w:val="1059"/>
        </w:numPr>
        <w:pStyle w:val="Compact"/>
      </w:pPr>
      <w:r>
        <w:t xml:space="preserve">Γ ⊨ A</w:t>
      </w:r>
    </w:p>
    <w:p>
      <w:pPr>
        <w:numPr>
          <w:ilvl w:val="0"/>
          <w:numId w:val="1059"/>
        </w:numPr>
        <w:pStyle w:val="Compact"/>
      </w:pPr>
      <w:r>
        <w:t xml:space="preserve">{A} ∪ Δ ⊨ B</w:t>
      </w:r>
    </w:p>
    <w:p>
      <w:pPr>
        <w:numPr>
          <w:ilvl w:val="0"/>
          <w:numId w:val="1059"/>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bCs/>
          <w:b/>
        </w:rPr>
        <w:t xml:space="preserve">Cut</w:t>
      </w:r>
      <w:r>
        <w:t xml:space="preserve"> </w:t>
      </w:r>
      <w:r>
        <w:t xml:space="preserve">is true.</w:t>
      </w:r>
    </w:p>
    <w:p>
      <w:pPr>
        <w:pStyle w:val="BodyText"/>
      </w:pPr>
      <w:r>
        <w:t xml:space="preserve">But while</w:t>
      </w:r>
      <w:r>
        <w:t xml:space="preserve"> </w:t>
      </w:r>
      <w:r>
        <w:rPr>
          <w:bCs/>
          <w:b/>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bCs/>
          <w:b/>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I’ll call cases where it is true monotonic instances of</w:t>
      </w:r>
      <w:r>
        <w:t xml:space="preserve"> </w:t>
      </w:r>
      <w:r>
        <w:rPr>
          <w:bCs/>
          <w:b/>
        </w:rPr>
        <w:t xml:space="preserve">Cut</w:t>
      </w:r>
      <w:r>
        <w:t xml:space="preserve">, and cases where it is false non-monotonic instances.</w:t>
      </w:r>
    </w:p>
    <w:p>
      <w:pPr>
        <w:pStyle w:val="BodyText"/>
      </w:pPr>
      <w:r>
        <w:t xml:space="preserve">That</w:t>
      </w:r>
      <w:r>
        <w:t xml:space="preserve"> </w:t>
      </w:r>
      <w:r>
        <w:rPr>
          <w:bCs/>
          <w:b/>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bCs/>
          <w:b/>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 Here is a monotonic example, based on an argument against E=K by Alvin Goldman</w:t>
      </w:r>
      <w:r>
        <w:t xml:space="preserve"> </w:t>
      </w:r>
      <w:r>
        <w:t xml:space="preserve">(</w:t>
      </w:r>
      <w:hyperlink w:anchor="ref-Goldman2009">
        <w:r>
          <w:rPr>
            <w:rStyle w:val="Hyperlink"/>
          </w:rPr>
          <w:t xml:space="preserve">2009</w:t>
        </w:r>
      </w:hyperlink>
      <w:r>
        <w:t xml:space="preserve">)</w:t>
      </w:r>
      <w:r>
        <w:t xml:space="preserve">. In many ways the argument against E=K I’m going to give is just a notational variant on Goldman’s, but I think the notation helps see it in context.</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 this isn’t like working out the mass of an electron. (It’s more like working out the details of the diet of some animal.)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bCs/>
          <w:b/>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But note that what I really need for the argument is independent of how we think spatial distance relates to rational inductive inference. What I really need is that there is some similarity metric such that inductive inference is rational across short jumps in that similarity metric, but not across long jumps. One kind of similarity is physical distance from a salient point. But that’s not the only kind, and rarely the most important kind.</w:t>
      </w:r>
    </w:p>
    <w:p>
      <w:pPr>
        <w:pStyle w:val="BodyText"/>
      </w:pPr>
      <w:r>
        <w:t xml:space="preserve">What is really needed to get this argument going is that there is some similarity metric with an</w:t>
      </w:r>
      <w:r>
        <w:t xml:space="preserve"> </w:t>
      </w:r>
      <w:r>
        <w:t xml:space="preserve">‘</w:t>
      </w:r>
      <w:r>
        <w:t xml:space="preserve">inductive margin of inference</w:t>
      </w:r>
      <w:r>
        <w:t xml:space="preserve">’</w:t>
      </w:r>
      <w:r>
        <w:t xml:space="preserve">.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But while such cases are plausible, they are weird. And I don’t propose to offer any particular story about them.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 chapter</w:t>
      </w:r>
      <w:r>
        <w:t xml:space="preserve"> </w:t>
      </w:r>
      <w:r>
        <w:t xml:space="preserve">4</w:t>
      </w:r>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bCs/>
          <w:b/>
        </w:rPr>
        <w:t xml:space="preserve">No Feedback</w:t>
      </w:r>
      <w:r>
        <w:t xml:space="preserve"> </w:t>
      </w:r>
      <w:r>
        <w:t xml:space="preserve">(</w:t>
      </w:r>
      <w:hyperlink w:anchor="ref-Weisberg2010">
        <w:r>
          <w:rPr>
            <w:rStyle w:val="Hyperlink"/>
          </w:rPr>
          <w:t xml:space="preserve">Weisberg 2010, 533–34</w:t>
        </w:r>
      </w:hyperlink>
      <w:r>
        <w:t xml:space="preserve">)</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w:t>
      </w:r>
      <w:hyperlink w:anchor="ref-Weisberg2010">
        <w:r>
          <w:rPr>
            <w:rStyle w:val="Hyperlink"/>
          </w:rPr>
          <w:t xml:space="preserve">2010, 536</w:t>
        </w:r>
      </w:hyperlink>
      <w:r>
        <w:t xml:space="preserve">)</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w:t>
      </w:r>
      <w:hyperlink w:anchor="ref-Bird2004">
        <w:r>
          <w:rPr>
            <w:rStyle w:val="Hyperlink"/>
          </w:rPr>
          <w:t xml:space="preserve">2004</w:t>
        </w:r>
      </w:hyperlink>
      <w:r>
        <w:t xml:space="preserve">)</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w:t>
      </w:r>
    </w:p>
    <w:p>
      <w:pPr>
        <w:pStyle w:val="BodyText"/>
      </w:pPr>
      <w:r>
        <w:t xml:space="preserve">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charactistic role of evidence. And that suggests that E=K is false.</w:t>
      </w:r>
    </w:p>
    <w:bookmarkEnd w:id="158"/>
    <w:bookmarkStart w:id="159" w:name="basic"/>
    <w:p>
      <w:pPr>
        <w:pStyle w:val="Heading2"/>
      </w:pPr>
      <w:r>
        <w:rPr>
          <w:rStyle w:val="SectionNumber"/>
        </w:rPr>
        <w:t xml:space="preserve">9.7</w:t>
      </w:r>
      <w:r>
        <w:tab/>
      </w:r>
      <w:r>
        <w:t xml:space="preserve">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w:t>
      </w:r>
      <w:hyperlink w:anchor="ref-Maher1996">
        <w:r>
          <w:rPr>
            <w:rStyle w:val="Hyperlink"/>
          </w:rPr>
          <w:t xml:space="preserve">1996</w:t>
        </w:r>
      </w:hyperlink>
      <w:r>
        <w:t xml:space="preserve">)</w:t>
      </w:r>
      <w:r>
        <w:t xml:space="preserve">. And it is, I will argue, close to the right view. But it can’t be exactly right, for reasons Alexander Bird</w:t>
      </w:r>
      <w:r>
        <w:t xml:space="preserve"> </w:t>
      </w:r>
      <w:r>
        <w:t xml:space="preserve">(</w:t>
      </w:r>
      <w:hyperlink w:anchor="ref-Bird2004">
        <w:r>
          <w:rPr>
            <w:rStyle w:val="Hyperlink"/>
          </w:rPr>
          <w:t xml:space="preserve">2004</w:t>
        </w:r>
      </w:hyperlink>
      <w:r>
        <w:t xml:space="preserve">)</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w:t>
      </w:r>
      <w:hyperlink w:anchor="ref-Harman1986">
        <w:r>
          <w:rPr>
            <w:rStyle w:val="Hyperlink"/>
          </w:rPr>
          <w:t xml:space="preserve">1986</w:t>
        </w:r>
      </w:hyperlink>
      <w:r>
        <w:t xml:space="preserve">)</w:t>
      </w:r>
      <w:r>
        <w:t xml:space="preserve"> </w:t>
      </w:r>
      <w:r>
        <w:t xml:space="preserve">stresses, an obligation to remember our evidence is wildly unrealistic. The inquirer learns</w:t>
      </w:r>
      <w:r>
        <w:t xml:space="preserve"> </w:t>
      </w:r>
      <m:oMath>
        <m:r>
          <m:t>C</m:t>
        </m:r>
      </m:oMath>
      <w:r>
        <w:t xml:space="preserve">, and infers</w:t>
      </w:r>
      <w:r>
        <w:t xml:space="preserve"> </w:t>
      </w:r>
      <m:oMath>
        <m:r>
          <m:t>B</m:t>
        </m:r>
        <m:r>
          <m:rPr>
            <m:sty m:val="p"/>
          </m:rPr>
          <m:t>∧</m:t>
        </m:r>
        <m:r>
          <m:t>C</m:t>
        </m:r>
      </m:oMath>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w:t>
      </w:r>
      <w:hyperlink w:anchor="ref-Harman1986">
        <w:r>
          <w:rPr>
            <w:rStyle w:val="Hyperlink"/>
          </w:rPr>
          <w:t xml:space="preserve">1986</w:t>
        </w:r>
      </w:hyperlink>
      <w:r>
        <w:t xml:space="preserve">)</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w:t>
      </w:r>
      <w:hyperlink w:anchor="ref-Dogramaci2015">
        <w:r>
          <w:rPr>
            <w:rStyle w:val="Hyperlink"/>
          </w:rPr>
          <w:t xml:space="preserve">2015</w:t>
        </w:r>
      </w:hyperlink>
      <w:r>
        <w:t xml:space="preserve">)</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159"/>
    <w:bookmarkStart w:id="161" w:name="neta"/>
    <w:p>
      <w:pPr>
        <w:pStyle w:val="Heading2"/>
      </w:pPr>
      <w:r>
        <w:rPr>
          <w:rStyle w:val="SectionNumber"/>
        </w:rPr>
        <w:t xml:space="preserve">9.8</w:t>
      </w:r>
      <w:r>
        <w:tab/>
      </w:r>
      <w:r>
        <w:t xml:space="preserve">Holism and Defeaters</w:t>
      </w:r>
    </w:p>
    <w:p>
      <w:pPr>
        <w:pStyle w:val="FirstParagraph"/>
      </w:pPr>
      <w:r>
        <w:t xml:space="preserve">The picture of evidence I’ve outlined here grounds a natural response to a nice puzzle case due to Ram Neta</w:t>
      </w:r>
      <w:r>
        <w:t xml:space="preserve"> </w:t>
      </w:r>
      <w:r>
        <w:t xml:space="preserve">(</w:t>
      </w:r>
      <w:hyperlink w:anchor="ref-Neta2007">
        <w:r>
          <w:rPr>
            <w:rStyle w:val="Hyperlink"/>
          </w:rPr>
          <w:t xml:space="preserve">2007</w:t>
        </w:r>
      </w:hyperlink>
      <w:r>
        <w:t xml:space="preserve">)</w:t>
      </w:r>
      <w:r>
        <w:t xml:space="preserve">.</w:t>
      </w:r>
      <w:r>
        <w:rPr>
          <w:rStyle w:val="FootnoteReference"/>
        </w:rPr>
        <w:footnoteReference w:id="160"/>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w:t>
      </w:r>
      <w:hyperlink w:anchor="ref-Neta2007">
        <w:r>
          <w:rPr>
            <w:rStyle w:val="Hyperlink"/>
          </w:rPr>
          <w:t xml:space="preserve">Neta 2007, 182</w:t>
        </w:r>
      </w:hyperlink>
      <w:r>
        <w:t xml:space="preserve">)</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60"/>
        </w:numPr>
        <w:pStyle w:val="Compact"/>
      </w:pPr>
      <w:r>
        <w:t xml:space="preserve">Both signs supply evidence directly to Kate, so her evidence includes that she is on State and that she is on Main.</w:t>
      </w:r>
    </w:p>
    <w:p>
      <w:pPr>
        <w:numPr>
          <w:ilvl w:val="0"/>
          <w:numId w:val="1060"/>
        </w:numPr>
        <w:pStyle w:val="Compact"/>
      </w:pPr>
      <w:r>
        <w:t xml:space="preserve">Neither sign contributes evidence directly to Kate, so her evidence includes what the signs say, but nothing directly about her location.</w:t>
      </w:r>
    </w:p>
    <w:p>
      <w:pPr>
        <w:numPr>
          <w:ilvl w:val="0"/>
          <w:numId w:val="1060"/>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w:t>
      </w:r>
      <w:hyperlink w:anchor="ref-Pryor2004">
        <w:r>
          <w:rPr>
            <w:rStyle w:val="Hyperlink"/>
          </w:rPr>
          <w:t xml:space="preserve">2004</w:t>
        </w:r>
      </w:hyperlink>
      <w:r>
        <w:t xml:space="preserve">)</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testimomy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161"/>
    <w:bookmarkStart w:id="162" w:name="weakness"/>
    <w:p>
      <w:pPr>
        <w:pStyle w:val="Heading2"/>
      </w:pPr>
      <w:r>
        <w:rPr>
          <w:rStyle w:val="SectionNumber"/>
        </w:rPr>
        <w:t xml:space="preserve">9.9</w:t>
      </w:r>
      <w:r>
        <w:tab/>
      </w:r>
      <w:r>
        <w:t xml:space="preserve">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w:t>
      </w:r>
      <w:hyperlink w:anchor="ref-FantlMcGrath2009">
        <w:r>
          <w:rPr>
            <w:rStyle w:val="Hyperlink"/>
          </w:rPr>
          <w:t xml:space="preserve">Fantl and McGrath 2009, 64</w:t>
        </w:r>
      </w:hyperlink>
      <w:r>
        <w:t xml:space="preserve">)</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w:t>
      </w:r>
      <w:hyperlink w:anchor="ref-FantlMcGrath2009">
        <w:r>
          <w:rPr>
            <w:rStyle w:val="Hyperlink"/>
          </w:rPr>
          <w:t xml:space="preserve">Fantl and McGrath 2009, 67</w:t>
        </w:r>
      </w:hyperlink>
      <w:r>
        <w:t xml:space="preserve">)</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this principle,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later step is bad. And the later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162"/>
    <w:bookmarkEnd w:id="163"/>
    <w:bookmarkStart w:id="444" w:name="power"/>
    <w:p>
      <w:pPr>
        <w:pStyle w:val="Heading1"/>
      </w:pPr>
      <w:r>
        <w:rPr>
          <w:rStyle w:val="SectionNumber"/>
        </w:rPr>
        <w:t xml:space="preserve">10</w:t>
      </w:r>
      <w:r>
        <w:tab/>
      </w:r>
      <w:r>
        <w:t xml:space="preserve">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we have to act rationally.</w:t>
      </w:r>
      <w:r>
        <w:rPr>
          <w:rStyle w:val="FootnoteReference"/>
        </w:rPr>
        <w:footnoteReference w:id="164"/>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just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165"/>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contextualist views. 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suggested back in chapter</w:t>
      </w:r>
      <w:r>
        <w:t xml:space="preserve"> </w:t>
      </w:r>
      <w:r>
        <w:t xml:space="preserve">5</w:t>
      </w:r>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were decisive.</w:t>
      </w:r>
    </w:p>
    <w:p>
      <w:pPr>
        <w:pStyle w:val="BodyText"/>
      </w:pPr>
      <w:r>
        <w:t xml:space="preserve">Still, many criticisms do need replies, and that’s taken up much of the book. So in chapter</w:t>
      </w:r>
      <w:r>
        <w:t xml:space="preserve"> </w:t>
      </w:r>
      <w:r>
        <w:t xml:space="preserve">3</w:t>
      </w:r>
      <w:r>
        <w:t xml:space="preserve"> </w:t>
      </w:r>
      <w:r>
        <w:t xml:space="preserve">I replied to (successful) criticisms of how I’d formally handled knowledge of propositions that are not relevant to the thinker’s current inquiries. In chapter</w:t>
      </w:r>
      <w:r>
        <w:t xml:space="preserve"> </w:t>
      </w:r>
      <w:r>
        <w:t xml:space="preserve">5</w:t>
      </w:r>
      <w:r>
        <w:t xml:space="preserve"> </w:t>
      </w:r>
      <w:r>
        <w:t xml:space="preserve">I replied to arguments that started with the observation that it sometimes seems right to double check things that we know. And in chapter</w:t>
      </w:r>
      <w:r>
        <w:t xml:space="preserve"> </w:t>
      </w:r>
      <w:r>
        <w:t xml:space="preserve">6</w:t>
      </w:r>
      <w:r>
        <w:t xml:space="preserve"> </w:t>
      </w:r>
      <w:r>
        <w:t xml:space="preserve">I replies to arguments based on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 chapter</w:t>
      </w:r>
      <w:r>
        <w:t xml:space="preserve"> </w:t>
      </w:r>
      <w:r>
        <w:t xml:space="preserve">7</w:t>
      </w:r>
      <w:r>
        <w:t xml:space="preserve"> </w:t>
      </w:r>
      <w:r>
        <w:t xml:space="preserve">about how many things we know knowledge is sensitive to,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Start w:id="443" w:name="refs"/>
    <w:bookmarkStart w:id="166"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166"/>
    <w:bookmarkStart w:id="167"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167"/>
    <w:bookmarkStart w:id="168"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168"/>
    <w:bookmarkStart w:id="169"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169"/>
    <w:bookmarkStart w:id="170"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170"/>
    <w:bookmarkStart w:id="172"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171">
        <w:r>
          <w:rPr>
            <w:rStyle w:val="Hyperlink"/>
          </w:rPr>
          <w:t xml:space="preserve">https://doi.org/10.1093/analys/anr083</w:t>
        </w:r>
      </w:hyperlink>
      <w:r>
        <w:t xml:space="preserve">.</w:t>
      </w:r>
    </w:p>
    <w:bookmarkEnd w:id="172"/>
    <w:bookmarkStart w:id="174"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173">
        <w:r>
          <w:rPr>
            <w:rStyle w:val="Hyperlink"/>
          </w:rPr>
          <w:t xml:space="preserve">https://doi.org/10.1007/s001820050111</w:t>
        </w:r>
      </w:hyperlink>
      <w:r>
        <w:t xml:space="preserve">.</w:t>
      </w:r>
    </w:p>
    <w:bookmarkEnd w:id="174"/>
    <w:bookmarkStart w:id="175"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175"/>
    <w:bookmarkStart w:id="176" w:name="ref-Bennett2017"/>
    <w:p>
      <w:pPr>
        <w:pStyle w:val="Bibliography"/>
      </w:pPr>
      <w:r>
        <w:t xml:space="preserve">Bennett, Karen. 2017.</w:t>
      </w:r>
      <w:r>
        <w:t xml:space="preserve"> </w:t>
      </w:r>
      <w:r>
        <w:rPr>
          <w:iCs/>
          <w:i/>
        </w:rPr>
        <w:t xml:space="preserve">Making Things up</w:t>
      </w:r>
      <w:r>
        <w:t xml:space="preserve">. Oxford: Oxford University Press.</w:t>
      </w:r>
    </w:p>
    <w:bookmarkEnd w:id="176"/>
    <w:bookmarkStart w:id="177"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177"/>
    <w:bookmarkStart w:id="178"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178"/>
    <w:bookmarkStart w:id="180"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179">
        <w:r>
          <w:rPr>
            <w:rStyle w:val="Hyperlink"/>
          </w:rPr>
          <w:t xml:space="preserve">https://doi.org/10.1111/j.0031-8094.2004.00350.x</w:t>
        </w:r>
      </w:hyperlink>
      <w:r>
        <w:t xml:space="preserve">.</w:t>
      </w:r>
    </w:p>
    <w:bookmarkEnd w:id="180"/>
    <w:bookmarkStart w:id="182"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181">
        <w:r>
          <w:rPr>
            <w:rStyle w:val="Hyperlink"/>
          </w:rPr>
          <w:t xml:space="preserve">https://doi.org/10.1111/j.1933-1592.2009.00280.x</w:t>
        </w:r>
      </w:hyperlink>
      <w:r>
        <w:t xml:space="preserve">.</w:t>
      </w:r>
    </w:p>
    <w:bookmarkEnd w:id="182"/>
    <w:bookmarkStart w:id="184"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183">
        <w:r>
          <w:rPr>
            <w:rStyle w:val="Hyperlink"/>
          </w:rPr>
          <w:t xml:space="preserve">https://doi.org/10.1007/s11229-015-0878-y</w:t>
        </w:r>
      </w:hyperlink>
      <w:r>
        <w:t xml:space="preserve">.</w:t>
      </w:r>
    </w:p>
    <w:bookmarkEnd w:id="184"/>
    <w:bookmarkStart w:id="186"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185">
        <w:r>
          <w:rPr>
            <w:rStyle w:val="Hyperlink"/>
          </w:rPr>
          <w:t xml:space="preserve">https://doi.org/10.1111/j.1468-0262.2008.00835.x</w:t>
        </w:r>
      </w:hyperlink>
      <w:r>
        <w:t xml:space="preserve">.</w:t>
      </w:r>
    </w:p>
    <w:bookmarkEnd w:id="186"/>
    <w:bookmarkStart w:id="188"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187">
        <w:r>
          <w:rPr>
            <w:rStyle w:val="Hyperlink"/>
          </w:rPr>
          <w:t xml:space="preserve">https://plato.stanford.edu/archives/sum2021/entries/philo-larissa/</w:t>
        </w:r>
      </w:hyperlink>
      <w:r>
        <w:t xml:space="preserve">; Metaphysics Research Lab, Stanford University.</w:t>
      </w:r>
    </w:p>
    <w:bookmarkEnd w:id="188"/>
    <w:bookmarkStart w:id="190"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189">
        <w:r>
          <w:rPr>
            <w:rStyle w:val="Hyperlink"/>
          </w:rPr>
          <w:t xml:space="preserve">https://doi.org/10.1111/j.1468-0068.2008.00677.x</w:t>
        </w:r>
      </w:hyperlink>
      <w:r>
        <w:t xml:space="preserve">.</w:t>
      </w:r>
    </w:p>
    <w:bookmarkEnd w:id="190"/>
    <w:bookmarkStart w:id="191" w:name="ref-BuchakRisk"/>
    <w:p>
      <w:pPr>
        <w:pStyle w:val="Bibliography"/>
      </w:pPr>
      <w:r>
        <w:t xml:space="preserve">Buchak, Lara. 2013.</w:t>
      </w:r>
      <w:r>
        <w:t xml:space="preserve"> </w:t>
      </w:r>
      <w:r>
        <w:rPr>
          <w:iCs/>
          <w:i/>
        </w:rPr>
        <w:t xml:space="preserve">Risk and Rationality</w:t>
      </w:r>
      <w:r>
        <w:t xml:space="preserve">. Oxford: Oxford University Press.</w:t>
      </w:r>
    </w:p>
    <w:bookmarkEnd w:id="191"/>
    <w:bookmarkStart w:id="193"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192">
        <w:r>
          <w:rPr>
            <w:rStyle w:val="Hyperlink"/>
          </w:rPr>
          <w:t xml:space="preserve">https://doi.org/10.1257/aer.101.7.2899</w:t>
        </w:r>
      </w:hyperlink>
      <w:r>
        <w:t xml:space="preserve">.</w:t>
      </w:r>
    </w:p>
    <w:bookmarkEnd w:id="193"/>
    <w:bookmarkStart w:id="195"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194">
        <w:r>
          <w:rPr>
            <w:rStyle w:val="Hyperlink"/>
          </w:rPr>
          <w:t xml:space="preserve">https://doi.org/10.2307/2951491</w:t>
        </w:r>
      </w:hyperlink>
      <w:r>
        <w:t xml:space="preserve">.</w:t>
      </w:r>
    </w:p>
    <w:bookmarkEnd w:id="195"/>
    <w:bookmarkStart w:id="197"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196">
        <w:r>
          <w:rPr>
            <w:rStyle w:val="Hyperlink"/>
          </w:rPr>
          <w:t xml:space="preserve">https://doi.org/10.1080/00213624.2017.1391594</w:t>
        </w:r>
      </w:hyperlink>
      <w:r>
        <w:t xml:space="preserve">.</w:t>
      </w:r>
    </w:p>
    <w:bookmarkEnd w:id="197"/>
    <w:bookmarkStart w:id="199"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198">
        <w:r>
          <w:rPr>
            <w:rStyle w:val="Hyperlink"/>
          </w:rPr>
          <w:t xml:space="preserve">https://doi.org/10.1016/j.jcps.2014.08.002</w:t>
        </w:r>
      </w:hyperlink>
      <w:r>
        <w:t xml:space="preserve">.</w:t>
      </w:r>
    </w:p>
    <w:bookmarkEnd w:id="199"/>
    <w:bookmarkStart w:id="200" w:name="ref-Cherniak1986"/>
    <w:p>
      <w:pPr>
        <w:pStyle w:val="Bibliography"/>
      </w:pPr>
      <w:r>
        <w:t xml:space="preserve">Cherniak, Christopher. 1986.</w:t>
      </w:r>
      <w:r>
        <w:t xml:space="preserve"> </w:t>
      </w:r>
      <w:r>
        <w:rPr>
          <w:iCs/>
          <w:i/>
        </w:rPr>
        <w:t xml:space="preserve">Minimal Rationality</w:t>
      </w:r>
      <w:r>
        <w:t xml:space="preserve">. Cambridge, MA: MIT Press.</w:t>
      </w:r>
    </w:p>
    <w:bookmarkEnd w:id="200"/>
    <w:bookmarkStart w:id="201"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01"/>
    <w:bookmarkStart w:id="202"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02"/>
    <w:bookmarkStart w:id="204"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03">
        <w:r>
          <w:rPr>
            <w:rStyle w:val="Hyperlink"/>
          </w:rPr>
          <w:t xml:space="preserve">http://hdl.handle.net/2027/spo.3521354.0011.006</w:t>
        </w:r>
      </w:hyperlink>
      <w:r>
        <w:t xml:space="preserve">.</w:t>
      </w:r>
    </w:p>
    <w:bookmarkEnd w:id="204"/>
    <w:bookmarkStart w:id="205"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05"/>
    <w:bookmarkStart w:id="206"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06"/>
    <w:bookmarkStart w:id="208"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07">
        <w:r>
          <w:rPr>
            <w:rStyle w:val="Hyperlink"/>
          </w:rPr>
          <w:t xml:space="preserve">https://doi.org/10.1111/j.1933-1592.2002.tb00204.x</w:t>
        </w:r>
      </w:hyperlink>
      <w:r>
        <w:t xml:space="preserve">.</w:t>
      </w:r>
    </w:p>
    <w:bookmarkEnd w:id="208"/>
    <w:bookmarkStart w:id="210"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09">
        <w:r>
          <w:rPr>
            <w:rStyle w:val="Hyperlink"/>
          </w:rPr>
          <w:t xml:space="preserve">https://doi.org/10.1111/j.1533-6077.2004.00040.x</w:t>
        </w:r>
      </w:hyperlink>
      <w:r>
        <w:t xml:space="preserve">.</w:t>
      </w:r>
    </w:p>
    <w:bookmarkEnd w:id="210"/>
    <w:bookmarkStart w:id="211"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11"/>
    <w:bookmarkStart w:id="213"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12">
        <w:r>
          <w:rPr>
            <w:rStyle w:val="Hyperlink"/>
          </w:rPr>
          <w:t xml:space="preserve">https://plato.stanford.edu/archives/spr2018/entries/questions/</w:t>
        </w:r>
      </w:hyperlink>
      <w:r>
        <w:t xml:space="preserve">; Metaphysics Research Lab, Stanford University.</w:t>
      </w:r>
    </w:p>
    <w:bookmarkEnd w:id="213"/>
    <w:bookmarkStart w:id="214"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14"/>
    <w:bookmarkStart w:id="216"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15">
        <w:r>
          <w:rPr>
            <w:rStyle w:val="Hyperlink"/>
          </w:rPr>
          <w:t xml:space="preserve">https://doi.org/10.2307/3182618</w:t>
        </w:r>
      </w:hyperlink>
      <w:r>
        <w:t xml:space="preserve">.</w:t>
      </w:r>
    </w:p>
    <w:bookmarkEnd w:id="216"/>
    <w:bookmarkStart w:id="218"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17">
        <w:r>
          <w:rPr>
            <w:rStyle w:val="Hyperlink"/>
          </w:rPr>
          <w:t xml:space="preserve">http://journal.sjdm.org/8320/jdm8320.pdf</w:t>
        </w:r>
      </w:hyperlink>
      <w:r>
        <w:t xml:space="preserve">.</w:t>
      </w:r>
    </w:p>
    <w:bookmarkEnd w:id="218"/>
    <w:bookmarkStart w:id="219"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19"/>
    <w:bookmarkStart w:id="221"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20">
        <w:r>
          <w:rPr>
            <w:rStyle w:val="Hyperlink"/>
          </w:rPr>
          <w:t xml:space="preserve">https://doi.org/10.3998/ergo.12405314.0002.026</w:t>
        </w:r>
      </w:hyperlink>
      <w:r>
        <w:t xml:space="preserve">.</w:t>
      </w:r>
    </w:p>
    <w:bookmarkEnd w:id="221"/>
    <w:bookmarkStart w:id="222" w:name="ref-Dylan2016"/>
    <w:p>
      <w:pPr>
        <w:pStyle w:val="Bibliography"/>
      </w:pPr>
      <w:r>
        <w:t xml:space="preserve">Dylan, Bob. 2016.</w:t>
      </w:r>
      <w:r>
        <w:t xml:space="preserve"> </w:t>
      </w:r>
      <w:r>
        <w:rPr>
          <w:iCs/>
          <w:i/>
        </w:rPr>
        <w:t xml:space="preserve">The Lyrics: 1961-2012</w:t>
      </w:r>
      <w:r>
        <w:t xml:space="preserve">. New York: Simon &amp; Schuster.</w:t>
      </w:r>
    </w:p>
    <w:bookmarkEnd w:id="222"/>
    <w:bookmarkStart w:id="224"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23">
        <w:r>
          <w:rPr>
            <w:rStyle w:val="Hyperlink"/>
          </w:rPr>
          <w:t xml:space="preserve">https://doi.org/10.1007/s11098-015-0461-x</w:t>
        </w:r>
      </w:hyperlink>
      <w:r>
        <w:t xml:space="preserve">.</w:t>
      </w:r>
    </w:p>
    <w:bookmarkEnd w:id="224"/>
    <w:bookmarkStart w:id="226"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25">
        <w:r>
          <w:rPr>
            <w:rStyle w:val="Hyperlink"/>
          </w:rPr>
          <w:t xml:space="preserve">https://doi.org/10.1007/s11098-008-9225-1</w:t>
        </w:r>
      </w:hyperlink>
      <w:r>
        <w:t xml:space="preserve">.</w:t>
      </w:r>
    </w:p>
    <w:bookmarkEnd w:id="226"/>
    <w:bookmarkStart w:id="227"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27"/>
    <w:bookmarkStart w:id="228"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28"/>
    <w:bookmarkStart w:id="230"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29">
        <w:r>
          <w:rPr>
            <w:rStyle w:val="Hyperlink"/>
          </w:rPr>
          <w:t xml:space="preserve">https://doi.org/10.2307/3182570</w:t>
        </w:r>
      </w:hyperlink>
      <w:r>
        <w:t xml:space="preserve">.</w:t>
      </w:r>
    </w:p>
    <w:bookmarkEnd w:id="230"/>
    <w:bookmarkStart w:id="231"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31"/>
    <w:bookmarkStart w:id="232" w:name="ref-Foley1993"/>
    <w:p>
      <w:pPr>
        <w:pStyle w:val="Bibliography"/>
      </w:pPr>
      <w:r>
        <w:t xml:space="preserve">Foley, Richard. 1993.</w:t>
      </w:r>
      <w:r>
        <w:t xml:space="preserve"> </w:t>
      </w:r>
      <w:r>
        <w:rPr>
          <w:iCs/>
          <w:i/>
        </w:rPr>
        <w:t xml:space="preserve">Working Without a Net</w:t>
      </w:r>
      <w:r>
        <w:t xml:space="preserve">. Oxford: Oxford University Press.</w:t>
      </w:r>
    </w:p>
    <w:bookmarkEnd w:id="232"/>
    <w:bookmarkStart w:id="234"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33">
        <w:r>
          <w:rPr>
            <w:rStyle w:val="Hyperlink"/>
          </w:rPr>
          <w:t xml:space="preserve">https://doi.org/10.1111/nous.12137</w:t>
        </w:r>
      </w:hyperlink>
      <w:r>
        <w:t xml:space="preserve">.</w:t>
      </w:r>
    </w:p>
    <w:bookmarkEnd w:id="234"/>
    <w:bookmarkStart w:id="236"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35">
        <w:r>
          <w:rPr>
            <w:rStyle w:val="Hyperlink"/>
          </w:rPr>
          <w:t xml:space="preserve">https://doi.org/10.1111/phis.12141</w:t>
        </w:r>
      </w:hyperlink>
      <w:r>
        <w:t xml:space="preserve">.</w:t>
      </w:r>
    </w:p>
    <w:bookmarkEnd w:id="236"/>
    <w:bookmarkStart w:id="238"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37">
        <w:r>
          <w:rPr>
            <w:rStyle w:val="Hyperlink"/>
          </w:rPr>
          <w:t xml:space="preserve">https://doi.org/10.1111/nous.12222</w:t>
        </w:r>
      </w:hyperlink>
      <w:r>
        <w:t xml:space="preserve">.</w:t>
      </w:r>
    </w:p>
    <w:bookmarkEnd w:id="238"/>
    <w:bookmarkStart w:id="240"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39">
        <w:r>
          <w:rPr>
            <w:rStyle w:val="Hyperlink"/>
          </w:rPr>
          <w:t xml:space="preserve">https://doi.org/10.1215/00318108-8540918</w:t>
        </w:r>
      </w:hyperlink>
      <w:r>
        <w:t xml:space="preserve">.</w:t>
      </w:r>
    </w:p>
    <w:bookmarkEnd w:id="240"/>
    <w:bookmarkStart w:id="242"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41">
        <w:r>
          <w:rPr>
            <w:rStyle w:val="Hyperlink"/>
          </w:rPr>
          <w:t xml:space="preserve">https://doi.org/10.1007/s11098-007-9133-9</w:t>
        </w:r>
      </w:hyperlink>
      <w:r>
        <w:t xml:space="preserve">.</w:t>
      </w:r>
    </w:p>
    <w:bookmarkEnd w:id="242"/>
    <w:bookmarkStart w:id="243"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43"/>
    <w:bookmarkStart w:id="245"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244">
        <w:r>
          <w:rPr>
            <w:rStyle w:val="Hyperlink"/>
          </w:rPr>
          <w:t xml:space="preserve">https://doi.org/10.1007/s11098-005-7779-8</w:t>
        </w:r>
      </w:hyperlink>
      <w:r>
        <w:t xml:space="preserve">.</w:t>
      </w:r>
    </w:p>
    <w:bookmarkEnd w:id="245"/>
    <w:bookmarkStart w:id="247"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246">
        <w:r>
          <w:rPr>
            <w:rStyle w:val="Hyperlink"/>
          </w:rPr>
          <w:t xml:space="preserve">https://doi.org/10.2307/3326922</w:t>
        </w:r>
      </w:hyperlink>
      <w:r>
        <w:t xml:space="preserve">.</w:t>
      </w:r>
    </w:p>
    <w:bookmarkEnd w:id="247"/>
    <w:bookmarkStart w:id="248"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248"/>
    <w:bookmarkStart w:id="250"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249">
        <w:r>
          <w:rPr>
            <w:rStyle w:val="Hyperlink"/>
          </w:rPr>
          <w:t xml:space="preserve">https://doi.org/10.3765/sp.3.4</w:t>
        </w:r>
      </w:hyperlink>
      <w:r>
        <w:t xml:space="preserve">.</w:t>
      </w:r>
    </w:p>
    <w:bookmarkEnd w:id="250"/>
    <w:bookmarkStart w:id="251"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 Oxford University Press.</w:t>
      </w:r>
    </w:p>
    <w:bookmarkEnd w:id="251"/>
    <w:bookmarkStart w:id="252" w:name="ref-Harman1973"/>
    <w:p>
      <w:pPr>
        <w:pStyle w:val="Bibliography"/>
      </w:pPr>
      <w:r>
        <w:t xml:space="preserve">Harman, Gilbert. 1973.</w:t>
      </w:r>
      <w:r>
        <w:t xml:space="preserve"> </w:t>
      </w:r>
      <w:r>
        <w:rPr>
          <w:iCs/>
          <w:i/>
        </w:rPr>
        <w:t xml:space="preserve">Thought</w:t>
      </w:r>
      <w:r>
        <w:t xml:space="preserve">. Princeton: Princeton University Press.</w:t>
      </w:r>
    </w:p>
    <w:bookmarkEnd w:id="252"/>
    <w:bookmarkStart w:id="253" w:name="ref-Harman1986"/>
    <w:p>
      <w:pPr>
        <w:pStyle w:val="Bibliography"/>
      </w:pPr>
      <w:r>
        <w:t xml:space="preserve">———. 1986.</w:t>
      </w:r>
      <w:r>
        <w:t xml:space="preserve"> </w:t>
      </w:r>
      <w:r>
        <w:rPr>
          <w:iCs/>
          <w:i/>
        </w:rPr>
        <w:t xml:space="preserve">Change in View</w:t>
      </w:r>
      <w:r>
        <w:t xml:space="preserve">. Cambridge, MA: Bradford.</w:t>
      </w:r>
    </w:p>
    <w:bookmarkEnd w:id="253"/>
    <w:bookmarkStart w:id="254"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254"/>
    <w:bookmarkStart w:id="256"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255">
        <w:r>
          <w:rPr>
            <w:rStyle w:val="Hyperlink"/>
          </w:rPr>
          <w:t xml:space="preserve">https://doi.org/10.1111/j.1933-1592.2005.tb00540.x</w:t>
        </w:r>
      </w:hyperlink>
      <w:r>
        <w:t xml:space="preserve">.</w:t>
      </w:r>
    </w:p>
    <w:bookmarkEnd w:id="256"/>
    <w:bookmarkStart w:id="258"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257">
        <w:r>
          <w:rPr>
            <w:rStyle w:val="Hyperlink"/>
          </w:rPr>
          <w:t xml:space="preserve">https://doi.org/10.1007/s11098-015-0553-7</w:t>
        </w:r>
      </w:hyperlink>
      <w:r>
        <w:t xml:space="preserve">.</w:t>
      </w:r>
    </w:p>
    <w:bookmarkEnd w:id="258"/>
    <w:bookmarkStart w:id="259"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259"/>
    <w:bookmarkStart w:id="261"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260">
        <w:r>
          <w:rPr>
            <w:rStyle w:val="Hyperlink"/>
          </w:rPr>
          <w:t xml:space="preserve">https://doi.org/10.5840/jphil20081051022</w:t>
        </w:r>
      </w:hyperlink>
      <w:r>
        <w:t xml:space="preserve">.</w:t>
      </w:r>
    </w:p>
    <w:bookmarkEnd w:id="261"/>
    <w:bookmarkStart w:id="263"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262">
        <w:r>
          <w:rPr>
            <w:rStyle w:val="Hyperlink"/>
          </w:rPr>
          <w:t xml:space="preserve">https://doi.org/10.1086/671402</w:t>
        </w:r>
      </w:hyperlink>
      <w:r>
        <w:t xml:space="preserve">.</w:t>
      </w:r>
    </w:p>
    <w:bookmarkEnd w:id="263"/>
    <w:bookmarkStart w:id="265"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264">
        <w:r>
          <w:rPr>
            <w:rStyle w:val="Hyperlink"/>
          </w:rPr>
          <w:t xml:space="preserve">https://doi.org/10.1086/648610</w:t>
        </w:r>
      </w:hyperlink>
      <w:r>
        <w:t xml:space="preserve">.</w:t>
      </w:r>
    </w:p>
    <w:bookmarkEnd w:id="265"/>
    <w:bookmarkStart w:id="267"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266">
        <w:r>
          <w:rPr>
            <w:rStyle w:val="Hyperlink"/>
          </w:rPr>
          <w:t xml:space="preserve">https://doi.org/10.1007/BF00293423</w:t>
        </w:r>
      </w:hyperlink>
      <w:r>
        <w:t xml:space="preserve">.</w:t>
      </w:r>
    </w:p>
    <w:bookmarkEnd w:id="267"/>
    <w:bookmarkStart w:id="269"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268">
        <w:r>
          <w:rPr>
            <w:rStyle w:val="Hyperlink"/>
          </w:rPr>
          <w:t xml:space="preserve">https://doi.org/10.2307/2216304</w:t>
        </w:r>
      </w:hyperlink>
      <w:r>
        <w:t xml:space="preserve">.</w:t>
      </w:r>
    </w:p>
    <w:bookmarkEnd w:id="269"/>
    <w:bookmarkStart w:id="271"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270">
        <w:r>
          <w:rPr>
            <w:rStyle w:val="Hyperlink"/>
          </w:rPr>
          <w:t xml:space="preserve">https://doi.org/10.1111/j.1467-9280.2006.01677.x</w:t>
        </w:r>
      </w:hyperlink>
      <w:r>
        <w:t xml:space="preserve">.</w:t>
      </w:r>
    </w:p>
    <w:bookmarkEnd w:id="271"/>
    <w:bookmarkStart w:id="272" w:name="ref-Jackson1987"/>
    <w:p>
      <w:pPr>
        <w:pStyle w:val="Bibliography"/>
      </w:pPr>
      <w:r>
        <w:t xml:space="preserve">Jackson, Frank. 1987.</w:t>
      </w:r>
      <w:r>
        <w:t xml:space="preserve"> </w:t>
      </w:r>
      <w:r>
        <w:rPr>
          <w:iCs/>
          <w:i/>
        </w:rPr>
        <w:t xml:space="preserve">Conditionals</w:t>
      </w:r>
      <w:r>
        <w:t xml:space="preserve">. Blackwell: Oxford.</w:t>
      </w:r>
    </w:p>
    <w:bookmarkEnd w:id="272"/>
    <w:bookmarkStart w:id="273" w:name="ref-Joyce2018"/>
    <w:p>
      <w:pPr>
        <w:pStyle w:val="Bibliography"/>
      </w:pPr>
      <w:r>
        <w:t xml:space="preserve">Joyce, James. 2018.</w:t>
      </w:r>
      <w:r>
        <w:t xml:space="preserve"> </w:t>
      </w:r>
      <w:r>
        <w:t xml:space="preserve">“Deliberation and Stability in Newcomb Problems and Pseudo-Newcomb Problems.”</w:t>
      </w:r>
      <w:r>
        <w:t xml:space="preserve"> </w:t>
      </w:r>
      <w:r>
        <w:t xml:space="preserve">In</w:t>
      </w:r>
      <w:r>
        <w:t xml:space="preserve"> </w:t>
      </w:r>
      <w:r>
        <w:rPr>
          <w:iCs/>
          <w:i/>
        </w:rPr>
        <w:t xml:space="preserve">Newcomb’s Problem</w:t>
      </w:r>
      <w:r>
        <w:t xml:space="preserve">, edited by Arif Ahmed, 138–59. Cambridge: Cambridge University Press.</w:t>
      </w:r>
    </w:p>
    <w:bookmarkEnd w:id="273"/>
    <w:bookmarkStart w:id="274"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274"/>
    <w:bookmarkStart w:id="275"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275"/>
    <w:bookmarkStart w:id="277"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276">
        <w:r>
          <w:rPr>
            <w:rStyle w:val="Hyperlink"/>
          </w:rPr>
          <w:t xml:space="preserve">https://doi.org/10.1111/jere.12070</w:t>
        </w:r>
      </w:hyperlink>
      <w:r>
        <w:t xml:space="preserve">.</w:t>
      </w:r>
    </w:p>
    <w:bookmarkEnd w:id="277"/>
    <w:bookmarkStart w:id="278"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78"/>
    <w:bookmarkStart w:id="280"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279">
        <w:r>
          <w:rPr>
            <w:rStyle w:val="Hyperlink"/>
          </w:rPr>
          <w:t xml:space="preserve">https://doi.org/10.2307/1912320</w:t>
        </w:r>
      </w:hyperlink>
      <w:r>
        <w:t xml:space="preserve">.</w:t>
      </w:r>
    </w:p>
    <w:bookmarkEnd w:id="280"/>
    <w:bookmarkStart w:id="281"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281"/>
    <w:bookmarkStart w:id="283"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282">
        <w:r>
          <w:rPr>
            <w:rStyle w:val="Hyperlink"/>
          </w:rPr>
          <w:t xml:space="preserve">https://doi.org/10.1093/analys/anr129</w:t>
        </w:r>
      </w:hyperlink>
      <w:r>
        <w:t xml:space="preserve">.</w:t>
      </w:r>
    </w:p>
    <w:bookmarkEnd w:id="283"/>
    <w:bookmarkStart w:id="285"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284">
        <w:r>
          <w:rPr>
            <w:rStyle w:val="Hyperlink"/>
          </w:rPr>
          <w:t xml:space="preserve">https://doi.org/10.1111/j.1520-8583.2010.00183.x</w:t>
        </w:r>
      </w:hyperlink>
      <w:r>
        <w:t xml:space="preserve">.</w:t>
      </w:r>
    </w:p>
    <w:bookmarkEnd w:id="285"/>
    <w:bookmarkStart w:id="287"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286">
        <w:r>
          <w:rPr>
            <w:rStyle w:val="Hyperlink"/>
          </w:rPr>
          <w:t xml:space="preserve">https://doi.org/10.1111/phpr.12090</w:t>
        </w:r>
      </w:hyperlink>
      <w:r>
        <w:t xml:space="preserve">.</w:t>
      </w:r>
    </w:p>
    <w:bookmarkEnd w:id="287"/>
    <w:bookmarkStart w:id="289"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288">
        <w:r>
          <w:rPr>
            <w:rStyle w:val="Hyperlink"/>
          </w:rPr>
          <w:t xml:space="preserve">https://doi.org/10.1017/S0012217317000154</w:t>
        </w:r>
      </w:hyperlink>
      <w:r>
        <w:t xml:space="preserve">.</w:t>
      </w:r>
    </w:p>
    <w:bookmarkEnd w:id="289"/>
    <w:bookmarkStart w:id="291"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290">
        <w:r>
          <w:rPr>
            <w:rStyle w:val="Hyperlink"/>
          </w:rPr>
          <w:t xml:space="preserve">https://doi.org/10.1080/05568641.2017.1364142</w:t>
        </w:r>
      </w:hyperlink>
      <w:r>
        <w:t xml:space="preserve">.</w:t>
      </w:r>
    </w:p>
    <w:bookmarkEnd w:id="291"/>
    <w:bookmarkStart w:id="292"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292"/>
    <w:bookmarkStart w:id="294"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293">
        <w:r>
          <w:rPr>
            <w:rStyle w:val="Hyperlink"/>
          </w:rPr>
          <w:t xml:space="preserve">https://doi.org/10.2307/2184045</w:t>
        </w:r>
      </w:hyperlink>
      <w:r>
        <w:t xml:space="preserve">.</w:t>
      </w:r>
    </w:p>
    <w:bookmarkEnd w:id="294"/>
    <w:bookmarkStart w:id="296"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295">
        <w:r>
          <w:rPr>
            <w:rStyle w:val="Hyperlink"/>
          </w:rPr>
          <w:t xml:space="preserve">https://doi.org/10.1017/cbo9780511625237.009</w:t>
        </w:r>
      </w:hyperlink>
      <w:r>
        <w:t xml:space="preserve">.</w:t>
      </w:r>
    </w:p>
    <w:bookmarkEnd w:id="296"/>
    <w:bookmarkStart w:id="297" w:name="ref-Lewis1986a"/>
    <w:p>
      <w:pPr>
        <w:pStyle w:val="Bibliography"/>
      </w:pPr>
      <w:r>
        <w:t xml:space="preserve">———. 1986a.</w:t>
      </w:r>
      <w:r>
        <w:t xml:space="preserve"> </w:t>
      </w:r>
      <w:r>
        <w:rPr>
          <w:iCs/>
          <w:i/>
        </w:rPr>
        <w:t xml:space="preserve">On the Plurality of Worlds</w:t>
      </w:r>
      <w:r>
        <w:t xml:space="preserve">. Oxford: Blackwell Publishers.</w:t>
      </w:r>
    </w:p>
    <w:bookmarkEnd w:id="297"/>
    <w:bookmarkStart w:id="299" w:name="ref-Lewis1986h"/>
    <w:p>
      <w:pPr>
        <w:pStyle w:val="Bibliography"/>
      </w:pPr>
      <w:r>
        <w:t xml:space="preserve">———. 1986b.</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298">
        <w:r>
          <w:rPr>
            <w:rStyle w:val="Hyperlink"/>
          </w:rPr>
          <w:t xml:space="preserve">https://doi.org/10.2307/2185051</w:t>
        </w:r>
      </w:hyperlink>
      <w:r>
        <w:t xml:space="preserve">.</w:t>
      </w:r>
    </w:p>
    <w:bookmarkEnd w:id="299"/>
    <w:bookmarkStart w:id="301"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00">
        <w:r>
          <w:rPr>
            <w:rStyle w:val="Hyperlink"/>
          </w:rPr>
          <w:t xml:space="preserve">https://doi.org/10.1093/mind/xcvii.387.323</w:t>
        </w:r>
      </w:hyperlink>
      <w:r>
        <w:t xml:space="preserve">.</w:t>
      </w:r>
    </w:p>
    <w:bookmarkEnd w:id="301"/>
    <w:bookmarkStart w:id="303"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02">
        <w:r>
          <w:rPr>
            <w:rStyle w:val="Hyperlink"/>
          </w:rPr>
          <w:t xml:space="preserve">https://doi.org/10.1093/mind/105.418.303</w:t>
        </w:r>
      </w:hyperlink>
      <w:r>
        <w:t xml:space="preserve">.</w:t>
      </w:r>
    </w:p>
    <w:bookmarkEnd w:id="303"/>
    <w:bookmarkStart w:id="304"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04"/>
    <w:bookmarkStart w:id="306"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05">
        <w:r>
          <w:rPr>
            <w:rStyle w:val="Hyperlink"/>
          </w:rPr>
          <w:t xml:space="preserve">https://doi.org/10.2307/2296233</w:t>
        </w:r>
      </w:hyperlink>
      <w:r>
        <w:t xml:space="preserve">.</w:t>
      </w:r>
    </w:p>
    <w:bookmarkEnd w:id="306"/>
    <w:bookmarkStart w:id="308"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07">
        <w:r>
          <w:rPr>
            <w:rStyle w:val="Hyperlink"/>
          </w:rPr>
          <w:t xml:space="preserve">https://doi.org/10.1111/phpr.12271</w:t>
        </w:r>
      </w:hyperlink>
      <w:r>
        <w:t xml:space="preserve">.</w:t>
      </w:r>
    </w:p>
    <w:bookmarkEnd w:id="308"/>
    <w:bookmarkStart w:id="309"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09"/>
    <w:bookmarkStart w:id="311"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10">
        <w:r>
          <w:rPr>
            <w:rStyle w:val="Hyperlink"/>
          </w:rPr>
          <w:t xml:space="preserve">https://doi.org/10.1086/392759</w:t>
        </w:r>
      </w:hyperlink>
      <w:r>
        <w:t xml:space="preserve">.</w:t>
      </w:r>
    </w:p>
    <w:bookmarkEnd w:id="311"/>
    <w:bookmarkStart w:id="313"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12">
        <w:r>
          <w:rPr>
            <w:rStyle w:val="Hyperlink"/>
          </w:rPr>
          <w:t xml:space="preserve">https://doi.org/10.1086/289906</w:t>
        </w:r>
      </w:hyperlink>
      <w:r>
        <w:t xml:space="preserve">.</w:t>
      </w:r>
    </w:p>
    <w:bookmarkEnd w:id="313"/>
    <w:bookmarkStart w:id="315"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14">
        <w:r>
          <w:rPr>
            <w:rStyle w:val="Hyperlink"/>
          </w:rPr>
          <w:t xml:space="preserve">https://doi.org/10.1007/s11098-010-9542-z</w:t>
        </w:r>
      </w:hyperlink>
      <w:r>
        <w:t xml:space="preserve">.</w:t>
      </w:r>
    </w:p>
    <w:bookmarkEnd w:id="315"/>
    <w:bookmarkStart w:id="317"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16">
        <w:r>
          <w:rPr>
            <w:rStyle w:val="Hyperlink"/>
          </w:rPr>
          <w:t xml:space="preserve">https://doi.org/10.1215/00318108-3878483</w:t>
        </w:r>
      </w:hyperlink>
      <w:r>
        <w:t xml:space="preserve">.</w:t>
      </w:r>
    </w:p>
    <w:bookmarkEnd w:id="317"/>
    <w:bookmarkStart w:id="319"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18">
        <w:r>
          <w:rPr>
            <w:rStyle w:val="Hyperlink"/>
          </w:rPr>
          <w:t xml:space="preserve">https://doi.org/10.1007/s10734-010-9309-7</w:t>
        </w:r>
      </w:hyperlink>
      <w:r>
        <w:t xml:space="preserve">.</w:t>
      </w:r>
    </w:p>
    <w:bookmarkEnd w:id="319"/>
    <w:bookmarkStart w:id="321"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20">
        <w:r>
          <w:rPr>
            <w:rStyle w:val="Hyperlink"/>
          </w:rPr>
          <w:t xml:space="preserve">https://doi.org/10.1007/s11238-017-9592-1</w:t>
        </w:r>
      </w:hyperlink>
      <w:r>
        <w:t xml:space="preserve">.</w:t>
      </w:r>
    </w:p>
    <w:bookmarkEnd w:id="321"/>
    <w:bookmarkStart w:id="323"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22">
        <w:r>
          <w:rPr>
            <w:rStyle w:val="Hyperlink"/>
          </w:rPr>
          <w:t xml:space="preserve">https://doi.org/10.1111/nous.12323</w:t>
        </w:r>
      </w:hyperlink>
      <w:r>
        <w:t xml:space="preserve">.</w:t>
      </w:r>
    </w:p>
    <w:bookmarkEnd w:id="323"/>
    <w:bookmarkStart w:id="324"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24"/>
    <w:bookmarkStart w:id="325"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25"/>
    <w:bookmarkStart w:id="326"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26"/>
    <w:bookmarkStart w:id="328" w:name="ref-Nagel2008"/>
    <w:p>
      <w:pPr>
        <w:pStyle w:val="Bibliography"/>
      </w:pPr>
      <w:r>
        <w:t xml:space="preserve">Nagel, Jennifer. 2008.</w:t>
      </w:r>
      <w:r>
        <w:t xml:space="preserve"> </w:t>
      </w:r>
      <w:r>
        <w:t xml:space="preserve">“Knowledge Ascriptions and the Psychological Consequences of Changing Stakes.”</w:t>
      </w:r>
      <w:r>
        <w:t xml:space="preserve"> </w:t>
      </w:r>
      <w:r>
        <w:rPr>
          <w:iCs/>
          <w:i/>
        </w:rPr>
        <w:t xml:space="preserve">Australasian Journal of Philosophy</w:t>
      </w:r>
      <w:r>
        <w:t xml:space="preserve"> </w:t>
      </w:r>
      <w:r>
        <w:t xml:space="preserve">86 (2): 279–94.</w:t>
      </w:r>
      <w:r>
        <w:t xml:space="preserve"> </w:t>
      </w:r>
      <w:hyperlink r:id="rId327">
        <w:r>
          <w:rPr>
            <w:rStyle w:val="Hyperlink"/>
          </w:rPr>
          <w:t xml:space="preserve">https://doi.org/10.1080/00048400801886397</w:t>
        </w:r>
      </w:hyperlink>
      <w:r>
        <w:t xml:space="preserve">.</w:t>
      </w:r>
    </w:p>
    <w:bookmarkEnd w:id="328"/>
    <w:bookmarkStart w:id="330" w:name="ref-Nagel2010"/>
    <w:p>
      <w:pPr>
        <w:pStyle w:val="Bibliography"/>
      </w:pPr>
      <w:r>
        <w:t xml:space="preserve">———.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29">
        <w:r>
          <w:rPr>
            <w:rStyle w:val="Hyperlink"/>
          </w:rPr>
          <w:t xml:space="preserve">https://doi.org/10.1111/j.1520-8583.2010.00198.x</w:t>
        </w:r>
      </w:hyperlink>
      <w:r>
        <w:t xml:space="preserve">.</w:t>
      </w:r>
    </w:p>
    <w:bookmarkEnd w:id="330"/>
    <w:bookmarkStart w:id="332"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331">
        <w:r>
          <w:rPr>
            <w:rStyle w:val="Hyperlink"/>
          </w:rPr>
          <w:t xml:space="preserve">https://doi.org/10.1080/0020174X.2013.775014</w:t>
        </w:r>
      </w:hyperlink>
      <w:r>
        <w:t xml:space="preserve">.</w:t>
      </w:r>
    </w:p>
    <w:bookmarkEnd w:id="332"/>
    <w:bookmarkStart w:id="333" w:name="ref-Nagel2014"/>
    <w:p>
      <w:pPr>
        <w:pStyle w:val="Bibliography"/>
      </w:pPr>
      <w:r>
        <w:t xml:space="preserve">———. 2014.</w:t>
      </w:r>
      <w:r>
        <w:t xml:space="preserve"> </w:t>
      </w:r>
      <w:r>
        <w:rPr>
          <w:iCs/>
          <w:i/>
        </w:rPr>
        <w:t xml:space="preserve">Knowledge: A Very Short Introduction</w:t>
      </w:r>
      <w:r>
        <w:t xml:space="preserve">. Oxford: Oxford University Press.</w:t>
      </w:r>
    </w:p>
    <w:bookmarkEnd w:id="333"/>
    <w:bookmarkStart w:id="335"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334">
        <w:r>
          <w:rPr>
            <w:rStyle w:val="Hyperlink"/>
          </w:rPr>
          <w:t xml:space="preserve">https://doi.org/10.1111/phpr.12431</w:t>
        </w:r>
      </w:hyperlink>
      <w:r>
        <w:t xml:space="preserve">.</w:t>
      </w:r>
    </w:p>
    <w:bookmarkEnd w:id="335"/>
    <w:bookmarkStart w:id="337"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336">
        <w:r>
          <w:rPr>
            <w:rStyle w:val="Hyperlink"/>
          </w:rPr>
          <w:t xml:space="preserve">https://doi.org/10.1111/j.1933-1592.2007.00069.x</w:t>
        </w:r>
      </w:hyperlink>
      <w:r>
        <w:t xml:space="preserve">.</w:t>
      </w:r>
    </w:p>
    <w:bookmarkEnd w:id="337"/>
    <w:bookmarkStart w:id="339"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338">
        <w:r>
          <w:rPr>
            <w:rStyle w:val="Hyperlink"/>
          </w:rPr>
          <w:t xml:space="preserve">https://doi.org/10.1037/pspp0000141</w:t>
        </w:r>
      </w:hyperlink>
      <w:r>
        <w:t xml:space="preserve">.</w:t>
      </w:r>
    </w:p>
    <w:bookmarkEnd w:id="339"/>
    <w:bookmarkStart w:id="341"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340">
        <w:r>
          <w:rPr>
            <w:rStyle w:val="Hyperlink"/>
          </w:rPr>
          <w:t xml:space="preserve">https://doi.org/10.1016/j.shpsb.2009.08.008</w:t>
        </w:r>
      </w:hyperlink>
      <w:r>
        <w:t xml:space="preserve">.</w:t>
      </w:r>
    </w:p>
    <w:bookmarkEnd w:id="341"/>
    <w:bookmarkStart w:id="342"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342"/>
    <w:bookmarkStart w:id="343"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343"/>
    <w:bookmarkStart w:id="344"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344"/>
    <w:bookmarkStart w:id="346"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345">
        <w:r>
          <w:rPr>
            <w:rStyle w:val="Hyperlink"/>
          </w:rPr>
          <w:t xml:space="preserve">https://doi.org/10.1016/j.mathsocsci.2013.08.005</w:t>
        </w:r>
      </w:hyperlink>
      <w:r>
        <w:t xml:space="preserve">.</w:t>
      </w:r>
    </w:p>
    <w:bookmarkEnd w:id="346"/>
    <w:bookmarkStart w:id="347"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347"/>
    <w:bookmarkStart w:id="349"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348">
        <w:r>
          <w:rPr>
            <w:rStyle w:val="Hyperlink"/>
          </w:rPr>
          <w:t xml:space="preserve">https://sites.google.com/a/nyu.edu/davidpearce/</w:t>
        </w:r>
      </w:hyperlink>
      <w:r>
        <w:t xml:space="preserve">.</w:t>
      </w:r>
    </w:p>
    <w:bookmarkEnd w:id="349"/>
    <w:bookmarkStart w:id="350"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350"/>
    <w:bookmarkStart w:id="352"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351">
        <w:r>
          <w:rPr>
            <w:rStyle w:val="Hyperlink"/>
          </w:rPr>
          <w:t xml:space="preserve">https://doi.org/10.1111/j.1533-6077.2004.00034.x</w:t>
        </w:r>
      </w:hyperlink>
      <w:r>
        <w:t xml:space="preserve">.</w:t>
      </w:r>
    </w:p>
    <w:bookmarkEnd w:id="352"/>
    <w:bookmarkStart w:id="354"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53">
        <w:r>
          <w:rPr>
            <w:rStyle w:val="Hyperlink"/>
          </w:rPr>
          <w:t xml:space="preserve">https://doi.org/10.1016/0167-2681(82)90008-7</w:t>
        </w:r>
      </w:hyperlink>
      <w:r>
        <w:t xml:space="preserve">.</w:t>
      </w:r>
    </w:p>
    <w:bookmarkEnd w:id="354"/>
    <w:bookmarkStart w:id="356"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355">
        <w:r>
          <w:rPr>
            <w:rStyle w:val="Hyperlink"/>
          </w:rPr>
          <w:t xml:space="preserve">https://plato.stanford.edu/archives/spr2018/entries/public-reason/</w:t>
        </w:r>
      </w:hyperlink>
      <w:r>
        <w:t xml:space="preserve">; Metaphysics Research Lab, Stanford University.</w:t>
      </w:r>
    </w:p>
    <w:bookmarkEnd w:id="356"/>
    <w:bookmarkStart w:id="357"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57"/>
    <w:bookmarkStart w:id="359"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358">
        <w:r>
          <w:rPr>
            <w:rStyle w:val="Hyperlink"/>
          </w:rPr>
          <w:t xml:space="preserve">https://doi.org/10.1257/aer.101.2.900</w:t>
        </w:r>
      </w:hyperlink>
      <w:r>
        <w:t xml:space="preserve">.</w:t>
      </w:r>
    </w:p>
    <w:bookmarkEnd w:id="359"/>
    <w:bookmarkStart w:id="361"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60">
        <w:r>
          <w:rPr>
            <w:rStyle w:val="Hyperlink"/>
          </w:rPr>
          <w:t xml:space="preserve">https://doi.org/10.1080/00048408412341601</w:t>
        </w:r>
      </w:hyperlink>
      <w:r>
        <w:t xml:space="preserve">.</w:t>
      </w:r>
    </w:p>
    <w:bookmarkEnd w:id="361"/>
    <w:bookmarkStart w:id="363"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362">
        <w:r>
          <w:rPr>
            <w:rStyle w:val="Hyperlink"/>
          </w:rPr>
          <w:t xml:space="preserve">https://doi.org/10.3765/sp.5.6</w:t>
        </w:r>
      </w:hyperlink>
      <w:r>
        <w:t xml:space="preserve">.</w:t>
      </w:r>
    </w:p>
    <w:bookmarkEnd w:id="363"/>
    <w:bookmarkStart w:id="365"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364">
        <w:r>
          <w:rPr>
            <w:rStyle w:val="Hyperlink"/>
          </w:rPr>
          <w:t xml:space="preserve">https://doi.org/10.1111/j.1933-1592.2011.00552.x</w:t>
        </w:r>
      </w:hyperlink>
      <w:r>
        <w:t xml:space="preserve">.</w:t>
      </w:r>
    </w:p>
    <w:bookmarkEnd w:id="365"/>
    <w:bookmarkStart w:id="366"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366"/>
    <w:bookmarkStart w:id="368"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367">
        <w:r>
          <w:rPr>
            <w:rStyle w:val="Hyperlink"/>
          </w:rPr>
          <w:t xml:space="preserve">https://doi.org/10.1080/00048400802001996</w:t>
        </w:r>
      </w:hyperlink>
      <w:r>
        <w:t xml:space="preserve">.</w:t>
      </w:r>
    </w:p>
    <w:bookmarkEnd w:id="368"/>
    <w:bookmarkStart w:id="370"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369">
        <w:r>
          <w:rPr>
            <w:rStyle w:val="Hyperlink"/>
          </w:rPr>
          <w:t xml:space="preserve">https://doi.org/10.1016/S0004-3702(97)00026-X</w:t>
        </w:r>
      </w:hyperlink>
      <w:r>
        <w:t xml:space="preserve">.</w:t>
      </w:r>
    </w:p>
    <w:bookmarkEnd w:id="370"/>
    <w:bookmarkStart w:id="372"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371">
        <w:r>
          <w:rPr>
            <w:rStyle w:val="Hyperlink"/>
          </w:rPr>
          <w:t xml:space="preserve">https://doi.org/10.1086/288168</w:t>
        </w:r>
      </w:hyperlink>
      <w:r>
        <w:t xml:space="preserve">.</w:t>
      </w:r>
    </w:p>
    <w:bookmarkEnd w:id="372"/>
    <w:bookmarkStart w:id="374"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373">
        <w:r>
          <w:rPr>
            <w:rStyle w:val="Hyperlink"/>
          </w:rPr>
          <w:t xml:space="preserve">https://doi.org/10.1086/651235</w:t>
        </w:r>
      </w:hyperlink>
      <w:r>
        <w:t xml:space="preserve">.</w:t>
      </w:r>
    </w:p>
    <w:bookmarkEnd w:id="374"/>
    <w:bookmarkStart w:id="376"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375">
        <w:r>
          <w:rPr>
            <w:rStyle w:val="Hyperlink"/>
          </w:rPr>
          <w:t xml:space="preserve">https://doi.org/10.1111/nous.12006</w:t>
        </w:r>
      </w:hyperlink>
      <w:r>
        <w:t xml:space="preserve">.</w:t>
      </w:r>
    </w:p>
    <w:bookmarkEnd w:id="376"/>
    <w:bookmarkStart w:id="378"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377">
        <w:r>
          <w:rPr>
            <w:rStyle w:val="Hyperlink"/>
          </w:rPr>
          <w:t xml:space="preserve">https://doi.org/10.1007/s11098-008-9200-x</w:t>
        </w:r>
      </w:hyperlink>
      <w:r>
        <w:t xml:space="preserve">.</w:t>
      </w:r>
    </w:p>
    <w:bookmarkEnd w:id="378"/>
    <w:bookmarkStart w:id="379"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379"/>
    <w:bookmarkStart w:id="381"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380">
        <w:r>
          <w:rPr>
            <w:rStyle w:val="Hyperlink"/>
          </w:rPr>
          <w:t xml:space="preserve">https://doi.org/10.1037/0022-3514.83.5.1178</w:t>
        </w:r>
      </w:hyperlink>
      <w:r>
        <w:t xml:space="preserve">.</w:t>
      </w:r>
    </w:p>
    <w:bookmarkEnd w:id="381"/>
    <w:bookmarkStart w:id="383"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382">
        <w:r>
          <w:rPr>
            <w:rStyle w:val="Hyperlink"/>
          </w:rPr>
          <w:t xml:space="preserve">https://doi.org/10.1215/00318108-2007-037</w:t>
        </w:r>
      </w:hyperlink>
      <w:r>
        <w:t xml:space="preserve">.</w:t>
      </w:r>
    </w:p>
    <w:bookmarkEnd w:id="383"/>
    <w:bookmarkStart w:id="385"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384">
        <w:r>
          <w:rPr>
            <w:rStyle w:val="Hyperlink"/>
          </w:rPr>
          <w:t xml:space="preserve">https://doi.org/10.1111/j.1468-0017.2010.01394.x</w:t>
        </w:r>
      </w:hyperlink>
      <w:r>
        <w:t xml:space="preserve">.</w:t>
      </w:r>
    </w:p>
    <w:bookmarkEnd w:id="385"/>
    <w:bookmarkStart w:id="387"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386">
        <w:r>
          <w:rPr>
            <w:rStyle w:val="Hyperlink"/>
          </w:rPr>
          <w:t xml:space="preserve">https://doi.org/10.1111/nous.12254</w:t>
        </w:r>
      </w:hyperlink>
      <w:r>
        <w:t xml:space="preserve">.</w:t>
      </w:r>
    </w:p>
    <w:bookmarkEnd w:id="387"/>
    <w:bookmarkStart w:id="388" w:name="ref-Stalnaker1984"/>
    <w:p>
      <w:pPr>
        <w:pStyle w:val="Bibliography"/>
      </w:pPr>
      <w:r>
        <w:t xml:space="preserve">Stalnaker, Robert. 1984.</w:t>
      </w:r>
      <w:r>
        <w:t xml:space="preserve"> </w:t>
      </w:r>
      <w:r>
        <w:rPr>
          <w:iCs/>
          <w:i/>
        </w:rPr>
        <w:t xml:space="preserve">Inquiry</w:t>
      </w:r>
      <w:r>
        <w:t xml:space="preserve">. Cambridge, MA: MIT Press.</w:t>
      </w:r>
    </w:p>
    <w:bookmarkEnd w:id="388"/>
    <w:bookmarkStart w:id="390"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389">
        <w:r>
          <w:rPr>
            <w:rStyle w:val="Hyperlink"/>
          </w:rPr>
          <w:t xml:space="preserve">https://doi.org/10.1007/BF01079205</w:t>
        </w:r>
      </w:hyperlink>
      <w:r>
        <w:t xml:space="preserve">.</w:t>
      </w:r>
    </w:p>
    <w:bookmarkEnd w:id="390"/>
    <w:bookmarkStart w:id="392"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391">
        <w:r>
          <w:rPr>
            <w:rStyle w:val="Hyperlink"/>
          </w:rPr>
          <w:t xml:space="preserve">https://doi.org/10.1017/S0266267100004132</w:t>
        </w:r>
      </w:hyperlink>
      <w:r>
        <w:t xml:space="preserve">.</w:t>
      </w:r>
    </w:p>
    <w:bookmarkEnd w:id="392"/>
    <w:bookmarkStart w:id="394"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93">
        <w:r>
          <w:rPr>
            <w:rStyle w:val="Hyperlink"/>
          </w:rPr>
          <w:t xml:space="preserve">https://doi.org/10.1016/S0165-4896(98)00007-9</w:t>
        </w:r>
      </w:hyperlink>
      <w:r>
        <w:t xml:space="preserve">.</w:t>
      </w:r>
    </w:p>
    <w:bookmarkEnd w:id="394"/>
    <w:bookmarkStart w:id="396"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395">
        <w:r>
          <w:rPr>
            <w:rStyle w:val="Hyperlink"/>
          </w:rPr>
          <w:t xml:space="preserve">https://doi.org/10.1006/reec.1999.0200</w:t>
        </w:r>
      </w:hyperlink>
      <w:r>
        <w:t xml:space="preserve">.</w:t>
      </w:r>
    </w:p>
    <w:bookmarkEnd w:id="396"/>
    <w:bookmarkStart w:id="397"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397"/>
    <w:bookmarkStart w:id="398" w:name="ref-Stanley2011"/>
    <w:p>
      <w:pPr>
        <w:pStyle w:val="Bibliography"/>
      </w:pPr>
      <w:r>
        <w:t xml:space="preserve">———. 2011.</w:t>
      </w:r>
      <w:r>
        <w:t xml:space="preserve"> </w:t>
      </w:r>
      <w:r>
        <w:rPr>
          <w:iCs/>
          <w:i/>
        </w:rPr>
        <w:t xml:space="preserve">Know How</w:t>
      </w:r>
      <w:r>
        <w:t xml:space="preserve">. Oxford: Oxford University Press.</w:t>
      </w:r>
    </w:p>
    <w:bookmarkEnd w:id="398"/>
    <w:bookmarkStart w:id="399"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399"/>
    <w:bookmarkStart w:id="401"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00">
        <w:r>
          <w:rPr>
            <w:rStyle w:val="Hyperlink"/>
          </w:rPr>
          <w:t xml:space="preserve">https://doi.org/10.1111/phpr.12191</w:t>
        </w:r>
      </w:hyperlink>
      <w:r>
        <w:t xml:space="preserve">.</w:t>
      </w:r>
    </w:p>
    <w:bookmarkEnd w:id="401"/>
    <w:bookmarkStart w:id="402"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02"/>
    <w:bookmarkStart w:id="404"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03">
        <w:r>
          <w:rPr>
            <w:rStyle w:val="Hyperlink"/>
          </w:rPr>
          <w:t xml:space="preserve">https://doi.org/10.1111/j.1520-8583.2005.00068.x</w:t>
        </w:r>
      </w:hyperlink>
      <w:r>
        <w:t xml:space="preserve">.</w:t>
      </w:r>
    </w:p>
    <w:bookmarkEnd w:id="404"/>
    <w:bookmarkStart w:id="406"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05">
        <w:r>
          <w:rPr>
            <w:rStyle w:val="Hyperlink"/>
          </w:rPr>
          <w:t xml:space="preserve">https://doi.org/10.1007/s11098-004-5218-x</w:t>
        </w:r>
      </w:hyperlink>
      <w:r>
        <w:t xml:space="preserve">.</w:t>
      </w:r>
    </w:p>
    <w:bookmarkEnd w:id="406"/>
    <w:bookmarkStart w:id="408"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07">
        <w:r>
          <w:rPr>
            <w:rStyle w:val="Hyperlink"/>
          </w:rPr>
          <w:t xml:space="preserve">https://doi.org/10.5840/logos-episteme2011248</w:t>
        </w:r>
      </w:hyperlink>
      <w:r>
        <w:t xml:space="preserve">.</w:t>
      </w:r>
    </w:p>
    <w:bookmarkEnd w:id="408"/>
    <w:bookmarkStart w:id="409"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09"/>
    <w:bookmarkStart w:id="411"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10">
        <w:r>
          <w:rPr>
            <w:rStyle w:val="Hyperlink"/>
          </w:rPr>
          <w:t xml:space="preserve">https://doi.org/10.1111/phpr.12088</w:t>
        </w:r>
      </w:hyperlink>
      <w:r>
        <w:t xml:space="preserve">.</w:t>
      </w:r>
    </w:p>
    <w:bookmarkEnd w:id="411"/>
    <w:bookmarkStart w:id="412"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12"/>
    <w:bookmarkStart w:id="413"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13"/>
    <w:bookmarkStart w:id="414"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14"/>
    <w:bookmarkStart w:id="415" w:name="ref-Weatherson2019"/>
    <w:p>
      <w:pPr>
        <w:pStyle w:val="Bibliography"/>
      </w:pPr>
      <w:r>
        <w:t xml:space="preserve">———. 2019.</w:t>
      </w:r>
      <w:r>
        <w:t xml:space="preserve"> </w:t>
      </w:r>
      <w:r>
        <w:rPr>
          <w:iCs/>
          <w:i/>
        </w:rPr>
        <w:t xml:space="preserve">Normative Externalism</w:t>
      </w:r>
      <w:r>
        <w:t xml:space="preserve">. Oxford: Oxford University Press.</w:t>
      </w:r>
    </w:p>
    <w:bookmarkEnd w:id="415"/>
    <w:bookmarkStart w:id="417"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16">
        <w:r>
          <w:rPr>
            <w:rStyle w:val="Hyperlink"/>
          </w:rPr>
          <w:t xml:space="preserve">https://doi.org/10.1111/j.1933-1592.2010.00448.x</w:t>
        </w:r>
      </w:hyperlink>
      <w:r>
        <w:t xml:space="preserve">.</w:t>
      </w:r>
    </w:p>
    <w:bookmarkEnd w:id="417"/>
    <w:bookmarkStart w:id="419"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418">
        <w:r>
          <w:rPr>
            <w:rStyle w:val="Hyperlink"/>
          </w:rPr>
          <w:t xml:space="preserve">https://doi.org/2027/spo.3521354.0013.022</w:t>
        </w:r>
      </w:hyperlink>
      <w:r>
        <w:t xml:space="preserve">.</w:t>
      </w:r>
    </w:p>
    <w:bookmarkEnd w:id="419"/>
    <w:bookmarkStart w:id="420"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420"/>
    <w:bookmarkStart w:id="422"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421">
        <w:r>
          <w:rPr>
            <w:rStyle w:val="Hyperlink"/>
          </w:rPr>
          <w:t xml:space="preserve">https://doi.org/10.1111/j.1520-8583.2005.00069.x</w:t>
        </w:r>
      </w:hyperlink>
      <w:r>
        <w:t xml:space="preserve">.</w:t>
      </w:r>
    </w:p>
    <w:bookmarkEnd w:id="422"/>
    <w:bookmarkStart w:id="423"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423"/>
    <w:bookmarkStart w:id="424" w:name="ref-Williamson1994"/>
    <w:p>
      <w:pPr>
        <w:pStyle w:val="Bibliography"/>
      </w:pPr>
      <w:r>
        <w:t xml:space="preserve">Williamson, Timothy. 1994.</w:t>
      </w:r>
      <w:r>
        <w:t xml:space="preserve"> </w:t>
      </w:r>
      <w:r>
        <w:rPr>
          <w:iCs/>
          <w:i/>
        </w:rPr>
        <w:t xml:space="preserve">Vagueness</w:t>
      </w:r>
      <w:r>
        <w:t xml:space="preserve">. New York: Routledge.</w:t>
      </w:r>
    </w:p>
    <w:bookmarkEnd w:id="424"/>
    <w:bookmarkStart w:id="425" w:name="ref-Williamson2000"/>
    <w:p>
      <w:pPr>
        <w:pStyle w:val="Bibliography"/>
      </w:pPr>
      <w:r>
        <w:t xml:space="preserve">———. 2000.</w:t>
      </w:r>
      <w:r>
        <w:t xml:space="preserve"> </w:t>
      </w:r>
      <w:r>
        <w:rPr>
          <w:iCs/>
          <w:i/>
        </w:rPr>
        <w:t xml:space="preserve">Knowledge and its Limits</w:t>
      </w:r>
      <w:r>
        <w:t xml:space="preserve">. Oxford University Press.</w:t>
      </w:r>
    </w:p>
    <w:bookmarkEnd w:id="425"/>
    <w:bookmarkStart w:id="427"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426">
        <w:r>
          <w:rPr>
            <w:rStyle w:val="Hyperlink"/>
          </w:rPr>
          <w:t xml:space="preserve">https://doi.org/10.1111/j.0031-8094.2005.00396.x</w:t>
        </w:r>
      </w:hyperlink>
      <w:r>
        <w:t xml:space="preserve">.</w:t>
      </w:r>
    </w:p>
    <w:bookmarkEnd w:id="427"/>
    <w:bookmarkStart w:id="429"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428">
        <w:r>
          <w:rPr>
            <w:rStyle w:val="Hyperlink"/>
          </w:rPr>
          <w:t xml:space="preserve">https://doi.org/10.1111/j.1467-8284.2007.00671.x</w:t>
        </w:r>
      </w:hyperlink>
      <w:r>
        <w:t xml:space="preserve">.</w:t>
      </w:r>
    </w:p>
    <w:bookmarkEnd w:id="429"/>
    <w:bookmarkStart w:id="431"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430">
        <w:r>
          <w:rPr>
            <w:rStyle w:val="Hyperlink"/>
          </w:rPr>
          <w:t xml:space="preserve">https://doi.org/10.1080/0020174X.2013.775010</w:t>
        </w:r>
      </w:hyperlink>
      <w:r>
        <w:t xml:space="preserve">.</w:t>
      </w:r>
    </w:p>
    <w:bookmarkEnd w:id="431"/>
    <w:bookmarkStart w:id="432"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432"/>
    <w:bookmarkStart w:id="433"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433"/>
    <w:bookmarkStart w:id="434" w:name="ref-Woodard2021"/>
    <w:p>
      <w:pPr>
        <w:pStyle w:val="Bibliography"/>
      </w:pPr>
      <w:r>
        <w:t xml:space="preserve">Woodard, Elise. 2020.</w:t>
      </w:r>
      <w:r>
        <w:t xml:space="preserve"> </w:t>
      </w:r>
      <w:r>
        <w:t xml:space="preserve">“Why Double-Check.”</w:t>
      </w:r>
    </w:p>
    <w:bookmarkEnd w:id="434"/>
    <w:bookmarkStart w:id="436"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435">
        <w:r>
          <w:rPr>
            <w:rStyle w:val="Hyperlink"/>
          </w:rPr>
          <w:t xml:space="preserve">https://doi.org/10.1111/j.1933-1592.2002.tb00205.x</w:t>
        </w:r>
      </w:hyperlink>
      <w:r>
        <w:t xml:space="preserve">.</w:t>
      </w:r>
    </w:p>
    <w:bookmarkEnd w:id="436"/>
    <w:bookmarkStart w:id="437"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437"/>
    <w:bookmarkStart w:id="439"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438">
        <w:r>
          <w:rPr>
            <w:rStyle w:val="Hyperlink"/>
          </w:rPr>
          <w:t xml:space="preserve">https://doi.org/10.1111/phpr.12330</w:t>
        </w:r>
      </w:hyperlink>
      <w:r>
        <w:t xml:space="preserve">.</w:t>
      </w:r>
    </w:p>
    <w:bookmarkEnd w:id="439"/>
    <w:bookmarkStart w:id="440" w:name="ref-Yalcin2021"/>
    <w:p>
      <w:pPr>
        <w:pStyle w:val="Bibliography"/>
      </w:pPr>
      <w:r>
        <w:t xml:space="preserve">———. 2021.</w:t>
      </w:r>
      <w:r>
        <w:t xml:space="preserve"> </w:t>
      </w:r>
      <w:r>
        <w:t xml:space="preserve">“Fragmented but Rational.”</w:t>
      </w:r>
      <w:r>
        <w:t xml:space="preserve"> </w:t>
      </w:r>
      <w:r>
        <w:t xml:space="preserve">In, edited by Christina Borgoni, Dirk Kindermann, and Andrea Onofori, 156–79. Oxford: Oxford University Press.</w:t>
      </w:r>
    </w:p>
    <w:bookmarkEnd w:id="440"/>
    <w:bookmarkStart w:id="442"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441">
        <w:r>
          <w:rPr>
            <w:rStyle w:val="Hyperlink"/>
          </w:rPr>
          <w:t xml:space="preserve">https://doi.org/10.1007/s11098-016-0631-5</w:t>
        </w:r>
      </w:hyperlink>
      <w:r>
        <w:t xml:space="preserve">.</w:t>
      </w:r>
    </w:p>
    <w:bookmarkEnd w:id="442"/>
    <w:bookmarkEnd w:id="443"/>
    <w:bookmarkEnd w:id="4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2">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3">
    <w:p>
      <w:pPr>
        <w:pStyle w:val="FootnoteText"/>
      </w:pPr>
      <w:r>
        <w:rPr>
          <w:rStyle w:val="FootnoteReference"/>
        </w:rPr>
        <w:footnoteRef/>
      </w:r>
      <w:r>
        <w:t xml:space="preserve"> </w:t>
      </w:r>
      <w:r>
        <w:t xml:space="preserve">My main sources here are Charles Brittain’s encyclopaedia entry on Philo</w:t>
      </w:r>
      <w:r>
        <w:t xml:space="preserve"> </w:t>
      </w:r>
      <w:r>
        <w:t xml:space="preserve">(</w:t>
      </w:r>
      <w:hyperlink w:anchor="ref-Brittain2021">
        <w:r>
          <w:rPr>
            <w:rStyle w:val="Hyperlink"/>
          </w:rPr>
          <w:t xml:space="preserve">Brittain and Osorio 2021</w:t>
        </w:r>
      </w:hyperlink>
      <w:r>
        <w:t xml:space="preserve">)</w:t>
      </w:r>
      <w:r>
        <w:t xml:space="preserve"> </w:t>
      </w:r>
      <w:r>
        <w:t xml:space="preserve">and the chapters on scepticism in Peter Adamson’s book on Hellenistic philosophy</w:t>
      </w:r>
      <w:r>
        <w:t xml:space="preserve"> </w:t>
      </w:r>
      <w:r>
        <w:t xml:space="preserve">(</w:t>
      </w:r>
      <w:hyperlink w:anchor="ref-Adamson2015">
        <w:r>
          <w:rPr>
            <w:rStyle w:val="Hyperlink"/>
          </w:rPr>
          <w:t xml:space="preserve">Adamson 2015</w:t>
        </w:r>
      </w:hyperlink>
      <w:r>
        <w:t xml:space="preserve">)</w:t>
      </w:r>
      <w:r>
        <w:t xml:space="preserve">. I’m particularly drawing on section 3.3 of Brittain’s entry, and chapters 16 and 17 of Adamson’s book.</w:t>
      </w:r>
    </w:p>
  </w:footnote>
  <w:footnote w:id="24">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w:t>
      </w:r>
      <w:hyperlink w:anchor="ref-AdamsonGaneri2020">
        <w:r>
          <w:rPr>
            <w:rStyle w:val="Hyperlink"/>
          </w:rPr>
          <w:t xml:space="preserve">Adamson and Ganeri 2020</w:t>
        </w:r>
      </w:hyperlink>
      <w:r>
        <w:t xml:space="preserve">)</w:t>
      </w:r>
      <w:r>
        <w:t xml:space="preserve">.</w:t>
      </w:r>
    </w:p>
  </w:footnote>
  <w:footnote w:id="27">
    <w:p>
      <w:pPr>
        <w:pStyle w:val="FootnoteText"/>
      </w:pPr>
      <w:r>
        <w:rPr>
          <w:rStyle w:val="FootnoteReference"/>
        </w:rPr>
        <w:footnoteRef/>
      </w:r>
      <w:r>
        <w:t xml:space="preserve"> </w:t>
      </w:r>
      <w:r>
        <w:t xml:space="preserve">See Lasonen-Aarnio</w:t>
      </w:r>
      <w:r>
        <w:t xml:space="preserve"> </w:t>
      </w:r>
      <w:r>
        <w:t xml:space="preserve">(</w:t>
      </w:r>
      <w:hyperlink w:anchor="ref-Lasonen-Aarnio2010b">
        <w:r>
          <w:rPr>
            <w:rStyle w:val="Hyperlink"/>
          </w:rPr>
          <w:t xml:space="preserve">2010</w:t>
        </w:r>
      </w:hyperlink>
      <w:r>
        <w:t xml:space="preserve">,</w:t>
      </w:r>
      <w:r>
        <w:t xml:space="preserve"> </w:t>
      </w:r>
      <w:hyperlink w:anchor="ref-Lasonen-Aarnio2014">
        <w:r>
          <w:rPr>
            <w:rStyle w:val="Hyperlink"/>
          </w:rPr>
          <w:t xml:space="preserve">2014</w:t>
        </w:r>
      </w:hyperlink>
      <w:r>
        <w:t xml:space="preserve">)</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t>
      </w:r>
      <w:hyperlink w:anchor="ref-Weatherson2019">
        <w:r>
          <w:rPr>
            <w:rStyle w:val="Hyperlink"/>
          </w:rPr>
          <w:t xml:space="preserve">Weatherson 2019, 124–25</w:t>
        </w:r>
      </w:hyperlink>
      <w:r>
        <w:t xml:space="preserve">)</w:t>
      </w:r>
      <w:r>
        <w:t xml:space="preserve">. The best form of epistemicism, I’m suggesting, says that Anisa and Blaise are rational but unwise. This isn’t Lasonen-Aarnio’s terminology, but otherwise I’m just coopting her ideas.</w:t>
      </w:r>
    </w:p>
  </w:footnote>
  <w:footnote w:id="31">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But it’s natural to assume that this is true.</w:t>
      </w:r>
    </w:p>
  </w:footnote>
  <w:footnote w:id="33">
    <w:p>
      <w:pPr>
        <w:pStyle w:val="FootnoteText"/>
      </w:pPr>
      <w:r>
        <w:rPr>
          <w:rStyle w:val="FootnoteReference"/>
        </w:rPr>
        <w:footnoteRef/>
      </w:r>
      <w:r>
        <w:t xml:space="preserve"> </w:t>
      </w:r>
      <w:r>
        <w:t xml:space="preserve">This subsection is based on §2 of my</w:t>
      </w:r>
      <w:r>
        <w:t xml:space="preserve"> </w:t>
      </w:r>
      <w:r>
        <w:t xml:space="preserve">(</w:t>
      </w:r>
      <w:hyperlink w:anchor="ref-Weatherson2018-WEAIEA-2">
        <w:r>
          <w:rPr>
            <w:rStyle w:val="Hyperlink"/>
          </w:rPr>
          <w:t xml:space="preserve">2018</w:t>
        </w:r>
      </w:hyperlink>
      <w:r>
        <w:t xml:space="preserve">)</w:t>
      </w:r>
      <w:r>
        <w:t xml:space="preserve">.</w:t>
      </w:r>
    </w:p>
  </w:footnote>
  <w:footnote w:id="36">
    <w:p>
      <w:pPr>
        <w:pStyle w:val="FootnoteText"/>
      </w:pPr>
      <w:r>
        <w:rPr>
          <w:rStyle w:val="FootnoteReference"/>
        </w:rPr>
        <w:footnoteRef/>
      </w:r>
      <w:r>
        <w:t xml:space="preserve"> </w:t>
      </w:r>
      <w:r>
        <w:t xml:space="preserve">This section is based on §3 of my</w:t>
      </w:r>
      <w:r>
        <w:t xml:space="preserve"> </w:t>
      </w:r>
      <w:r>
        <w:t xml:space="preserve">(</w:t>
      </w:r>
      <w:hyperlink w:anchor="ref-Weatherson2016">
        <w:r>
          <w:rPr>
            <w:rStyle w:val="Hyperlink"/>
          </w:rPr>
          <w:t xml:space="preserve">2016a</w:t>
        </w:r>
      </w:hyperlink>
      <w:r>
        <w:t xml:space="preserve">)</w:t>
      </w:r>
      <w:r>
        <w:t xml:space="preserve">.</w:t>
      </w:r>
    </w:p>
  </w:footnote>
  <w:footnote w:id="37">
    <w:p>
      <w:pPr>
        <w:pStyle w:val="FootnoteText"/>
      </w:pPr>
      <w:r>
        <w:rPr>
          <w:rStyle w:val="FootnoteReference"/>
        </w:rPr>
        <w:footnoteRef/>
      </w:r>
      <w:r>
        <w:t xml:space="preserve"> </w:t>
      </w:r>
      <w:r>
        <w:t xml:space="preserve">This simplifies a little the relationship between rational choice and expected utility maximisation. Later in the book I’ll have to be much more careful about this relationship. See chapter</w:t>
      </w:r>
      <w:r>
        <w:t xml:space="preserve"> </w:t>
      </w:r>
      <w:r>
        <w:rPr>
          <w:vertAlign w:val="subscript"/>
        </w:rPr>
        <w:t xml:space="preserve">6</w:t>
      </w:r>
      <w:r>
        <w:t xml:space="preserve"> </w:t>
      </w:r>
      <w:r>
        <w:t xml:space="preserve">for many more details.</w:t>
      </w:r>
    </w:p>
  </w:footnote>
  <w:footnote w:id="39">
    <w:p>
      <w:pPr>
        <w:pStyle w:val="FootnoteText"/>
      </w:pPr>
      <w:r>
        <w:rPr>
          <w:rStyle w:val="FootnoteReference"/>
        </w:rPr>
        <w:footnoteRef/>
      </w:r>
      <w:r>
        <w:t xml:space="preserve"> </w:t>
      </w:r>
      <w:r>
        <w:t xml:space="preserve">This section is based on §4 of my</w:t>
      </w:r>
      <w:r>
        <w:t xml:space="preserve"> </w:t>
      </w:r>
      <w:r>
        <w:t xml:space="preserve">(</w:t>
      </w:r>
      <w:hyperlink w:anchor="ref-Weatherson2017-WEAII">
        <w:r>
          <w:rPr>
            <w:rStyle w:val="Hyperlink"/>
          </w:rPr>
          <w:t xml:space="preserve">2017</w:t>
        </w:r>
      </w:hyperlink>
      <w:r>
        <w:t xml:space="preserve">)</w:t>
      </w:r>
      <w:r>
        <w:t xml:space="preserve">.</w:t>
      </w:r>
    </w:p>
  </w:footnote>
  <w:footnote w:id="42">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43">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46">
    <w:p>
      <w:pPr>
        <w:pStyle w:val="FootnoteText"/>
      </w:pPr>
      <w:r>
        <w:rPr>
          <w:rStyle w:val="FootnoteReference"/>
        </w:rPr>
        <w:footnoteRef/>
      </w:r>
      <w:r>
        <w:t xml:space="preserve"> </w:t>
      </w:r>
      <w:r>
        <w:t xml:space="preserve">Though note how historically unusual such a view is. There was a radical new view introduced into epistemology in the early years of this century, and it wasn’t interest-relativity, it was the knowledge first program.</w:t>
      </w:r>
    </w:p>
  </w:footnote>
  <w:footnote w:id="48">
    <w:p>
      <w:pPr>
        <w:pStyle w:val="FootnoteText"/>
      </w:pPr>
      <w:r>
        <w:rPr>
          <w:rStyle w:val="FootnoteReference"/>
        </w:rPr>
        <w:footnoteRef/>
      </w:r>
      <w:r>
        <w:t xml:space="preserve"> </w:t>
      </w:r>
      <w:r>
        <w:t xml:space="preserve">The picture I’m sketching here is similar to the one that Seth Yalcin has defended in his</w:t>
      </w:r>
      <w:r>
        <w:t xml:space="preserve"> </w:t>
      </w:r>
      <w:r>
        <w:t xml:space="preserve">(</w:t>
      </w:r>
      <w:hyperlink w:anchor="ref-Yalcin2018">
        <w:r>
          <w:rPr>
            <w:rStyle w:val="Hyperlink"/>
          </w:rPr>
          <w:t xml:space="preserve">2018</w:t>
        </w:r>
      </w:hyperlink>
      <w:r>
        <w:t xml:space="preserve">)</w:t>
      </w:r>
      <w:r>
        <w:t xml:space="preserve"> </w:t>
      </w:r>
      <w:r>
        <w:t xml:space="preserve">and, especially,</w:t>
      </w:r>
      <w:r>
        <w:t xml:space="preserve"> </w:t>
      </w:r>
      <w:r>
        <w:t xml:space="preserve">(</w:t>
      </w:r>
      <w:hyperlink w:anchor="ref-Yalcin2021">
        <w:r>
          <w:rPr>
            <w:rStyle w:val="Hyperlink"/>
          </w:rPr>
          <w:t xml:space="preserve">2021</w:t>
        </w:r>
      </w:hyperlink>
      <w:r>
        <w:t xml:space="preserve">)</w:t>
      </w:r>
      <w:r>
        <w:t xml:space="preserve">. That’s not to say he would endorse any of the conclusions here, but simply to note that he has set out the the idea that belief is less like a map and more like an atlas, and put that idea to philosophical work.</w:t>
      </w:r>
    </w:p>
  </w:footnote>
  <w:footnote w:id="49">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the need for the belief/acceptance distinction seems to go away. What are commonly called acceptances are, on my theory, beliefs that are highly sensitive to changes in interests.</w:t>
      </w:r>
    </w:p>
  </w:footnote>
  <w:footnote w:id="52">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54">
    <w:p>
      <w:pPr>
        <w:pStyle w:val="FootnoteText"/>
      </w:pPr>
      <w:r>
        <w:rPr>
          <w:rStyle w:val="FootnoteReference"/>
        </w:rPr>
        <w:footnoteRef/>
      </w:r>
      <w:r>
        <w:t xml:space="preserve"> </w:t>
      </w:r>
      <w:r>
        <w:t xml:space="preserve">See Lewis</w:t>
      </w:r>
      <w:r>
        <w:t xml:space="preserve"> </w:t>
      </w:r>
      <w:r>
        <w:t xml:space="preserve">(</w:t>
      </w:r>
      <w:hyperlink w:anchor="ref-Lewis1976b">
        <w:r>
          <w:rPr>
            <w:rStyle w:val="Hyperlink"/>
          </w:rPr>
          <w:t xml:space="preserve">1976</w:t>
        </w:r>
      </w:hyperlink>
      <w:r>
        <w:t xml:space="preserve">,</w:t>
      </w:r>
      <w:r>
        <w:t xml:space="preserve"> </w:t>
      </w:r>
      <w:hyperlink w:anchor="ref-Lewis1986h">
        <w:r>
          <w:rPr>
            <w:rStyle w:val="Hyperlink"/>
          </w:rPr>
          <w:t xml:space="preserve">1986b</w:t>
        </w:r>
      </w:hyperlink>
      <w:r>
        <w:t xml:space="preserve">)</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w:t>
      </w:r>
      <w:hyperlink w:anchor="ref-Lewis1988">
        <w:r>
          <w:rPr>
            <w:rStyle w:val="Hyperlink"/>
          </w:rPr>
          <w:t xml:space="preserve">1988</w:t>
        </w:r>
      </w:hyperlink>
      <w:r>
        <w:t xml:space="preserve">,</w:t>
      </w:r>
      <w:r>
        <w:t xml:space="preserve"> </w:t>
      </w:r>
      <w:hyperlink w:anchor="ref-Lewis1996">
        <w:r>
          <w:rPr>
            <w:rStyle w:val="Hyperlink"/>
          </w:rPr>
          <w:t xml:space="preserve">1996</w:t>
        </w:r>
      </w:hyperlink>
      <w:r>
        <w:t xml:space="preserve">)</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w:t>
      </w:r>
      <w:hyperlink w:anchor="ref-Gillies2010">
        <w:r>
          <w:rPr>
            <w:rStyle w:val="Hyperlink"/>
          </w:rPr>
          <w:t xml:space="preserve">2010</w:t>
        </w:r>
      </w:hyperlink>
      <w:r>
        <w:t xml:space="preserve">)</w:t>
      </w:r>
      <w:r>
        <w:t xml:space="preserve"> </w:t>
      </w:r>
      <w:r>
        <w:t xml:space="preserve">on issues about modals in the consequent of conditional questions.</w:t>
      </w:r>
    </w:p>
  </w:footnote>
  <w:footnote w:id="55">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57">
    <w:p>
      <w:pPr>
        <w:pStyle w:val="FootnoteText"/>
      </w:pPr>
      <w:r>
        <w:rPr>
          <w:rStyle w:val="FootnoteReference"/>
        </w:rPr>
        <w:footnoteRef/>
      </w:r>
      <w:r>
        <w:t xml:space="preserve"> </w:t>
      </w:r>
      <w:r>
        <w:t xml:space="preserve">A useful introduction to ways in which questions are relevant to philosophy of language is the Stanford Encyclopaedia article by</w:t>
      </w:r>
      <w:r>
        <w:t xml:space="preserve"> </w:t>
      </w:r>
      <w:r>
        <w:t xml:space="preserve">Cross and Roelofsen (</w:t>
      </w:r>
      <w:hyperlink w:anchor="ref-sep-questions">
        <w:r>
          <w:rPr>
            <w:rStyle w:val="Hyperlink"/>
          </w:rPr>
          <w:t xml:space="preserve">2018</w:t>
        </w:r>
      </w:hyperlink>
      <w:r>
        <w:t xml:space="preserve">)</w:t>
      </w:r>
      <w:r>
        <w:t xml:space="preserve">. A canonical text on the role of questions is Roberts -</w:t>
      </w:r>
      <w:r>
        <w:t xml:space="preserve">Roberts (</w:t>
      </w:r>
      <w:hyperlink w:anchor="ref-Roberts2012">
        <w:r>
          <w:rPr>
            <w:rStyle w:val="Hyperlink"/>
          </w:rPr>
          <w:t xml:space="preserve">2012</w:t>
        </w:r>
      </w:hyperlink>
      <w:r>
        <w:t xml:space="preserve">)</w:t>
      </w:r>
      <w:r>
        <w:t xml:space="preserve">. Roberts originally circulated that paper in 1996. Since then it has influenced a huge range of works, including this one.</w:t>
      </w:r>
    </w:p>
  </w:footnote>
  <w:footnote w:id="58">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59">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60">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w:t>
      </w:r>
      <w:hyperlink w:anchor="ref-Adamson2019">
        <w:r>
          <w:rPr>
            <w:rStyle w:val="Hyperlink"/>
          </w:rPr>
          <w:t xml:space="preserve">2019, 453ff</w:t>
        </w:r>
      </w:hyperlink>
      <w:r>
        <w:t xml:space="preserve">)</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61">
    <w:p>
      <w:pPr>
        <w:pStyle w:val="FootnoteText"/>
      </w:pPr>
      <w:r>
        <w:rPr>
          <w:rStyle w:val="FootnoteReference"/>
        </w:rPr>
        <w:footnoteRef/>
      </w:r>
      <w:r>
        <w:t xml:space="preserve"> </w:t>
      </w:r>
      <w:r>
        <w:t xml:space="preserve">I’m here mildly disagreeing with Jason Stanley</w:t>
      </w:r>
      <w:r>
        <w:t xml:space="preserve"> </w:t>
      </w:r>
      <w:r>
        <w:t xml:space="preserve">(</w:t>
      </w:r>
      <w:hyperlink w:anchor="ref-Stanley2011">
        <w:r>
          <w:rPr>
            <w:rStyle w:val="Hyperlink"/>
          </w:rPr>
          <w:t xml:space="preserve">2011</w:t>
        </w:r>
      </w:hyperlink>
      <w:r>
        <w:t xml:space="preserve">,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 -</w:t>
      </w:r>
      <w:r>
        <w:t xml:space="preserve">Bhatt (</w:t>
      </w:r>
      <w:hyperlink w:anchor="ref-Bhatt1999">
        <w:r>
          <w:rPr>
            <w:rStyle w:val="Hyperlink"/>
          </w:rPr>
          <w:t xml:space="preserve">1999</w:t>
        </w:r>
      </w:hyperlink>
      <w:r>
        <w:t xml:space="preserve">)</w:t>
      </w:r>
      <w:r>
        <w:t xml:space="preserve"> </w:t>
      </w:r>
      <w:r>
        <w:t xml:space="preserve">suggests.</w:t>
      </w:r>
    </w:p>
  </w:footnote>
  <w:footnote w:id="63">
    <w:p>
      <w:pPr>
        <w:pStyle w:val="FootnoteText"/>
      </w:pPr>
      <w:r>
        <w:rPr>
          <w:rStyle w:val="FootnoteReference"/>
        </w:rPr>
        <w:footnoteRef/>
      </w:r>
      <w:r>
        <w:t xml:space="preserve"> </w:t>
      </w:r>
      <w:r>
        <w:t xml:space="preserve">Fantl and McGrath (</w:t>
      </w:r>
      <w:hyperlink w:anchor="ref-FantlMcGrath2009">
        <w:r>
          <w:rPr>
            <w:rStyle w:val="Hyperlink"/>
          </w:rPr>
          <w:t xml:space="preserve">2009</w:t>
        </w:r>
      </w:hyperlink>
      <w:r>
        <w:t xml:space="preserve">)</w:t>
      </w:r>
      <w:r>
        <w:t xml:space="preserve"> </w:t>
      </w:r>
      <w:r>
        <w:t xml:space="preserve">make a similar argument, targetted at Lockean theories of belief more than at my theory. I’ll come back to how this is a problem for Lockean theories in subsection</w:t>
      </w:r>
      <w:r>
        <w:t xml:space="preserve"> </w:t>
      </w:r>
      <w:r>
        <w:rPr>
          <w:vertAlign w:val="subscript"/>
        </w:rPr>
        <w:t xml:space="preserve">8.4.2</w:t>
      </w:r>
      <w:r>
        <w:t xml:space="preserve">.</w:t>
      </w:r>
    </w:p>
  </w:footnote>
  <w:footnote w:id="68">
    <w:p>
      <w:pPr>
        <w:pStyle w:val="FootnoteText"/>
      </w:pPr>
      <w:r>
        <w:rPr>
          <w:rStyle w:val="FootnoteReference"/>
        </w:rPr>
        <w:footnoteRef/>
      </w:r>
      <w:r>
        <w:t xml:space="preserve"> </w:t>
      </w:r>
      <w:r>
        <w:t xml:space="preserve">This subsection is based on material from §1 of my</w:t>
      </w:r>
      <w:r>
        <w:t xml:space="preserve"> </w:t>
      </w:r>
      <w:r>
        <w:t xml:space="preserve">(</w:t>
      </w:r>
      <w:hyperlink w:anchor="ref-Weatherson2016">
        <w:r>
          <w:rPr>
            <w:rStyle w:val="Hyperlink"/>
          </w:rPr>
          <w:t xml:space="preserve">2016a</w:t>
        </w:r>
      </w:hyperlink>
      <w:r>
        <w:t xml:space="preserve">)</w:t>
      </w:r>
      <w:r>
        <w:t xml:space="preserve">.</w:t>
      </w:r>
    </w:p>
  </w:footnote>
  <w:footnote w:id="71">
    <w:p>
      <w:pPr>
        <w:pStyle w:val="FootnoteText"/>
      </w:pPr>
      <w:r>
        <w:rPr>
          <w:rStyle w:val="FootnoteReference"/>
        </w:rPr>
        <w:footnoteRef/>
      </w:r>
      <w:r>
        <w:t xml:space="preserve"> </w:t>
      </w:r>
      <w:r>
        <w:t xml:space="preserve">This section is based on §3 of my</w:t>
      </w:r>
      <w:r>
        <w:t xml:space="preserve"> </w:t>
      </w:r>
      <w:r>
        <w:t xml:space="preserve">(</w:t>
      </w:r>
      <w:hyperlink w:anchor="ref-Weatherson2016">
        <w:r>
          <w:rPr>
            <w:rStyle w:val="Hyperlink"/>
          </w:rPr>
          <w:t xml:space="preserve">2016a</w:t>
        </w:r>
      </w:hyperlink>
      <w:r>
        <w:t xml:space="preserve">)</w:t>
      </w:r>
      <w:r>
        <w:t xml:space="preserve">.</w:t>
      </w:r>
    </w:p>
  </w:footnote>
  <w:footnote w:id="74">
    <w:p>
      <w:pPr>
        <w:pStyle w:val="FootnoteText"/>
      </w:pPr>
      <w:r>
        <w:rPr>
          <w:rStyle w:val="FootnoteReference"/>
        </w:rPr>
        <w:footnoteRef/>
      </w:r>
      <w:r>
        <w:t xml:space="preserve"> </w:t>
      </w:r>
      <w:r>
        <w:t xml:space="preserve">This section is based on §1.1 of my</w:t>
      </w:r>
      <w:r>
        <w:t xml:space="preserve"> </w:t>
      </w:r>
      <w:r>
        <w:t xml:space="preserve">(</w:t>
      </w:r>
      <w:hyperlink w:anchor="ref-Weatherson2012">
        <w:r>
          <w:rPr>
            <w:rStyle w:val="Hyperlink"/>
          </w:rPr>
          <w:t xml:space="preserve">2012</w:t>
        </w:r>
      </w:hyperlink>
      <w:r>
        <w:t xml:space="preserve">)</w:t>
      </w:r>
      <w:r>
        <w:t xml:space="preserve">.</w:t>
      </w:r>
    </w:p>
  </w:footnote>
  <w:footnote w:id="75">
    <w:p>
      <w:pPr>
        <w:pStyle w:val="FootnoteText"/>
      </w:pPr>
      <w:r>
        <w:rPr>
          <w:rStyle w:val="FootnoteReference"/>
        </w:rPr>
        <w:footnoteRef/>
      </w:r>
      <w:r>
        <w:t xml:space="preserve"> </w:t>
      </w:r>
      <w:r>
        <w:t xml:space="preserve">The cases I’ll discuss in sections</w:t>
      </w:r>
      <w:r>
        <w:t xml:space="preserve"> </w:t>
      </w:r>
      <w:r>
        <w:t xml:space="preserve">8.2</w:t>
      </w:r>
      <w:r>
        <w:t xml:space="preserve"> </w:t>
      </w:r>
      <w:r>
        <w:t xml:space="preserve">and</w:t>
      </w:r>
      <w:r>
        <w:t xml:space="preserve"> </w:t>
      </w:r>
      <w:r>
        <w:rPr>
          <w:vertAlign w:val="subscript"/>
        </w:rPr>
        <w:t xml:space="preserve">8.3</w:t>
      </w:r>
      <w:r>
        <w:t xml:space="preserve"> </w:t>
      </w:r>
      <w:r>
        <w:t xml:space="preserve">also raise problems for this proposal. And the proposal is very similar to the theory I’ll call IRT-CP in chapter</w:t>
      </w:r>
      <w:r>
        <w:t xml:space="preserve"> </w:t>
      </w:r>
      <w:r>
        <w:t xml:space="preserve">6</w:t>
      </w:r>
      <w:r>
        <w:t xml:space="preserve">, a theory that has trouble dealing with situations involving close calls.</w:t>
      </w:r>
    </w:p>
  </w:footnote>
  <w:footnote w:id="77">
    <w:p>
      <w:pPr>
        <w:pStyle w:val="FootnoteText"/>
      </w:pPr>
      <w:r>
        <w:rPr>
          <w:rStyle w:val="FootnoteReference"/>
        </w:rPr>
        <w:footnoteRef/>
      </w:r>
      <w:r>
        <w:t xml:space="preserve"> </w:t>
      </w:r>
      <w:r>
        <w:t xml:space="preserve">This is far from an original suggestion. See Weisberg</w:t>
      </w:r>
      <w:r>
        <w:t xml:space="preserve"> </w:t>
      </w:r>
      <w:r>
        <w:t xml:space="preserve">(</w:t>
      </w:r>
      <w:hyperlink w:anchor="ref-Weisberg2010">
        <w:r>
          <w:rPr>
            <w:rStyle w:val="Hyperlink"/>
          </w:rPr>
          <w:t xml:space="preserve">2010</w:t>
        </w:r>
      </w:hyperlink>
      <w:r>
        <w:t xml:space="preserve">)</w:t>
      </w:r>
      <w:r>
        <w:t xml:space="preserve"> </w:t>
      </w:r>
      <w:r>
        <w:t xml:space="preserve">for discussion of it, and of related proposals, and for more discussion of the literature on Wright’s examples.</w:t>
      </w:r>
    </w:p>
  </w:footnote>
  <w:footnote w:id="79">
    <w:p>
      <w:pPr>
        <w:pStyle w:val="FootnoteText"/>
      </w:pPr>
      <w:r>
        <w:rPr>
          <w:rStyle w:val="FootnoteReference"/>
        </w:rPr>
        <w:footnoteRef/>
      </w:r>
      <w:r>
        <w:t xml:space="preserve"> </w:t>
      </w:r>
      <w:r>
        <w:t xml:space="preserve">This game will resemble the examples that Zweber</w:t>
      </w:r>
      <w:r>
        <w:t xml:space="preserve"> </w:t>
      </w:r>
      <w:r>
        <w:t xml:space="preserve">(</w:t>
      </w:r>
      <w:hyperlink w:anchor="ref-Zweber2016">
        <w:r>
          <w:rPr>
            <w:rStyle w:val="Hyperlink"/>
          </w:rPr>
          <w:t xml:space="preserve">2016</w:t>
        </w:r>
      </w:hyperlink>
      <w:r>
        <w:t xml:space="preserve">)</w:t>
      </w:r>
      <w:r>
        <w:t xml:space="preserve"> </w:t>
      </w:r>
      <w:r>
        <w:t xml:space="preserve">and Anderson and Hawthorne</w:t>
      </w:r>
      <w:r>
        <w:t xml:space="preserve"> </w:t>
      </w:r>
      <w:r>
        <w:t xml:space="preserve">(</w:t>
      </w:r>
      <w:hyperlink w:anchor="ref-AndersonHawthorne2019b">
        <w:r>
          <w:rPr>
            <w:rStyle w:val="Hyperlink"/>
          </w:rPr>
          <w:t xml:space="preserve">2019b</w:t>
        </w:r>
      </w:hyperlink>
      <w:r>
        <w:t xml:space="preserve">)</w:t>
      </w:r>
      <w:r>
        <w:t xml:space="preserve"> </w:t>
      </w:r>
      <w:r>
        <w:t xml:space="preserve">use to raise doubts about whether pragmatic theories like mine reall do endorse single premise closure.</w:t>
      </w:r>
    </w:p>
  </w:footnote>
  <w:footnote w:id="81">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82">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87">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88">
    <w:p>
      <w:pPr>
        <w:pStyle w:val="FootnoteText"/>
      </w:pPr>
      <w:r>
        <w:rPr>
          <w:rStyle w:val="FootnoteReference"/>
        </w:rPr>
        <w:footnoteRef/>
      </w:r>
      <w:r>
        <w:t xml:space="preserve"> </w:t>
      </w:r>
      <w:r>
        <w:t xml:space="preserve">These quotes were compiled by Woodard</w:t>
      </w:r>
      <w:r>
        <w:t xml:space="preserve"> </w:t>
      </w:r>
      <w:r>
        <w:t xml:space="preserve">(</w:t>
      </w:r>
      <w:hyperlink w:anchor="ref-Woodard2021">
        <w:r>
          <w:rPr>
            <w:rStyle w:val="Hyperlink"/>
          </w:rPr>
          <w:t xml:space="preserve">2020</w:t>
        </w:r>
      </w:hyperlink>
      <w:r>
        <w:t xml:space="preserve">)</w:t>
      </w:r>
      <w:r>
        <w:t xml:space="preserve">.</w:t>
      </w:r>
    </w:p>
  </w:footnote>
  <w:footnote w:id="97">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w:t>
      </w:r>
      <w:hyperlink w:anchor="ref-Egan2008">
        <w:r>
          <w:rPr>
            <w:rStyle w:val="Hyperlink"/>
          </w:rPr>
          <w:t xml:space="preserve">2008</w:t>
        </w:r>
      </w:hyperlink>
      <w:r>
        <w:t xml:space="preserve">)</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05">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Carribean dollars.</w:t>
      </w:r>
    </w:p>
  </w:footnote>
  <w:footnote w:id="106">
    <w:p>
      <w:pPr>
        <w:pStyle w:val="FootnoteText"/>
      </w:pPr>
      <w:r>
        <w:rPr>
          <w:rStyle w:val="FootnoteReference"/>
        </w:rPr>
        <w:footnoteRef/>
      </w:r>
      <w:r>
        <w:t xml:space="preserve"> </w:t>
      </w:r>
      <w:r>
        <w:t xml:space="preserve">This is true of milk in Australian supermarkets, but not, typically, in American supermarkets.</w:t>
      </w:r>
    </w:p>
  </w:footnote>
  <w:footnote w:id="108">
    <w:p>
      <w:pPr>
        <w:pStyle w:val="FootnoteText"/>
      </w:pPr>
      <w:r>
        <w:rPr>
          <w:rStyle w:val="FootnoteReference"/>
        </w:rPr>
        <w:footnoteRef/>
      </w:r>
      <w:r>
        <w:t xml:space="preserve"> </w:t>
      </w:r>
      <w:r>
        <w:t xml:space="preserve">James Joyce</w:t>
      </w:r>
      <w:r>
        <w:t xml:space="preserve"> </w:t>
      </w:r>
      <w:r>
        <w:t xml:space="preserve">(</w:t>
      </w:r>
      <w:hyperlink w:anchor="ref-Joyce2018">
        <w:r>
          <w:rPr>
            <w:rStyle w:val="Hyperlink"/>
          </w:rPr>
          <w:t xml:space="preserve">2018</w:t>
        </w:r>
      </w:hyperlink>
      <w:r>
        <w:t xml:space="preserve">)</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11">
    <w:p>
      <w:pPr>
        <w:pStyle w:val="FootnoteText"/>
      </w:pPr>
      <w:r>
        <w:rPr>
          <w:rStyle w:val="FootnoteReference"/>
        </w:rPr>
        <w:footnoteRef/>
      </w:r>
      <w:r>
        <w:t xml:space="preserve"> </w:t>
      </w:r>
      <w:r>
        <w:t xml:space="preserve">At this point the Martians might note that while they are grateful that Williamson -</w:t>
      </w:r>
      <w:r>
        <w:t xml:space="preserve">Williamson (</w:t>
      </w:r>
      <w:hyperlink w:anchor="ref-Williamson2000">
        <w:r>
          <w:rPr>
            <w:rStyle w:val="Hyperlink"/>
          </w:rPr>
          <w:t xml:space="preserve">2000</w:t>
        </w:r>
      </w:hyperlink>
      <w:r>
        <w:t xml:space="preserve">)</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12">
    <w:p>
      <w:pPr>
        <w:pStyle w:val="FootnoteText"/>
      </w:pPr>
      <w:r>
        <w:rPr>
          <w:rStyle w:val="FootnoteReference"/>
        </w:rPr>
        <w:footnoteRef/>
      </w:r>
      <w:r>
        <w:t xml:space="preserve"> </w:t>
      </w:r>
      <w:r>
        <w:t xml:space="preserve">At this point, some of the Martians note that the existence of Elster -</w:t>
      </w:r>
      <w:r>
        <w:t xml:space="preserve">Elster (</w:t>
      </w:r>
      <w:hyperlink w:anchor="ref-Elster1979">
        <w:r>
          <w:rPr>
            <w:rStyle w:val="Hyperlink"/>
          </w:rPr>
          <w:t xml:space="preserve">1979</w:t>
        </w:r>
      </w:hyperlink>
      <w:r>
        <w:t xml:space="preserve">)</w:t>
      </w:r>
      <w:r>
        <w:t xml:space="preserve"> </w:t>
      </w:r>
      <w:r>
        <w:t xml:space="preserve">restored their faith in humanity.</w:t>
      </w:r>
    </w:p>
  </w:footnote>
  <w:footnote w:id="114">
    <w:p>
      <w:pPr>
        <w:pStyle w:val="FootnoteText"/>
      </w:pPr>
      <w:r>
        <w:rPr>
          <w:rStyle w:val="FootnoteReference"/>
        </w:rPr>
        <w:footnoteRef/>
      </w:r>
      <w:r>
        <w:t xml:space="preserve"> </w:t>
      </w:r>
      <w:r>
        <w:t xml:space="preserve">Or at least a sign. Arguably, the fact that a note is a high value one that someone is trying to use in the betting ring half an hour before the Melbourne Cup is in itself a sign that it is not genuine. A sceptical theory that says no one there knows whether they are passing on forged bank notes is not a problematic sceptical theory.</w:t>
      </w:r>
    </w:p>
  </w:footnote>
  <w:footnote w:id="117">
    <w:p>
      <w:pPr>
        <w:pStyle w:val="FootnoteText"/>
      </w:pPr>
      <w:r>
        <w:rPr>
          <w:rStyle w:val="FootnoteReference"/>
        </w:rPr>
        <w:footnoteRef/>
      </w:r>
      <w:r>
        <w:t xml:space="preserve"> </w:t>
      </w:r>
      <w:r>
        <w:t xml:space="preserve">I first made a version of this reply in my</w:t>
      </w:r>
      <w:r>
        <w:t xml:space="preserve"> </w:t>
      </w:r>
      <w:r>
        <w:t xml:space="preserve">(</w:t>
      </w:r>
      <w:hyperlink w:anchor="ref-Weatherson2016-WEARTE">
        <w:r>
          <w:rPr>
            <w:rStyle w:val="Hyperlink"/>
          </w:rPr>
          <w:t xml:space="preserve">2016b</w:t>
        </w:r>
      </w:hyperlink>
      <w:r>
        <w:t xml:space="preserve">)</w:t>
      </w:r>
      <w:r>
        <w:t xml:space="preserve">. I earlier replied to Russell and Doris, and to Blome-Tillman, in my</w:t>
      </w:r>
      <w:r>
        <w:t xml:space="preserve"> </w:t>
      </w:r>
      <w:r>
        <w:t xml:space="preserve">(</w:t>
      </w:r>
      <w:hyperlink w:anchor="ref-Weatherson2011-WEADIR">
        <w:r>
          <w:rPr>
            <w:rStyle w:val="Hyperlink"/>
          </w:rPr>
          <w:t xml:space="preserve">2011</w:t>
        </w:r>
      </w:hyperlink>
      <w:r>
        <w:t xml:space="preserve">)</w:t>
      </w:r>
      <w:r>
        <w:t xml:space="preserve">, but I now think the replies there didn’t really get to the heart of the matter.</w:t>
      </w:r>
    </w:p>
  </w:footnote>
  <w:footnote w:id="120">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21">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23">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w:t>
      </w:r>
      <w:hyperlink w:anchor="ref-Gendler2005">
        <w:r>
          <w:rPr>
            <w:rStyle w:val="Hyperlink"/>
          </w:rPr>
          <w:t xml:space="preserve">2005</w:t>
        </w:r>
      </w:hyperlink>
      <w:r>
        <w:t xml:space="preserve">)</w:t>
      </w:r>
      <w:r>
        <w:t xml:space="preserve"> </w:t>
      </w:r>
      <w:r>
        <w:t xml:space="preserve">use to raise trouble for fake barn intuitions.</w:t>
      </w:r>
    </w:p>
  </w:footnote>
  <w:footnote w:id="126">
    <w:p>
      <w:pPr>
        <w:pStyle w:val="FootnoteText"/>
      </w:pPr>
      <w:r>
        <w:rPr>
          <w:rStyle w:val="FootnoteReference"/>
        </w:rPr>
        <w:footnoteRef/>
      </w:r>
      <w:r>
        <w:t xml:space="preserve"> </w:t>
      </w:r>
      <w:r>
        <w:t xml:space="preserve">This section is based on §§3.1 of my</w:t>
      </w:r>
      <w:r>
        <w:t xml:space="preserve"> </w:t>
      </w:r>
      <w:r>
        <w:t xml:space="preserve">(</w:t>
      </w:r>
      <w:hyperlink w:anchor="ref-Weatherson2012">
        <w:r>
          <w:rPr>
            <w:rStyle w:val="Hyperlink"/>
          </w:rPr>
          <w:t xml:space="preserve">2012</w:t>
        </w:r>
      </w:hyperlink>
      <w:r>
        <w:t xml:space="preserve">)</w:t>
      </w:r>
      <w:r>
        <w:t xml:space="preserve">.</w:t>
      </w:r>
    </w:p>
  </w:footnote>
  <w:footnote w:id="127">
    <w:p>
      <w:pPr>
        <w:pStyle w:val="FootnoteText"/>
      </w:pPr>
      <w:r>
        <w:rPr>
          <w:rStyle w:val="FootnoteReference"/>
        </w:rPr>
        <w:footnoteRef/>
      </w:r>
      <w:r>
        <w:t xml:space="preserve"> </w:t>
      </w:r>
      <w:r>
        <w:t xml:space="preserve">Kenneth Boyd</w:t>
      </w:r>
      <w:r>
        <w:t xml:space="preserve"> </w:t>
      </w:r>
      <w:r>
        <w:t xml:space="preserve">(</w:t>
      </w:r>
      <w:hyperlink w:anchor="ref-Boyd2015">
        <w:r>
          <w:rPr>
            <w:rStyle w:val="Hyperlink"/>
          </w:rPr>
          <w:t xml:space="preserve">2016</w:t>
        </w:r>
      </w:hyperlink>
      <w:r>
        <w:t xml:space="preserve">)</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30">
    <w:p>
      <w:pPr>
        <w:pStyle w:val="FootnoteText"/>
      </w:pPr>
      <w:r>
        <w:rPr>
          <w:rStyle w:val="FootnoteReference"/>
        </w:rPr>
        <w:footnoteRef/>
      </w:r>
      <w:r>
        <w:t xml:space="preserve"> </w:t>
      </w:r>
      <w:r>
        <w:t xml:space="preserve">This section is based on material from §1 of my</w:t>
      </w:r>
      <w:r>
        <w:t xml:space="preserve"> </w:t>
      </w:r>
      <w:r>
        <w:t xml:space="preserve">(</w:t>
      </w:r>
      <w:hyperlink w:anchor="ref-Weatherson2016">
        <w:r>
          <w:rPr>
            <w:rStyle w:val="Hyperlink"/>
          </w:rPr>
          <w:t xml:space="preserve">2016a</w:t>
        </w:r>
      </w:hyperlink>
      <w:r>
        <w:t xml:space="preserve">)</w:t>
      </w:r>
      <w:r>
        <w:t xml:space="preserve">.</w:t>
      </w:r>
    </w:p>
  </w:footnote>
  <w:footnote w:id="131">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32">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w:t>
      </w:r>
      <w:hyperlink w:anchor="ref-Brandenburger2008">
        <w:r>
          <w:rPr>
            <w:rStyle w:val="Hyperlink"/>
          </w:rPr>
          <w:t xml:space="preserve">2008</w:t>
        </w:r>
      </w:hyperlink>
      <w:r>
        <w:t xml:space="preserve">)</w:t>
      </w:r>
      <w:r>
        <w:t xml:space="preserve">, but that introduces new complications.</w:t>
      </w:r>
    </w:p>
  </w:footnote>
  <w:footnote w:id="133">
    <w:p>
      <w:pPr>
        <w:pStyle w:val="FootnoteText"/>
      </w:pPr>
      <w:r>
        <w:rPr>
          <w:rStyle w:val="FootnoteReference"/>
        </w:rPr>
        <w:footnoteRef/>
      </w:r>
      <w:r>
        <w:t xml:space="preserve"> </w:t>
      </w:r>
      <w:r>
        <w:t xml:space="preserve">It is worse than if some games have the only equilibria involving mixed strategies with irrational probabilities. And it might be noted that Binmore’s introduction of mixed strategies, on page 44 of his</w:t>
      </w:r>
      <w:r>
        <w:t xml:space="preserve"> </w:t>
      </w:r>
      <w:r>
        <w:t xml:space="preserve">(</w:t>
      </w:r>
      <w:hyperlink w:anchor="ref-Binmore2007">
        <w:r>
          <w:rPr>
            <w:rStyle w:val="Hyperlink"/>
          </w:rPr>
          <w:t xml:space="preserve">2007</w:t>
        </w:r>
      </w:hyperlink>
      <w:r>
        <w:t xml:space="preserve">)</w:t>
      </w:r>
      <w:r>
        <w:t xml:space="preserve">, sounds much more like the metaphysical interpretation. But I think the later discussion is meant to indicate that this is just a heuristic introduction; the epistemological interpretation is the correct one.</w:t>
      </w:r>
    </w:p>
  </w:footnote>
  <w:footnote w:id="134">
    <w:p>
      <w:pPr>
        <w:pStyle w:val="FootnoteText"/>
      </w:pPr>
      <w:r>
        <w:rPr>
          <w:rStyle w:val="FootnoteReference"/>
        </w:rPr>
        <w:footnoteRef/>
      </w:r>
      <w:r>
        <w:t xml:space="preserve"> </w:t>
      </w:r>
      <w:r>
        <w:t xml:space="preserve">In earlier work I’d called it Red-Green, but this is too easily confused with the Red-Blue game that plays such an important role in chapter</w:t>
      </w:r>
      <w:r>
        <w:t xml:space="preserve"> </w:t>
      </w:r>
      <w:r>
        <w:t xml:space="preserve">2</w:t>
      </w:r>
      <w:r>
        <w:t xml:space="preserve">.</w:t>
      </w:r>
    </w:p>
  </w:footnote>
  <w:footnote w:id="139">
    <w:p>
      <w:pPr>
        <w:pStyle w:val="FootnoteText"/>
      </w:pPr>
      <w:r>
        <w:rPr>
          <w:rStyle w:val="FootnoteReference"/>
        </w:rPr>
        <w:footnoteRef/>
      </w:r>
      <w:r>
        <w:t xml:space="preserve"> </w:t>
      </w:r>
      <w:r>
        <w:t xml:space="preserve">This subsection draws on material from my</w:t>
      </w:r>
      <w:r>
        <w:t xml:space="preserve"> </w:t>
      </w:r>
      <w:r>
        <w:t xml:space="preserve">(</w:t>
      </w:r>
      <w:hyperlink w:anchor="ref-Weatherson2016">
        <w:r>
          <w:rPr>
            <w:rStyle w:val="Hyperlink"/>
          </w:rPr>
          <w:t xml:space="preserve">2016a</w:t>
        </w:r>
      </w:hyperlink>
      <w:r>
        <w:t xml:space="preserve">)</w:t>
      </w:r>
      <w:r>
        <w:t xml:space="preserve">.</w:t>
      </w:r>
    </w:p>
  </w:footnote>
  <w:footnote w:id="148">
    <w:p>
      <w:pPr>
        <w:pStyle w:val="FootnoteText"/>
      </w:pPr>
      <w:r>
        <w:rPr>
          <w:rStyle w:val="FootnoteReference"/>
        </w:rPr>
        <w:footnoteRef/>
      </w:r>
      <w:r>
        <w:t xml:space="preserve"> </w:t>
      </w:r>
      <w:r>
        <w:t xml:space="preserve">The first five sections of this chapter are based on my</w:t>
      </w:r>
      <w:r>
        <w:t xml:space="preserve"> </w:t>
      </w:r>
      <w:r>
        <w:t xml:space="preserve">(</w:t>
      </w:r>
      <w:hyperlink w:anchor="ref-Weatherson2018-WEAIEA-2">
        <w:r>
          <w:rPr>
            <w:rStyle w:val="Hyperlink"/>
          </w:rPr>
          <w:t xml:space="preserve">2018</w:t>
        </w:r>
      </w:hyperlink>
      <w:r>
        <w:t xml:space="preserve">)</w:t>
      </w:r>
      <w:r>
        <w:t xml:space="preserve">.</w:t>
      </w:r>
    </w:p>
  </w:footnote>
  <w:footnote w:id="152">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153">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w:t>
      </w:r>
      <w:hyperlink w:anchor="ref-Pearce1983">
        <w:r>
          <w:rPr>
            <w:rStyle w:val="Hyperlink"/>
          </w:rPr>
          <w:t xml:space="preserve">1983</w:t>
        </w:r>
      </w:hyperlink>
      <w:r>
        <w:t xml:space="preserve">)</w:t>
      </w:r>
      <w:r>
        <w:t xml:space="preserve"> </w:t>
      </w:r>
      <w:r>
        <w:t xml:space="preserve">is sound.</w:t>
      </w:r>
    </w:p>
  </w:footnote>
  <w:footnote w:id="160">
    <w:p>
      <w:pPr>
        <w:pStyle w:val="FootnoteText"/>
      </w:pPr>
      <w:r>
        <w:rPr>
          <w:rStyle w:val="FootnoteReference"/>
        </w:rPr>
        <w:footnoteRef/>
      </w:r>
      <w:r>
        <w:t xml:space="preserve"> </w:t>
      </w:r>
      <w:r>
        <w:t xml:space="preserve">This section draws on section 5 of my</w:t>
      </w:r>
      <w:r>
        <w:t xml:space="preserve"> </w:t>
      </w:r>
      <w:r>
        <w:t xml:space="preserve">(</w:t>
      </w:r>
      <w:hyperlink w:anchor="ref-Weatherson2011-WEADIR">
        <w:r>
          <w:rPr>
            <w:rStyle w:val="Hyperlink"/>
          </w:rPr>
          <w:t xml:space="preserve">2011</w:t>
        </w:r>
      </w:hyperlink>
      <w:r>
        <w:t xml:space="preserve">)</w:t>
      </w:r>
      <w:r>
        <w:t xml:space="preserve">.</w:t>
      </w:r>
    </w:p>
  </w:footnote>
  <w:footnote w:id="164">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w:t>
      </w:r>
      <w:hyperlink w:anchor="ref-MandelkernEtAl2017">
        <w:r>
          <w:rPr>
            <w:rStyle w:val="Hyperlink"/>
          </w:rPr>
          <w:t xml:space="preserve">Mandelkern, Schultheis, and Boylan 2017</w:t>
        </w:r>
      </w:hyperlink>
      <w:r>
        <w:t xml:space="preserve">)</w:t>
      </w:r>
      <w:r>
        <w:t xml:space="preserve">. To say Lupin can unlock the phone is not to say he might unlock the phone - anyone might unlock it hitting random numbers - it’s to say he has a method that would unlock the phone if deployed.</w:t>
      </w:r>
    </w:p>
  </w:footnote>
  <w:footnote w:id="165">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3" Target="http://hdl.handle.net/2027/spo.3521354.0011.006" TargetMode="External" /><Relationship Type="http://schemas.openxmlformats.org/officeDocument/2006/relationships/hyperlink" Id="rId217" Target="http://journal.sjdm.org/8320/jdm8320.pdf" TargetMode="External" /><Relationship Type="http://schemas.openxmlformats.org/officeDocument/2006/relationships/hyperlink" Id="rId395" Target="https://doi.org/10.1006/reec.1999.0200" TargetMode="External" /><Relationship Type="http://schemas.openxmlformats.org/officeDocument/2006/relationships/hyperlink" Id="rId266" Target="https://doi.org/10.1007/BF00293423" TargetMode="External" /><Relationship Type="http://schemas.openxmlformats.org/officeDocument/2006/relationships/hyperlink" Id="rId389" Target="https://doi.org/10.1007/BF01079205" TargetMode="External" /><Relationship Type="http://schemas.openxmlformats.org/officeDocument/2006/relationships/hyperlink" Id="rId173" Target="https://doi.org/10.1007/s001820050111" TargetMode="External" /><Relationship Type="http://schemas.openxmlformats.org/officeDocument/2006/relationships/hyperlink" Id="rId318" Target="https://doi.org/10.1007/s10734-010-9309-7" TargetMode="External" /><Relationship Type="http://schemas.openxmlformats.org/officeDocument/2006/relationships/hyperlink" Id="rId405" Target="https://doi.org/10.1007/s11098-004-5218-x" TargetMode="External" /><Relationship Type="http://schemas.openxmlformats.org/officeDocument/2006/relationships/hyperlink" Id="rId244" Target="https://doi.org/10.1007/s11098-005-7779-8" TargetMode="External" /><Relationship Type="http://schemas.openxmlformats.org/officeDocument/2006/relationships/hyperlink" Id="rId241" Target="https://doi.org/10.1007/s11098-007-9133-9" TargetMode="External" /><Relationship Type="http://schemas.openxmlformats.org/officeDocument/2006/relationships/hyperlink" Id="rId377" Target="https://doi.org/10.1007/s11098-008-9200-x" TargetMode="External" /><Relationship Type="http://schemas.openxmlformats.org/officeDocument/2006/relationships/hyperlink" Id="rId225" Target="https://doi.org/10.1007/s11098-008-9225-1" TargetMode="External" /><Relationship Type="http://schemas.openxmlformats.org/officeDocument/2006/relationships/hyperlink" Id="rId314" Target="https://doi.org/10.1007/s11098-010-9542-z" TargetMode="External" /><Relationship Type="http://schemas.openxmlformats.org/officeDocument/2006/relationships/hyperlink" Id="rId223" Target="https://doi.org/10.1007/s11098-015-0461-x" TargetMode="External" /><Relationship Type="http://schemas.openxmlformats.org/officeDocument/2006/relationships/hyperlink" Id="rId257" Target="https://doi.org/10.1007/s11098-015-0553-7" TargetMode="External" /><Relationship Type="http://schemas.openxmlformats.org/officeDocument/2006/relationships/hyperlink" Id="rId441" Target="https://doi.org/10.1007/s11098-016-0631-5" TargetMode="External" /><Relationship Type="http://schemas.openxmlformats.org/officeDocument/2006/relationships/hyperlink" Id="rId183" Target="https://doi.org/10.1007/s11229-015-0878-y" TargetMode="External" /><Relationship Type="http://schemas.openxmlformats.org/officeDocument/2006/relationships/hyperlink" Id="rId320" Target="https://doi.org/10.1007/s11238-017-9592-1" TargetMode="External" /><Relationship Type="http://schemas.openxmlformats.org/officeDocument/2006/relationships/hyperlink" Id="rId353" Target="https://doi.org/10.1016/0167-2681(82)90008-7" TargetMode="External" /><Relationship Type="http://schemas.openxmlformats.org/officeDocument/2006/relationships/hyperlink" Id="rId369" Target="https://doi.org/10.1016/S0004-3702(97)00026-X" TargetMode="External" /><Relationship Type="http://schemas.openxmlformats.org/officeDocument/2006/relationships/hyperlink" Id="rId393" Target="https://doi.org/10.1016/S0165-4896(98)00007-9" TargetMode="External" /><Relationship Type="http://schemas.openxmlformats.org/officeDocument/2006/relationships/hyperlink" Id="rId198" Target="https://doi.org/10.1016/j.jcps.2014.08.002" TargetMode="External" /><Relationship Type="http://schemas.openxmlformats.org/officeDocument/2006/relationships/hyperlink" Id="rId345" Target="https://doi.org/10.1016/j.mathsocsci.2013.08.005" TargetMode="External" /><Relationship Type="http://schemas.openxmlformats.org/officeDocument/2006/relationships/hyperlink" Id="rId340" Target="https://doi.org/10.1016/j.shpsb.2009.08.008" TargetMode="External" /><Relationship Type="http://schemas.openxmlformats.org/officeDocument/2006/relationships/hyperlink" Id="rId288" Target="https://doi.org/10.1017/S0012217317000154" TargetMode="External" /><Relationship Type="http://schemas.openxmlformats.org/officeDocument/2006/relationships/hyperlink" Id="rId391" Target="https://doi.org/10.1017/S0266267100004132" TargetMode="External" /><Relationship Type="http://schemas.openxmlformats.org/officeDocument/2006/relationships/hyperlink" Id="rId295" Target="https://doi.org/10.1017/cbo9780511625237.009" TargetMode="External" /><Relationship Type="http://schemas.openxmlformats.org/officeDocument/2006/relationships/hyperlink" Id="rId380" Target="https://doi.org/10.1037/0022-3514.83.5.1178" TargetMode="External" /><Relationship Type="http://schemas.openxmlformats.org/officeDocument/2006/relationships/hyperlink" Id="rId338" Target="https://doi.org/10.1037/pspp0000141" TargetMode="External" /><Relationship Type="http://schemas.openxmlformats.org/officeDocument/2006/relationships/hyperlink" Id="rId327" Target="https://doi.org/10.1080/00048400801886397" TargetMode="External" /><Relationship Type="http://schemas.openxmlformats.org/officeDocument/2006/relationships/hyperlink" Id="rId367" Target="https://doi.org/10.1080/00048400802001996" TargetMode="External" /><Relationship Type="http://schemas.openxmlformats.org/officeDocument/2006/relationships/hyperlink" Id="rId360" Target="https://doi.org/10.1080/00048408412341601" TargetMode="External" /><Relationship Type="http://schemas.openxmlformats.org/officeDocument/2006/relationships/hyperlink" Id="rId430" Target="https://doi.org/10.1080/0020174X.2013.775010" TargetMode="External" /><Relationship Type="http://schemas.openxmlformats.org/officeDocument/2006/relationships/hyperlink" Id="rId331" Target="https://doi.org/10.1080/0020174X.2013.775014" TargetMode="External" /><Relationship Type="http://schemas.openxmlformats.org/officeDocument/2006/relationships/hyperlink" Id="rId196" Target="https://doi.org/10.1080/00213624.2017.1391594" TargetMode="External" /><Relationship Type="http://schemas.openxmlformats.org/officeDocument/2006/relationships/hyperlink" Id="rId290" Target="https://doi.org/10.1080/05568641.2017.1364142" TargetMode="External" /><Relationship Type="http://schemas.openxmlformats.org/officeDocument/2006/relationships/hyperlink" Id="rId371" Target="https://doi.org/10.1086/288168" TargetMode="External" /><Relationship Type="http://schemas.openxmlformats.org/officeDocument/2006/relationships/hyperlink" Id="rId312" Target="https://doi.org/10.1086/289906" TargetMode="External" /><Relationship Type="http://schemas.openxmlformats.org/officeDocument/2006/relationships/hyperlink" Id="rId310" Target="https://doi.org/10.1086/392759" TargetMode="External" /><Relationship Type="http://schemas.openxmlformats.org/officeDocument/2006/relationships/hyperlink" Id="rId264" Target="https://doi.org/10.1086/648610" TargetMode="External" /><Relationship Type="http://schemas.openxmlformats.org/officeDocument/2006/relationships/hyperlink" Id="rId373" Target="https://doi.org/10.1086/651235" TargetMode="External" /><Relationship Type="http://schemas.openxmlformats.org/officeDocument/2006/relationships/hyperlink" Id="rId262" Target="https://doi.org/10.1086/671402" TargetMode="External" /><Relationship Type="http://schemas.openxmlformats.org/officeDocument/2006/relationships/hyperlink" Id="rId171" Target="https://doi.org/10.1093/analys/anr083" TargetMode="External" /><Relationship Type="http://schemas.openxmlformats.org/officeDocument/2006/relationships/hyperlink" Id="rId282" Target="https://doi.org/10.1093/analys/anr129" TargetMode="External" /><Relationship Type="http://schemas.openxmlformats.org/officeDocument/2006/relationships/hyperlink" Id="rId302" Target="https://doi.org/10.1093/mind/105.418.303" TargetMode="External" /><Relationship Type="http://schemas.openxmlformats.org/officeDocument/2006/relationships/hyperlink" Id="rId300" Target="https://doi.org/10.1093/mind/xcvii.387.323" TargetMode="External" /><Relationship Type="http://schemas.openxmlformats.org/officeDocument/2006/relationships/hyperlink" Id="rId179" Target="https://doi.org/10.1111/j.0031-8094.2004.00350.x" TargetMode="External" /><Relationship Type="http://schemas.openxmlformats.org/officeDocument/2006/relationships/hyperlink" Id="rId426" Target="https://doi.org/10.1111/j.0031-8094.2005.00396.x" TargetMode="External" /><Relationship Type="http://schemas.openxmlformats.org/officeDocument/2006/relationships/hyperlink" Id="rId428" Target="https://doi.org/10.1111/j.1467-8284.2007.00671.x" TargetMode="External" /><Relationship Type="http://schemas.openxmlformats.org/officeDocument/2006/relationships/hyperlink" Id="rId270" Target="https://doi.org/10.1111/j.1467-9280.2006.01677.x" TargetMode="External" /><Relationship Type="http://schemas.openxmlformats.org/officeDocument/2006/relationships/hyperlink" Id="rId384" Target="https://doi.org/10.1111/j.1468-0017.2010.01394.x" TargetMode="External" /><Relationship Type="http://schemas.openxmlformats.org/officeDocument/2006/relationships/hyperlink" Id="rId189" Target="https://doi.org/10.1111/j.1468-0068.2008.00677.x" TargetMode="External" /><Relationship Type="http://schemas.openxmlformats.org/officeDocument/2006/relationships/hyperlink" Id="rId185" Target="https://doi.org/10.1111/j.1468-0262.2008.00835.x" TargetMode="External" /><Relationship Type="http://schemas.openxmlformats.org/officeDocument/2006/relationships/hyperlink" Id="rId403" Target="https://doi.org/10.1111/j.1520-8583.2005.00068.x" TargetMode="External" /><Relationship Type="http://schemas.openxmlformats.org/officeDocument/2006/relationships/hyperlink" Id="rId421" Target="https://doi.org/10.1111/j.1520-8583.2005.00069.x" TargetMode="External" /><Relationship Type="http://schemas.openxmlformats.org/officeDocument/2006/relationships/hyperlink" Id="rId284" Target="https://doi.org/10.1111/j.1520-8583.2010.00183.x" TargetMode="External" /><Relationship Type="http://schemas.openxmlformats.org/officeDocument/2006/relationships/hyperlink" Id="rId329" Target="https://doi.org/10.1111/j.1520-8583.2010.00198.x" TargetMode="External" /><Relationship Type="http://schemas.openxmlformats.org/officeDocument/2006/relationships/hyperlink" Id="rId351" Target="https://doi.org/10.1111/j.1533-6077.2004.00034.x" TargetMode="External" /><Relationship Type="http://schemas.openxmlformats.org/officeDocument/2006/relationships/hyperlink" Id="rId209" Target="https://doi.org/10.1111/j.1533-6077.2004.00040.x" TargetMode="External" /><Relationship Type="http://schemas.openxmlformats.org/officeDocument/2006/relationships/hyperlink" Id="rId207" Target="https://doi.org/10.1111/j.1933-1592.2002.tb00204.x" TargetMode="External" /><Relationship Type="http://schemas.openxmlformats.org/officeDocument/2006/relationships/hyperlink" Id="rId435" Target="https://doi.org/10.1111/j.1933-1592.2002.tb00205.x" TargetMode="External" /><Relationship Type="http://schemas.openxmlformats.org/officeDocument/2006/relationships/hyperlink" Id="rId255" Target="https://doi.org/10.1111/j.1933-1592.2005.tb00540.x" TargetMode="External" /><Relationship Type="http://schemas.openxmlformats.org/officeDocument/2006/relationships/hyperlink" Id="rId336" Target="https://doi.org/10.1111/j.1933-1592.2007.00069.x" TargetMode="External" /><Relationship Type="http://schemas.openxmlformats.org/officeDocument/2006/relationships/hyperlink" Id="rId181" Target="https://doi.org/10.1111/j.1933-1592.2009.00280.x" TargetMode="External" /><Relationship Type="http://schemas.openxmlformats.org/officeDocument/2006/relationships/hyperlink" Id="rId416" Target="https://doi.org/10.1111/j.1933-1592.2010.00448.x" TargetMode="External" /><Relationship Type="http://schemas.openxmlformats.org/officeDocument/2006/relationships/hyperlink" Id="rId364" Target="https://doi.org/10.1111/j.1933-1592.2011.00552.x" TargetMode="External" /><Relationship Type="http://schemas.openxmlformats.org/officeDocument/2006/relationships/hyperlink" Id="rId276" Target="https://doi.org/10.1111/jere.12070" TargetMode="External" /><Relationship Type="http://schemas.openxmlformats.org/officeDocument/2006/relationships/hyperlink" Id="rId375" Target="https://doi.org/10.1111/nous.12006" TargetMode="External" /><Relationship Type="http://schemas.openxmlformats.org/officeDocument/2006/relationships/hyperlink" Id="rId233" Target="https://doi.org/10.1111/nous.12137" TargetMode="External" /><Relationship Type="http://schemas.openxmlformats.org/officeDocument/2006/relationships/hyperlink" Id="rId237" Target="https://doi.org/10.1111/nous.12222" TargetMode="External" /><Relationship Type="http://schemas.openxmlformats.org/officeDocument/2006/relationships/hyperlink" Id="rId386" Target="https://doi.org/10.1111/nous.12254" TargetMode="External" /><Relationship Type="http://schemas.openxmlformats.org/officeDocument/2006/relationships/hyperlink" Id="rId322" Target="https://doi.org/10.1111/nous.12323" TargetMode="External" /><Relationship Type="http://schemas.openxmlformats.org/officeDocument/2006/relationships/hyperlink" Id="rId235" Target="https://doi.org/10.1111/phis.12141" TargetMode="External" /><Relationship Type="http://schemas.openxmlformats.org/officeDocument/2006/relationships/hyperlink" Id="rId410" Target="https://doi.org/10.1111/phpr.12088" TargetMode="External" /><Relationship Type="http://schemas.openxmlformats.org/officeDocument/2006/relationships/hyperlink" Id="rId286" Target="https://doi.org/10.1111/phpr.12090" TargetMode="External" /><Relationship Type="http://schemas.openxmlformats.org/officeDocument/2006/relationships/hyperlink" Id="rId400" Target="https://doi.org/10.1111/phpr.12191" TargetMode="External" /><Relationship Type="http://schemas.openxmlformats.org/officeDocument/2006/relationships/hyperlink" Id="rId307" Target="https://doi.org/10.1111/phpr.12271" TargetMode="External" /><Relationship Type="http://schemas.openxmlformats.org/officeDocument/2006/relationships/hyperlink" Id="rId438" Target="https://doi.org/10.1111/phpr.12330" TargetMode="External" /><Relationship Type="http://schemas.openxmlformats.org/officeDocument/2006/relationships/hyperlink" Id="rId334" Target="https://doi.org/10.1111/phpr.12431" TargetMode="External" /><Relationship Type="http://schemas.openxmlformats.org/officeDocument/2006/relationships/hyperlink" Id="rId382" Target="https://doi.org/10.1215/00318108-2007-037" TargetMode="External" /><Relationship Type="http://schemas.openxmlformats.org/officeDocument/2006/relationships/hyperlink" Id="rId316" Target="https://doi.org/10.1215/00318108-3878483" TargetMode="External" /><Relationship Type="http://schemas.openxmlformats.org/officeDocument/2006/relationships/hyperlink" Id="rId239" Target="https://doi.org/10.1215/00318108-8540918" TargetMode="External" /><Relationship Type="http://schemas.openxmlformats.org/officeDocument/2006/relationships/hyperlink" Id="rId358" Target="https://doi.org/10.1257/aer.101.2.900" TargetMode="External" /><Relationship Type="http://schemas.openxmlformats.org/officeDocument/2006/relationships/hyperlink" Id="rId192" Target="https://doi.org/10.1257/aer.101.7.2899" TargetMode="External" /><Relationship Type="http://schemas.openxmlformats.org/officeDocument/2006/relationships/hyperlink" Id="rId279" Target="https://doi.org/10.2307/1912320" TargetMode="External" /><Relationship Type="http://schemas.openxmlformats.org/officeDocument/2006/relationships/hyperlink" Id="rId293" Target="https://doi.org/10.2307/2184045" TargetMode="External" /><Relationship Type="http://schemas.openxmlformats.org/officeDocument/2006/relationships/hyperlink" Id="rId298" Target="https://doi.org/10.2307/2185051" TargetMode="External" /><Relationship Type="http://schemas.openxmlformats.org/officeDocument/2006/relationships/hyperlink" Id="rId268" Target="https://doi.org/10.2307/2216304" TargetMode="External" /><Relationship Type="http://schemas.openxmlformats.org/officeDocument/2006/relationships/hyperlink" Id="rId305" Target="https://doi.org/10.2307/2296233" TargetMode="External" /><Relationship Type="http://schemas.openxmlformats.org/officeDocument/2006/relationships/hyperlink" Id="rId194" Target="https://doi.org/10.2307/2951491" TargetMode="External" /><Relationship Type="http://schemas.openxmlformats.org/officeDocument/2006/relationships/hyperlink" Id="rId229" Target="https://doi.org/10.2307/3182570" TargetMode="External" /><Relationship Type="http://schemas.openxmlformats.org/officeDocument/2006/relationships/hyperlink" Id="rId215" Target="https://doi.org/10.2307/3182618" TargetMode="External" /><Relationship Type="http://schemas.openxmlformats.org/officeDocument/2006/relationships/hyperlink" Id="rId246" Target="https://doi.org/10.2307/3326922" TargetMode="External" /><Relationship Type="http://schemas.openxmlformats.org/officeDocument/2006/relationships/hyperlink" Id="rId249" Target="https://doi.org/10.3765/sp.3.4" TargetMode="External" /><Relationship Type="http://schemas.openxmlformats.org/officeDocument/2006/relationships/hyperlink" Id="rId362" Target="https://doi.org/10.3765/sp.5.6" TargetMode="External" /><Relationship Type="http://schemas.openxmlformats.org/officeDocument/2006/relationships/hyperlink" Id="rId220" Target="https://doi.org/10.3998/ergo.12405314.0002.026" TargetMode="External" /><Relationship Type="http://schemas.openxmlformats.org/officeDocument/2006/relationships/hyperlink" Id="rId260" Target="https://doi.org/10.5840/jphil20081051022" TargetMode="External" /><Relationship Type="http://schemas.openxmlformats.org/officeDocument/2006/relationships/hyperlink" Id="rId407" Target="https://doi.org/10.5840/logos-episteme2011248" TargetMode="External" /><Relationship Type="http://schemas.openxmlformats.org/officeDocument/2006/relationships/hyperlink" Id="rId418" Target="https://doi.org/2027/spo.3521354.0013.022" TargetMode="External" /><Relationship Type="http://schemas.openxmlformats.org/officeDocument/2006/relationships/hyperlink" Id="rId355" Target="https://plato.stanford.edu/archives/spr2018/entries/public-reason/" TargetMode="External" /><Relationship Type="http://schemas.openxmlformats.org/officeDocument/2006/relationships/hyperlink" Id="rId212" Target="https://plato.stanford.edu/archives/spr2018/entries/questions/" TargetMode="External" /><Relationship Type="http://schemas.openxmlformats.org/officeDocument/2006/relationships/hyperlink" Id="rId187" Target="https://plato.stanford.edu/archives/sum2021/entries/philo-larissa/" TargetMode="External" /><Relationship Type="http://schemas.openxmlformats.org/officeDocument/2006/relationships/hyperlink" Id="rId348"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03" Target="http://hdl.handle.net/2027/spo.3521354.0011.006" TargetMode="External" /><Relationship Type="http://schemas.openxmlformats.org/officeDocument/2006/relationships/hyperlink" Id="rId217" Target="http://journal.sjdm.org/8320/jdm8320.pdf" TargetMode="External" /><Relationship Type="http://schemas.openxmlformats.org/officeDocument/2006/relationships/hyperlink" Id="rId395" Target="https://doi.org/10.1006/reec.1999.0200" TargetMode="External" /><Relationship Type="http://schemas.openxmlformats.org/officeDocument/2006/relationships/hyperlink" Id="rId266" Target="https://doi.org/10.1007/BF00293423" TargetMode="External" /><Relationship Type="http://schemas.openxmlformats.org/officeDocument/2006/relationships/hyperlink" Id="rId389" Target="https://doi.org/10.1007/BF01079205" TargetMode="External" /><Relationship Type="http://schemas.openxmlformats.org/officeDocument/2006/relationships/hyperlink" Id="rId173" Target="https://doi.org/10.1007/s001820050111" TargetMode="External" /><Relationship Type="http://schemas.openxmlformats.org/officeDocument/2006/relationships/hyperlink" Id="rId318" Target="https://doi.org/10.1007/s10734-010-9309-7" TargetMode="External" /><Relationship Type="http://schemas.openxmlformats.org/officeDocument/2006/relationships/hyperlink" Id="rId405" Target="https://doi.org/10.1007/s11098-004-5218-x" TargetMode="External" /><Relationship Type="http://schemas.openxmlformats.org/officeDocument/2006/relationships/hyperlink" Id="rId244" Target="https://doi.org/10.1007/s11098-005-7779-8" TargetMode="External" /><Relationship Type="http://schemas.openxmlformats.org/officeDocument/2006/relationships/hyperlink" Id="rId241" Target="https://doi.org/10.1007/s11098-007-9133-9" TargetMode="External" /><Relationship Type="http://schemas.openxmlformats.org/officeDocument/2006/relationships/hyperlink" Id="rId377" Target="https://doi.org/10.1007/s11098-008-9200-x" TargetMode="External" /><Relationship Type="http://schemas.openxmlformats.org/officeDocument/2006/relationships/hyperlink" Id="rId225" Target="https://doi.org/10.1007/s11098-008-9225-1" TargetMode="External" /><Relationship Type="http://schemas.openxmlformats.org/officeDocument/2006/relationships/hyperlink" Id="rId314" Target="https://doi.org/10.1007/s11098-010-9542-z" TargetMode="External" /><Relationship Type="http://schemas.openxmlformats.org/officeDocument/2006/relationships/hyperlink" Id="rId223" Target="https://doi.org/10.1007/s11098-015-0461-x" TargetMode="External" /><Relationship Type="http://schemas.openxmlformats.org/officeDocument/2006/relationships/hyperlink" Id="rId257" Target="https://doi.org/10.1007/s11098-015-0553-7" TargetMode="External" /><Relationship Type="http://schemas.openxmlformats.org/officeDocument/2006/relationships/hyperlink" Id="rId441" Target="https://doi.org/10.1007/s11098-016-0631-5" TargetMode="External" /><Relationship Type="http://schemas.openxmlformats.org/officeDocument/2006/relationships/hyperlink" Id="rId183" Target="https://doi.org/10.1007/s11229-015-0878-y" TargetMode="External" /><Relationship Type="http://schemas.openxmlformats.org/officeDocument/2006/relationships/hyperlink" Id="rId320" Target="https://doi.org/10.1007/s11238-017-9592-1" TargetMode="External" /><Relationship Type="http://schemas.openxmlformats.org/officeDocument/2006/relationships/hyperlink" Id="rId353" Target="https://doi.org/10.1016/0167-2681(82)90008-7" TargetMode="External" /><Relationship Type="http://schemas.openxmlformats.org/officeDocument/2006/relationships/hyperlink" Id="rId369" Target="https://doi.org/10.1016/S0004-3702(97)00026-X" TargetMode="External" /><Relationship Type="http://schemas.openxmlformats.org/officeDocument/2006/relationships/hyperlink" Id="rId393" Target="https://doi.org/10.1016/S0165-4896(98)00007-9" TargetMode="External" /><Relationship Type="http://schemas.openxmlformats.org/officeDocument/2006/relationships/hyperlink" Id="rId198" Target="https://doi.org/10.1016/j.jcps.2014.08.002" TargetMode="External" /><Relationship Type="http://schemas.openxmlformats.org/officeDocument/2006/relationships/hyperlink" Id="rId345" Target="https://doi.org/10.1016/j.mathsocsci.2013.08.005" TargetMode="External" /><Relationship Type="http://schemas.openxmlformats.org/officeDocument/2006/relationships/hyperlink" Id="rId340" Target="https://doi.org/10.1016/j.shpsb.2009.08.008" TargetMode="External" /><Relationship Type="http://schemas.openxmlformats.org/officeDocument/2006/relationships/hyperlink" Id="rId288" Target="https://doi.org/10.1017/S0012217317000154" TargetMode="External" /><Relationship Type="http://schemas.openxmlformats.org/officeDocument/2006/relationships/hyperlink" Id="rId391" Target="https://doi.org/10.1017/S0266267100004132" TargetMode="External" /><Relationship Type="http://schemas.openxmlformats.org/officeDocument/2006/relationships/hyperlink" Id="rId295" Target="https://doi.org/10.1017/cbo9780511625237.009" TargetMode="External" /><Relationship Type="http://schemas.openxmlformats.org/officeDocument/2006/relationships/hyperlink" Id="rId380" Target="https://doi.org/10.1037/0022-3514.83.5.1178" TargetMode="External" /><Relationship Type="http://schemas.openxmlformats.org/officeDocument/2006/relationships/hyperlink" Id="rId338" Target="https://doi.org/10.1037/pspp0000141" TargetMode="External" /><Relationship Type="http://schemas.openxmlformats.org/officeDocument/2006/relationships/hyperlink" Id="rId327" Target="https://doi.org/10.1080/00048400801886397" TargetMode="External" /><Relationship Type="http://schemas.openxmlformats.org/officeDocument/2006/relationships/hyperlink" Id="rId367" Target="https://doi.org/10.1080/00048400802001996" TargetMode="External" /><Relationship Type="http://schemas.openxmlformats.org/officeDocument/2006/relationships/hyperlink" Id="rId360" Target="https://doi.org/10.1080/00048408412341601" TargetMode="External" /><Relationship Type="http://schemas.openxmlformats.org/officeDocument/2006/relationships/hyperlink" Id="rId430" Target="https://doi.org/10.1080/0020174X.2013.775010" TargetMode="External" /><Relationship Type="http://schemas.openxmlformats.org/officeDocument/2006/relationships/hyperlink" Id="rId331" Target="https://doi.org/10.1080/0020174X.2013.775014" TargetMode="External" /><Relationship Type="http://schemas.openxmlformats.org/officeDocument/2006/relationships/hyperlink" Id="rId196" Target="https://doi.org/10.1080/00213624.2017.1391594" TargetMode="External" /><Relationship Type="http://schemas.openxmlformats.org/officeDocument/2006/relationships/hyperlink" Id="rId290" Target="https://doi.org/10.1080/05568641.2017.1364142" TargetMode="External" /><Relationship Type="http://schemas.openxmlformats.org/officeDocument/2006/relationships/hyperlink" Id="rId371" Target="https://doi.org/10.1086/288168" TargetMode="External" /><Relationship Type="http://schemas.openxmlformats.org/officeDocument/2006/relationships/hyperlink" Id="rId312" Target="https://doi.org/10.1086/289906" TargetMode="External" /><Relationship Type="http://schemas.openxmlformats.org/officeDocument/2006/relationships/hyperlink" Id="rId310" Target="https://doi.org/10.1086/392759" TargetMode="External" /><Relationship Type="http://schemas.openxmlformats.org/officeDocument/2006/relationships/hyperlink" Id="rId264" Target="https://doi.org/10.1086/648610" TargetMode="External" /><Relationship Type="http://schemas.openxmlformats.org/officeDocument/2006/relationships/hyperlink" Id="rId373" Target="https://doi.org/10.1086/651235" TargetMode="External" /><Relationship Type="http://schemas.openxmlformats.org/officeDocument/2006/relationships/hyperlink" Id="rId262" Target="https://doi.org/10.1086/671402" TargetMode="External" /><Relationship Type="http://schemas.openxmlformats.org/officeDocument/2006/relationships/hyperlink" Id="rId171" Target="https://doi.org/10.1093/analys/anr083" TargetMode="External" /><Relationship Type="http://schemas.openxmlformats.org/officeDocument/2006/relationships/hyperlink" Id="rId282" Target="https://doi.org/10.1093/analys/anr129" TargetMode="External" /><Relationship Type="http://schemas.openxmlformats.org/officeDocument/2006/relationships/hyperlink" Id="rId302" Target="https://doi.org/10.1093/mind/105.418.303" TargetMode="External" /><Relationship Type="http://schemas.openxmlformats.org/officeDocument/2006/relationships/hyperlink" Id="rId300" Target="https://doi.org/10.1093/mind/xcvii.387.323" TargetMode="External" /><Relationship Type="http://schemas.openxmlformats.org/officeDocument/2006/relationships/hyperlink" Id="rId179" Target="https://doi.org/10.1111/j.0031-8094.2004.00350.x" TargetMode="External" /><Relationship Type="http://schemas.openxmlformats.org/officeDocument/2006/relationships/hyperlink" Id="rId426" Target="https://doi.org/10.1111/j.0031-8094.2005.00396.x" TargetMode="External" /><Relationship Type="http://schemas.openxmlformats.org/officeDocument/2006/relationships/hyperlink" Id="rId428" Target="https://doi.org/10.1111/j.1467-8284.2007.00671.x" TargetMode="External" /><Relationship Type="http://schemas.openxmlformats.org/officeDocument/2006/relationships/hyperlink" Id="rId270" Target="https://doi.org/10.1111/j.1467-9280.2006.01677.x" TargetMode="External" /><Relationship Type="http://schemas.openxmlformats.org/officeDocument/2006/relationships/hyperlink" Id="rId384" Target="https://doi.org/10.1111/j.1468-0017.2010.01394.x" TargetMode="External" /><Relationship Type="http://schemas.openxmlformats.org/officeDocument/2006/relationships/hyperlink" Id="rId189" Target="https://doi.org/10.1111/j.1468-0068.2008.00677.x" TargetMode="External" /><Relationship Type="http://schemas.openxmlformats.org/officeDocument/2006/relationships/hyperlink" Id="rId185" Target="https://doi.org/10.1111/j.1468-0262.2008.00835.x" TargetMode="External" /><Relationship Type="http://schemas.openxmlformats.org/officeDocument/2006/relationships/hyperlink" Id="rId403" Target="https://doi.org/10.1111/j.1520-8583.2005.00068.x" TargetMode="External" /><Relationship Type="http://schemas.openxmlformats.org/officeDocument/2006/relationships/hyperlink" Id="rId421" Target="https://doi.org/10.1111/j.1520-8583.2005.00069.x" TargetMode="External" /><Relationship Type="http://schemas.openxmlformats.org/officeDocument/2006/relationships/hyperlink" Id="rId284" Target="https://doi.org/10.1111/j.1520-8583.2010.00183.x" TargetMode="External" /><Relationship Type="http://schemas.openxmlformats.org/officeDocument/2006/relationships/hyperlink" Id="rId329" Target="https://doi.org/10.1111/j.1520-8583.2010.00198.x" TargetMode="External" /><Relationship Type="http://schemas.openxmlformats.org/officeDocument/2006/relationships/hyperlink" Id="rId351" Target="https://doi.org/10.1111/j.1533-6077.2004.00034.x" TargetMode="External" /><Relationship Type="http://schemas.openxmlformats.org/officeDocument/2006/relationships/hyperlink" Id="rId209" Target="https://doi.org/10.1111/j.1533-6077.2004.00040.x" TargetMode="External" /><Relationship Type="http://schemas.openxmlformats.org/officeDocument/2006/relationships/hyperlink" Id="rId207" Target="https://doi.org/10.1111/j.1933-1592.2002.tb00204.x" TargetMode="External" /><Relationship Type="http://schemas.openxmlformats.org/officeDocument/2006/relationships/hyperlink" Id="rId435" Target="https://doi.org/10.1111/j.1933-1592.2002.tb00205.x" TargetMode="External" /><Relationship Type="http://schemas.openxmlformats.org/officeDocument/2006/relationships/hyperlink" Id="rId255" Target="https://doi.org/10.1111/j.1933-1592.2005.tb00540.x" TargetMode="External" /><Relationship Type="http://schemas.openxmlformats.org/officeDocument/2006/relationships/hyperlink" Id="rId336" Target="https://doi.org/10.1111/j.1933-1592.2007.00069.x" TargetMode="External" /><Relationship Type="http://schemas.openxmlformats.org/officeDocument/2006/relationships/hyperlink" Id="rId181" Target="https://doi.org/10.1111/j.1933-1592.2009.00280.x" TargetMode="External" /><Relationship Type="http://schemas.openxmlformats.org/officeDocument/2006/relationships/hyperlink" Id="rId416" Target="https://doi.org/10.1111/j.1933-1592.2010.00448.x" TargetMode="External" /><Relationship Type="http://schemas.openxmlformats.org/officeDocument/2006/relationships/hyperlink" Id="rId364" Target="https://doi.org/10.1111/j.1933-1592.2011.00552.x" TargetMode="External" /><Relationship Type="http://schemas.openxmlformats.org/officeDocument/2006/relationships/hyperlink" Id="rId276" Target="https://doi.org/10.1111/jere.12070" TargetMode="External" /><Relationship Type="http://schemas.openxmlformats.org/officeDocument/2006/relationships/hyperlink" Id="rId375" Target="https://doi.org/10.1111/nous.12006" TargetMode="External" /><Relationship Type="http://schemas.openxmlformats.org/officeDocument/2006/relationships/hyperlink" Id="rId233" Target="https://doi.org/10.1111/nous.12137" TargetMode="External" /><Relationship Type="http://schemas.openxmlformats.org/officeDocument/2006/relationships/hyperlink" Id="rId237" Target="https://doi.org/10.1111/nous.12222" TargetMode="External" /><Relationship Type="http://schemas.openxmlformats.org/officeDocument/2006/relationships/hyperlink" Id="rId386" Target="https://doi.org/10.1111/nous.12254" TargetMode="External" /><Relationship Type="http://schemas.openxmlformats.org/officeDocument/2006/relationships/hyperlink" Id="rId322" Target="https://doi.org/10.1111/nous.12323" TargetMode="External" /><Relationship Type="http://schemas.openxmlformats.org/officeDocument/2006/relationships/hyperlink" Id="rId235" Target="https://doi.org/10.1111/phis.12141" TargetMode="External" /><Relationship Type="http://schemas.openxmlformats.org/officeDocument/2006/relationships/hyperlink" Id="rId410" Target="https://doi.org/10.1111/phpr.12088" TargetMode="External" /><Relationship Type="http://schemas.openxmlformats.org/officeDocument/2006/relationships/hyperlink" Id="rId286" Target="https://doi.org/10.1111/phpr.12090" TargetMode="External" /><Relationship Type="http://schemas.openxmlformats.org/officeDocument/2006/relationships/hyperlink" Id="rId400" Target="https://doi.org/10.1111/phpr.12191" TargetMode="External" /><Relationship Type="http://schemas.openxmlformats.org/officeDocument/2006/relationships/hyperlink" Id="rId307" Target="https://doi.org/10.1111/phpr.12271" TargetMode="External" /><Relationship Type="http://schemas.openxmlformats.org/officeDocument/2006/relationships/hyperlink" Id="rId438" Target="https://doi.org/10.1111/phpr.12330" TargetMode="External" /><Relationship Type="http://schemas.openxmlformats.org/officeDocument/2006/relationships/hyperlink" Id="rId334" Target="https://doi.org/10.1111/phpr.12431" TargetMode="External" /><Relationship Type="http://schemas.openxmlformats.org/officeDocument/2006/relationships/hyperlink" Id="rId382" Target="https://doi.org/10.1215/00318108-2007-037" TargetMode="External" /><Relationship Type="http://schemas.openxmlformats.org/officeDocument/2006/relationships/hyperlink" Id="rId316" Target="https://doi.org/10.1215/00318108-3878483" TargetMode="External" /><Relationship Type="http://schemas.openxmlformats.org/officeDocument/2006/relationships/hyperlink" Id="rId239" Target="https://doi.org/10.1215/00318108-8540918" TargetMode="External" /><Relationship Type="http://schemas.openxmlformats.org/officeDocument/2006/relationships/hyperlink" Id="rId358" Target="https://doi.org/10.1257/aer.101.2.900" TargetMode="External" /><Relationship Type="http://schemas.openxmlformats.org/officeDocument/2006/relationships/hyperlink" Id="rId192" Target="https://doi.org/10.1257/aer.101.7.2899" TargetMode="External" /><Relationship Type="http://schemas.openxmlformats.org/officeDocument/2006/relationships/hyperlink" Id="rId279" Target="https://doi.org/10.2307/1912320" TargetMode="External" /><Relationship Type="http://schemas.openxmlformats.org/officeDocument/2006/relationships/hyperlink" Id="rId293" Target="https://doi.org/10.2307/2184045" TargetMode="External" /><Relationship Type="http://schemas.openxmlformats.org/officeDocument/2006/relationships/hyperlink" Id="rId298" Target="https://doi.org/10.2307/2185051" TargetMode="External" /><Relationship Type="http://schemas.openxmlformats.org/officeDocument/2006/relationships/hyperlink" Id="rId268" Target="https://doi.org/10.2307/2216304" TargetMode="External" /><Relationship Type="http://schemas.openxmlformats.org/officeDocument/2006/relationships/hyperlink" Id="rId305" Target="https://doi.org/10.2307/2296233" TargetMode="External" /><Relationship Type="http://schemas.openxmlformats.org/officeDocument/2006/relationships/hyperlink" Id="rId194" Target="https://doi.org/10.2307/2951491" TargetMode="External" /><Relationship Type="http://schemas.openxmlformats.org/officeDocument/2006/relationships/hyperlink" Id="rId229" Target="https://doi.org/10.2307/3182570" TargetMode="External" /><Relationship Type="http://schemas.openxmlformats.org/officeDocument/2006/relationships/hyperlink" Id="rId215" Target="https://doi.org/10.2307/3182618" TargetMode="External" /><Relationship Type="http://schemas.openxmlformats.org/officeDocument/2006/relationships/hyperlink" Id="rId246" Target="https://doi.org/10.2307/3326922" TargetMode="External" /><Relationship Type="http://schemas.openxmlformats.org/officeDocument/2006/relationships/hyperlink" Id="rId249" Target="https://doi.org/10.3765/sp.3.4" TargetMode="External" /><Relationship Type="http://schemas.openxmlformats.org/officeDocument/2006/relationships/hyperlink" Id="rId362" Target="https://doi.org/10.3765/sp.5.6" TargetMode="External" /><Relationship Type="http://schemas.openxmlformats.org/officeDocument/2006/relationships/hyperlink" Id="rId220" Target="https://doi.org/10.3998/ergo.12405314.0002.026" TargetMode="External" /><Relationship Type="http://schemas.openxmlformats.org/officeDocument/2006/relationships/hyperlink" Id="rId260" Target="https://doi.org/10.5840/jphil20081051022" TargetMode="External" /><Relationship Type="http://schemas.openxmlformats.org/officeDocument/2006/relationships/hyperlink" Id="rId407" Target="https://doi.org/10.5840/logos-episteme2011248" TargetMode="External" /><Relationship Type="http://schemas.openxmlformats.org/officeDocument/2006/relationships/hyperlink" Id="rId418" Target="https://doi.org/2027/spo.3521354.0013.022" TargetMode="External" /><Relationship Type="http://schemas.openxmlformats.org/officeDocument/2006/relationships/hyperlink" Id="rId355" Target="https://plato.stanford.edu/archives/spr2018/entries/public-reason/" TargetMode="External" /><Relationship Type="http://schemas.openxmlformats.org/officeDocument/2006/relationships/hyperlink" Id="rId212" Target="https://plato.stanford.edu/archives/spr2018/entries/questions/" TargetMode="External" /><Relationship Type="http://schemas.openxmlformats.org/officeDocument/2006/relationships/hyperlink" Id="rId187" Target="https://plato.stanford.edu/archives/sum2021/entries/philo-larissa/" TargetMode="External" /><Relationship Type="http://schemas.openxmlformats.org/officeDocument/2006/relationships/hyperlink" Id="rId348"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dc:description>A defence of an interest-relative theory of knowledge</dc:description>
  <cp:keywords/>
  <dcterms:created xsi:type="dcterms:W3CDTF">2022-10-07T15:50:56Z</dcterms:created>
  <dcterms:modified xsi:type="dcterms:W3CDTF">2022-10-07T15:50:56Z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philreview</vt:lpwstr>
  </property>
  <property fmtid="{D5CDD505-2E9C-101B-9397-08002B2CF9AE}" pid="3" name="bibliography">
    <vt:lpwstr>CollBib.bib</vt:lpwstr>
  </property>
  <property fmtid="{D5CDD505-2E9C-101B-9397-08002B2CF9AE}" pid="4" name="bookdown">
    <vt:lpwstr/>
  </property>
  <property fmtid="{D5CDD505-2E9C-101B-9397-08002B2CF9AE}" pid="5" name="cover-image">
    <vt:lpwstr>tree.jpg</vt:lpwstr>
  </property>
  <property fmtid="{D5CDD505-2E9C-101B-9397-08002B2CF9AE}" pid="6" name="date">
    <vt:lpwstr>2022-10-07</vt:lpwstr>
  </property>
  <property fmtid="{D5CDD505-2E9C-101B-9397-08002B2CF9AE}" pid="7" name="documentclass">
    <vt:lpwstr>book</vt:lpwstr>
  </property>
  <property fmtid="{D5CDD505-2E9C-101B-9397-08002B2CF9AE}" pid="8" name="fontsize">
    <vt:lpwstr>11pt</vt:lpwstr>
  </property>
  <property fmtid="{D5CDD505-2E9C-101B-9397-08002B2CF9AE}" pid="9" name="geometry">
    <vt:lpwstr>left=1.95in,right=1.95in,top=1.78in,bottom=1.78in</vt:lpwstr>
  </property>
  <property fmtid="{D5CDD505-2E9C-101B-9397-08002B2CF9AE}" pid="10" name="indent">
    <vt:lpwstr>True</vt:lpwstr>
  </property>
  <property fmtid="{D5CDD505-2E9C-101B-9397-08002B2CF9AE}" pid="11" name="link-citations">
    <vt:lpwstr>True</vt:lpwstr>
  </property>
  <property fmtid="{D5CDD505-2E9C-101B-9397-08002B2CF9AE}" pid="12" name="mainfont">
    <vt:lpwstr>STIX Two Math</vt:lpwstr>
  </property>
  <property fmtid="{D5CDD505-2E9C-101B-9397-08002B2CF9AE}" pid="13" name="mainfontoptions">
    <vt:lpwstr>BoldFont = STIX Two Text SemiBold, ItalicFont = STIX Two Text Italic, Scale = MatchLowercase</vt:lpwstr>
  </property>
  <property fmtid="{D5CDD505-2E9C-101B-9397-08002B2CF9AE}" pid="14" name="output">
    <vt:lpwstr/>
  </property>
  <property fmtid="{D5CDD505-2E9C-101B-9397-08002B2CF9AE}" pid="15" name="site">
    <vt:lpwstr>bookdown::bookdown_site</vt:lpwstr>
  </property>
  <property fmtid="{D5CDD505-2E9C-101B-9397-08002B2CF9AE}" pid="16" name="subtitle">
    <vt:lpwstr>A Human Interest Story</vt:lpwstr>
  </property>
</Properties>
</file>