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d67133015bd972489f0643d2a41b2f0183ea98d"/>
    <w:p>
      <w:pPr>
        <w:pStyle w:val="Heading1"/>
      </w:pPr>
      <w:r>
        <w:t xml:space="preserve">Response to Referee 1 — ANALYSIS-2024-521.R2,</w:t>
      </w:r>
      <w:r>
        <w:t xml:space="preserve"> </w:t>
      </w:r>
      <w:r>
        <w:t xml:space="preserve">“Anti-Anti-Desire-As-Belief”</w:t>
      </w:r>
    </w:p>
    <w:p>
      <w:pPr>
        <w:pStyle w:val="FirstParagraph"/>
      </w:pPr>
      <w:r>
        <w:t xml:space="preserve">I’m grateful to the referee for two rounds of careful comments; the paper is better for both. The revision follows the markup conventions requested by the editorial office: additions are in bold, and substantial deletions are struck through. Some changes were made silently; I’ve described them at the end of this letter.</w:t>
      </w:r>
    </w:p>
    <w:p>
      <w:pPr>
        <w:pStyle w:val="BodyText"/>
      </w:pPr>
      <w:r>
        <w:rPr>
          <w:b/>
          <w:bCs/>
        </w:rPr>
        <w:t xml:space="preserve">1. The main issue: the framing of the Aunties.</w:t>
      </w:r>
      <w:r>
        <w:t xml:space="preserve"> </w:t>
      </w:r>
      <w:r>
        <w:t xml:space="preserve">The referee’s central concern was that the paper presupposed that Auntie E’s value function follows from evidential decision theory and Auntie C’s from causal decision theory, without any derivation being available — as they put it,</w:t>
      </w:r>
      <w:r>
        <w:t xml:space="preserve"> </w:t>
      </w:r>
      <w:r>
        <w:rPr>
          <w:i/>
          <w:iCs/>
        </w:rPr>
        <w:t xml:space="preserve">The Logic of Decision</w:t>
      </w:r>
      <w:r>
        <w:t xml:space="preserve"> </w:t>
      </w:r>
      <w:r>
        <w:t xml:space="preserve">says nothing about the credence one should give to propositions about goodness. The suggestion was that I use a weaker framing: each judgement about Peter harmonizes with a decision theory and can be extended to a general principle. I’ve basically done that. The Aunties’ value functions are now introduced by stipulation. These are artificial characters and it’s fine to say how they make decisions. (This incurs a new debt, which I’ll come back to in point 3.) Each function is described as</w:t>
      </w:r>
      <w:r>
        <w:t xml:space="preserve"> </w:t>
      </w:r>
      <w:r>
        <w:rPr>
          <w:i/>
          <w:iCs/>
        </w:rPr>
        <w:t xml:space="preserve">inspired by</w:t>
      </w:r>
      <w:r>
        <w:t xml:space="preserve"> </w:t>
      </w:r>
      <w:r>
        <w:t xml:space="preserve">a decision theory rather than delivered by one; I think it’s still helpful to the reader to see how the Aunties resemble the famous decision theory, but it’s inspiration not entailment. The paper now says precisely where the inspiration stops: decision theories are theories of choiceworthiness, and the Aunties hold theories of desirability.</w:t>
      </w:r>
    </w:p>
    <w:p>
      <w:pPr>
        <w:pStyle w:val="BodyText"/>
      </w:pPr>
      <w:r>
        <w:t xml:space="preserve">That said, the revision does point out where I can say something stronger. On Auntie E’s side, the text now derives her value function from</w:t>
      </w:r>
      <w:r>
        <w:t xml:space="preserve"> </w:t>
      </w:r>
      <w:r>
        <w:rPr>
          <w:b/>
          <w:bCs/>
        </w:rPr>
        <w:t xml:space="preserve">Additivity</w:t>
      </w:r>
      <w:r>
        <w:t xml:space="preserve"> </w:t>
      </w:r>
      <w:r>
        <w:t xml:space="preserve">together with</w:t>
      </w:r>
      <w:r>
        <w:t xml:space="preserve"> </w:t>
      </w:r>
      <w:r>
        <w:rPr>
          <w:b/>
          <w:bCs/>
        </w:rPr>
        <w:t xml:space="preserve">Binary Desirability</w:t>
      </w:r>
      <w:r>
        <w:t xml:space="preserve"> </w:t>
      </w:r>
      <w:r>
        <w:t xml:space="preserve">and the Aunties’ stipulated values for worlds (they are moralists, so the valuable worlds are those where Peter does the right thing). The referee was right that the derivation does not come from decision theory alone; the paper now names the premises it does come from. On Auntie C’s side, the imaging assumption (</w:t>
      </w:r>
      <w:r>
        <w:t xml:space="preserve">“up or down, never left or right”</w:t>
      </w:r>
      <w:r>
        <w:t xml:space="preserve">) is no longer a bare clause: it is motivated by the necessity of morality as against the contingency of action, and by the imaginative resistance literature. And the text now proves that, given</w:t>
      </w:r>
      <w:r>
        <w:t xml:space="preserve"> </w:t>
      </w:r>
      <w:r>
        <w:rPr>
          <w:b/>
          <w:bCs/>
        </w:rPr>
        <w:t xml:space="preserve">Binary Desirability</w:t>
      </w:r>
      <w:r>
        <w:t xml:space="preserve">, her commitments entail</w:t>
      </w:r>
      <w:r>
        <w:t xml:space="preserve"> </w:t>
      </w:r>
      <w:r>
        <w:rPr>
          <w:b/>
          <w:bCs/>
        </w:rPr>
        <w:t xml:space="preserve">Equation</w:t>
      </w:r>
      <w:r>
        <w:t xml:space="preserve"> </w:t>
      </w:r>
      <w:r>
        <w:t xml:space="preserve">for any descriptive proposition. Since</w:t>
      </w:r>
      <w:r>
        <w:t xml:space="preserve"> </w:t>
      </w:r>
      <w:r>
        <w:rPr>
          <w:b/>
          <w:bCs/>
        </w:rPr>
        <w:t xml:space="preserve">Equation</w:t>
      </w:r>
      <w:r>
        <w:t xml:space="preserve"> </w:t>
      </w:r>
      <w:r>
        <w:t xml:space="preserve">was formulated from the start as a claim about what DAB comes to given</w:t>
      </w:r>
      <w:r>
        <w:t xml:space="preserve"> </w:t>
      </w:r>
      <w:r>
        <w:rPr>
          <w:b/>
          <w:bCs/>
        </w:rPr>
        <w:t xml:space="preserve">Binary Desirability</w:t>
      </w:r>
      <w:r>
        <w:t xml:space="preserve">, this is acceptance of</w:t>
      </w:r>
      <w:r>
        <w:t xml:space="preserve"> </w:t>
      </w:r>
      <w:r>
        <w:rPr>
          <w:b/>
          <w:bCs/>
        </w:rPr>
        <w:t xml:space="preserve">Equation</w:t>
      </w:r>
      <w:r>
        <w:t xml:space="preserve"> </w:t>
      </w:r>
      <w:r>
        <w:t xml:space="preserve">in as much generality as Lewis’s setup permits.</w:t>
      </w:r>
    </w:p>
    <w:p>
      <w:pPr>
        <w:pStyle w:val="BodyText"/>
      </w:pPr>
      <w:r>
        <w:rPr>
          <w:b/>
          <w:bCs/>
        </w:rPr>
        <w:t xml:space="preserve">2. The requested demonstration.</w:t>
      </w:r>
      <w:r>
        <w:t xml:space="preserve"> </w:t>
      </w:r>
      <w:r>
        <w:t xml:space="preserve">The referee asked for judgements</w:t>
      </w:r>
      <w:r>
        <w:t xml:space="preserve"> </w:t>
      </w:r>
      <w:r>
        <w:t xml:space="preserve">“demonstrably incompatible with the conjunction of DAB and Additivity.”</w:t>
      </w:r>
      <w:r>
        <w:t xml:space="preserve"> </w:t>
      </w:r>
      <w:r>
        <w:t xml:space="preserve">The arithmetic is now in §2. For Auntie E: V(A) = Pr(Å | A) = 0.8 while Pr(Å) = 0.59, so</w:t>
      </w:r>
      <w:r>
        <w:t xml:space="preserve"> </w:t>
      </w:r>
      <w:r>
        <w:rPr>
          <w:b/>
          <w:bCs/>
        </w:rPr>
        <w:t xml:space="preserve">Equation</w:t>
      </w:r>
      <w:r>
        <w:t xml:space="preserve"> </w:t>
      </w:r>
      <w:r>
        <w:t xml:space="preserve">fails, while</w:t>
      </w:r>
      <w:r>
        <w:t xml:space="preserve"> </w:t>
      </w:r>
      <w:r>
        <w:rPr>
          <w:b/>
          <w:bCs/>
        </w:rPr>
        <w:t xml:space="preserve">Additivity</w:t>
      </w:r>
      <w:r>
        <w:t xml:space="preserve"> </w:t>
      </w:r>
      <w:r>
        <w:t xml:space="preserve">holds by construction. For Auntie C: the imaged distributions are now spelled out; V(A) = 0.59 = Pr(Å) and V(¬A) = 0.41 = Pr(¬Å), so</w:t>
      </w:r>
      <w:r>
        <w:t xml:space="preserve"> </w:t>
      </w:r>
      <w:r>
        <w:rPr>
          <w:b/>
          <w:bCs/>
        </w:rPr>
        <w:t xml:space="preserve">Equation</w:t>
      </w:r>
      <w:r>
        <w:t xml:space="preserve"> </w:t>
      </w:r>
      <w:r>
        <w:t xml:space="preserve">holds exactly, while Σ</w:t>
      </w:r>
      <w:r>
        <w:rPr>
          <w:vertAlign w:val="subscript"/>
        </w:rPr>
        <w:t xml:space="preserve">w</w:t>
      </w:r>
      <w:r>
        <w:t xml:space="preserve">V(w)Pr(w | A) = 0.8 ≠ 0.59, so</w:t>
      </w:r>
      <w:r>
        <w:t xml:space="preserve"> </w:t>
      </w:r>
      <w:r>
        <w:rPr>
          <w:b/>
          <w:bCs/>
        </w:rPr>
        <w:t xml:space="preserve">Additivity</w:t>
      </w:r>
      <w:r>
        <w:t xml:space="preserve"> </w:t>
      </w:r>
      <w:r>
        <w:t xml:space="preserve">fails. One consequence bears on the referee’s parenthetical remark that if the entailments held</w:t>
      </w:r>
      <w:r>
        <w:t xml:space="preserve"> </w:t>
      </w:r>
      <w:r>
        <w:t xml:space="preserve">“we wouldn’t need the Peter example”</w:t>
      </w:r>
      <w:r>
        <w:t xml:space="preserve">: on the revised framing the example is doing some work, since it is the Peter setup that fixes the imaging geometry on which Auntie C’s exact satisfaction of</w:t>
      </w:r>
      <w:r>
        <w:t xml:space="preserve"> </w:t>
      </w:r>
      <w:r>
        <w:rPr>
          <w:b/>
          <w:bCs/>
        </w:rPr>
        <w:t xml:space="preserve">Equation</w:t>
      </w:r>
      <w:r>
        <w:t xml:space="preserve"> </w:t>
      </w:r>
      <w:r>
        <w:t xml:space="preserve">depends. It’s also showing that the Aunties aren’t just making desperate manoeuvres to save DAB; there is a quite simple example, and any defender of any kind of DAB should have something to say about it, and whatever they say gives them a reason to reject a premise Lewis wants to attribute to them.</w:t>
      </w:r>
    </w:p>
    <w:p>
      <w:pPr>
        <w:pStyle w:val="BodyText"/>
      </w:pPr>
      <w:r>
        <w:rPr>
          <w:b/>
          <w:bCs/>
        </w:rPr>
        <w:t xml:space="preserve">3. Sealing the conclusion.</w:t>
      </w:r>
      <w:r>
        <w:t xml:space="preserve"> </w:t>
      </w:r>
      <w:r>
        <w:t xml:space="preserve">The conclusion now derives, rather than asserts, the claim that every defender of DAB must take one of the Aunties’ sides. (This is the new thing I said I owed in point 1; if the Aunties are stipulations, I needed some reason to think that they covered the field.) Given the shared credences,</w:t>
      </w:r>
      <w:r>
        <w:t xml:space="preserve"> </w:t>
      </w:r>
      <w:r>
        <w:rPr>
          <w:b/>
          <w:bCs/>
        </w:rPr>
        <w:t xml:space="preserve">Additivity</w:t>
      </w:r>
      <w:r>
        <w:t xml:space="preserve"> </w:t>
      </w:r>
      <w:r>
        <w:t xml:space="preserve">and</w:t>
      </w:r>
      <w:r>
        <w:t xml:space="preserve"> </w:t>
      </w:r>
      <w:r>
        <w:rPr>
          <w:b/>
          <w:bCs/>
        </w:rPr>
        <w:t xml:space="preserve">Equation</w:t>
      </w:r>
      <w:r>
        <w:t xml:space="preserve"> </w:t>
      </w:r>
      <w:r>
        <w:t xml:space="preserve">dictate conflicting verdicts about Peter (0.8 against 0.9, versus 0.59 against 0.41). So hoping Peter refrains contradicts</w:t>
      </w:r>
      <w:r>
        <w:t xml:space="preserve"> </w:t>
      </w:r>
      <w:r>
        <w:rPr>
          <w:b/>
          <w:bCs/>
        </w:rPr>
        <w:t xml:space="preserve">Equation</w:t>
      </w:r>
      <w:r>
        <w:t xml:space="preserve">; hoping he acts contradicts</w:t>
      </w:r>
      <w:r>
        <w:t xml:space="preserve"> </w:t>
      </w:r>
      <w:r>
        <w:rPr>
          <w:b/>
          <w:bCs/>
        </w:rPr>
        <w:t xml:space="preserve">Additivity</w:t>
      </w:r>
      <w:r>
        <w:t xml:space="preserve">; indifference contradicts both. To be sure, a defender of DAB might agree with the conclusions of one or other Auntie but not her reasons. That’s fine too, and indeed the paper notes that for Auntie C in particular, the details (like the stipulation that imaging doesn’t move weight to counter-moral worlds unless it has to) are not forced. But this doesn’t help Lewis; if there are more versions of Auntie C there are if anything more ways to resist the argument.</w:t>
      </w:r>
    </w:p>
    <w:p>
      <w:pPr>
        <w:pStyle w:val="BodyText"/>
      </w:pPr>
      <w:r>
        <w:rPr>
          <w:b/>
          <w:bCs/>
        </w:rPr>
        <w:t xml:space="preserve">4. Notation.</w:t>
      </w:r>
      <w:r>
        <w:t xml:space="preserve"> </w:t>
      </w:r>
      <w:r>
        <w:t xml:space="preserve">This was the referee’s first complaint, and it was right, the notation was a mess. I’m sorry about that, and grateful for the suggestions on how to clean it up. The paper now uses Pr throughout; the</w:t>
      </w:r>
      <w:r>
        <w:t xml:space="preserve"> </w:t>
      </w:r>
      <w:r>
        <w:rPr>
          <w:i/>
          <w:iCs/>
        </w:rPr>
        <w:t xml:space="preserve">x</w:t>
      </w:r>
      <w:r>
        <w:t xml:space="preserve">/X action–proposition split is gone; the proposition D has been eliminated from §2. The two value functions are stated in the forms the referee suggested: V(A) = Pr(Å | A) and V(A) = Pr</w:t>
      </w:r>
      <w:r>
        <w:rPr>
          <w:vertAlign w:val="subscript"/>
        </w:rPr>
        <w:t xml:space="preserve">A</w:t>
      </w:r>
      <w:r>
        <w:t xml:space="preserve">(Å).</w:t>
      </w:r>
    </w:p>
    <w:p>
      <w:pPr>
        <w:pStyle w:val="BodyText"/>
      </w:pPr>
      <w:r>
        <w:rPr>
          <w:b/>
          <w:bCs/>
        </w:rPr>
        <w:t xml:space="preserve">5. Possible Independence renamed.</w:t>
      </w:r>
      <w:r>
        <w:t xml:space="preserve"> </w:t>
      </w:r>
      <w:r>
        <w:t xml:space="preserve">The referee noted that the reductio contradicts what the paper called</w:t>
      </w:r>
      <w:r>
        <w:t xml:space="preserve"> </w:t>
      </w:r>
      <w:r>
        <w:rPr>
          <w:b/>
          <w:bCs/>
        </w:rPr>
        <w:t xml:space="preserve">Possible Independence</w:t>
      </w:r>
      <w:r>
        <w:t xml:space="preserve">. They were right, and the label was wrong — a leftover from an earlier draft in which independence figured as the reductio’s absurd conclusion. The premise is now called</w:t>
      </w:r>
      <w:r>
        <w:t xml:space="preserve"> </w:t>
      </w:r>
      <w:r>
        <w:rPr>
          <w:b/>
          <w:bCs/>
        </w:rPr>
        <w:t xml:space="preserve">Possible Dependence</w:t>
      </w:r>
      <w:r>
        <w:t xml:space="preserve"> </w:t>
      </w:r>
      <w:r>
        <w:t xml:space="preserve">throughout, and the last line of the derivation now names it.</w:t>
      </w:r>
    </w:p>
    <w:p>
      <w:pPr>
        <w:pStyle w:val="BodyText"/>
      </w:pPr>
      <w:r>
        <w:rPr>
          <w:b/>
          <w:bCs/>
        </w:rPr>
        <w:t xml:space="preserve">6. Typos and quotations.</w:t>
      </w:r>
      <w:r>
        <w:t xml:space="preserve"> </w:t>
      </w:r>
      <w:r>
        <w:t xml:space="preserve">All the typos the referee listed are fixed, along with a number of others caught in a fresh pass. The quotation from Lewis 1996 (p. 303) has been corrected (</w:t>
      </w:r>
      <w:r>
        <w:t xml:space="preserve">“that action”</w:t>
      </w:r>
      <w:r>
        <w:t xml:space="preserve">) and checked against the original, as has the quotation from Lewis 1988 (p. 323).</w:t>
      </w:r>
    </w:p>
    <w:p>
      <w:pPr>
        <w:pStyle w:val="BodyText"/>
      </w:pPr>
      <w:r>
        <w:rPr>
          <w:b/>
          <w:bCs/>
        </w:rPr>
        <w:t xml:space="preserve">7. Related changes in the same spirit.</w:t>
      </w:r>
      <w:r>
        <w:t xml:space="preserve"> </w:t>
      </w:r>
      <w:r>
        <w:t xml:space="preserve">Section 4 no longer describes Auntie C as</w:t>
      </w:r>
      <w:r>
        <w:t xml:space="preserve"> </w:t>
      </w:r>
      <w:r>
        <w:t xml:space="preserve">“mystified”</w:t>
      </w:r>
      <w:r>
        <w:t xml:space="preserve"> </w:t>
      </w:r>
      <w:r>
        <w:t xml:space="preserve">that Lewis accepted</w:t>
      </w:r>
      <w:r>
        <w:t xml:space="preserve"> </w:t>
      </w:r>
      <w:r>
        <w:rPr>
          <w:b/>
          <w:bCs/>
        </w:rPr>
        <w:t xml:space="preserve">Additivity</w:t>
      </w:r>
      <w:r>
        <w:t xml:space="preserve">. The referee’s comments helped me see that this framing was wrong: Lewis’s adoption of an evidential conception of desirability is deliberate, and consistent with the V/U distinction of his decision theory papers. The section now argues instead that he is not entitled to that conception given his inclusive construal of desire and his two-boxing — hopefully a less question-begging objection. A second transposed two-boxing argument (a morally omniscient well-wisher) has been added at the end of §4. Sections 3 and 4 have been retitled (</w:t>
      </w:r>
      <w:r>
        <w:t xml:space="preserve">“Rejecting Equation”</w:t>
      </w:r>
      <w:r>
        <w:t xml:space="preserve">,</w:t>
      </w:r>
      <w:r>
        <w:t xml:space="preserve"> </w:t>
      </w:r>
      <w:r>
        <w:t xml:space="preserve">“Rejecting Additivity”</w:t>
      </w:r>
      <w:r>
        <w:t xml:space="preserve">) to match the new framing. Two footnotes have been deleted, one because its content was relocated into the main text, one because it picked an unnecessary fight about epistemic versus metaphysical possibility.</w:t>
      </w:r>
    </w:p>
    <w:p>
      <w:pPr>
        <w:pStyle w:val="BodyText"/>
      </w:pPr>
      <w:r>
        <w:rPr>
          <w:b/>
          <w:bCs/>
        </w:rPr>
        <w:t xml:space="preserve">8. Markup conventions.</w:t>
      </w:r>
      <w:r>
        <w:t xml:space="preserve"> </w:t>
      </w:r>
      <w:r>
        <w:t xml:space="preserve">Additions are in bold and substantial deletions are struck through. The following were done silently, to keep the file readable: typo corrections; the notational overhaul (marking every C-to-Pr change would have flooded the paper with markup); the section retitlings (sections 3 and 4 are retitled because the old titles reflected the framing that point 1 describes); and, within struck passages, citations and cross-references are rendered as plain text, and deleted footnotes appear inline as struck</w:t>
      </w:r>
      <w:r>
        <w:t xml:space="preserve"> </w:t>
      </w:r>
      <w:r>
        <w:t xml:space="preserve">“(Footnote: …)”</w:t>
      </w:r>
      <w:r>
        <w:t xml:space="preserve"> </w:t>
      </w:r>
      <w:r>
        <w:t xml:space="preserve">text, since the strikeout markup cannot handle anything beyond simple text.</w:t>
      </w:r>
    </w:p>
    <w:p>
      <w:pPr>
        <w:pStyle w:val="BodyText"/>
      </w:pPr>
      <w:r>
        <w:t xml:space="preserve">The new word count is 3,969 words including footnotes, excluding the abstract and bibliography (4,048 with the abstract).</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2026-09-03T12:19:24Z</dcterms:created>
  <dcterms:modified xsi:type="dcterms:W3CDTF">2026-09-03T12:19:24Z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