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Deference and Infinite Frames</w:t>
      </w:r>
    </w:p>
    <w:p>
      <w:pPr>
        <w:pStyle w:val="Author"/>
      </w:pPr>
      <w:r>
        <w:t xml:space="preserve">Brian Weatherson</w:t>
      </w:r>
    </w:p>
    <w:p>
      <w:pPr>
        <w:pStyle w:val="Date"/>
      </w:pPr>
      <w:r>
        <w:t xml:space="preserve">2025-08-14</w:t>
      </w:r>
    </w:p>
    <w:p>
      <w:pPr>
        <w:pStyle w:val="AbstractTitle"/>
      </w:pPr>
      <w:r>
        <w:t xml:space="preserve">Abstract</w:t>
      </w:r>
    </w:p>
    <w:p>
      <w:pPr>
        <w:pStyle w:val="Abstract"/>
      </w:pPr>
      <w:r>
        <w:t xml:space="preserve">This paper concerns three recent results concerning probabilistic deference. The results show interesting things about how various kinds of deference work on finite frames, but in each case the results do not naturally generalise to infinite frames. The non-generalisation raises interesting philosophical questions about the epistemological significance of the results, but those questions are set aside here. The priority in this paper is simply showing that the results fail when we allow frames to be infinite.</w:t>
      </w:r>
    </w:p>
    <w:p>
      <w:pPr>
        <w:pStyle w:val="FirstParagraph"/>
      </w:pPr>
      <w:r>
        <w:t xml:space="preserve">This paper concerns three recent results concerning probabilistic deference. The results show interesting things about how various kinds of deference work on finite frames, but in each case the results do not naturally generalise to infinite frames. The non-generalisation raises interesting philosophical questions about the epistemological significance of the results, but those questions are set aside here. The priority in this paper is simply showing that the results fail when we allow frames to be infinite.</w:t>
      </w:r>
    </w:p>
    <w:bookmarkStart w:id="30" w:name="sec-gallow"/>
    <w:p>
      <w:pPr>
        <w:pStyle w:val="Heading1"/>
      </w:pPr>
      <w:r>
        <w:t xml:space="preserve">1. Dual Deference</w:t>
      </w:r>
    </w:p>
    <w:p>
      <w:pPr>
        <w:pStyle w:val="FirstParagraph"/>
      </w:pPr>
      <w:r>
        <w:t xml:space="preserve">If A and C are probability functions, the strongest kind of deference (with respect to some proposition</w:t>
      </w:r>
      <w:r>
        <w:t xml:space="preserve"> </w:t>
      </w:r>
      <w:r>
        <w:rPr>
          <w:i/>
          <w:iCs/>
        </w:rPr>
        <w:t xml:space="preserve">p</w:t>
      </w:r>
      <w:r>
        <w:t xml:space="preserve">) is when C takes A’s probability in</w:t>
      </w:r>
      <w:r>
        <w:t xml:space="preserve"> </w:t>
      </w:r>
      <w:r>
        <w:rPr>
          <w:i/>
          <w:iCs/>
        </w:rPr>
        <w:t xml:space="preserve">p</w:t>
      </w:r>
      <w:r>
        <w:t xml:space="preserve"> </w:t>
      </w:r>
      <w:r>
        <w:t xml:space="preserve">to settle what the correct probability is. More formally, it is that ∀</w:t>
      </w:r>
      <w:r>
        <w:rPr>
          <w:i/>
          <w:iCs/>
        </w:rPr>
        <w:t xml:space="preserve">a</w:t>
      </w:r>
      <w:r>
        <w:t xml:space="preserve">: C(</w:t>
      </w:r>
      <w:r>
        <w:rPr>
          <w:i/>
          <w:iCs/>
        </w:rPr>
        <w:t xml:space="preserve">p</w:t>
      </w:r>
      <w:r>
        <w:t xml:space="preserve"> | A(</w:t>
      </w:r>
      <w:r>
        <w:rPr>
          <w:i/>
          <w:iCs/>
        </w:rPr>
        <w:t xml:space="preserve">p</w:t>
      </w:r>
      <w:r>
        <w:t xml:space="preserve">) = </w:t>
      </w:r>
      <w:r>
        <w:rPr>
          <w:i/>
          <w:iCs/>
        </w:rPr>
        <w:t xml:space="preserve">a</w:t>
      </w:r>
      <w:r>
        <w:t xml:space="preserve">) = </w:t>
      </w:r>
      <w:r>
        <w:rPr>
          <w:i/>
          <w:iCs/>
        </w:rPr>
        <w:t xml:space="preserve">a</w:t>
      </w:r>
      <w:r>
        <w:t xml:space="preserve">. Our first question is when C can defer in this strong sense to two different functions A and B.</w:t>
      </w:r>
    </w:p>
    <w:p>
      <w:pPr>
        <w:pStyle w:val="BodyText"/>
      </w:pPr>
      <w:r>
        <w:t xml:space="preserve">There are two cases when this can happen quite easily. The first is when C is certain that A and B will agree, i.e., C(A = B) = 1. The second is when C takes one or other of the functions to be superior, i.e., when they disagree to always go with what one particular function says. So if C takes A to be superior, then ∀</w:t>
      </w:r>
      <w:r>
        <w:rPr>
          <w:i/>
          <w:iCs/>
        </w:rPr>
        <w:t xml:space="preserve">a</w:t>
      </w:r>
      <w:r>
        <w:t xml:space="preserve">, </w:t>
      </w:r>
      <w:r>
        <w:rPr>
          <w:i/>
          <w:iCs/>
        </w:rPr>
        <w:t xml:space="preserve">b</w:t>
      </w:r>
      <w:r>
        <w:t xml:space="preserve">: C(</w:t>
      </w:r>
      <w:r>
        <w:rPr>
          <w:i/>
          <w:iCs/>
        </w:rPr>
        <w:t xml:space="preserve">p</w:t>
      </w:r>
      <w:r>
        <w:t xml:space="preserve"> | A(</w:t>
      </w:r>
      <w:r>
        <w:rPr>
          <w:i/>
          <w:iCs/>
        </w:rPr>
        <w:t xml:space="preserve">p</w:t>
      </w:r>
      <w:r>
        <w:t xml:space="preserve">) = </w:t>
      </w:r>
      <w:r>
        <w:rPr>
          <w:i/>
          <w:iCs/>
        </w:rPr>
        <w:t xml:space="preserve">a</w:t>
      </w:r>
      <w:r>
        <w:t xml:space="preserve"> </w:t>
      </w:r>
      <w:r>
        <w:t xml:space="preserve">∧ B(</w:t>
      </w:r>
      <w:r>
        <w:rPr>
          <w:i/>
          <w:iCs/>
        </w:rPr>
        <w:t xml:space="preserve">p</w:t>
      </w:r>
      <w:r>
        <w:t xml:space="preserve">) = </w:t>
      </w:r>
      <w:r>
        <w:rPr>
          <w:i/>
          <w:iCs/>
        </w:rPr>
        <w:t xml:space="preserve">b</w:t>
      </w:r>
      <w:r>
        <w:t xml:space="preserve">) = </w:t>
      </w:r>
      <w:r>
        <w:rPr>
          <w:i/>
          <w:iCs/>
        </w:rPr>
        <w:t xml:space="preserve">a</w:t>
      </w:r>
      <w:r>
        <w:t xml:space="preserve">. But is there a third option? Can C think that A and B are both worthy of total deference, that they might disagree, and when they do the right thing to do is to land somewhere between their two credences?</w:t>
      </w:r>
    </w:p>
    <w:p>
      <w:pPr>
        <w:pStyle w:val="BodyText"/>
      </w:pPr>
      <w:r>
        <w:t xml:space="preserve">Dmitri</w:t>
      </w:r>
      <w:r>
        <w:t xml:space="preserve"> </w:t>
      </w:r>
      <w:r>
        <w:t xml:space="preserve">Gallow (2018)</w:t>
      </w:r>
      <w:r>
        <w:t xml:space="preserve"> </w:t>
      </w:r>
      <w:r>
        <w:t xml:space="preserve">proved one important negative result here. He showed that there is no triple of probability functions C, A, B satisfying the following constraints.</w:t>
      </w:r>
    </w:p>
    <w:p>
      <w:pPr>
        <w:pStyle w:val="Compact"/>
        <w:numPr>
          <w:ilvl w:val="0"/>
          <w:numId w:val="1001"/>
        </w:numPr>
      </w:pPr>
      <w:r>
        <w:t xml:space="preserve">∀</w:t>
      </w:r>
      <w:r>
        <w:rPr>
          <w:i/>
          <w:iCs/>
        </w:rPr>
        <w:t xml:space="preserve">a</w:t>
      </w:r>
      <w:r>
        <w:t xml:space="preserve">: C(</w:t>
      </w:r>
      <w:r>
        <w:rPr>
          <w:i/>
          <w:iCs/>
        </w:rPr>
        <w:t xml:space="preserve">p</w:t>
      </w:r>
      <w:r>
        <w:t xml:space="preserve"> </w:t>
      </w:r>
      <w:r>
        <w:t xml:space="preserve">| A(</w:t>
      </w:r>
      <w:r>
        <w:rPr>
          <w:i/>
          <w:iCs/>
        </w:rPr>
        <w:t xml:space="preserve">p</w:t>
      </w:r>
      <w:r>
        <w:t xml:space="preserve">) =</w:t>
      </w:r>
      <w:r>
        <w:t xml:space="preserve"> </w:t>
      </w:r>
      <w:r>
        <w:rPr>
          <w:i/>
          <w:iCs/>
        </w:rPr>
        <w:t xml:space="preserve">a</w:t>
      </w:r>
      <w:r>
        <w:t xml:space="preserve">) =</w:t>
      </w:r>
      <w:r>
        <w:t xml:space="preserve"> </w:t>
      </w:r>
      <w:r>
        <w:rPr>
          <w:i/>
          <w:iCs/>
        </w:rPr>
        <w:t xml:space="preserve">a</w:t>
      </w:r>
      <w:r>
        <w:t xml:space="preserve">;</w:t>
      </w:r>
    </w:p>
    <w:p>
      <w:pPr>
        <w:pStyle w:val="Compact"/>
        <w:numPr>
          <w:ilvl w:val="0"/>
          <w:numId w:val="1001"/>
        </w:numPr>
      </w:pPr>
      <w:r>
        <w:t xml:space="preserve">∀</w:t>
      </w:r>
      <w:r>
        <w:rPr>
          <w:i/>
          <w:iCs/>
        </w:rPr>
        <w:t xml:space="preserve">b</w:t>
      </w:r>
      <w:r>
        <w:t xml:space="preserve">: C(</w:t>
      </w:r>
      <w:r>
        <w:rPr>
          <w:i/>
          <w:iCs/>
        </w:rPr>
        <w:t xml:space="preserve">p</w:t>
      </w:r>
      <w:r>
        <w:t xml:space="preserve"> </w:t>
      </w:r>
      <w:r>
        <w:t xml:space="preserve">| B(</w:t>
      </w:r>
      <w:r>
        <w:rPr>
          <w:i/>
          <w:iCs/>
        </w:rPr>
        <w:t xml:space="preserve">p</w:t>
      </w:r>
      <w:r>
        <w:t xml:space="preserve">) =</w:t>
      </w:r>
      <w:r>
        <w:t xml:space="preserve"> </w:t>
      </w:r>
      <w:r>
        <w:rPr>
          <w:i/>
          <w:iCs/>
        </w:rPr>
        <w:t xml:space="preserve">b</w:t>
      </w:r>
      <w:r>
        <w:t xml:space="preserve">) =</w:t>
      </w:r>
      <w:r>
        <w:t xml:space="preserve"> </w:t>
      </w:r>
      <w:r>
        <w:rPr>
          <w:i/>
          <w:iCs/>
        </w:rPr>
        <w:t xml:space="preserve">b</w:t>
      </w:r>
      <w:r>
        <w:t xml:space="preserve">;</w:t>
      </w:r>
    </w:p>
    <w:p>
      <w:pPr>
        <w:pStyle w:val="Compact"/>
        <w:numPr>
          <w:ilvl w:val="0"/>
          <w:numId w:val="1001"/>
        </w:numPr>
      </w:pPr>
      <w:r>
        <w:t xml:space="preserve">C(A = B) &lt; 1;</w:t>
      </w:r>
    </w:p>
    <w:p>
      <w:pPr>
        <w:pStyle w:val="Compact"/>
        <w:numPr>
          <w:ilvl w:val="0"/>
          <w:numId w:val="1001"/>
        </w:numPr>
      </w:pPr>
      <w:r>
        <w:t xml:space="preserve">For some λ ∈ (0,1), ∀</w:t>
      </w:r>
      <w:r>
        <w:rPr>
          <w:i/>
          <w:iCs/>
        </w:rPr>
        <w:t xml:space="preserve">a</w:t>
      </w:r>
      <w:r>
        <w:t xml:space="preserve">,</w:t>
      </w:r>
      <w:r>
        <w:rPr>
          <w:i/>
          <w:iCs/>
        </w:rPr>
        <w:t xml:space="preserve">b</w:t>
      </w:r>
      <w:r>
        <w:t xml:space="preserve">: C(</w:t>
      </w:r>
      <w:r>
        <w:rPr>
          <w:i/>
          <w:iCs/>
        </w:rPr>
        <w:t xml:space="preserve">p</w:t>
      </w:r>
      <w:r>
        <w:t xml:space="preserve"> |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 λ</w:t>
      </w:r>
      <w:r>
        <w:rPr>
          <w:i/>
          <w:iCs/>
        </w:rPr>
        <w:t xml:space="preserve">a</w:t>
      </w:r>
      <w:r>
        <w:t xml:space="preserve"> + (1-λ)</w:t>
      </w:r>
      <w:r>
        <w:rPr>
          <w:i/>
          <w:iCs/>
        </w:rPr>
        <w:t xml:space="preserve">b</w:t>
      </w:r>
      <w:r>
        <w:t xml:space="preserve">.</w:t>
      </w:r>
    </w:p>
    <w:p>
      <w:pPr>
        <w:pStyle w:val="FirstParagraph"/>
      </w:pPr>
      <w:r>
        <w:t xml:space="preserve">That is, C can’t defer to both A and B individually, think that A and B might disagree, and in the event they do disagree, plan to take a fixed linear mixture of A’s probability and B’s probability as the probability of</w:t>
      </w:r>
      <w:r>
        <w:t xml:space="preserve"> </w:t>
      </w:r>
      <w:r>
        <w:rPr>
          <w:i/>
          <w:iCs/>
        </w:rPr>
        <w:t xml:space="preserve">p</w:t>
      </w:r>
      <w:r>
        <w:t xml:space="preserve">. This result, unlike most we’ll discuss in this paper, does not make any finiteness assumptions, but it does make this strong assumption in point 4 about how C will mix A and B’s probabilities.</w:t>
      </w:r>
    </w:p>
    <w:p>
      <w:pPr>
        <w:pStyle w:val="BodyText"/>
      </w:pPr>
      <w:r>
        <w:t xml:space="preserve">Snow Zhang recently proved a result that mostly generalises Gallow’s result, though it does weaken it in one crucial respect. (We’re describing here a simplification of Zhang’s result, which also generalises the number of possible experts.) She shows that it is impossible for A, B and C to satisfy the following five constraints.</w:t>
      </w:r>
    </w:p>
    <w:p>
      <w:pPr>
        <w:pStyle w:val="Compact"/>
        <w:numPr>
          <w:ilvl w:val="0"/>
          <w:numId w:val="1002"/>
        </w:numPr>
      </w:pPr>
      <w:r>
        <w:t xml:space="preserve">∀</w:t>
      </w:r>
      <w:r>
        <w:rPr>
          <w:i/>
          <w:iCs/>
        </w:rPr>
        <w:t xml:space="preserve">a</w:t>
      </w:r>
      <w:r>
        <w:t xml:space="preserve">: C(</w:t>
      </w:r>
      <w:r>
        <w:rPr>
          <w:i/>
          <w:iCs/>
        </w:rPr>
        <w:t xml:space="preserve">p</w:t>
      </w:r>
      <w:r>
        <w:t xml:space="preserve"> </w:t>
      </w:r>
      <w:r>
        <w:t xml:space="preserve">| A(</w:t>
      </w:r>
      <w:r>
        <w:rPr>
          <w:i/>
          <w:iCs/>
        </w:rPr>
        <w:t xml:space="preserve">p</w:t>
      </w:r>
      <w:r>
        <w:t xml:space="preserve">) =</w:t>
      </w:r>
      <w:r>
        <w:t xml:space="preserve"> </w:t>
      </w:r>
      <w:r>
        <w:rPr>
          <w:i/>
          <w:iCs/>
        </w:rPr>
        <w:t xml:space="preserve">a</w:t>
      </w:r>
      <w:r>
        <w:t xml:space="preserve">) =</w:t>
      </w:r>
      <w:r>
        <w:t xml:space="preserve"> </w:t>
      </w:r>
      <w:r>
        <w:rPr>
          <w:i/>
          <w:iCs/>
        </w:rPr>
        <w:t xml:space="preserve">a</w:t>
      </w:r>
      <w:r>
        <w:t xml:space="preserve">;</w:t>
      </w:r>
    </w:p>
    <w:p>
      <w:pPr>
        <w:pStyle w:val="Compact"/>
        <w:numPr>
          <w:ilvl w:val="0"/>
          <w:numId w:val="1002"/>
        </w:numPr>
      </w:pPr>
      <w:r>
        <w:t xml:space="preserve">∀</w:t>
      </w:r>
      <w:r>
        <w:rPr>
          <w:i/>
          <w:iCs/>
        </w:rPr>
        <w:t xml:space="preserve">b</w:t>
      </w:r>
      <w:r>
        <w:t xml:space="preserve">: C(</w:t>
      </w:r>
      <w:r>
        <w:rPr>
          <w:i/>
          <w:iCs/>
        </w:rPr>
        <w:t xml:space="preserve">p</w:t>
      </w:r>
      <w:r>
        <w:t xml:space="preserve"> </w:t>
      </w:r>
      <w:r>
        <w:t xml:space="preserve">| B(</w:t>
      </w:r>
      <w:r>
        <w:rPr>
          <w:i/>
          <w:iCs/>
        </w:rPr>
        <w:t xml:space="preserve">p</w:t>
      </w:r>
      <w:r>
        <w:t xml:space="preserve">) =</w:t>
      </w:r>
      <w:r>
        <w:t xml:space="preserve"> </w:t>
      </w:r>
      <w:r>
        <w:rPr>
          <w:i/>
          <w:iCs/>
        </w:rPr>
        <w:t xml:space="preserve">b</w:t>
      </w:r>
      <w:r>
        <w:t xml:space="preserve">) =</w:t>
      </w:r>
      <w:r>
        <w:t xml:space="preserve"> </w:t>
      </w:r>
      <w:r>
        <w:rPr>
          <w:i/>
          <w:iCs/>
        </w:rPr>
        <w:t xml:space="preserve">b</w:t>
      </w:r>
      <w:r>
        <w:t xml:space="preserve">;</w:t>
      </w:r>
    </w:p>
    <w:p>
      <w:pPr>
        <w:pStyle w:val="Compact"/>
        <w:numPr>
          <w:ilvl w:val="0"/>
          <w:numId w:val="1002"/>
        </w:numPr>
      </w:pPr>
      <w:r>
        <w:t xml:space="preserve">C(A = B) &lt; 1;</w:t>
      </w:r>
    </w:p>
    <w:p>
      <w:pPr>
        <w:pStyle w:val="Compact"/>
        <w:numPr>
          <w:ilvl w:val="0"/>
          <w:numId w:val="1002"/>
        </w:numPr>
      </w:pPr>
      <w:r>
        <w:t xml:space="preserve">For any</w:t>
      </w:r>
      <w:r>
        <w:t xml:space="preserve"> </w:t>
      </w:r>
      <w:r>
        <w:rPr>
          <w:i/>
          <w:iCs/>
        </w:rPr>
        <w:t xml:space="preserve">a</w:t>
      </w:r>
      <w:r>
        <w:t xml:space="preserve">,</w:t>
      </w:r>
      <w:r>
        <w:rPr>
          <w:i/>
          <w:iCs/>
        </w:rPr>
        <w:t xml:space="preserve">b</w:t>
      </w:r>
      <w:r>
        <w:t xml:space="preserve">: C(</w:t>
      </w:r>
      <w:r>
        <w:rPr>
          <w:i/>
          <w:iCs/>
        </w:rPr>
        <w:t xml:space="preserve">p</w:t>
      </w:r>
      <w:r>
        <w:t xml:space="preserve"> |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is strictly between</w:t>
      </w:r>
      <w:r>
        <w:t xml:space="preserve"> </w:t>
      </w:r>
      <w:r>
        <w:rPr>
          <w:i/>
          <w:iCs/>
        </w:rPr>
        <w:t xml:space="preserve">a</w:t>
      </w:r>
      <w:r>
        <w:t xml:space="preserve"> </w:t>
      </w:r>
      <w:r>
        <w:t xml:space="preserve">and</w:t>
      </w:r>
      <w:r>
        <w:t xml:space="preserve"> </w:t>
      </w:r>
      <w:r>
        <w:rPr>
          <w:i/>
          <w:iCs/>
        </w:rPr>
        <w:t xml:space="preserve">b</w:t>
      </w:r>
      <w:r>
        <w:t xml:space="preserve">.</w:t>
      </w:r>
    </w:p>
    <w:p>
      <w:pPr>
        <w:pStyle w:val="Compact"/>
        <w:numPr>
          <w:ilvl w:val="0"/>
          <w:numId w:val="1002"/>
        </w:numPr>
      </w:pPr>
      <w:r>
        <w:t xml:space="preserve">For some finite set of values S, C(A(</w:t>
      </w:r>
      <w:r>
        <w:rPr>
          <w:i/>
          <w:iCs/>
        </w:rPr>
        <w:t xml:space="preserve">p</w:t>
      </w:r>
      <w:r>
        <w:t xml:space="preserve">) ∈ S ∧ B(</w:t>
      </w:r>
      <w:r>
        <w:rPr>
          <w:i/>
          <w:iCs/>
        </w:rPr>
        <w:t xml:space="preserve">p</w:t>
      </w:r>
      <w:r>
        <w:t xml:space="preserve">) ∈ S) = 1.</w:t>
      </w:r>
    </w:p>
    <w:p>
      <w:pPr>
        <w:pStyle w:val="FirstParagraph"/>
      </w:pPr>
      <w:r>
        <w:t xml:space="preserve">This section shows that the last constraint is essential; it is possible to satisfy the first four constraints without it. We’ll show this by constructing a model where the first four constraints are satisfied. In this model there will uncountably many values that A(</w:t>
      </w:r>
      <w:r>
        <w:rPr>
          <w:i/>
          <w:iCs/>
        </w:rPr>
        <w:t xml:space="preserve">p</w:t>
      </w:r>
      <w:r>
        <w:t xml:space="preserve">) and B(</w:t>
      </w:r>
      <w:r>
        <w:rPr>
          <w:i/>
          <w:iCs/>
        </w:rPr>
        <w:t xml:space="preserve">p</w:t>
      </w:r>
      <w:r>
        <w:t xml:space="preserve">) could take. It’s an open question whether Zhang’s result holds if we weaken 5 to say that S is countable.</w:t>
      </w:r>
    </w:p>
    <w:p>
      <w:pPr>
        <w:pStyle w:val="BodyText"/>
      </w:pPr>
      <w:r>
        <w:t xml:space="preserve">Let X, Y and Z be normal distributions with mean 0 and variance 1. In symbols, each of them is</w:t>
      </w:r>
      <w:r>
        <w:t xml:space="preserve"> </w:t>
      </w:r>
      <m:oMath>
        <m:r>
          <m:rPr>
            <m:sty m:val="p"/>
            <m:scr m:val="script"/>
          </m:rPr>
          <m:t>N</m:t>
        </m:r>
      </m:oMath>
      <w:r>
        <w:t xml:space="preserve">(0,1). So the sum of any two of them has distribution</w:t>
      </w:r>
      <w:r>
        <w:t xml:space="preserve"> </w:t>
      </w:r>
      <m:oMath>
        <m:r>
          <m:rPr>
            <m:sty m:val="p"/>
            <m:scr m:val="script"/>
          </m:rPr>
          <m:t>N</m:t>
        </m:r>
      </m:oMath>
      <w:r>
        <w:t xml:space="preserve">(0,2), and the sum of all three has distribution</w:t>
      </w:r>
      <w:r>
        <w:t xml:space="preserve"> </w:t>
      </w:r>
      <m:oMath>
        <m:r>
          <m:rPr>
            <m:sty m:val="p"/>
            <m:scr m:val="script"/>
          </m:rPr>
          <m:t>N</m:t>
        </m:r>
      </m:oMath>
      <w:r>
        <w:t xml:space="preserve">(0,3). Let</w:t>
      </w:r>
      <w:r>
        <w:t xml:space="preserve"> </w:t>
      </w:r>
      <w:r>
        <w:rPr>
          <w:i/>
          <w:iCs/>
        </w:rPr>
        <w:t xml:space="preserve">p</w:t>
      </w:r>
      <w:r>
        <w:t xml:space="preserve"> </w:t>
      </w:r>
      <w:r>
        <w:t xml:space="preserve">be the proposition that this sum, X + Y + Z, is positive. Let C be a probability function that incorporates all these facts, but has no other direct information about X, Y, and Z. So C(</w:t>
      </w:r>
      <w:r>
        <w:rPr>
          <w:i/>
          <w:iCs/>
        </w:rPr>
        <w:t xml:space="preserve">p</w:t>
      </w:r>
      <w:r>
        <w:t xml:space="preserve">) = ½, since in all respects C’s opinions are symmetric around 0.</w:t>
      </w:r>
    </w:p>
    <w:p>
      <w:pPr>
        <w:pStyle w:val="BodyText"/>
      </w:pPr>
      <w:r>
        <w:t xml:space="preserve">C knows some things about A and B. Both of them know everything C knows about X, Y, Z, and each are logically and mathematically omniscient, and know precisely what evidence they have.</w:t>
      </w:r>
      <w:r>
        <w:rPr>
          <w:rStyle w:val="FootnoteReference"/>
        </w:rPr>
        <w:footnoteReference w:id="20"/>
      </w:r>
      <w:r>
        <w:t xml:space="preserve"> </w:t>
      </w:r>
      <w:r>
        <w:t xml:space="preserve">One of them knows the value of X, and one of them knows the value of X + Y. A fair coin was flipped. If it landed heads, then A knows X and B knows X + Y; if it landed tails, it was the other way around. C knows about this arrangement, but doesn’t know how the coin landed. Let H be the proposition that it landed heads.</w:t>
      </w:r>
    </w:p>
    <w:p>
      <w:pPr>
        <w:pStyle w:val="BodyText"/>
      </w:pPr>
      <w:r>
        <w:t xml:space="preserve">Since both A and B know everything C knows plus something more, and satisfy positive and negative introspection, C should defer to them. If C knew which knew X + Y and which only knew X, they would defer to the one who knew X + Y. They don’t know this, but conditional on knowing the values of A(</w:t>
      </w:r>
      <w:r>
        <w:rPr>
          <w:i/>
          <w:iCs/>
        </w:rPr>
        <w:t xml:space="preserve">p</w:t>
      </w:r>
      <w:r>
        <w:t xml:space="preserve">) and B(</w:t>
      </w:r>
      <w:r>
        <w:rPr>
          <w:i/>
          <w:iCs/>
        </w:rPr>
        <w:t xml:space="preserve">p</w:t>
      </w:r>
      <w:r>
        <w:t xml:space="preserve">), they can go close to figuring it out.</w:t>
      </w:r>
    </w:p>
    <w:p>
      <w:pPr>
        <w:pStyle w:val="BodyText"/>
      </w:pPr>
      <w:r>
        <w:t xml:space="preserve">Assume for now that the coin landed heads, so H is true. We’ll work out the joint density function for A and B. Then we can work out the same density function conditional on ¬H, and from those two facts work out the posterior probability of H. Call this value</w:t>
      </w:r>
      <w:r>
        <w:t xml:space="preserve"> </w:t>
      </w:r>
      <w:r>
        <w:rPr>
          <w:i/>
          <w:iCs/>
        </w:rPr>
        <w:t xml:space="preserve">h</w:t>
      </w:r>
      <w:r>
        <w:t xml:space="preserve">. Conditional on A(</w:t>
      </w:r>
      <w:r>
        <w:rPr>
          <w:i/>
          <w:iCs/>
        </w:rPr>
        <w:t xml:space="preserve">p</w:t>
      </w:r>
      <w:r>
        <w:t xml:space="preserve">) = </w:t>
      </w:r>
      <w:r>
        <w:rPr>
          <w:i/>
          <w:iCs/>
        </w:rPr>
        <w:t xml:space="preserve">a</w:t>
      </w:r>
      <w:r>
        <w:t xml:space="preserve">, and B(</w:t>
      </w:r>
      <w:r>
        <w:rPr>
          <w:i/>
          <w:iCs/>
        </w:rPr>
        <w:t xml:space="preserve">p</w:t>
      </w:r>
      <w:r>
        <w:t xml:space="preserve">) = </w:t>
      </w:r>
      <w:r>
        <w:rPr>
          <w:i/>
          <w:iCs/>
        </w:rPr>
        <w:t xml:space="preserve">b</w:t>
      </w:r>
      <w:r>
        <w:t xml:space="preserve">, C’s probability for p should be (1-</w:t>
      </w:r>
      <w:r>
        <w:rPr>
          <w:i/>
          <w:iCs/>
        </w:rPr>
        <w:t xml:space="preserve">h</w:t>
      </w:r>
      <w:r>
        <w:t xml:space="preserve">)</w:t>
      </w:r>
      <w:r>
        <w:rPr>
          <w:i/>
          <w:iCs/>
        </w:rPr>
        <w:t xml:space="preserve">a</w:t>
      </w:r>
      <w:r>
        <w:t xml:space="preserve"> + </w:t>
      </w:r>
      <w:r>
        <w:rPr>
          <w:i/>
          <w:iCs/>
        </w:rPr>
        <w:t xml:space="preserve">hb</w:t>
      </w:r>
      <w:r>
        <w:t xml:space="preserve">. That’s because conditional on A(</w:t>
      </w:r>
      <w:r>
        <w:rPr>
          <w:i/>
          <w:iCs/>
        </w:rPr>
        <w:t xml:space="preserve">p</w:t>
      </w:r>
      <w:r>
        <w:t xml:space="preserve">) = </w:t>
      </w:r>
      <w:r>
        <w:rPr>
          <w:i/>
          <w:iCs/>
        </w:rPr>
        <w:t xml:space="preserve">a</w:t>
      </w:r>
      <w:r>
        <w:t xml:space="preserve">, B(</w:t>
      </w:r>
      <w:r>
        <w:rPr>
          <w:i/>
          <w:iCs/>
        </w:rPr>
        <w:t xml:space="preserve">p</w:t>
      </w:r>
      <w:r>
        <w:t xml:space="preserve">) = </w:t>
      </w:r>
      <w:r>
        <w:rPr>
          <w:i/>
          <w:iCs/>
        </w:rPr>
        <w:t xml:space="preserve">b</w:t>
      </w:r>
      <w:r>
        <w:t xml:space="preserve"> </w:t>
      </w:r>
      <w:r>
        <w:t xml:space="preserve">and H, C’s probability for</w:t>
      </w:r>
      <w:r>
        <w:t xml:space="preserve"> </w:t>
      </w:r>
      <w:r>
        <w:rPr>
          <w:i/>
          <w:iCs/>
        </w:rPr>
        <w:t xml:space="preserve">p</w:t>
      </w:r>
      <w:r>
        <w:t xml:space="preserve"> </w:t>
      </w:r>
      <w:r>
        <w:t xml:space="preserve">should be</w:t>
      </w:r>
      <w:r>
        <w:t xml:space="preserve"> </w:t>
      </w:r>
      <w:r>
        <w:rPr>
          <w:i/>
          <w:iCs/>
        </w:rPr>
        <w:t xml:space="preserve">b</w:t>
      </w:r>
      <w:r>
        <w:t xml:space="preserve">, while conditional on A(</w:t>
      </w:r>
      <w:r>
        <w:rPr>
          <w:i/>
          <w:iCs/>
        </w:rPr>
        <w:t xml:space="preserve">p</w:t>
      </w:r>
      <w:r>
        <w:t xml:space="preserve">) = </w:t>
      </w:r>
      <w:r>
        <w:rPr>
          <w:i/>
          <w:iCs/>
        </w:rPr>
        <w:t xml:space="preserve">a</w:t>
      </w:r>
      <w:r>
        <w:t xml:space="preserve">, B(</w:t>
      </w:r>
      <w:r>
        <w:rPr>
          <w:i/>
          <w:iCs/>
        </w:rPr>
        <w:t xml:space="preserve">p</w:t>
      </w:r>
      <w:r>
        <w:t xml:space="preserve">) = </w:t>
      </w:r>
      <w:r>
        <w:rPr>
          <w:i/>
          <w:iCs/>
        </w:rPr>
        <w:t xml:space="preserve">b</w:t>
      </w:r>
      <w:r>
        <w:t xml:space="preserve"> </w:t>
      </w:r>
      <w:r>
        <w:t xml:space="preserve">and ¬H, C’s probability for</w:t>
      </w:r>
      <w:r>
        <w:t xml:space="preserve"> </w:t>
      </w:r>
      <w:r>
        <w:rPr>
          <w:i/>
          <w:iCs/>
        </w:rPr>
        <w:t xml:space="preserve">p</w:t>
      </w:r>
      <w:r>
        <w:t xml:space="preserve"> </w:t>
      </w:r>
      <w:r>
        <w:t xml:space="preserve">should be</w:t>
      </w:r>
      <w:r>
        <w:t xml:space="preserve"> </w:t>
      </w:r>
      <w:r>
        <w:rPr>
          <w:i/>
          <w:iCs/>
        </w:rPr>
        <w:t xml:space="preserve">a</w:t>
      </w:r>
      <w:r>
        <w:t xml:space="preserve">. The short version of what follows is that since</w:t>
      </w:r>
      <w:r>
        <w:t xml:space="preserve"> </w:t>
      </w:r>
      <w:r>
        <w:rPr>
          <w:i/>
          <w:iCs/>
        </w:rPr>
        <w:t xml:space="preserve">h</w:t>
      </w:r>
      <w:r>
        <w:t xml:space="preserve"> </w:t>
      </w:r>
      <w:r>
        <w:t xml:space="preserve">is a function of</w:t>
      </w:r>
      <w:r>
        <w:t xml:space="preserve"> </w:t>
      </w:r>
      <w:r>
        <w:rPr>
          <w:i/>
          <w:iCs/>
        </w:rPr>
        <w:t xml:space="preserve">a</w:t>
      </w:r>
      <w:r>
        <w:t xml:space="preserve"> </w:t>
      </w:r>
      <w:r>
        <w:t xml:space="preserve">and</w:t>
      </w:r>
      <w:r>
        <w:t xml:space="preserve"> </w:t>
      </w:r>
      <w:r>
        <w:rPr>
          <w:i/>
          <w:iCs/>
        </w:rPr>
        <w:t xml:space="preserve">b</w:t>
      </w:r>
      <w:r>
        <w:t xml:space="preserve"> </w:t>
      </w:r>
      <w:r>
        <w:t xml:space="preserve">and is always in (0,1), it follows that C obeys constraint 4.</w:t>
      </w:r>
    </w:p>
    <w:p>
      <w:pPr>
        <w:pStyle w:val="BodyText"/>
      </w:pPr>
      <w:r>
        <w:t xml:space="preserve">Given H, we can work out the value of X from A(</w:t>
      </w:r>
      <w:r>
        <w:rPr>
          <w:i/>
          <w:iCs/>
        </w:rPr>
        <w:t xml:space="preserve">p</w:t>
      </w:r>
      <w:r>
        <w:t xml:space="preserve">) = </w:t>
      </w:r>
      <w:r>
        <w:rPr>
          <w:i/>
          <w:iCs/>
        </w:rPr>
        <w:t xml:space="preserve">a</w:t>
      </w:r>
      <w:r>
        <w:t xml:space="preserve">. In what follows,</w:t>
      </w:r>
      <w:r>
        <w:t xml:space="preserve"> </w:t>
      </w:r>
      <m:oMath>
        <m:r>
          <m:t>Φ</m:t>
        </m:r>
      </m:oMath>
      <w:r>
        <w:t xml:space="preserve">(</w:t>
      </w:r>
      <w:r>
        <w:rPr>
          <w:i/>
          <w:iCs/>
        </w:rPr>
        <w:t xml:space="preserve">x</w:t>
      </w:r>
      <w:r>
        <w:t xml:space="preserve">) is the cumulative distribution for the standard normal distribution, i.e., for</w:t>
      </w:r>
      <w:r>
        <w:t xml:space="preserve"> </w:t>
      </w:r>
      <m:oMath>
        <m:r>
          <m:rPr>
            <m:sty m:val="p"/>
            <m:scr m:val="script"/>
          </m:rPr>
          <m:t>N</m:t>
        </m:r>
      </m:oMath>
      <w:r>
        <w:t xml:space="preserve">(0,1), and</w:t>
      </w:r>
      <w:r>
        <w:t xml:space="preserve"> </w:t>
      </w:r>
      <m:oMath>
        <m:r>
          <m:t>Φ</m:t>
        </m:r>
      </m:oMath>
      <w:r>
        <w:rPr>
          <w:vertAlign w:val="superscript"/>
        </w:rPr>
        <w:t xml:space="preserve">-1</w:t>
      </w:r>
      <w:r>
        <w:t xml:space="preserve"> </w:t>
      </w:r>
      <w:r>
        <w:t xml:space="preserve">is its inverse. If X = </w:t>
      </w:r>
      <w:r>
        <w:rPr>
          <w:i/>
          <w:iCs/>
        </w:rPr>
        <w:t xml:space="preserve">x</w:t>
      </w:r>
      <w:r>
        <w:t xml:space="preserve">, then</w:t>
      </w:r>
      <w:r>
        <w:t xml:space="preserve"> </w:t>
      </w:r>
      <w:r>
        <w:rPr>
          <w:i/>
          <w:iCs/>
        </w:rPr>
        <w:t xml:space="preserve">p</w:t>
      </w:r>
      <w:r>
        <w:t xml:space="preserve"> </w:t>
      </w:r>
      <w:r>
        <w:t xml:space="preserve">is true iff Y + Z &gt; -</w:t>
      </w:r>
      <w:r>
        <w:rPr>
          <w:i/>
          <w:iCs/>
        </w:rPr>
        <w:t xml:space="preserve">x</w:t>
      </w:r>
      <w:r>
        <w:t xml:space="preserve">. Since Y + Z is a normal distribution with mean 0 and variance 2, i.e., standard deviation</w:t>
      </w:r>
      <w:r>
        <w:t xml:space="preserve"> </w:t>
      </w:r>
      <m:oMath>
        <m:rad>
          <m:radPr>
            <m:degHide m:val="on"/>
          </m:radPr>
          <m:deg/>
          <m:e>
            <m:r>
              <m:t>2</m:t>
            </m:r>
          </m:e>
        </m:rad>
      </m:oMath>
      <w:r>
        <w:t xml:space="preserve">, the probability of this is</w:t>
      </w:r>
      <w:r>
        <w:t xml:space="preserve"> </w:t>
      </w:r>
      <m:oMath>
        <m:r>
          <m:t>Φ</m:t>
        </m:r>
      </m:oMath>
      <w:r>
        <w:t xml:space="preserve">(</w:t>
      </w:r>
      <m:oMath>
        <m:f>
          <m:fPr>
            <m:type m:val="bar"/>
          </m:fPr>
          <m:num>
            <m:r>
              <m:t>x</m:t>
            </m:r>
          </m:num>
          <m:den>
            <m:rad>
              <m:radPr>
                <m:degHide m:val="on"/>
              </m:radPr>
              <m:deg/>
              <m:e>
                <m:r>
                  <m:t>2</m:t>
                </m:r>
              </m:e>
            </m:rad>
          </m:den>
        </m:f>
      </m:oMath>
      <w:r>
        <w:t xml:space="preserve">). So</w:t>
      </w:r>
      <w:r>
        <w:t xml:space="preserve"> </w:t>
      </w:r>
      <w:r>
        <w:rPr>
          <w:i/>
          <w:iCs/>
        </w:rPr>
        <w:t xml:space="preserve">x</w:t>
      </w:r>
      <w:r>
        <w:t xml:space="preserve"> = </w:t>
      </w:r>
      <m:oMath>
        <m:rad>
          <m:radPr>
            <m:degHide m:val="on"/>
          </m:radPr>
          <m:deg/>
          <m:e>
            <m:r>
              <m:t>2</m:t>
            </m:r>
          </m:e>
        </m:rad>
        <m:r>
          <m:t>Φ</m:t>
        </m:r>
      </m:oMath>
      <w:r>
        <w:rPr>
          <w:vertAlign w:val="superscript"/>
        </w:rPr>
        <w:t xml:space="preserve">-1</w:t>
      </w:r>
      <w:r>
        <w:t xml:space="preserve">(</w:t>
      </w:r>
      <w:r>
        <w:rPr>
          <w:i/>
          <w:iCs/>
        </w:rPr>
        <w:t xml:space="preserve">a</w:t>
      </w:r>
      <w:r>
        <w:t xml:space="preserve">).</w:t>
      </w:r>
    </w:p>
    <w:p>
      <w:pPr>
        <w:pStyle w:val="BodyText"/>
      </w:pPr>
      <w:r>
        <w:t xml:space="preserve">Given H, that X = </w:t>
      </w:r>
      <m:oMath>
        <m:rad>
          <m:radPr>
            <m:degHide m:val="on"/>
          </m:radPr>
          <m:deg/>
          <m:e>
            <m:r>
              <m:t>2</m:t>
            </m:r>
          </m:e>
        </m:rad>
        <m:r>
          <m:t>Φ</m:t>
        </m:r>
      </m:oMath>
      <w:r>
        <w:rPr>
          <w:vertAlign w:val="superscript"/>
        </w:rPr>
        <w:t xml:space="preserve">-1</w:t>
      </w:r>
      <w:r>
        <w:t xml:space="preserve">(</w:t>
      </w:r>
      <w:r>
        <w:rPr>
          <w:i/>
          <w:iCs/>
        </w:rPr>
        <w:t xml:space="preserve">a</w:t>
      </w:r>
      <w:r>
        <w:t xml:space="preserve">), and B(</w:t>
      </w:r>
      <w:r>
        <w:rPr>
          <w:i/>
          <w:iCs/>
        </w:rPr>
        <w:t xml:space="preserve">p</w:t>
      </w:r>
      <w:r>
        <w:t xml:space="preserve">), we can work out what Y must be as well. If B(</w:t>
      </w:r>
      <w:r>
        <w:rPr>
          <w:i/>
          <w:iCs/>
        </w:rPr>
        <w:t xml:space="preserve">p</w:t>
      </w:r>
      <w:r>
        <w:t xml:space="preserve">) = </w:t>
      </w:r>
      <w:r>
        <w:rPr>
          <w:i/>
          <w:iCs/>
        </w:rPr>
        <w:t xml:space="preserve">b</w:t>
      </w:r>
      <w:r>
        <w:t xml:space="preserve">, that means that the probability that Z &gt; -(X + Y) is</w:t>
      </w:r>
      <w:r>
        <w:t xml:space="preserve"> </w:t>
      </w:r>
      <w:r>
        <w:rPr>
          <w:i/>
          <w:iCs/>
        </w:rPr>
        <w:t xml:space="preserve">b</w:t>
      </w:r>
      <w:r>
        <w:t xml:space="preserve">. Since Z just is a standard normal distribution, that means that X + Y is</w:t>
      </w:r>
      <w:r>
        <w:t xml:space="preserve"> </w:t>
      </w:r>
      <m:oMath>
        <m:r>
          <m:t>Φ</m:t>
        </m:r>
      </m:oMath>
      <w:r>
        <w:rPr>
          <w:vertAlign w:val="superscript"/>
        </w:rPr>
        <w:t xml:space="preserve">-1</w:t>
      </w:r>
      <w:r>
        <w:t xml:space="preserve">(</w:t>
      </w:r>
      <w:r>
        <w:rPr>
          <w:i/>
          <w:iCs/>
        </w:rPr>
        <w:t xml:space="preserve">b</w:t>
      </w:r>
      <w:r>
        <w:t xml:space="preserve">), and hence Y is</w:t>
      </w:r>
      <w:r>
        <w:t xml:space="preserve"> </w:t>
      </w:r>
      <m:oMath>
        <m:r>
          <m:t>Φ</m:t>
        </m:r>
      </m:oMath>
      <w:r>
        <w:rPr>
          <w:vertAlign w:val="superscript"/>
        </w:rPr>
        <w:t xml:space="preserve">-1</w:t>
      </w:r>
      <w:r>
        <w:t xml:space="preserve">(</w:t>
      </w:r>
      <w:r>
        <w:rPr>
          <w:i/>
          <w:iCs/>
        </w:rPr>
        <w:t xml:space="preserve">b</w:t>
      </w:r>
      <w:r>
        <w:t xml:space="preserve">) -</w:t>
      </w:r>
      <w:r>
        <w:t xml:space="preserve"> </w:t>
      </w:r>
      <m:oMath>
        <m:rad>
          <m:radPr>
            <m:degHide m:val="on"/>
          </m:radPr>
          <m:deg/>
          <m:e>
            <m:r>
              <m:t>2</m:t>
            </m:r>
          </m:e>
        </m:rad>
        <m:r>
          <m:t>Φ</m:t>
        </m:r>
      </m:oMath>
      <w:r>
        <w:rPr>
          <w:vertAlign w:val="superscript"/>
        </w:rPr>
        <w:t xml:space="preserve">-1</w:t>
      </w:r>
      <w:r>
        <w:t xml:space="preserve">(</w:t>
      </w:r>
      <w:r>
        <w:rPr>
          <w:i/>
          <w:iCs/>
        </w:rPr>
        <w:t xml:space="preserve">a</w:t>
      </w:r>
      <w:r>
        <w:t xml:space="preserve">).</w:t>
      </w:r>
    </w:p>
    <w:p>
      <w:pPr>
        <w:pStyle w:val="BodyText"/>
      </w:pPr>
      <w:r>
        <w:t xml:space="preserve">Now we can work out the joint density function for</w:t>
      </w:r>
      <w:r>
        <w:t xml:space="preserve"> </w:t>
      </w:r>
      <w:r>
        <w:rPr>
          <w:i/>
          <w:iCs/>
        </w:rPr>
        <w:t xml:space="preserve">a</w:t>
      </w:r>
      <w:r>
        <w:t xml:space="preserve"> </w:t>
      </w:r>
      <w:r>
        <w:t xml:space="preserve">and</w:t>
      </w:r>
      <w:r>
        <w:t xml:space="preserve"> </w:t>
      </w:r>
      <w:r>
        <w:rPr>
          <w:i/>
          <w:iCs/>
        </w:rPr>
        <w:t xml:space="preserve">b</w:t>
      </w:r>
      <w:r>
        <w:t xml:space="preserve"> </w:t>
      </w:r>
      <w:r>
        <w:t xml:space="preserve">conditional on H. Given H, A(</w:t>
      </w:r>
      <w:r>
        <w:rPr>
          <w:i/>
          <w:iCs/>
        </w:rPr>
        <w:t xml:space="preserve">p</w:t>
      </w:r>
      <w:r>
        <w:t xml:space="preserve">) = </w:t>
      </w:r>
      <w:r>
        <w:rPr>
          <w:i/>
          <w:iCs/>
        </w:rPr>
        <w:t xml:space="preserve">a</w:t>
      </w:r>
      <w:r>
        <w:t xml:space="preserve"> </w:t>
      </w:r>
      <w:r>
        <w:t xml:space="preserve">and B(</w:t>
      </w:r>
      <w:r>
        <w:rPr>
          <w:i/>
          <w:iCs/>
        </w:rPr>
        <w:t xml:space="preserve">p</w:t>
      </w:r>
      <w:r>
        <w:t xml:space="preserve">) = </w:t>
      </w:r>
      <w:r>
        <w:rPr>
          <w:i/>
          <w:iCs/>
        </w:rPr>
        <w:t xml:space="preserve">b</w:t>
      </w:r>
      <w:r>
        <w:t xml:space="preserve"> </w:t>
      </w:r>
      <w:r>
        <w:t xml:space="preserve">just when X =</w:t>
      </w:r>
      <w:r>
        <w:t xml:space="preserve"> </w:t>
      </w:r>
      <m:oMath>
        <m:rad>
          <m:radPr>
            <m:degHide m:val="on"/>
          </m:radPr>
          <m:deg/>
          <m:e>
            <m:r>
              <m:t>2</m:t>
            </m:r>
          </m:e>
        </m:rad>
        <m:r>
          <m:t>Φ</m:t>
        </m:r>
      </m:oMath>
      <w:r>
        <w:rPr>
          <w:vertAlign w:val="superscript"/>
        </w:rPr>
        <w:t xml:space="preserve">-1</w:t>
      </w:r>
      <w:r>
        <w:t xml:space="preserve">(</w:t>
      </w:r>
      <w:r>
        <w:rPr>
          <w:i/>
          <w:iCs/>
        </w:rPr>
        <w:t xml:space="preserve">a</w:t>
      </w:r>
      <w:r>
        <w:t xml:space="preserve">) and Y = </w:t>
      </w:r>
      <m:oMath>
        <m:r>
          <m:t>Φ</m:t>
        </m:r>
      </m:oMath>
      <w:r>
        <w:rPr>
          <w:vertAlign w:val="superscript"/>
        </w:rPr>
        <w:t xml:space="preserve">-1</w:t>
      </w:r>
      <w:r>
        <w:t xml:space="preserve">(</w:t>
      </w:r>
      <w:r>
        <w:rPr>
          <w:i/>
          <w:iCs/>
        </w:rPr>
        <w:t xml:space="preserve">b</w:t>
      </w:r>
      <w:r>
        <w:t xml:space="preserve">) -</w:t>
      </w:r>
      <w:r>
        <w:t xml:space="preserve"> </w:t>
      </w:r>
      <m:oMath>
        <m:rad>
          <m:radPr>
            <m:degHide m:val="on"/>
          </m:radPr>
          <m:deg/>
          <m:e>
            <m:r>
              <m:t>2</m:t>
            </m:r>
          </m:e>
        </m:rad>
        <m:r>
          <m:t>Φ</m:t>
        </m:r>
      </m:oMath>
      <w:r>
        <w:rPr>
          <w:vertAlign w:val="superscript"/>
        </w:rPr>
        <w:t xml:space="preserve">-1</w:t>
      </w:r>
      <w:r>
        <w:t xml:space="preserve">(</w:t>
      </w:r>
      <w:r>
        <w:rPr>
          <w:i/>
          <w:iCs/>
        </w:rPr>
        <w:t xml:space="preserve">a</w:t>
      </w:r>
      <w:r>
        <w:t xml:space="preserve">). And if we write</w:t>
      </w:r>
      <w:r>
        <w:t xml:space="preserve"> </w:t>
      </w:r>
      <m:oMath>
        <m:r>
          <m:t>ϕ</m:t>
        </m:r>
      </m:oMath>
      <w:r>
        <w:t xml:space="preserve">(</w:t>
      </w:r>
      <w:r>
        <w:rPr>
          <w:i/>
          <w:iCs/>
        </w:rPr>
        <w:t xml:space="preserve">x</w:t>
      </w:r>
      <w:r>
        <w:t xml:space="preserve">) for the density function for the standard normal distribution</w:t>
      </w:r>
      <w:r>
        <w:rPr>
          <w:rStyle w:val="FootnoteReference"/>
        </w:rPr>
        <w:footnoteReference w:id="21"/>
      </w:r>
      <w:r>
        <w:t xml:space="preserve">, the joint distribution for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w:t>
      </w:r>
      <w:r>
        <w:t xml:space="preserve">given H has density</w:t>
      </w:r>
    </w:p>
    <w:p>
      <w:pPr>
        <w:pStyle w:val="BodyText"/>
      </w:pPr>
      <m:oMathPara>
        <m:oMathParaPr>
          <m:jc m:val="center"/>
        </m:oMathParaPr>
        <m:oMath>
          <m:r>
            <m:t>ϕ</m:t>
          </m:r>
          <m:d>
            <m:dPr>
              <m:begChr m:val="("/>
              <m:sepChr m:val=""/>
              <m:endChr m:val=")"/>
              <m:grow/>
            </m:dPr>
            <m:e>
              <m:rad>
                <m:radPr>
                  <m:degHide m:val="on"/>
                </m:radPr>
                <m:deg/>
                <m:e>
                  <m:r>
                    <m:t>2</m:t>
                  </m:r>
                </m:e>
              </m:rad>
              <m:sSup>
                <m:e>
                  <m:r>
                    <m:t>Φ</m:t>
                  </m:r>
                </m:e>
                <m:sup>
                  <m:r>
                    <m:rPr>
                      <m:sty m:val="p"/>
                    </m:rPr>
                    <m:t>−</m:t>
                  </m:r>
                  <m:r>
                    <m:t>1</m:t>
                  </m:r>
                </m:sup>
              </m:sSup>
              <m:d>
                <m:dPr>
                  <m:begChr m:val="("/>
                  <m:sepChr m:val=""/>
                  <m:endChr m:val=")"/>
                  <m:grow/>
                </m:dPr>
                <m:e>
                  <m:r>
                    <m:t>a</m:t>
                  </m:r>
                </m:e>
              </m:d>
            </m:e>
          </m:d>
          <m:r>
            <m:t>ϕ</m:t>
          </m:r>
          <m:d>
            <m:dPr>
              <m:begChr m:val="("/>
              <m:sepChr m:val=""/>
              <m:endChr m:val=")"/>
              <m:grow/>
            </m:dPr>
            <m:e>
              <m:sSup>
                <m:e>
                  <m:r>
                    <m:t>Φ</m:t>
                  </m:r>
                </m:e>
                <m:sup>
                  <m:r>
                    <m:rPr>
                      <m:sty m:val="p"/>
                    </m:rPr>
                    <m:t>−</m:t>
                  </m:r>
                  <m:r>
                    <m:t>1</m:t>
                  </m:r>
                </m:sup>
              </m:sSup>
              <m:d>
                <m:dPr>
                  <m:begChr m:val="("/>
                  <m:sepChr m:val=""/>
                  <m:endChr m:val=")"/>
                  <m:grow/>
                </m:dPr>
                <m:e>
                  <m:r>
                    <m:t>b</m:t>
                  </m:r>
                </m:e>
              </m:d>
              <m:r>
                <m:rPr>
                  <m:sty m:val="p"/>
                </m:rPr>
                <m:t>−</m:t>
              </m:r>
              <m:rad>
                <m:radPr>
                  <m:degHide m:val="on"/>
                </m:radPr>
                <m:deg/>
                <m:e>
                  <m:r>
                    <m:t>2</m:t>
                  </m:r>
                </m:e>
              </m:rad>
              <m:sSup>
                <m:e>
                  <m:r>
                    <m:t>Φ</m:t>
                  </m:r>
                </m:e>
                <m:sup>
                  <m:r>
                    <m:rPr>
                      <m:sty m:val="p"/>
                    </m:rPr>
                    <m:t>−</m:t>
                  </m:r>
                  <m:r>
                    <m:t>1</m:t>
                  </m:r>
                </m:sup>
              </m:sSup>
              <m:d>
                <m:dPr>
                  <m:begChr m:val="("/>
                  <m:sepChr m:val=""/>
                  <m:endChr m:val=")"/>
                  <m:grow/>
                </m:dPr>
                <m:e>
                  <m:r>
                    <m:t>a</m:t>
                  </m:r>
                </m:e>
              </m:d>
            </m:e>
          </m:d>
        </m:oMath>
      </m:oMathPara>
    </w:p>
    <w:p>
      <w:pPr>
        <w:pStyle w:val="FirstParagraph"/>
      </w:pPr>
      <w:r>
        <w:t xml:space="preserve">By a parallel calculation, the joint density function for for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w:t>
      </w:r>
      <w:r>
        <w:t xml:space="preserve">given ¬H has density</w:t>
      </w:r>
    </w:p>
    <w:p>
      <w:pPr>
        <w:pStyle w:val="BodyText"/>
      </w:pPr>
      <m:oMathPara>
        <m:oMathParaPr>
          <m:jc m:val="center"/>
        </m:oMathParaPr>
        <m:oMath>
          <m:r>
            <m:t>ϕ</m:t>
          </m:r>
          <m:d>
            <m:dPr>
              <m:begChr m:val="("/>
              <m:sepChr m:val=""/>
              <m:endChr m:val=")"/>
              <m:grow/>
            </m:dPr>
            <m:e>
              <m:rad>
                <m:radPr>
                  <m:degHide m:val="on"/>
                </m:radPr>
                <m:deg/>
                <m:e>
                  <m:r>
                    <m:t>2</m:t>
                  </m:r>
                </m:e>
              </m:rad>
              <m:sSup>
                <m:e>
                  <m:r>
                    <m:t>Φ</m:t>
                  </m:r>
                </m:e>
                <m:sup>
                  <m:r>
                    <m:rPr>
                      <m:sty m:val="p"/>
                    </m:rPr>
                    <m:t>−</m:t>
                  </m:r>
                  <m:r>
                    <m:t>1</m:t>
                  </m:r>
                </m:sup>
              </m:sSup>
              <m:d>
                <m:dPr>
                  <m:begChr m:val="("/>
                  <m:sepChr m:val=""/>
                  <m:endChr m:val=")"/>
                  <m:grow/>
                </m:dPr>
                <m:e>
                  <m:r>
                    <m:t>b</m:t>
                  </m:r>
                </m:e>
              </m:d>
            </m:e>
          </m:d>
          <m:r>
            <m:t>ϕ</m:t>
          </m:r>
          <m:d>
            <m:dPr>
              <m:begChr m:val="("/>
              <m:sepChr m:val=""/>
              <m:endChr m:val=")"/>
              <m:grow/>
            </m:dPr>
            <m:e>
              <m:sSup>
                <m:e>
                  <m:r>
                    <m:t>Φ</m:t>
                  </m:r>
                </m:e>
                <m:sup>
                  <m:r>
                    <m:rPr>
                      <m:sty m:val="p"/>
                    </m:rPr>
                    <m:t>−</m:t>
                  </m:r>
                  <m:r>
                    <m:t>1</m:t>
                  </m:r>
                </m:sup>
              </m:sSup>
              <m:d>
                <m:dPr>
                  <m:begChr m:val="("/>
                  <m:sepChr m:val=""/>
                  <m:endChr m:val=")"/>
                  <m:grow/>
                </m:dPr>
                <m:e>
                  <m:r>
                    <m:t>a</m:t>
                  </m:r>
                </m:e>
              </m:d>
              <m:r>
                <m:rPr>
                  <m:sty m:val="p"/>
                </m:rPr>
                <m:t>−</m:t>
              </m:r>
              <m:rad>
                <m:radPr>
                  <m:degHide m:val="on"/>
                </m:radPr>
                <m:deg/>
                <m:e>
                  <m:r>
                    <m:t>2</m:t>
                  </m:r>
                </m:e>
              </m:rad>
              <m:sSup>
                <m:e>
                  <m:r>
                    <m:t>Φ</m:t>
                  </m:r>
                </m:e>
                <m:sup>
                  <m:r>
                    <m:rPr>
                      <m:sty m:val="p"/>
                    </m:rPr>
                    <m:t>−</m:t>
                  </m:r>
                  <m:r>
                    <m:t>1</m:t>
                  </m:r>
                </m:sup>
              </m:sSup>
              <m:d>
                <m:dPr>
                  <m:begChr m:val="("/>
                  <m:sepChr m:val=""/>
                  <m:endChr m:val=")"/>
                  <m:grow/>
                </m:dPr>
                <m:e>
                  <m:r>
                    <m:t>b</m:t>
                  </m:r>
                </m:e>
              </m:d>
            </m:e>
          </m:d>
        </m:oMath>
      </m:oMathPara>
    </w:p>
    <w:p>
      <w:pPr>
        <w:pStyle w:val="FirstParagraph"/>
      </w:pPr>
      <w:r>
        <w:t xml:space="preserve">So given that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the probability of H is</w:t>
      </w:r>
    </w:p>
    <w:p>
      <w:pPr>
        <w:pStyle w:val="BodyText"/>
      </w:pPr>
      <m:oMathPara>
        <m:oMathParaPr>
          <m:jc m:val="center"/>
        </m:oMathParaPr>
        <m:oMath>
          <m:f>
            <m:fPr>
              <m:type m:val="bar"/>
            </m:fPr>
            <m:num>
              <m:r>
                <m:t>ϕ</m:t>
              </m:r>
              <m:d>
                <m:dPr>
                  <m:begChr m:val="("/>
                  <m:sepChr m:val=""/>
                  <m:endChr m:val=")"/>
                  <m:grow/>
                </m:dPr>
                <m:e>
                  <m:rad>
                    <m:radPr>
                      <m:degHide m:val="on"/>
                    </m:radPr>
                    <m:deg/>
                    <m:e>
                      <m:r>
                        <m:t>2</m:t>
                      </m:r>
                    </m:e>
                  </m:rad>
                  <m:sSup>
                    <m:e>
                      <m:r>
                        <m:t>Φ</m:t>
                      </m:r>
                    </m:e>
                    <m:sup>
                      <m:r>
                        <m:rPr>
                          <m:sty m:val="p"/>
                        </m:rPr>
                        <m:t>−</m:t>
                      </m:r>
                      <m:r>
                        <m:t>1</m:t>
                      </m:r>
                    </m:sup>
                  </m:sSup>
                  <m:d>
                    <m:dPr>
                      <m:begChr m:val="("/>
                      <m:sepChr m:val=""/>
                      <m:endChr m:val=")"/>
                      <m:grow/>
                    </m:dPr>
                    <m:e>
                      <m:r>
                        <m:t>a</m:t>
                      </m:r>
                    </m:e>
                  </m:d>
                </m:e>
              </m:d>
              <m:r>
                <m:t>ϕ</m:t>
              </m:r>
              <m:d>
                <m:dPr>
                  <m:begChr m:val="("/>
                  <m:sepChr m:val=""/>
                  <m:endChr m:val=")"/>
                  <m:grow/>
                </m:dPr>
                <m:e>
                  <m:sSup>
                    <m:e>
                      <m:r>
                        <m:t>Φ</m:t>
                      </m:r>
                    </m:e>
                    <m:sup>
                      <m:r>
                        <m:rPr>
                          <m:sty m:val="p"/>
                        </m:rPr>
                        <m:t>−</m:t>
                      </m:r>
                      <m:r>
                        <m:t>1</m:t>
                      </m:r>
                    </m:sup>
                  </m:sSup>
                  <m:d>
                    <m:dPr>
                      <m:begChr m:val="("/>
                      <m:sepChr m:val=""/>
                      <m:endChr m:val=")"/>
                      <m:grow/>
                    </m:dPr>
                    <m:e>
                      <m:r>
                        <m:t>b</m:t>
                      </m:r>
                    </m:e>
                  </m:d>
                  <m:r>
                    <m:rPr>
                      <m:sty m:val="p"/>
                    </m:rPr>
                    <m:t>−</m:t>
                  </m:r>
                  <m:rad>
                    <m:radPr>
                      <m:degHide m:val="on"/>
                    </m:radPr>
                    <m:deg/>
                    <m:e>
                      <m:r>
                        <m:t>2</m:t>
                      </m:r>
                    </m:e>
                  </m:rad>
                  <m:sSup>
                    <m:e>
                      <m:r>
                        <m:t>Φ</m:t>
                      </m:r>
                    </m:e>
                    <m:sup>
                      <m:r>
                        <m:rPr>
                          <m:sty m:val="p"/>
                        </m:rPr>
                        <m:t>−</m:t>
                      </m:r>
                      <m:r>
                        <m:t>1</m:t>
                      </m:r>
                    </m:sup>
                  </m:sSup>
                  <m:d>
                    <m:dPr>
                      <m:begChr m:val="("/>
                      <m:sepChr m:val=""/>
                      <m:endChr m:val=")"/>
                      <m:grow/>
                    </m:dPr>
                    <m:e>
                      <m:r>
                        <m:t>a</m:t>
                      </m:r>
                    </m:e>
                  </m:d>
                </m:e>
              </m:d>
            </m:num>
            <m:den>
              <m:r>
                <m:t>ϕ</m:t>
              </m:r>
              <m:d>
                <m:dPr>
                  <m:begChr m:val="("/>
                  <m:sepChr m:val=""/>
                  <m:endChr m:val=")"/>
                  <m:grow/>
                </m:dPr>
                <m:e>
                  <m:rad>
                    <m:radPr>
                      <m:degHide m:val="on"/>
                    </m:radPr>
                    <m:deg/>
                    <m:e>
                      <m:r>
                        <m:t>2</m:t>
                      </m:r>
                    </m:e>
                  </m:rad>
                  <m:sSup>
                    <m:e>
                      <m:r>
                        <m:t>Φ</m:t>
                      </m:r>
                    </m:e>
                    <m:sup>
                      <m:r>
                        <m:rPr>
                          <m:sty m:val="p"/>
                        </m:rPr>
                        <m:t>−</m:t>
                      </m:r>
                      <m:r>
                        <m:t>1</m:t>
                      </m:r>
                    </m:sup>
                  </m:sSup>
                  <m:d>
                    <m:dPr>
                      <m:begChr m:val="("/>
                      <m:sepChr m:val=""/>
                      <m:endChr m:val=")"/>
                      <m:grow/>
                    </m:dPr>
                    <m:e>
                      <m:r>
                        <m:t>a</m:t>
                      </m:r>
                    </m:e>
                  </m:d>
                </m:e>
              </m:d>
              <m:r>
                <m:t>ϕ</m:t>
              </m:r>
              <m:d>
                <m:dPr>
                  <m:begChr m:val="("/>
                  <m:sepChr m:val=""/>
                  <m:endChr m:val=")"/>
                  <m:grow/>
                </m:dPr>
                <m:e>
                  <m:sSup>
                    <m:e>
                      <m:r>
                        <m:t>Φ</m:t>
                      </m:r>
                    </m:e>
                    <m:sup>
                      <m:r>
                        <m:rPr>
                          <m:sty m:val="p"/>
                        </m:rPr>
                        <m:t>−</m:t>
                      </m:r>
                      <m:r>
                        <m:t>1</m:t>
                      </m:r>
                    </m:sup>
                  </m:sSup>
                  <m:d>
                    <m:dPr>
                      <m:begChr m:val="("/>
                      <m:sepChr m:val=""/>
                      <m:endChr m:val=")"/>
                      <m:grow/>
                    </m:dPr>
                    <m:e>
                      <m:r>
                        <m:t>b</m:t>
                      </m:r>
                    </m:e>
                  </m:d>
                  <m:r>
                    <m:rPr>
                      <m:sty m:val="p"/>
                    </m:rPr>
                    <m:t>−</m:t>
                  </m:r>
                  <m:rad>
                    <m:radPr>
                      <m:degHide m:val="on"/>
                    </m:radPr>
                    <m:deg/>
                    <m:e>
                      <m:r>
                        <m:t>2</m:t>
                      </m:r>
                    </m:e>
                  </m:rad>
                  <m:sSup>
                    <m:e>
                      <m:r>
                        <m:t>Φ</m:t>
                      </m:r>
                    </m:e>
                    <m:sup>
                      <m:r>
                        <m:rPr>
                          <m:sty m:val="p"/>
                        </m:rPr>
                        <m:t>−</m:t>
                      </m:r>
                      <m:r>
                        <m:t>1</m:t>
                      </m:r>
                    </m:sup>
                  </m:sSup>
                  <m:d>
                    <m:dPr>
                      <m:begChr m:val="("/>
                      <m:sepChr m:val=""/>
                      <m:endChr m:val=")"/>
                      <m:grow/>
                    </m:dPr>
                    <m:e>
                      <m:r>
                        <m:t>a</m:t>
                      </m:r>
                    </m:e>
                  </m:d>
                </m:e>
              </m:d>
              <m:r>
                <m:rPr>
                  <m:sty m:val="p"/>
                </m:rPr>
                <m:t>+</m:t>
              </m:r>
              <m:r>
                <m:t>ϕ</m:t>
              </m:r>
              <m:d>
                <m:dPr>
                  <m:begChr m:val="("/>
                  <m:sepChr m:val=""/>
                  <m:endChr m:val=")"/>
                  <m:grow/>
                </m:dPr>
                <m:e>
                  <m:rad>
                    <m:radPr>
                      <m:degHide m:val="on"/>
                    </m:radPr>
                    <m:deg/>
                    <m:e>
                      <m:r>
                        <m:t>2</m:t>
                      </m:r>
                    </m:e>
                  </m:rad>
                  <m:sSup>
                    <m:e>
                      <m:r>
                        <m:t>Φ</m:t>
                      </m:r>
                    </m:e>
                    <m:sup>
                      <m:r>
                        <m:rPr>
                          <m:sty m:val="p"/>
                        </m:rPr>
                        <m:t>−</m:t>
                      </m:r>
                      <m:r>
                        <m:t>1</m:t>
                      </m:r>
                    </m:sup>
                  </m:sSup>
                  <m:d>
                    <m:dPr>
                      <m:begChr m:val="("/>
                      <m:sepChr m:val=""/>
                      <m:endChr m:val=")"/>
                      <m:grow/>
                    </m:dPr>
                    <m:e>
                      <m:r>
                        <m:t>b</m:t>
                      </m:r>
                    </m:e>
                  </m:d>
                </m:e>
              </m:d>
              <m:r>
                <m:t>ϕ</m:t>
              </m:r>
              <m:d>
                <m:dPr>
                  <m:begChr m:val="("/>
                  <m:sepChr m:val=""/>
                  <m:endChr m:val=")"/>
                  <m:grow/>
                </m:dPr>
                <m:e>
                  <m:sSup>
                    <m:e>
                      <m:r>
                        <m:t>Φ</m:t>
                      </m:r>
                    </m:e>
                    <m:sup>
                      <m:r>
                        <m:rPr>
                          <m:sty m:val="p"/>
                        </m:rPr>
                        <m:t>−</m:t>
                      </m:r>
                      <m:r>
                        <m:t>1</m:t>
                      </m:r>
                    </m:sup>
                  </m:sSup>
                  <m:d>
                    <m:dPr>
                      <m:begChr m:val="("/>
                      <m:sepChr m:val=""/>
                      <m:endChr m:val=")"/>
                      <m:grow/>
                    </m:dPr>
                    <m:e>
                      <m:r>
                        <m:t>a</m:t>
                      </m:r>
                    </m:e>
                  </m:d>
                  <m:r>
                    <m:rPr>
                      <m:sty m:val="p"/>
                    </m:rPr>
                    <m:t>−</m:t>
                  </m:r>
                  <m:rad>
                    <m:radPr>
                      <m:degHide m:val="on"/>
                    </m:radPr>
                    <m:deg/>
                    <m:e>
                      <m:r>
                        <m:t>2</m:t>
                      </m:r>
                    </m:e>
                  </m:rad>
                  <m:sSup>
                    <m:e>
                      <m:r>
                        <m:t>Φ</m:t>
                      </m:r>
                    </m:e>
                    <m:sup>
                      <m:r>
                        <m:rPr>
                          <m:sty m:val="p"/>
                        </m:rPr>
                        <m:t>−</m:t>
                      </m:r>
                      <m:r>
                        <m:t>1</m:t>
                      </m:r>
                    </m:sup>
                  </m:sSup>
                  <m:d>
                    <m:dPr>
                      <m:begChr m:val="("/>
                      <m:sepChr m:val=""/>
                      <m:endChr m:val=")"/>
                      <m:grow/>
                    </m:dPr>
                    <m:e>
                      <m:r>
                        <m:t>b</m:t>
                      </m:r>
                    </m:e>
                  </m:d>
                </m:e>
              </m:d>
            </m:den>
          </m:f>
        </m:oMath>
      </m:oMathPara>
    </w:p>
    <w:p>
      <w:pPr>
        <w:pStyle w:val="FirstParagraph"/>
      </w:pPr>
      <w:r>
        <w:t xml:space="preserve">If we call that value λ, it follows that C(</w:t>
      </w:r>
      <w:r>
        <w:rPr>
          <w:i/>
          <w:iCs/>
        </w:rPr>
        <w:t xml:space="preserve">p</w:t>
      </w:r>
      <w:r>
        <w:t xml:space="preserve"> |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 λ</w:t>
      </w:r>
      <w:r>
        <w:rPr>
          <w:i/>
          <w:iCs/>
        </w:rPr>
        <w:t xml:space="preserve">b</w:t>
      </w:r>
      <w:r>
        <w:t xml:space="preserve"> + (1-λ)</w:t>
      </w:r>
      <w:r>
        <w:rPr>
          <w:i/>
          <w:iCs/>
        </w:rPr>
        <w:t xml:space="preserve">a</w:t>
      </w:r>
      <w:r>
        <w:t xml:space="preserve">, and since λ ∈ (0,1), this means that C satisfies constraint 4. This is consistent with Gallow’s result because λ is not a constant, it is a function of</w:t>
      </w:r>
      <w:r>
        <w:t xml:space="preserve"> </w:t>
      </w:r>
      <w:r>
        <w:rPr>
          <w:i/>
          <w:iCs/>
        </w:rPr>
        <w:t xml:space="preserve">a</w:t>
      </w:r>
      <w:r>
        <w:t xml:space="preserve"> </w:t>
      </w:r>
      <w:r>
        <w:t xml:space="preserve">and</w:t>
      </w:r>
      <w:r>
        <w:t xml:space="preserve"> </w:t>
      </w:r>
      <w:r>
        <w:rPr>
          <w:i/>
          <w:iCs/>
        </w:rPr>
        <w:t xml:space="preserve">b</w:t>
      </w:r>
      <w:r>
        <w:t xml:space="preserve">. And it is consistent with Zhang’s result because each of A(</w:t>
      </w:r>
      <w:r>
        <w:rPr>
          <w:i/>
          <w:iCs/>
        </w:rPr>
        <w:t xml:space="preserve">p</w:t>
      </w:r>
      <w:r>
        <w:t xml:space="preserve">) and B(</w:t>
      </w:r>
      <w:r>
        <w:rPr>
          <w:i/>
          <w:iCs/>
        </w:rPr>
        <w:t xml:space="preserve">p</w:t>
      </w:r>
      <w:r>
        <w:t xml:space="preserve">) can take infinitely many, in fact uncountably many, values. If one tries to make a similar construction to this one with only finitely many possible values for the probabilities, there will be some value which only the more informed probability can take, and in that case C’s posterior probability will be equal to the probability of the more informed expert.</w:t>
      </w:r>
    </w:p>
    <w:p>
      <w:pPr>
        <w:pStyle w:val="BodyText"/>
      </w:pPr>
      <w:r>
        <w:t xml:space="preserve">To understand the relationship between</w:t>
      </w:r>
      <w:r>
        <w:t xml:space="preserve"> </w:t>
      </w:r>
      <w:r>
        <w:rPr>
          <w:i/>
          <w:iCs/>
        </w:rPr>
        <w:t xml:space="preserve">a</w:t>
      </w:r>
      <w:r>
        <w:t xml:space="preserve">,</w:t>
      </w:r>
      <w:r>
        <w:t xml:space="preserve"> </w:t>
      </w:r>
      <w:r>
        <w:rPr>
          <w:i/>
          <w:iCs/>
        </w:rPr>
        <w:t xml:space="preserve">b</w:t>
      </w:r>
      <w:r>
        <w:t xml:space="preserve">, and C’s posterior probability, it helps to visualise one part of it.</w:t>
      </w:r>
      <w:r>
        <w:t xml:space="preserve"> </w:t>
      </w:r>
      <w:hyperlink w:anchor="fig-two-experts">
        <w:r>
          <w:rPr>
            <w:rStyle w:val="Hyperlink"/>
          </w:rPr>
          <w:t xml:space="preserve">Figure 1</w:t>
        </w:r>
      </w:hyperlink>
      <w:r>
        <w:t xml:space="preserve"> </w:t>
      </w:r>
      <w:r>
        <w:t xml:space="preserve">shows what value this posterior takes for different values of</w:t>
      </w:r>
      <w:r>
        <w:t xml:space="preserve"> </w:t>
      </w:r>
      <w:r>
        <w:rPr>
          <w:i/>
          <w:iCs/>
        </w:rPr>
        <w:t xml:space="preserve">b</w:t>
      </w:r>
      <w:r>
        <w:t xml:space="preserve"> </w:t>
      </w:r>
      <w:r>
        <w:t xml:space="preserve">holding fixed</w:t>
      </w:r>
      <w:r>
        <w:t xml:space="preserve"> </w:t>
      </w:r>
      <w:r>
        <w:rPr>
          <w:i/>
          <w:iCs/>
        </w:rPr>
        <w:t xml:space="preserve">a</w:t>
      </w:r>
      <w:r>
        <w:t xml:space="preserve"> = 0.75.</w:t>
      </w:r>
    </w:p>
    <w:tbl>
      <w:tblPr>
        <w:tblStyle w:val="Table"/>
        <w:tblW w:type="pct" w:w="5000"/>
        <w:tblLayout w:type="fixed"/>
        <w:tblLook w:firstRow="0" w:lastRow="0" w:firstColumn="0" w:lastColumn="0" w:noHBand="0" w:noVBand="0" w:val="0000"/>
      </w:tblPr>
      <w:tblGrid>
        <w:gridCol w:w="7920"/>
      </w:tblGrid>
      <w:tr>
        <w:tc>
          <w:tcPr/>
          <w:bookmarkStart w:id="25" w:name="fig-two-experts"/>
          <w:p>
            <w:pPr>
              <w:pStyle w:val="Compact"/>
              <w:jc w:val="center"/>
            </w:pPr>
            <w:r>
              <w:drawing>
                <wp:inline>
                  <wp:extent cx="5207000" cy="4165600"/>
                  <wp:effectExtent b="0" l="0" r="0" t="0"/>
                  <wp:docPr descr="" title="" id="23" name="Picture"/>
                  <a:graphic>
                    <a:graphicData uri="http://schemas.openxmlformats.org/drawingml/2006/picture">
                      <pic:pic>
                        <pic:nvPicPr>
                          <pic:cNvPr descr="defer-three_files/figure-docx/fig-two-experts-1.png" id="24" name="Picture"/>
                          <pic:cNvPicPr>
                            <a:picLocks noChangeArrowheads="1" noChangeAspect="1"/>
                          </pic:cNvPicPr>
                        </pic:nvPicPr>
                        <pic:blipFill>
                          <a:blip r:embed="rId2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posterior probability of C(</w:t>
            </w:r>
            <w:r>
              <w:rPr>
                <w:i/>
                <w:iCs/>
              </w:rPr>
              <w:t xml:space="preserve">p</w:t>
            </w:r>
            <w:r>
              <w:t xml:space="preserve">) given A(</w:t>
            </w:r>
            <w:r>
              <w:rPr>
                <w:i/>
                <w:iCs/>
              </w:rPr>
              <w:t xml:space="preserve">p</w:t>
            </w:r>
            <w:r>
              <w:t xml:space="preserve">) = 0.75.</w:t>
            </w:r>
          </w:p>
          <w:bookmarkEnd w:id="25"/>
        </w:tc>
      </w:tr>
    </w:tbl>
    <w:p>
      <w:pPr>
        <w:pStyle w:val="BodyText"/>
      </w:pPr>
      <w:r>
        <w:t xml:space="preserve">The distribution loosely follows what</w:t>
      </w:r>
      <w:r>
        <w:t xml:space="preserve"> </w:t>
      </w:r>
      <w:r>
        <w:t xml:space="preserve">Levinstein (2015)</w:t>
      </w:r>
      <w:r>
        <w:t xml:space="preserve"> </w:t>
      </w:r>
      <w:r>
        <w:t xml:space="preserve">calls</w:t>
      </w:r>
      <w:r>
        <w:t xml:space="preserve"> </w:t>
      </w:r>
      <w:r>
        <w:t xml:space="preserve">Thrasymachus’s Principle. The more opinionated of the two experts gets much stronger weight. You can see this in part by seeing how close the above graph gets to</w:t>
      </w:r>
      <w:r>
        <w:t xml:space="preserve"> </w:t>
      </w:r>
      <w:r>
        <w:rPr>
          <w:i/>
          <w:iCs/>
        </w:rPr>
        <w:t xml:space="preserve">x</w:t>
      </w:r>
      <w:r>
        <w:t xml:space="preserve"> = </w:t>
      </w:r>
      <w:r>
        <w:rPr>
          <w:i/>
          <w:iCs/>
        </w:rPr>
        <w:t xml:space="preserve">y</w:t>
      </w:r>
      <w:r>
        <w:t xml:space="preserve"> </w:t>
      </w:r>
      <w:r>
        <w:t xml:space="preserve">at either extreme. But it’s perhaps more vivid if we plot the posterior probability that the coin landed Tails against the different values of B(</w:t>
      </w:r>
      <w:r>
        <w:rPr>
          <w:i/>
          <w:iCs/>
        </w:rPr>
        <w:t xml:space="preserve">p</w:t>
      </w:r>
      <w:r>
        <w:t xml:space="preserve">), as in</w:t>
      </w:r>
      <w:r>
        <w:t xml:space="preserve"> </w:t>
      </w:r>
      <w:hyperlink w:anchor="fig-two-experts-heads">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fig-two-experts-heads"/>
          <w:p>
            <w:pPr>
              <w:pStyle w:val="Compact"/>
              <w:jc w:val="center"/>
            </w:pPr>
            <w:r>
              <w:drawing>
                <wp:inline>
                  <wp:extent cx="5207000" cy="4165600"/>
                  <wp:effectExtent b="0" l="0" r="0" t="0"/>
                  <wp:docPr descr="" title="" id="27" name="Picture"/>
                  <a:graphic>
                    <a:graphicData uri="http://schemas.openxmlformats.org/drawingml/2006/picture">
                      <pic:pic>
                        <pic:nvPicPr>
                          <pic:cNvPr descr="defer-three_files/figure-docx/fig-two-experts-heads-1.png" id="28" name="Picture"/>
                          <pic:cNvPicPr>
                            <a:picLocks noChangeArrowheads="1" noChangeAspect="1"/>
                          </pic:cNvPicPr>
                        </pic:nvPicPr>
                        <pic:blipFill>
                          <a:blip r:embed="rId26"/>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posterior probability of the coin landing Tails given A(</w:t>
            </w:r>
            <w:r>
              <w:rPr>
                <w:i/>
                <w:iCs/>
              </w:rPr>
              <w:t xml:space="preserve">p</w:t>
            </w:r>
            <w:r>
              <w:t xml:space="preserve">) = 0.75.</w:t>
            </w:r>
          </w:p>
          <w:bookmarkEnd w:id="29"/>
        </w:tc>
      </w:tr>
    </w:tbl>
    <w:p>
      <w:pPr>
        <w:pStyle w:val="BodyText"/>
      </w:pPr>
      <w:r>
        <w:t xml:space="preserve">When B(</w:t>
      </w:r>
      <w:r>
        <w:rPr>
          <w:i/>
          <w:iCs/>
        </w:rPr>
        <w:t xml:space="preserve">p</w:t>
      </w:r>
      <w:r>
        <w:t xml:space="preserve">) is between 0.25 and 0.75, i.e., when it is closer to 0.5 than A(</w:t>
      </w:r>
      <w:r>
        <w:rPr>
          <w:i/>
          <w:iCs/>
        </w:rPr>
        <w:t xml:space="preserve">p</w:t>
      </w:r>
      <w:r>
        <w:t xml:space="preserve">) is, C is confident that the coin landed Tails, and that A is more informed and hence more worthy of deference. When B(</w:t>
      </w:r>
      <w:r>
        <w:rPr>
          <w:i/>
          <w:iCs/>
        </w:rPr>
        <w:t xml:space="preserve">p</w:t>
      </w:r>
      <w:r>
        <w:t xml:space="preserve">) takes a more extreme value, then C is confident that the coin landed Heads, and hence that B is more worthy of deference. In general, this model backs up Levinstein’s intuition that more opinionated sources are probably better informed, and hence more worthy of deference.</w:t>
      </w:r>
    </w:p>
    <w:bookmarkEnd w:id="30"/>
    <w:bookmarkStart w:id="35" w:name="sec-nesting"/>
    <w:p>
      <w:pPr>
        <w:pStyle w:val="Heading1"/>
      </w:pPr>
      <w:r>
        <w:t xml:space="preserve">2. Evidence and Nesting</w:t>
      </w:r>
    </w:p>
    <w:p>
      <w:pPr>
        <w:pStyle w:val="FirstParagraph"/>
      </w:pPr>
      <w:r>
        <w:t xml:space="preserve">The previous section assumed that C strongly deferred to A and B. We now turn to the question of when C should do that. A natural thought, one we relied on in that discussion, was that C should defer when they regard A and B as better informed than they are. This can be motivated with a famous result from David Blackwell</w:t>
      </w:r>
      <w:r>
        <w:t xml:space="preserve"> </w:t>
      </w:r>
      <w:r>
        <w:t xml:space="preserve">(1953)</w:t>
      </w:r>
      <w:r>
        <w:t xml:space="preserve">. Let E</w:t>
      </w:r>
      <w:r>
        <w:rPr>
          <w:vertAlign w:val="subscript"/>
        </w:rPr>
        <w:t xml:space="preserve">1</w:t>
      </w:r>
      <w:r>
        <w:t xml:space="preserve"> </w:t>
      </w:r>
      <w:r>
        <w:t xml:space="preserve">and E</w:t>
      </w:r>
      <w:r>
        <w:rPr>
          <w:vertAlign w:val="subscript"/>
        </w:rPr>
        <w:t xml:space="preserve">2</w:t>
      </w:r>
      <w:r>
        <w:t xml:space="preserve"> </w:t>
      </w:r>
      <w:r>
        <w:t xml:space="preserve">be functions from W to subsets of W. Intuitively, these are</w:t>
      </w:r>
      <w:r>
        <w:t xml:space="preserve"> </w:t>
      </w:r>
      <w:r>
        <w:rPr>
          <w:i/>
          <w:iCs/>
        </w:rPr>
        <w:t xml:space="preserve">experiments</w:t>
      </w:r>
      <w:r>
        <w:t xml:space="preserve">; The Experimenter will perform E</w:t>
      </w:r>
      <w:r>
        <w:rPr>
          <w:i/>
          <w:iCs/>
          <w:vertAlign w:val="subscript"/>
        </w:rPr>
        <w:t xml:space="preserve">i</w:t>
      </w:r>
      <w:r>
        <w:t xml:space="preserve"> </w:t>
      </w:r>
      <w:r>
        <w:t xml:space="preserve">and learn they are in E</w:t>
      </w:r>
      <w:r>
        <w:rPr>
          <w:i/>
          <w:iCs/>
          <w:vertAlign w:val="subscript"/>
        </w:rPr>
        <w:t xml:space="preserve">i</w:t>
      </w:r>
      <w:r>
        <w:t xml:space="preserve">(</w:t>
      </w:r>
      <w:r>
        <w:rPr>
          <w:i/>
          <w:iCs/>
        </w:rPr>
        <w:t xml:space="preserve">w</w:t>
      </w:r>
      <w:r>
        <w:t xml:space="preserve">), where</w:t>
      </w:r>
      <w:r>
        <w:t xml:space="preserve"> </w:t>
      </w:r>
      <w:r>
        <w:rPr>
          <w:i/>
          <w:iCs/>
        </w:rPr>
        <w:t xml:space="preserve">w</w:t>
      </w:r>
      <w:r>
        <w:t xml:space="preserve"> </w:t>
      </w:r>
      <w:r>
        <w:t xml:space="preserve">is the world they are in. Blackwell assumes that the range of each E</w:t>
      </w:r>
      <w:r>
        <w:rPr>
          <w:i/>
          <w:iCs/>
          <w:vertAlign w:val="subscript"/>
        </w:rPr>
        <w:t xml:space="preserve">i</w:t>
      </w:r>
      <w:r>
        <w:t xml:space="preserve"> </w:t>
      </w:r>
      <w:r>
        <w:t xml:space="preserve">is a partition of W; The Experimenter always learns what cell of the partition they are in.</w:t>
      </w:r>
    </w:p>
    <w:p>
      <w:pPr>
        <w:pStyle w:val="BodyText"/>
      </w:pPr>
      <w:r>
        <w:t xml:space="preserve">The short version of the big result is that E</w:t>
      </w:r>
      <w:r>
        <w:rPr>
          <w:vertAlign w:val="subscript"/>
        </w:rPr>
        <w:t xml:space="preserve">1</w:t>
      </w:r>
      <w:r>
        <w:t xml:space="preserve"> </w:t>
      </w:r>
      <w:r>
        <w:t xml:space="preserve">is guaranteed to be more valuable than E</w:t>
      </w:r>
      <w:r>
        <w:rPr>
          <w:vertAlign w:val="subscript"/>
        </w:rPr>
        <w:t xml:space="preserve">2</w:t>
      </w:r>
      <w:r>
        <w:t xml:space="preserve"> </w:t>
      </w:r>
      <w:r>
        <w:t xml:space="preserve">iff E</w:t>
      </w:r>
      <w:r>
        <w:rPr>
          <w:vertAlign w:val="subscript"/>
        </w:rPr>
        <w:t xml:space="preserve">1</w:t>
      </w:r>
      <w:r>
        <w:t xml:space="preserve"> </w:t>
      </w:r>
      <w:r>
        <w:t xml:space="preserve">is more informative than E</w:t>
      </w:r>
      <w:r>
        <w:rPr>
          <w:vertAlign w:val="subscript"/>
        </w:rPr>
        <w:t xml:space="preserve">2</w:t>
      </w:r>
      <w:r>
        <w:t xml:space="preserve">. All of that needs clarifying though.</w:t>
      </w:r>
    </w:p>
    <w:p>
      <w:pPr>
        <w:pStyle w:val="BodyText"/>
      </w:pPr>
      <w:r>
        <w:t xml:space="preserve">Say E</w:t>
      </w:r>
      <w:r>
        <w:rPr>
          <w:vertAlign w:val="subscript"/>
        </w:rPr>
        <w:t xml:space="preserve">1</w:t>
      </w:r>
      <w:r>
        <w:t xml:space="preserve"> </w:t>
      </w:r>
      <w:r>
        <w:t xml:space="preserve">is a</w:t>
      </w:r>
      <w:r>
        <w:t xml:space="preserve"> </w:t>
      </w:r>
      <w:r>
        <w:rPr>
          <w:i/>
          <w:iCs/>
        </w:rPr>
        <w:t xml:space="preserve">refinement</w:t>
      </w:r>
      <w:r>
        <w:t xml:space="preserve"> </w:t>
      </w:r>
      <w:r>
        <w:t xml:space="preserve">of E</w:t>
      </w:r>
      <w:r>
        <w:rPr>
          <w:vertAlign w:val="subscript"/>
        </w:rPr>
        <w:t xml:space="preserve">2</w:t>
      </w:r>
      <w:r>
        <w:t xml:space="preserve"> </w:t>
      </w:r>
      <w:r>
        <w:t xml:space="preserve">iff for all</w:t>
      </w:r>
      <w:r>
        <w:t xml:space="preserve"> </w:t>
      </w:r>
      <w:r>
        <w:rPr>
          <w:i/>
          <w:iCs/>
        </w:rPr>
        <w:t xml:space="preserve">w</w:t>
      </w:r>
      <w:r>
        <w:t xml:space="preserve">, E</w:t>
      </w:r>
      <w:r>
        <w:rPr>
          <w:vertAlign w:val="subscript"/>
        </w:rPr>
        <w:t xml:space="preserve">1</w:t>
      </w:r>
      <w:r>
        <w:t xml:space="preserve">(</w:t>
      </w:r>
      <w:r>
        <w:rPr>
          <w:i/>
          <w:iCs/>
        </w:rPr>
        <w:t xml:space="preserve">w</w:t>
      </w:r>
      <w:r>
        <w:t xml:space="preserve">) ⊆ E</w:t>
      </w:r>
      <w:r>
        <w:rPr>
          <w:vertAlign w:val="subscript"/>
        </w:rPr>
        <w:t xml:space="preserve">2</w:t>
      </w:r>
      <w:r>
        <w:t xml:space="preserve">(</w:t>
      </w:r>
      <w:r>
        <w:rPr>
          <w:i/>
          <w:iCs/>
        </w:rPr>
        <w:t xml:space="preserve">w</w:t>
      </w:r>
      <w:r>
        <w:t xml:space="preserve">). Formally, this is how we’ll capture the intuitive notion of being more informative.</w:t>
      </w:r>
      <w:r>
        <w:rPr>
          <w:rStyle w:val="FootnoteReference"/>
        </w:rPr>
        <w:footnoteReference w:id="31"/>
      </w:r>
    </w:p>
    <w:p>
      <w:pPr>
        <w:pStyle w:val="BodyText"/>
      </w:pPr>
      <w:r>
        <w:t xml:space="preserve">Let O be a finite set of options: {O</w:t>
      </w:r>
      <w:r>
        <w:rPr>
          <w:vertAlign w:val="subscript"/>
        </w:rPr>
        <w:t xml:space="preserve">1</w:t>
      </w:r>
      <w:r>
        <w:t xml:space="preserve">, …, O</w:t>
      </w:r>
      <w:r>
        <w:rPr>
          <w:i/>
          <w:iCs/>
          <w:vertAlign w:val="subscript"/>
        </w:rPr>
        <w:t xml:space="preserve">n</w:t>
      </w:r>
      <w:r>
        <w:t xml:space="preserve">}. Each O</w:t>
      </w:r>
      <w:r>
        <w:rPr>
          <w:i/>
          <w:iCs/>
          <w:vertAlign w:val="subscript"/>
        </w:rPr>
        <w:t xml:space="preserve">i</w:t>
      </w:r>
      <w:r>
        <w:t xml:space="preserve"> </w:t>
      </w:r>
      <w:r>
        <w:t xml:space="preserve">is a function from W to reals. Intuitively, they are bets, and the number is the return on each bet. I’ll follow standard terminology in philosophy and say that a function from worlds to reals is a</w:t>
      </w:r>
      <w:r>
        <w:t xml:space="preserve"> </w:t>
      </w:r>
      <w:r>
        <w:rPr>
          <w:i/>
          <w:iCs/>
        </w:rPr>
        <w:t xml:space="preserve">random variable</w:t>
      </w:r>
      <w:r>
        <w:t xml:space="preserve">. Given a random variable X (defined on W) and a probability function Pr, we can define the expectation Exp(W, Pr) as ΣPr(</w:t>
      </w:r>
      <w:r>
        <w:rPr>
          <w:i/>
          <w:iCs/>
        </w:rPr>
        <w:t xml:space="preserve">w</w:t>
      </w:r>
      <w:r>
        <w:t xml:space="preserve">)X(</w:t>
      </w:r>
      <w:r>
        <w:rPr>
          <w:i/>
          <w:iCs/>
        </w:rPr>
        <w:t xml:space="preserve">w</w:t>
      </w:r>
      <w:r>
        <w:t xml:space="preserve">), where the sum is across members of W.</w:t>
      </w:r>
      <w:r>
        <w:rPr>
          <w:rStyle w:val="FootnoteReference"/>
        </w:rPr>
        <w:footnoteReference w:id="32"/>
      </w:r>
    </w:p>
    <w:p>
      <w:pPr>
        <w:pStyle w:val="BodyText"/>
      </w:pPr>
      <w:r>
        <w:t xml:space="preserve">Say a strategy S is a function from E and W to O such that if E(</w:t>
      </w:r>
      <w:r>
        <w:rPr>
          <w:i/>
          <w:iCs/>
        </w:rPr>
        <w:t xml:space="preserve">x</w:t>
      </w:r>
      <w:r>
        <w:t xml:space="preserve">) = E(</w:t>
      </w:r>
      <w:r>
        <w:rPr>
          <w:i/>
          <w:iCs/>
        </w:rPr>
        <w:t xml:space="preserve">y</w:t>
      </w:r>
      <w:r>
        <w:t xml:space="preserve">), then S(</w:t>
      </w:r>
      <w:r>
        <w:rPr>
          <w:i/>
          <w:iCs/>
        </w:rPr>
        <w:t xml:space="preserve">x</w:t>
      </w:r>
      <w:r>
        <w:t xml:space="preserve">) = S(</w:t>
      </w:r>
      <w:r>
        <w:rPr>
          <w:i/>
          <w:iCs/>
        </w:rPr>
        <w:t xml:space="preserve">y</w:t>
      </w:r>
      <w:r>
        <w:t xml:space="preserve">). That is, strategies are not more fine-grained than evidence. Intuitively, a strategy is something that The Experimenter can implement given their evidence, so it can’t require them to make more discriminations than their evidence does. For each S, we can define a random variable S</w:t>
      </w:r>
      <w:r>
        <w:rPr>
          <w:vertAlign w:val="subscript"/>
        </w:rPr>
        <w:t xml:space="preserve">R</w:t>
      </w:r>
      <w:r>
        <w:t xml:space="preserve"> </w:t>
      </w:r>
      <w:r>
        <w:t xml:space="preserve">(read this as the return of S), such that S</w:t>
      </w:r>
      <w:r>
        <w:rPr>
          <w:vertAlign w:val="subscript"/>
        </w:rPr>
        <w:t xml:space="preserve">r</w:t>
      </w:r>
      <w:r>
        <w:t xml:space="preserve">(</w:t>
      </w:r>
      <w:r>
        <w:rPr>
          <w:i/>
          <w:iCs/>
        </w:rPr>
        <w:t xml:space="preserve">w</w:t>
      </w:r>
      <w:r>
        <w:t xml:space="preserve">) = S(</w:t>
      </w:r>
      <w:r>
        <w:rPr>
          <w:i/>
          <w:iCs/>
        </w:rPr>
        <w:t xml:space="preserve">w</w:t>
      </w:r>
      <w:r>
        <w:t xml:space="preserve">)(</w:t>
      </w:r>
      <w:r>
        <w:rPr>
          <w:i/>
          <w:iCs/>
        </w:rPr>
        <w:t xml:space="preserve">w</w:t>
      </w:r>
      <w:r>
        <w:t xml:space="preserve">). In words, the return of S at</w:t>
      </w:r>
      <w:r>
        <w:t xml:space="preserve"> </w:t>
      </w:r>
      <w:r>
        <w:rPr>
          <w:i/>
          <w:iCs/>
        </w:rPr>
        <w:t xml:space="preserve">w</w:t>
      </w:r>
      <w:r>
        <w:t xml:space="preserve"> </w:t>
      </w:r>
      <w:r>
        <w:t xml:space="preserve">is the value at</w:t>
      </w:r>
      <w:r>
        <w:t xml:space="preserve"> </w:t>
      </w:r>
      <w:r>
        <w:rPr>
          <w:i/>
          <w:iCs/>
        </w:rPr>
        <w:t xml:space="preserve">w</w:t>
      </w:r>
      <w:r>
        <w:t xml:space="preserve"> </w:t>
      </w:r>
      <w:r>
        <w:t xml:space="preserve">of the option S selects at</w:t>
      </w:r>
      <w:r>
        <w:t xml:space="preserve"> </w:t>
      </w:r>
      <w:r>
        <w:rPr>
          <w:i/>
          <w:iCs/>
        </w:rPr>
        <w:t xml:space="preserve">w</w:t>
      </w:r>
      <w:r>
        <w:t xml:space="preserve">.</w:t>
      </w:r>
    </w:p>
    <w:p>
      <w:pPr>
        <w:pStyle w:val="BodyText"/>
      </w:pPr>
      <w:r>
        <w:t xml:space="preserve">Finally, say that a strategy is</w:t>
      </w:r>
      <w:r>
        <w:t xml:space="preserve"> </w:t>
      </w:r>
      <w:r>
        <w:rPr>
          <w:b/>
          <w:bCs/>
        </w:rPr>
        <w:t xml:space="preserve">recommended</w:t>
      </w:r>
      <w:r>
        <w:rPr>
          <w:rStyle w:val="FootnoteReference"/>
        </w:rPr>
        <w:footnoteReference w:id="33"/>
      </w:r>
      <w:r>
        <w:t xml:space="preserve"> </w:t>
      </w:r>
      <w:r>
        <w:t xml:space="preserve">by Pr (relative to E, O and W) just in case for all</w:t>
      </w:r>
      <w:r>
        <w:t xml:space="preserve"> </w:t>
      </w:r>
      <w:r>
        <w:rPr>
          <w:i/>
          <w:iCs/>
        </w:rPr>
        <w:t xml:space="preserve">w</w:t>
      </w:r>
      <w:r>
        <w:t xml:space="preserve"> </w:t>
      </w:r>
      <w:r>
        <w:t xml:space="preserve">in W, and alternative options O</w:t>
      </w:r>
      <w:r>
        <w:rPr>
          <w:vertAlign w:val="subscript"/>
        </w:rPr>
        <w:t xml:space="preserve">a</w:t>
      </w:r>
      <w:r>
        <w:t xml:space="preserve"> </w:t>
      </w:r>
      <w:r>
        <w:t xml:space="preserve">in O, Exp(S(</w:t>
      </w:r>
      <w:r>
        <w:rPr>
          <w:i/>
          <w:iCs/>
        </w:rPr>
        <w:t xml:space="preserve">w</w:t>
      </w:r>
      <w:r>
        <w:t xml:space="preserve">), Pr(• | E(</w:t>
      </w:r>
      <w:r>
        <w:rPr>
          <w:i/>
          <w:iCs/>
        </w:rPr>
        <w:t xml:space="preserve">w</w:t>
      </w:r>
      <w:r>
        <w:t xml:space="preserve">))) ⩾ Exp(O</w:t>
      </w:r>
      <w:r>
        <w:rPr>
          <w:vertAlign w:val="subscript"/>
        </w:rPr>
        <w:t xml:space="preserve">a</w:t>
      </w:r>
      <w:r>
        <w:t xml:space="preserve">, Pr(• | E(</w:t>
      </w:r>
      <w:r>
        <w:rPr>
          <w:i/>
          <w:iCs/>
        </w:rPr>
        <w:t xml:space="preserve">w</w:t>
      </w:r>
      <w:r>
        <w:t xml:space="preserve">))). In words, the option selected by S at</w:t>
      </w:r>
      <w:r>
        <w:t xml:space="preserve"> </w:t>
      </w:r>
      <w:r>
        <w:rPr>
          <w:i/>
          <w:iCs/>
        </w:rPr>
        <w:t xml:space="preserve">w</w:t>
      </w:r>
      <w:r>
        <w:t xml:space="preserve"> </w:t>
      </w:r>
      <w:r>
        <w:t xml:space="preserve">has maximal expected utility out of the options in O, relative to the result of updating Pr on the evidence available at</w:t>
      </w:r>
      <w:r>
        <w:t xml:space="preserve"> </w:t>
      </w:r>
      <w:r>
        <w:rPr>
          <w:i/>
          <w:iCs/>
        </w:rPr>
        <w:t xml:space="preserve">w</w:t>
      </w:r>
      <w:r>
        <w:t xml:space="preserve">. Given these notions, we can state two important results Blackwell proves.</w:t>
      </w:r>
    </w:p>
    <w:p>
      <w:pPr>
        <w:pStyle w:val="BodyText"/>
      </w:pPr>
      <w:r>
        <w:t xml:space="preserve">First, for any O, W and Pr, if E</w:t>
      </w:r>
      <w:r>
        <w:rPr>
          <w:vertAlign w:val="subscript"/>
        </w:rPr>
        <w:t xml:space="preserve">1</w:t>
      </w:r>
      <w:r>
        <w:t xml:space="preserve"> </w:t>
      </w:r>
      <w:r>
        <w:t xml:space="preserve">is a refinement of E</w:t>
      </w:r>
      <w:r>
        <w:rPr>
          <w:vertAlign w:val="subscript"/>
        </w:rPr>
        <w:t xml:space="preserve">2</w:t>
      </w:r>
      <w:r>
        <w:t xml:space="preserve">, S</w:t>
      </w:r>
      <w:r>
        <w:rPr>
          <w:vertAlign w:val="subscript"/>
        </w:rPr>
        <w:t xml:space="preserve">1</w:t>
      </w:r>
      <w:r>
        <w:t xml:space="preserve"> </w:t>
      </w:r>
      <w:r>
        <w:t xml:space="preserve">is recommended by E</w:t>
      </w:r>
      <w:r>
        <w:rPr>
          <w:vertAlign w:val="subscript"/>
        </w:rPr>
        <w:t xml:space="preserve">1</w:t>
      </w:r>
      <w:r>
        <w:t xml:space="preserve"> </w:t>
      </w:r>
      <w:r>
        <w:t xml:space="preserve">and S</w:t>
      </w:r>
      <w:r>
        <w:rPr>
          <w:vertAlign w:val="subscript"/>
        </w:rPr>
        <w:t xml:space="preserve">2</w:t>
      </w:r>
      <w:r>
        <w:t xml:space="preserve"> </w:t>
      </w:r>
      <w:r>
        <w:t xml:space="preserve">is recommended by E</w:t>
      </w:r>
      <w:r>
        <w:rPr>
          <w:vertAlign w:val="subscript"/>
        </w:rPr>
        <w:t xml:space="preserve">2</w:t>
      </w:r>
      <w:r>
        <w:t xml:space="preserve">, then Exp(S</w:t>
      </w:r>
      <w:r>
        <w:rPr>
          <w:vertAlign w:val="subscript"/>
        </w:rPr>
        <w:t xml:space="preserve">1</w:t>
      </w:r>
      <w:r>
        <w:t xml:space="preserve">, Pr) ⩾ Exp(S</w:t>
      </w:r>
      <w:r>
        <w:rPr>
          <w:vertAlign w:val="subscript"/>
        </w:rPr>
        <w:t xml:space="preserve">2</w:t>
      </w:r>
      <w:r>
        <w:t xml:space="preserve">, Pr). No matter what practical problem The Experimenter is facing, and no matter what their priors are, they are better off adopting a strategy recommended by the more informative experiment.</w:t>
      </w:r>
    </w:p>
    <w:p>
      <w:pPr>
        <w:pStyle w:val="BodyText"/>
      </w:pPr>
      <w:r>
        <w:t xml:space="preserve">Second, for any W, if E</w:t>
      </w:r>
      <w:r>
        <w:rPr>
          <w:vertAlign w:val="subscript"/>
        </w:rPr>
        <w:t xml:space="preserve">1</w:t>
      </w:r>
      <w:r>
        <w:t xml:space="preserve"> </w:t>
      </w:r>
      <w:r>
        <w:t xml:space="preserve">is not a refinement of E</w:t>
      </w:r>
      <w:r>
        <w:rPr>
          <w:vertAlign w:val="subscript"/>
        </w:rPr>
        <w:t xml:space="preserve">2</w:t>
      </w:r>
      <w:r>
        <w:t xml:space="preserve">, then for some O and Pr, there exists an S</w:t>
      </w:r>
      <w:r>
        <w:rPr>
          <w:vertAlign w:val="subscript"/>
        </w:rPr>
        <w:t xml:space="preserve">1</w:t>
      </w:r>
      <w:r>
        <w:t xml:space="preserve"> </w:t>
      </w:r>
      <w:r>
        <w:t xml:space="preserve">is recommended by E</w:t>
      </w:r>
      <w:r>
        <w:rPr>
          <w:vertAlign w:val="subscript"/>
        </w:rPr>
        <w:t xml:space="preserve">1</w:t>
      </w:r>
      <w:r>
        <w:t xml:space="preserve"> </w:t>
      </w:r>
      <w:r>
        <w:t xml:space="preserve">and S</w:t>
      </w:r>
      <w:r>
        <w:rPr>
          <w:vertAlign w:val="subscript"/>
        </w:rPr>
        <w:t xml:space="preserve">2</w:t>
      </w:r>
      <w:r>
        <w:t xml:space="preserve"> </w:t>
      </w:r>
      <w:r>
        <w:t xml:space="preserve">is recommended by E</w:t>
      </w:r>
      <w:r>
        <w:rPr>
          <w:vertAlign w:val="subscript"/>
        </w:rPr>
        <w:t xml:space="preserve">2</w:t>
      </w:r>
      <w:r>
        <w:t xml:space="preserve"> </w:t>
      </w:r>
      <w:r>
        <w:t xml:space="preserve">such that Exp(S</w:t>
      </w:r>
      <w:r>
        <w:rPr>
          <w:vertAlign w:val="subscript"/>
        </w:rPr>
        <w:t xml:space="preserve">1</w:t>
      </w:r>
      <w:r>
        <w:t xml:space="preserve">, Pr) &lt; Exp(S</w:t>
      </w:r>
      <w:r>
        <w:rPr>
          <w:vertAlign w:val="subscript"/>
        </w:rPr>
        <w:t xml:space="preserve">2</w:t>
      </w:r>
      <w:r>
        <w:t xml:space="preserve">, Pr). That is, if E</w:t>
      </w:r>
      <w:r>
        <w:rPr>
          <w:vertAlign w:val="subscript"/>
        </w:rPr>
        <w:t xml:space="preserve">1</w:t>
      </w:r>
      <w:r>
        <w:t xml:space="preserve"> </w:t>
      </w:r>
      <w:r>
        <w:t xml:space="preserve">is not more informative than E</w:t>
      </w:r>
      <w:r>
        <w:rPr>
          <w:vertAlign w:val="subscript"/>
        </w:rPr>
        <w:t xml:space="preserve">2</w:t>
      </w:r>
      <w:r>
        <w:t xml:space="preserve">, then for some practical problem, it is better in expectation to perform E</w:t>
      </w:r>
      <w:r>
        <w:rPr>
          <w:vertAlign w:val="subscript"/>
        </w:rPr>
        <w:t xml:space="preserve">2</w:t>
      </w:r>
      <w:r>
        <w:t xml:space="preserve"> </w:t>
      </w:r>
      <w:r>
        <w:t xml:space="preserve">and carry out some strategy recommended by it.</w:t>
      </w:r>
    </w:p>
    <w:p>
      <w:pPr>
        <w:pStyle w:val="BodyText"/>
      </w:pPr>
      <w:r>
        <w:t xml:space="preserve">Blackwell isn’t the first to connect the value of experiments to the relative value of strategies and options in this way; for some history of this idea see</w:t>
      </w:r>
      <w:r>
        <w:t xml:space="preserve"> </w:t>
      </w:r>
      <w:r>
        <w:t xml:space="preserve">Das (2023)</w:t>
      </w:r>
      <w:r>
        <w:t xml:space="preserve"> </w:t>
      </w:r>
      <w:r>
        <w:t xml:space="preserve">and</w:t>
      </w:r>
      <w:r>
        <w:t xml:space="preserve"> </w:t>
      </w:r>
      <w:r>
        <w:t xml:space="preserve">Cam (1996)</w:t>
      </w:r>
      <w:r>
        <w:t xml:space="preserve">. But he works out the consequences of it in much more detail than anyone had before him. (The two results I’ve listed here don’t go close to exhausting what he proved, but they are enough for our purposes.) Philosophers have primarily focussed on the first of these two results. And they have focussed largely on the special case when E</w:t>
      </w:r>
      <w:r>
        <w:rPr>
          <w:vertAlign w:val="subscript"/>
        </w:rPr>
        <w:t xml:space="preserve">2</w:t>
      </w:r>
      <w:r>
        <w:t xml:space="preserve">(</w:t>
      </w:r>
      <w:r>
        <w:rPr>
          <w:i/>
          <w:iCs/>
        </w:rPr>
        <w:t xml:space="preserve">w</w:t>
      </w:r>
      <w:r>
        <w:t xml:space="preserve">) = W; i.e., when</w:t>
      </w:r>
      <w:r>
        <w:t xml:space="preserve"> </w:t>
      </w:r>
      <w:r>
        <w:t xml:space="preserve">‘performing’</w:t>
      </w:r>
      <w:r>
        <w:t xml:space="preserve"> </w:t>
      </w:r>
      <w:r>
        <w:t xml:space="preserve">experiment E</w:t>
      </w:r>
      <w:r>
        <w:rPr>
          <w:vertAlign w:val="subscript"/>
        </w:rPr>
        <w:t xml:space="preserve">2</w:t>
      </w:r>
      <w:r>
        <w:t xml:space="preserve"> </w:t>
      </w:r>
      <w:r>
        <w:t xml:space="preserve">means getting no information at all.</w:t>
      </w:r>
      <w:r>
        <w:rPr>
          <w:rStyle w:val="FootnoteReference"/>
        </w:rPr>
        <w:footnoteReference w:id="34"/>
      </w:r>
      <w:r>
        <w:t xml:space="preserve"> </w:t>
      </w:r>
      <w:r>
        <w:t xml:space="preserve">In this section we’ll also ignore the second result, but we will pay attention to the case where E</w:t>
      </w:r>
      <w:r>
        <w:rPr>
          <w:vertAlign w:val="subscript"/>
        </w:rPr>
        <w:t xml:space="preserve">2</w:t>
      </w:r>
      <w:r>
        <w:t xml:space="preserve"> </w:t>
      </w:r>
      <w:r>
        <w:t xml:space="preserve">isn’t universal.</w:t>
      </w:r>
    </w:p>
    <w:p>
      <w:pPr>
        <w:pStyle w:val="BodyText"/>
      </w:pPr>
      <w:r>
        <w:t xml:space="preserve">John</w:t>
      </w:r>
      <w:r>
        <w:t xml:space="preserve"> </w:t>
      </w:r>
      <w:r>
        <w:t xml:space="preserve">Geanakoplos ([1989] 2021)</w:t>
      </w:r>
      <w:r>
        <w:t xml:space="preserve"> </w:t>
      </w:r>
      <w:r>
        <w:t xml:space="preserve">proved an interesting generalisation of this first result. As noted earlier, Blackwell’s theorems presuppose that each experiment is partitional. Formally, E is partitional iff for all</w:t>
      </w:r>
      <w:r>
        <w:t xml:space="preserve"> </w:t>
      </w:r>
      <w:r>
        <w:rPr>
          <w:i/>
          <w:iCs/>
        </w:rPr>
        <w:t xml:space="preserve">w</w:t>
      </w:r>
      <w:r>
        <w:t xml:space="preserve">,</w:t>
      </w:r>
      <w:r>
        <w:t xml:space="preserve"> </w:t>
      </w:r>
      <w:r>
        <w:rPr>
          <w:i/>
          <w:iCs/>
        </w:rPr>
        <w:t xml:space="preserve">w</w:t>
      </w:r>
      <w:r>
        <w:t xml:space="preserve"> ∈ E(</w:t>
      </w:r>
      <w:r>
        <w:rPr>
          <w:i/>
          <w:iCs/>
        </w:rPr>
        <w:t xml:space="preserve">w</w:t>
      </w:r>
      <w:r>
        <w:t xml:space="preserve">), and for all</w:t>
      </w:r>
      <w:r>
        <w:t xml:space="preserve"> </w:t>
      </w:r>
      <w:r>
        <w:rPr>
          <w:i/>
          <w:iCs/>
        </w:rPr>
        <w:t xml:space="preserve">w</w:t>
      </w:r>
      <w:r>
        <w:t xml:space="preserve">, </w:t>
      </w:r>
      <w:r>
        <w:rPr>
          <w:i/>
          <w:iCs/>
        </w:rPr>
        <w:t xml:space="preserve">v</w:t>
      </w:r>
      <w:r>
        <w:t xml:space="preserve">, if</w:t>
      </w:r>
      <w:r>
        <w:t xml:space="preserve"> </w:t>
      </w:r>
      <w:r>
        <w:rPr>
          <w:i/>
          <w:iCs/>
        </w:rPr>
        <w:t xml:space="preserve">v</w:t>
      </w:r>
      <w:r>
        <w:t xml:space="preserve"> </w:t>
      </w:r>
      <w:r>
        <w:t xml:space="preserve">∈ E(</w:t>
      </w:r>
      <w:r>
        <w:rPr>
          <w:i/>
          <w:iCs/>
        </w:rPr>
        <w:t xml:space="preserve">w</w:t>
      </w:r>
      <w:r>
        <w:t xml:space="preserve">), then E(</w:t>
      </w:r>
      <w:r>
        <w:rPr>
          <w:i/>
          <w:iCs/>
        </w:rPr>
        <w:t xml:space="preserve">w</w:t>
      </w:r>
      <w:r>
        <w:t xml:space="preserve">) = E(</w:t>
      </w:r>
      <w:r>
        <w:rPr>
          <w:i/>
          <w:iCs/>
        </w:rPr>
        <w:t xml:space="preserve">v</w:t>
      </w:r>
      <w:r>
        <w:t xml:space="preserve">). Geanakoplos shows something interesting about experiments that are reflexive, transitive, and nested. These are defined as follow (with leading quantifiers over worlds left implicit)</w:t>
      </w:r>
    </w:p>
    <w:p>
      <w:pPr>
        <w:pStyle w:val="DefinitionTerm"/>
      </w:pPr>
      <w:r>
        <w:t xml:space="preserve">Reflexive</w:t>
      </w:r>
    </w:p>
    <w:p>
      <w:pPr>
        <w:pStyle w:val="Definition"/>
      </w:pPr>
      <w:r>
        <w:rPr>
          <w:i/>
          <w:iCs/>
        </w:rPr>
        <w:t xml:space="preserve">w</w:t>
      </w:r>
      <w:r>
        <w:t xml:space="preserve"> </w:t>
      </w:r>
      <w:r>
        <w:t xml:space="preserve">∈ E(</w:t>
      </w:r>
      <w:r>
        <w:rPr>
          <w:i/>
          <w:iCs/>
        </w:rPr>
        <w:t xml:space="preserve">w</w:t>
      </w:r>
      <w:r>
        <w:t xml:space="preserve">).</w:t>
      </w:r>
    </w:p>
    <w:p>
      <w:pPr>
        <w:pStyle w:val="DefinitionTerm"/>
      </w:pPr>
      <w:r>
        <w:t xml:space="preserve">Transitive</w:t>
      </w:r>
    </w:p>
    <w:p>
      <w:pPr>
        <w:pStyle w:val="Definition"/>
      </w:pPr>
      <w:r>
        <w:t xml:space="preserve">If</w:t>
      </w:r>
      <w:r>
        <w:t xml:space="preserve"> </w:t>
      </w:r>
      <w:r>
        <w:rPr>
          <w:i/>
          <w:iCs/>
        </w:rPr>
        <w:t xml:space="preserve">v</w:t>
      </w:r>
      <w:r>
        <w:t xml:space="preserve"> </w:t>
      </w:r>
      <w:r>
        <w:t xml:space="preserve">∈ E(</w:t>
      </w:r>
      <w:r>
        <w:rPr>
          <w:i/>
          <w:iCs/>
        </w:rPr>
        <w:t xml:space="preserve">w</w:t>
      </w:r>
      <w:r>
        <w:t xml:space="preserve">), then E(</w:t>
      </w:r>
      <w:r>
        <w:rPr>
          <w:i/>
          <w:iCs/>
        </w:rPr>
        <w:t xml:space="preserve">w</w:t>
      </w:r>
      <w:r>
        <w:t xml:space="preserve">) ⊆ E(</w:t>
      </w:r>
      <w:r>
        <w:rPr>
          <w:i/>
          <w:iCs/>
        </w:rPr>
        <w:t xml:space="preserve">v</w:t>
      </w:r>
      <w:r>
        <w:t xml:space="preserve">).</w:t>
      </w:r>
    </w:p>
    <w:p>
      <w:pPr>
        <w:pStyle w:val="DefinitionTerm"/>
      </w:pPr>
      <w:r>
        <w:t xml:space="preserve">Nested</w:t>
      </w:r>
    </w:p>
    <w:p>
      <w:pPr>
        <w:pStyle w:val="Definition"/>
      </w:pPr>
      <w:r>
        <w:t xml:space="preserve">Either E(</w:t>
      </w:r>
      <w:r>
        <w:rPr>
          <w:i/>
          <w:iCs/>
        </w:rPr>
        <w:t xml:space="preserve">w</w:t>
      </w:r>
      <w:r>
        <w:t xml:space="preserve">) ∩ E(</w:t>
      </w:r>
      <w:r>
        <w:rPr>
          <w:i/>
          <w:iCs/>
        </w:rPr>
        <w:t xml:space="preserve">v</w:t>
      </w:r>
      <w:r>
        <w:t xml:space="preserve">) = ∅, or E(</w:t>
      </w:r>
      <w:r>
        <w:rPr>
          <w:i/>
          <w:iCs/>
        </w:rPr>
        <w:t xml:space="preserve">w</w:t>
      </w:r>
      <w:r>
        <w:t xml:space="preserve">) ⊆ E(</w:t>
      </w:r>
      <w:r>
        <w:rPr>
          <w:i/>
          <w:iCs/>
        </w:rPr>
        <w:t xml:space="preserve">v</w:t>
      </w:r>
      <w:r>
        <w:t xml:space="preserve">), or E(</w:t>
      </w:r>
      <w:r>
        <w:rPr>
          <w:i/>
          <w:iCs/>
        </w:rPr>
        <w:t xml:space="preserve">v</w:t>
      </w:r>
      <w:r>
        <w:t xml:space="preserve">) ⊆ E(</w:t>
      </w:r>
      <w:r>
        <w:rPr>
          <w:i/>
          <w:iCs/>
        </w:rPr>
        <w:t xml:space="preserve">w</w:t>
      </w:r>
      <w:r>
        <w:t xml:space="preserve">).</w:t>
      </w:r>
    </w:p>
    <w:p>
      <w:pPr>
        <w:pStyle w:val="FirstParagraph"/>
      </w:pPr>
      <w:r>
        <w:t xml:space="preserve">He shows that both the results of Blackwell’s described above continue to hold when E</w:t>
      </w:r>
      <w:r>
        <w:rPr>
          <w:vertAlign w:val="subscript"/>
        </w:rPr>
        <w:t xml:space="preserve">1</w:t>
      </w:r>
      <w:r>
        <w:t xml:space="preserve"> </w:t>
      </w:r>
      <w:r>
        <w:t xml:space="preserve">is reflexive, transitive, and nested, as long as E</w:t>
      </w:r>
      <w:r>
        <w:rPr>
          <w:vertAlign w:val="subscript"/>
        </w:rPr>
        <w:t xml:space="preserve">2</w:t>
      </w:r>
      <w:r>
        <w:t xml:space="preserve"> </w:t>
      </w:r>
      <w:r>
        <w:t xml:space="preserve">is partitional.</w:t>
      </w:r>
    </w:p>
    <w:p>
      <w:pPr>
        <w:pStyle w:val="BodyText"/>
      </w:pPr>
      <w:r>
        <w:t xml:space="preserve">This result has had some influence on recent philosophical work. It suggests the following kind of argument.</w:t>
      </w:r>
    </w:p>
    <w:p>
      <w:pPr>
        <w:pStyle w:val="Compact"/>
        <w:numPr>
          <w:ilvl w:val="0"/>
          <w:numId w:val="1003"/>
        </w:numPr>
      </w:pPr>
      <w:r>
        <w:t xml:space="preserve">Performing experiments is valuable.</w:t>
      </w:r>
    </w:p>
    <w:p>
      <w:pPr>
        <w:pStyle w:val="Compact"/>
        <w:numPr>
          <w:ilvl w:val="0"/>
          <w:numId w:val="1003"/>
        </w:numPr>
      </w:pPr>
      <w:r>
        <w:t xml:space="preserve">Performing experiments is valuable iff experiments are nested.</w:t>
      </w:r>
    </w:p>
    <w:p>
      <w:pPr>
        <w:pStyle w:val="Compact"/>
        <w:numPr>
          <w:ilvl w:val="0"/>
          <w:numId w:val="1003"/>
        </w:numPr>
      </w:pPr>
      <w:r>
        <w:t xml:space="preserve">Therefore, experiments are nested.</w:t>
      </w:r>
    </w:p>
    <w:p>
      <w:pPr>
        <w:pStyle w:val="FirstParagraph"/>
      </w:pPr>
      <w:r>
        <w:t xml:space="preserve">That’s fairly crude as stated, but it’s possible to develop it into a more sophisticated argument that has implications for what the correct epistemic logic should be. You can (more sophisticated) versions of this argument in</w:t>
      </w:r>
      <w:r>
        <w:t xml:space="preserve"> </w:t>
      </w:r>
      <w:r>
        <w:t xml:space="preserve">Spencer (2018)</w:t>
      </w:r>
      <w:r>
        <w:t xml:space="preserve"> </w:t>
      </w:r>
      <w:r>
        <w:t xml:space="preserve">and</w:t>
      </w:r>
      <w:r>
        <w:t xml:space="preserve"> </w:t>
      </w:r>
      <w:r>
        <w:t xml:space="preserve">Dorst (2019)</w:t>
      </w:r>
      <w:r>
        <w:t xml:space="preserve">, and criticisms of these arguments in</w:t>
      </w:r>
      <w:r>
        <w:t xml:space="preserve"> </w:t>
      </w:r>
      <w:r>
        <w:t xml:space="preserve">Williamson (2019)</w:t>
      </w:r>
      <w:r>
        <w:t xml:space="preserve"> </w:t>
      </w:r>
      <w:r>
        <w:t xml:space="preserve">and</w:t>
      </w:r>
      <w:r>
        <w:t xml:space="preserve"> </w:t>
      </w:r>
      <w:r>
        <w:t xml:space="preserve">Das (2023)</w:t>
      </w:r>
      <w:r>
        <w:t xml:space="preserve">.</w:t>
      </w:r>
    </w:p>
    <w:p>
      <w:pPr>
        <w:pStyle w:val="BodyText"/>
      </w:pPr>
      <w:r>
        <w:t xml:space="preserve">The aim of this section is to show that two of the assumptions that Geanakoplos uses in proving these results are essential. First, E</w:t>
      </w:r>
      <w:r>
        <w:rPr>
          <w:vertAlign w:val="subscript"/>
        </w:rPr>
        <w:t xml:space="preserve">2</w:t>
      </w:r>
      <w:r>
        <w:t xml:space="preserve"> </w:t>
      </w:r>
      <w:r>
        <w:t xml:space="preserve">has to be partitional; it is not sufficient that it is reflexive, transitive, and nested. Second, it cannot be that both W and O are infinite. Both results arguably help the Williamson-Das side of the debate mentioned in the previous paragraph, but we won’t go into that in more detail here. The aim is just to show the formal limits of Geanakoplos’s result.</w:t>
      </w:r>
    </w:p>
    <w:p>
      <w:pPr>
        <w:pStyle w:val="BodyText"/>
      </w:pPr>
      <w:r>
        <w:t xml:space="preserve">Here is the model that shows that more refined experiments do not necessarily have higher expected value if both experiments are reflexive, transitive, and nested.</w:t>
      </w:r>
    </w:p>
    <w:p>
      <w:pPr>
        <w:pStyle w:val="Compact"/>
        <w:numPr>
          <w:ilvl w:val="0"/>
          <w:numId w:val="1004"/>
        </w:numPr>
      </w:pPr>
      <w:r>
        <w:t xml:space="preserve">W = {w</w:t>
      </w:r>
      <w:r>
        <w:rPr>
          <w:vertAlign w:val="subscript"/>
        </w:rPr>
        <w:t xml:space="preserve">1</w:t>
      </w:r>
      <w:r>
        <w:t xml:space="preserve">, w</w:t>
      </w:r>
      <w:r>
        <w:rPr>
          <w:vertAlign w:val="subscript"/>
        </w:rPr>
        <w:t xml:space="preserve">2</w:t>
      </w:r>
      <w:r>
        <w:t xml:space="preserve">, w</w:t>
      </w:r>
      <w:r>
        <w:rPr>
          <w:vertAlign w:val="subscript"/>
        </w:rPr>
        <w:t xml:space="preserve">3</w:t>
      </w:r>
      <w:r>
        <w:t xml:space="preserve">}</w:t>
      </w:r>
    </w:p>
    <w:p>
      <w:pPr>
        <w:pStyle w:val="Compact"/>
        <w:numPr>
          <w:ilvl w:val="0"/>
          <w:numId w:val="1004"/>
        </w:numPr>
      </w:pPr>
      <w:r>
        <w:t xml:space="preserve">Pr(w</w:t>
      </w:r>
      <w:r>
        <w:rPr>
          <w:vertAlign w:val="subscript"/>
        </w:rPr>
        <w:t xml:space="preserve">1</w:t>
      </w:r>
      <w:r>
        <w:t xml:space="preserve">) = Pr(w</w:t>
      </w:r>
      <w:r>
        <w:rPr>
          <w:vertAlign w:val="subscript"/>
        </w:rPr>
        <w:t xml:space="preserve">2</w:t>
      </w:r>
      <w:r>
        <w:t xml:space="preserve">) = Pr(w</w:t>
      </w:r>
      <w:r>
        <w:rPr>
          <w:vertAlign w:val="subscript"/>
        </w:rPr>
        <w:t xml:space="preserve">3</w:t>
      </w:r>
      <w:r>
        <w:t xml:space="preserve">) = ⅓</w:t>
      </w:r>
    </w:p>
    <w:p>
      <w:pPr>
        <w:pStyle w:val="Compact"/>
        <w:numPr>
          <w:ilvl w:val="0"/>
          <w:numId w:val="1004"/>
        </w:numPr>
      </w:pPr>
      <w:r>
        <w:t xml:space="preserve">O = {O</w:t>
      </w:r>
      <w:r>
        <w:rPr>
          <w:vertAlign w:val="subscript"/>
        </w:rPr>
        <w:t xml:space="preserve">1</w:t>
      </w:r>
      <w:r>
        <w:t xml:space="preserve">, O</w:t>
      </w:r>
      <w:r>
        <w:rPr>
          <w:vertAlign w:val="subscript"/>
        </w:rPr>
        <w:t xml:space="preserve">2</w:t>
      </w:r>
      <w:r>
        <w:t xml:space="preserve">}</w:t>
      </w:r>
    </w:p>
    <w:p>
      <w:pPr>
        <w:pStyle w:val="Compact"/>
        <w:numPr>
          <w:ilvl w:val="0"/>
          <w:numId w:val="1004"/>
        </w:numPr>
      </w:pPr>
      <w:r>
        <w:t xml:space="preserve">O</w:t>
      </w:r>
      <w:r>
        <w:rPr>
          <w:vertAlign w:val="subscript"/>
        </w:rPr>
        <w:t xml:space="preserve">1</w:t>
      </w:r>
      <w:r>
        <w:t xml:space="preserve">(w</w:t>
      </w:r>
      <w:r>
        <w:rPr>
          <w:vertAlign w:val="subscript"/>
        </w:rPr>
        <w:t xml:space="preserve">1</w:t>
      </w:r>
      <w:r>
        <w:t xml:space="preserve">) = O</w:t>
      </w:r>
      <w:r>
        <w:rPr>
          <w:vertAlign w:val="subscript"/>
        </w:rPr>
        <w:t xml:space="preserve">1</w:t>
      </w:r>
      <w:r>
        <w:t xml:space="preserve">(w</w:t>
      </w:r>
      <w:r>
        <w:rPr>
          <w:vertAlign w:val="subscript"/>
        </w:rPr>
        <w:t xml:space="preserve">2</w:t>
      </w:r>
      <w:r>
        <w:t xml:space="preserve">) = O</w:t>
      </w:r>
      <w:r>
        <w:rPr>
          <w:vertAlign w:val="subscript"/>
        </w:rPr>
        <w:t xml:space="preserve">1</w:t>
      </w:r>
      <w:r>
        <w:t xml:space="preserve">(w</w:t>
      </w:r>
      <w:r>
        <w:rPr>
          <w:vertAlign w:val="subscript"/>
        </w:rPr>
        <w:t xml:space="preserve">3</w:t>
      </w:r>
      <w:r>
        <w:t xml:space="preserve">) = 0</w:t>
      </w:r>
    </w:p>
    <w:p>
      <w:pPr>
        <w:pStyle w:val="Compact"/>
        <w:numPr>
          <w:ilvl w:val="0"/>
          <w:numId w:val="1004"/>
        </w:numPr>
      </w:pPr>
      <w:r>
        <w:t xml:space="preserve">O</w:t>
      </w:r>
      <w:r>
        <w:rPr>
          <w:vertAlign w:val="subscript"/>
        </w:rPr>
        <w:t xml:space="preserve">2</w:t>
      </w:r>
      <w:r>
        <w:t xml:space="preserve">(w</w:t>
      </w:r>
      <w:r>
        <w:rPr>
          <w:vertAlign w:val="subscript"/>
        </w:rPr>
        <w:t xml:space="preserve">1</w:t>
      </w:r>
      <w:r>
        <w:t xml:space="preserve">) = 3</w:t>
      </w:r>
    </w:p>
    <w:p>
      <w:pPr>
        <w:pStyle w:val="Compact"/>
        <w:numPr>
          <w:ilvl w:val="0"/>
          <w:numId w:val="1004"/>
        </w:numPr>
      </w:pPr>
      <w:r>
        <w:t xml:space="preserve">O</w:t>
      </w:r>
      <w:r>
        <w:rPr>
          <w:vertAlign w:val="subscript"/>
        </w:rPr>
        <w:t xml:space="preserve">2</w:t>
      </w:r>
      <w:r>
        <w:t xml:space="preserve">(w</w:t>
      </w:r>
      <w:r>
        <w:rPr>
          <w:vertAlign w:val="subscript"/>
        </w:rPr>
        <w:t xml:space="preserve">2</w:t>
      </w:r>
      <w:r>
        <w:t xml:space="preserve">) = 9</w:t>
      </w:r>
    </w:p>
    <w:p>
      <w:pPr>
        <w:pStyle w:val="Compact"/>
        <w:numPr>
          <w:ilvl w:val="0"/>
          <w:numId w:val="1004"/>
        </w:numPr>
      </w:pPr>
      <w:r>
        <w:t xml:space="preserve">O</w:t>
      </w:r>
      <w:r>
        <w:rPr>
          <w:vertAlign w:val="subscript"/>
        </w:rPr>
        <w:t xml:space="preserve">2</w:t>
      </w:r>
      <w:r>
        <w:t xml:space="preserve">(w</w:t>
      </w:r>
      <w:r>
        <w:rPr>
          <w:vertAlign w:val="subscript"/>
        </w:rPr>
        <w:t xml:space="preserve">3</w:t>
      </w:r>
      <w:r>
        <w:t xml:space="preserve">) = -6</w:t>
      </w:r>
    </w:p>
    <w:p>
      <w:pPr>
        <w:pStyle w:val="Compact"/>
        <w:numPr>
          <w:ilvl w:val="0"/>
          <w:numId w:val="1004"/>
        </w:numPr>
      </w:pPr>
      <w:r>
        <w:t xml:space="preserve">E</w:t>
      </w:r>
      <w:r>
        <w:rPr>
          <w:vertAlign w:val="subscript"/>
        </w:rPr>
        <w:t xml:space="preserve">1</w:t>
      </w:r>
      <w:r>
        <w:t xml:space="preserve">(w</w:t>
      </w:r>
      <w:r>
        <w:rPr>
          <w:vertAlign w:val="subscript"/>
        </w:rPr>
        <w:t xml:space="preserve">1</w:t>
      </w:r>
      <w:r>
        <w:t xml:space="preserve">) = {w</w:t>
      </w:r>
      <w:r>
        <w:rPr>
          <w:vertAlign w:val="subscript"/>
        </w:rPr>
        <w:t xml:space="preserve">1</w:t>
      </w:r>
      <w:r>
        <w:t xml:space="preserve">, w</w:t>
      </w:r>
      <w:r>
        <w:rPr>
          <w:vertAlign w:val="subscript"/>
        </w:rPr>
        <w:t xml:space="preserve">3</w:t>
      </w:r>
      <w:r>
        <w:t xml:space="preserve">}</w:t>
      </w:r>
    </w:p>
    <w:p>
      <w:pPr>
        <w:pStyle w:val="Compact"/>
        <w:numPr>
          <w:ilvl w:val="0"/>
          <w:numId w:val="1004"/>
        </w:numPr>
      </w:pPr>
      <w:r>
        <w:t xml:space="preserve">E</w:t>
      </w:r>
      <w:r>
        <w:rPr>
          <w:vertAlign w:val="subscript"/>
        </w:rPr>
        <w:t xml:space="preserve">1</w:t>
      </w:r>
      <w:r>
        <w:t xml:space="preserve">(w</w:t>
      </w:r>
      <w:r>
        <w:rPr>
          <w:vertAlign w:val="subscript"/>
        </w:rPr>
        <w:t xml:space="preserve">2</w:t>
      </w:r>
      <w:r>
        <w:t xml:space="preserve">) = {w</w:t>
      </w:r>
      <w:r>
        <w:rPr>
          <w:vertAlign w:val="subscript"/>
        </w:rPr>
        <w:t xml:space="preserve">2</w:t>
      </w:r>
      <w:r>
        <w:t xml:space="preserve">}</w:t>
      </w:r>
    </w:p>
    <w:p>
      <w:pPr>
        <w:pStyle w:val="Compact"/>
        <w:numPr>
          <w:ilvl w:val="0"/>
          <w:numId w:val="1004"/>
        </w:numPr>
      </w:pPr>
      <w:r>
        <w:t xml:space="preserve">E</w:t>
      </w:r>
      <w:r>
        <w:rPr>
          <w:vertAlign w:val="subscript"/>
        </w:rPr>
        <w:t xml:space="preserve">1</w:t>
      </w:r>
      <w:r>
        <w:t xml:space="preserve">(w</w:t>
      </w:r>
      <w:r>
        <w:rPr>
          <w:vertAlign w:val="subscript"/>
        </w:rPr>
        <w:t xml:space="preserve">3</w:t>
      </w:r>
      <w:r>
        <w:t xml:space="preserve">) = {w</w:t>
      </w:r>
      <w:r>
        <w:rPr>
          <w:vertAlign w:val="subscript"/>
        </w:rPr>
        <w:t xml:space="preserve">3</w:t>
      </w:r>
      <w:r>
        <w:t xml:space="preserve">}</w:t>
      </w:r>
    </w:p>
    <w:p>
      <w:pPr>
        <w:pStyle w:val="Compact"/>
        <w:numPr>
          <w:ilvl w:val="0"/>
          <w:numId w:val="1004"/>
        </w:numPr>
      </w:pPr>
      <w:r>
        <w:t xml:space="preserve">E</w:t>
      </w:r>
      <w:r>
        <w:rPr>
          <w:vertAlign w:val="subscript"/>
        </w:rPr>
        <w:t xml:space="preserve">2</w:t>
      </w:r>
      <w:r>
        <w:t xml:space="preserve">(w</w:t>
      </w:r>
      <w:r>
        <w:rPr>
          <w:vertAlign w:val="subscript"/>
        </w:rPr>
        <w:t xml:space="preserve">1</w:t>
      </w:r>
      <w:r>
        <w:t xml:space="preserve">) = {w</w:t>
      </w:r>
      <w:r>
        <w:rPr>
          <w:vertAlign w:val="subscript"/>
        </w:rPr>
        <w:t xml:space="preserve">1</w:t>
      </w:r>
      <w:r>
        <w:t xml:space="preserve">, w</w:t>
      </w:r>
      <w:r>
        <w:rPr>
          <w:vertAlign w:val="subscript"/>
        </w:rPr>
        <w:t xml:space="preserve">2</w:t>
      </w:r>
      <w:r>
        <w:t xml:space="preserve">, w</w:t>
      </w:r>
      <w:r>
        <w:rPr>
          <w:vertAlign w:val="subscript"/>
        </w:rPr>
        <w:t xml:space="preserve">3</w:t>
      </w:r>
      <w:r>
        <w:t xml:space="preserve">}</w:t>
      </w:r>
    </w:p>
    <w:p>
      <w:pPr>
        <w:pStyle w:val="Compact"/>
        <w:numPr>
          <w:ilvl w:val="0"/>
          <w:numId w:val="1004"/>
        </w:numPr>
      </w:pPr>
      <w:r>
        <w:t xml:space="preserve">E</w:t>
      </w:r>
      <w:r>
        <w:rPr>
          <w:vertAlign w:val="subscript"/>
        </w:rPr>
        <w:t xml:space="preserve">2</w:t>
      </w:r>
      <w:r>
        <w:t xml:space="preserve">(w</w:t>
      </w:r>
      <w:r>
        <w:rPr>
          <w:vertAlign w:val="subscript"/>
        </w:rPr>
        <w:t xml:space="preserve">2</w:t>
      </w:r>
      <w:r>
        <w:t xml:space="preserve">) = {w</w:t>
      </w:r>
      <w:r>
        <w:rPr>
          <w:vertAlign w:val="subscript"/>
        </w:rPr>
        <w:t xml:space="preserve">2</w:t>
      </w:r>
      <w:r>
        <w:t xml:space="preserve">, w</w:t>
      </w:r>
      <w:r>
        <w:rPr>
          <w:vertAlign w:val="subscript"/>
        </w:rPr>
        <w:t xml:space="preserve">3</w:t>
      </w:r>
      <w:r>
        <w:t xml:space="preserve">}</w:t>
      </w:r>
    </w:p>
    <w:p>
      <w:pPr>
        <w:pStyle w:val="Compact"/>
        <w:numPr>
          <w:ilvl w:val="0"/>
          <w:numId w:val="1004"/>
        </w:numPr>
      </w:pPr>
      <w:r>
        <w:t xml:space="preserve">E</w:t>
      </w:r>
      <w:r>
        <w:rPr>
          <w:vertAlign w:val="subscript"/>
        </w:rPr>
        <w:t xml:space="preserve">2</w:t>
      </w:r>
      <w:r>
        <w:t xml:space="preserve">(w</w:t>
      </w:r>
      <w:r>
        <w:rPr>
          <w:vertAlign w:val="subscript"/>
        </w:rPr>
        <w:t xml:space="preserve">3</w:t>
      </w:r>
      <w:r>
        <w:t xml:space="preserve">) = {w</w:t>
      </w:r>
      <w:r>
        <w:rPr>
          <w:vertAlign w:val="subscript"/>
        </w:rPr>
        <w:t xml:space="preserve">3</w:t>
      </w:r>
      <w:r>
        <w:t xml:space="preserve">}</w:t>
      </w:r>
    </w:p>
    <w:p>
      <w:pPr>
        <w:pStyle w:val="FirstParagraph"/>
      </w:pPr>
      <w:r>
        <w:t xml:space="preserve">Given no information, the optimal strategy is to always take the bet, i.e., choose O</w:t>
      </w:r>
      <w:r>
        <w:rPr>
          <w:vertAlign w:val="subscript"/>
        </w:rPr>
        <w:t xml:space="preserve">2</w:t>
      </w:r>
      <w:r>
        <w:t xml:space="preserve"> </w:t>
      </w:r>
      <w:r>
        <w:t xml:space="preserve">over the fixed return of 0 that is O</w:t>
      </w:r>
      <w:r>
        <w:rPr>
          <w:vertAlign w:val="subscript"/>
        </w:rPr>
        <w:t xml:space="preserve">1</w:t>
      </w:r>
      <w:r>
        <w:t xml:space="preserve">. This has an expected return of 2. Given E</w:t>
      </w:r>
      <w:r>
        <w:rPr>
          <w:vertAlign w:val="subscript"/>
        </w:rPr>
        <w:t xml:space="preserve">1</w:t>
      </w:r>
      <w:r>
        <w:t xml:space="preserve">, the only recommended strategy is to choose O</w:t>
      </w:r>
      <w:r>
        <w:rPr>
          <w:vertAlign w:val="subscript"/>
        </w:rPr>
        <w:t xml:space="preserve">1</w:t>
      </w:r>
      <w:r>
        <w:t xml:space="preserve"> </w:t>
      </w:r>
      <w:r>
        <w:t xml:space="preserve">at w</w:t>
      </w:r>
      <w:r>
        <w:rPr>
          <w:vertAlign w:val="subscript"/>
        </w:rPr>
        <w:t xml:space="preserve">1</w:t>
      </w:r>
      <w:r>
        <w:t xml:space="preserve"> </w:t>
      </w:r>
      <w:r>
        <w:t xml:space="preserve">and w</w:t>
      </w:r>
      <w:r>
        <w:rPr>
          <w:vertAlign w:val="subscript"/>
        </w:rPr>
        <w:t xml:space="preserve">3</w:t>
      </w:r>
      <w:r>
        <w:t xml:space="preserve">, and O</w:t>
      </w:r>
      <w:r>
        <w:rPr>
          <w:vertAlign w:val="subscript"/>
        </w:rPr>
        <w:t xml:space="preserve">2</w:t>
      </w:r>
      <w:r>
        <w:t xml:space="preserve"> </w:t>
      </w:r>
      <w:r>
        <w:t xml:space="preserve">at w</w:t>
      </w:r>
      <w:r>
        <w:rPr>
          <w:vertAlign w:val="subscript"/>
        </w:rPr>
        <w:t xml:space="preserve">2</w:t>
      </w:r>
      <w:r>
        <w:t xml:space="preserve">, for an expected return of 2. But given the less informative E</w:t>
      </w:r>
      <w:r>
        <w:rPr>
          <w:vertAlign w:val="subscript"/>
        </w:rPr>
        <w:t xml:space="preserve">2</w:t>
      </w:r>
      <w:r>
        <w:t xml:space="preserve">, the recommended strategy is to choose O</w:t>
      </w:r>
      <w:r>
        <w:rPr>
          <w:vertAlign w:val="subscript"/>
        </w:rPr>
        <w:t xml:space="preserve">2</w:t>
      </w:r>
      <w:r>
        <w:t xml:space="preserve"> </w:t>
      </w:r>
      <w:r>
        <w:t xml:space="preserve">at w</w:t>
      </w:r>
      <w:r>
        <w:rPr>
          <w:vertAlign w:val="subscript"/>
        </w:rPr>
        <w:t xml:space="preserve">1</w:t>
      </w:r>
      <w:r>
        <w:t xml:space="preserve"> </w:t>
      </w:r>
      <w:r>
        <w:t xml:space="preserve">and w</w:t>
      </w:r>
      <w:r>
        <w:rPr>
          <w:vertAlign w:val="subscript"/>
        </w:rPr>
        <w:t xml:space="preserve">2</w:t>
      </w:r>
      <w:r>
        <w:t xml:space="preserve">, and O</w:t>
      </w:r>
      <w:r>
        <w:rPr>
          <w:vertAlign w:val="subscript"/>
        </w:rPr>
        <w:t xml:space="preserve">1</w:t>
      </w:r>
      <w:r>
        <w:t xml:space="preserve"> </w:t>
      </w:r>
      <w:r>
        <w:t xml:space="preserve">at w</w:t>
      </w:r>
      <w:r>
        <w:rPr>
          <w:vertAlign w:val="subscript"/>
        </w:rPr>
        <w:t xml:space="preserve">3</w:t>
      </w:r>
      <w:r>
        <w:t xml:space="preserve">, for an expected return of 4. In this case, performing the less informative experiment has higher expected returns. (Though to be clear, both experiments have positive expected returns, relative to not doing anything.)</w:t>
      </w:r>
    </w:p>
    <w:p>
      <w:pPr>
        <w:pStyle w:val="BodyText"/>
      </w:pPr>
      <w:r>
        <w:t xml:space="preserve">Next we’ll show the result does not hold when W and O are infinite. We have to be careful here because it’s easy to have a case where S</w:t>
      </w:r>
      <w:r>
        <w:rPr>
          <w:vertAlign w:val="subscript"/>
        </w:rPr>
        <w:t xml:space="preserve">1</w:t>
      </w:r>
      <w:r>
        <w:t xml:space="preserve"> </w:t>
      </w:r>
      <w:r>
        <w:t xml:space="preserve">and S</w:t>
      </w:r>
      <w:r>
        <w:rPr>
          <w:vertAlign w:val="subscript"/>
        </w:rPr>
        <w:t xml:space="preserve">2</w:t>
      </w:r>
      <w:r>
        <w:t xml:space="preserve"> </w:t>
      </w:r>
      <w:r>
        <w:t xml:space="preserve">are undefined. And it’s not interesting that Exp(S</w:t>
      </w:r>
      <w:r>
        <w:rPr>
          <w:vertAlign w:val="subscript"/>
        </w:rPr>
        <w:t xml:space="preserve">1</w:t>
      </w:r>
      <w:r>
        <w:t xml:space="preserve">, Pr) ⩾ Exp(S</w:t>
      </w:r>
      <w:r>
        <w:rPr>
          <w:vertAlign w:val="subscript"/>
        </w:rPr>
        <w:t xml:space="preserve">2</w:t>
      </w:r>
      <w:r>
        <w:t xml:space="preserve">, Pr) might sometimes fail to be true simply because one or other term in it isn’t defined. So we’ll restrict attention to cases where utilities are bounded, for any E and any</w:t>
      </w:r>
      <w:r>
        <w:t xml:space="preserve"> </w:t>
      </w:r>
      <w:r>
        <w:rPr>
          <w:i/>
          <w:iCs/>
        </w:rPr>
        <w:t xml:space="preserve">w</w:t>
      </w:r>
      <w:r>
        <w:t xml:space="preserve"> </w:t>
      </w:r>
      <w:r>
        <w:t xml:space="preserve">there is an optimal strategy given E(</w:t>
      </w:r>
      <w:r>
        <w:rPr>
          <w:i/>
          <w:iCs/>
        </w:rPr>
        <w:t xml:space="preserve">w</w:t>
      </w:r>
      <w:r>
        <w:t xml:space="preserve">), and the expectation of any recommended strategy is defined.</w:t>
      </w:r>
    </w:p>
    <w:p>
      <w:pPr>
        <w:pStyle w:val="BodyText"/>
      </w:pPr>
      <w:r>
        <w:t xml:space="preserve">Let W be the reals in (0,1). E</w:t>
      </w:r>
      <w:r>
        <w:rPr>
          <w:vertAlign w:val="subscript"/>
        </w:rPr>
        <w:t xml:space="preserve">1</w:t>
      </w:r>
      <w:r>
        <w:t xml:space="preserve">(</w:t>
      </w:r>
      <w:r>
        <w:rPr>
          <w:i/>
          <w:iCs/>
        </w:rPr>
        <w:t xml:space="preserve">x</w:t>
      </w:r>
      <w:r>
        <w:t xml:space="preserve">) = [</w:t>
      </w:r>
      <w:r>
        <w:rPr>
          <w:i/>
          <w:iCs/>
        </w:rPr>
        <w:t xml:space="preserve">x</w:t>
      </w:r>
      <w:r>
        <w:t xml:space="preserve">,1), and E</w:t>
      </w:r>
      <w:r>
        <w:rPr>
          <w:vertAlign w:val="subscript"/>
        </w:rPr>
        <w:t xml:space="preserve">2</w:t>
      </w:r>
      <w:r>
        <w:t xml:space="preserve">(</w:t>
      </w:r>
      <w:r>
        <w:rPr>
          <w:i/>
          <w:iCs/>
        </w:rPr>
        <w:t xml:space="preserve">x</w:t>
      </w:r>
      <w:r>
        <w:t xml:space="preserve">) = (0,1). For any</w:t>
      </w:r>
      <w:r>
        <w:t xml:space="preserve"> </w:t>
      </w:r>
      <w:r>
        <w:rPr>
          <w:i/>
          <w:iCs/>
        </w:rPr>
        <w:t xml:space="preserve">x</w:t>
      </w:r>
      <w:r>
        <w:t xml:space="preserve"> </w:t>
      </w:r>
      <w:r>
        <w:t xml:space="preserve">in [0,1], let O</w:t>
      </w:r>
      <w:r>
        <w:rPr>
          <w:i/>
          <w:iCs/>
          <w:vertAlign w:val="subscript"/>
        </w:rPr>
        <w:t xml:space="preserve">x</w:t>
      </w:r>
      <w:r>
        <w:t xml:space="preserve">(</w:t>
      </w:r>
      <w:r>
        <w:rPr>
          <w:i/>
          <w:iCs/>
        </w:rPr>
        <w:t xml:space="preserve">y</w:t>
      </w:r>
      <w:r>
        <w:t xml:space="preserve">) be -1 if</w:t>
      </w:r>
      <w:r>
        <w:t xml:space="preserve"> </w:t>
      </w:r>
      <w:r>
        <w:rPr>
          <w:i/>
          <w:iCs/>
        </w:rPr>
        <w:t xml:space="preserve">x</w:t>
      </w:r>
      <w:r>
        <w:t xml:space="preserve"> </w:t>
      </w:r>
      <w:r>
        <w:t xml:space="preserve"> </w:t>
      </w:r>
      <w:r>
        <w:rPr>
          <w:i/>
          <w:iCs/>
        </w:rPr>
        <w:t xml:space="preserve">y</w:t>
      </w:r>
      <w:r>
        <w:t xml:space="preserve">, and</w:t>
      </w:r>
      <w:r>
        <w:t xml:space="preserve"> </w:t>
      </w:r>
      <w:r>
        <w:rPr>
          <w:i/>
          <w:iCs/>
        </w:rPr>
        <w:t xml:space="preserve">x</w:t>
      </w:r>
      <w:r>
        <w:t xml:space="preserve"> </w:t>
      </w:r>
      <w:r>
        <w:t xml:space="preserve">if</w:t>
      </w:r>
      <w:r>
        <w:t xml:space="preserve"> </w:t>
      </w:r>
      <w:r>
        <w:rPr>
          <w:i/>
          <w:iCs/>
        </w:rPr>
        <w:t xml:space="preserve">x</w:t>
      </w:r>
      <w:r>
        <w:t xml:space="preserve"> &gt; </w:t>
      </w:r>
      <w:r>
        <w:rPr>
          <w:i/>
          <w:iCs/>
        </w:rPr>
        <w:t xml:space="preserve">y</w:t>
      </w:r>
      <w:r>
        <w:t xml:space="preserve">, and O be the set of all these O</w:t>
      </w:r>
      <w:r>
        <w:rPr>
          <w:i/>
          <w:iCs/>
          <w:vertAlign w:val="subscript"/>
        </w:rPr>
        <w:t xml:space="preserve">x</w:t>
      </w:r>
      <w:r>
        <w:t xml:space="preserve">. And Pr is the flat distribution over (0,1); the only fact we’ll need is that whenever 0 &lt; </w:t>
      </w:r>
      <w:r>
        <w:rPr>
          <w:i/>
          <w:iCs/>
        </w:rPr>
        <w:t xml:space="preserve">x</w:t>
      </w:r>
      <w:r>
        <w:t xml:space="preserve"> &lt; </w:t>
      </w:r>
      <w:r>
        <w:rPr>
          <w:i/>
          <w:iCs/>
        </w:rPr>
        <w:t xml:space="preserve">y</w:t>
      </w:r>
      <w:r>
        <w:t xml:space="preserve"> &lt; 1, the probability that the actual world is in (</w:t>
      </w:r>
      <w:r>
        <w:rPr>
          <w:i/>
          <w:iCs/>
        </w:rPr>
        <w:t xml:space="preserve">x</w:t>
      </w:r>
      <w:r>
        <w:t xml:space="preserve">, </w:t>
      </w:r>
      <w:r>
        <w:rPr>
          <w:i/>
          <w:iCs/>
        </w:rPr>
        <w:t xml:space="preserve">y</w:t>
      </w:r>
      <w:r>
        <w:t xml:space="preserve">) is</w:t>
      </w:r>
      <w:r>
        <w:t xml:space="preserve"> </w:t>
      </w:r>
      <w:r>
        <w:rPr>
          <w:i/>
          <w:iCs/>
        </w:rPr>
        <w:t xml:space="preserve">y</w:t>
      </w:r>
      <w:r>
        <w:t xml:space="preserve"> - </w:t>
      </w:r>
      <w:r>
        <w:rPr>
          <w:i/>
          <w:iCs/>
        </w:rPr>
        <w:t xml:space="preserve">x</w:t>
      </w:r>
      <w:r>
        <w:t xml:space="preserve">.</w:t>
      </w:r>
    </w:p>
    <w:p>
      <w:pPr>
        <w:pStyle w:val="BodyText"/>
      </w:pPr>
      <w:r>
        <w:t xml:space="preserve">The only strategy recommended by E</w:t>
      </w:r>
      <w:r>
        <w:rPr>
          <w:vertAlign w:val="subscript"/>
        </w:rPr>
        <w:t xml:space="preserve">2</w:t>
      </w:r>
      <w:r>
        <w:t xml:space="preserve"> </w:t>
      </w:r>
      <w:r>
        <w:t xml:space="preserve">is to always choose O</w:t>
      </w:r>
      <w:r>
        <w:rPr>
          <w:vertAlign w:val="subscript"/>
        </w:rPr>
        <w:t xml:space="preserve">0</w:t>
      </w:r>
      <w:r>
        <w:t xml:space="preserve">, which has a guaranteed return of 0. The strategy recommended by E</w:t>
      </w:r>
      <w:r>
        <w:rPr>
          <w:vertAlign w:val="subscript"/>
        </w:rPr>
        <w:t xml:space="preserve">1</w:t>
      </w:r>
      <w:r>
        <w:t xml:space="preserve"> </w:t>
      </w:r>
      <w:r>
        <w:t xml:space="preserve">is to choose O</w:t>
      </w:r>
      <w:r>
        <w:rPr>
          <w:i/>
          <w:iCs/>
          <w:vertAlign w:val="subscript"/>
        </w:rPr>
        <w:t xml:space="preserve">x</w:t>
      </w:r>
      <w:r>
        <w:t xml:space="preserve"> </w:t>
      </w:r>
      <w:r>
        <w:t xml:space="preserve">upon learning that the true value is in (</w:t>
      </w:r>
      <w:r>
        <w:rPr>
          <w:i/>
          <w:iCs/>
        </w:rPr>
        <w:t xml:space="preserve">x</w:t>
      </w:r>
      <w:r>
        <w:t xml:space="preserve">, 1). That has an expected return of</w:t>
      </w:r>
      <w:r>
        <w:t xml:space="preserve"> </w:t>
      </w:r>
      <w:r>
        <w:rPr>
          <w:i/>
          <w:iCs/>
        </w:rPr>
        <w:t xml:space="preserve">x</w:t>
      </w:r>
      <w:r>
        <w:t xml:space="preserve">, which is higher than all the alternatives. But following that strategy all the time has a guaranteed return of -1, which is worse than the strategy recommended by E</w:t>
      </w:r>
      <w:r>
        <w:rPr>
          <w:vertAlign w:val="subscript"/>
        </w:rPr>
        <w:t xml:space="preserve">2</w:t>
      </w:r>
      <w:r>
        <w:t xml:space="preserve">. And that’s true even though E</w:t>
      </w:r>
      <w:r>
        <w:rPr>
          <w:vertAlign w:val="subscript"/>
        </w:rPr>
        <w:t xml:space="preserve">2</w:t>
      </w:r>
      <w:r>
        <w:t xml:space="preserve"> </w:t>
      </w:r>
      <w:r>
        <w:t xml:space="preserve">is partitional, and E</w:t>
      </w:r>
      <w:r>
        <w:rPr>
          <w:vertAlign w:val="subscript"/>
        </w:rPr>
        <w:t xml:space="preserve">1</w:t>
      </w:r>
      <w:r>
        <w:t xml:space="preserve"> </w:t>
      </w:r>
      <w:r>
        <w:t xml:space="preserve">is reflexive, transitive, and nested.</w:t>
      </w:r>
    </w:p>
    <w:p>
      <w:pPr>
        <w:pStyle w:val="BodyText"/>
      </w:pPr>
      <w:r>
        <w:t xml:space="preserve">Now there is something odd about this example - each of the O</w:t>
      </w:r>
      <w:r>
        <w:rPr>
          <w:i/>
          <w:iCs/>
          <w:vertAlign w:val="subscript"/>
        </w:rPr>
        <w:t xml:space="preserve">x</w:t>
      </w:r>
      <w:r>
        <w:t xml:space="preserve"> </w:t>
      </w:r>
      <w:r>
        <w:t xml:space="preserve">is discontinuous. In each case, the payouts jump from -1 to</w:t>
      </w:r>
      <w:r>
        <w:t xml:space="preserve"> </w:t>
      </w:r>
      <w:r>
        <w:rPr>
          <w:i/>
          <w:iCs/>
        </w:rPr>
        <w:t xml:space="preserve">x</w:t>
      </w:r>
      <w:r>
        <w:t xml:space="preserve"> </w:t>
      </w:r>
      <w:r>
        <w:t xml:space="preserve">at a particular point. This suggests a question to which we don’t know the answer: If every member of O is continuous, are more refined experiments valuable in expectation? It is also unknown whether Geanakoplos’s results hold in countable frames. But what this model shows is that if we allow discontinuous payouts, and uncountable frames, the result does not hold.</w:t>
      </w:r>
    </w:p>
    <w:bookmarkEnd w:id="35"/>
    <w:bookmarkStart w:id="38" w:name="sec-dorst"/>
    <w:p>
      <w:pPr>
        <w:pStyle w:val="Heading1"/>
      </w:pPr>
      <w:r>
        <w:t xml:space="preserve">3. Trust and Value</w:t>
      </w:r>
    </w:p>
    <w:p>
      <w:pPr>
        <w:pStyle w:val="FirstParagraph"/>
      </w:pPr>
      <w:r>
        <w:t xml:space="preserve">The role of experiments in the frames discussed in</w:t>
      </w:r>
      <w:r>
        <w:t xml:space="preserve"> </w:t>
      </w:r>
      <w:hyperlink w:anchor="sec-nesting">
        <w:r>
          <w:rPr>
            <w:rStyle w:val="Hyperlink"/>
          </w:rPr>
          <w:t xml:space="preserve">Section 2</w:t>
        </w:r>
      </w:hyperlink>
      <w:r>
        <w:t xml:space="preserve"> </w:t>
      </w:r>
      <w:r>
        <w:t xml:space="preserve">is somewhat curious. They are in one respect central, the theorems are all restricted to whether frames are partitional, nested, etc, but they are in another respect ephemeral. Ultimately what matters is not the experiment, but the probability that The Experimenter has after performing an experiment. This latter way of thinking is a helpful way to understand a striking recent result by</w:t>
      </w:r>
      <w:r>
        <w:t xml:space="preserve"> </w:t>
      </w:r>
      <w:r>
        <w:t xml:space="preserve">Dorst et al. (2021)</w:t>
      </w:r>
      <w:r>
        <w:t xml:space="preserve">.</w:t>
      </w:r>
    </w:p>
    <w:p>
      <w:pPr>
        <w:pStyle w:val="BodyText"/>
      </w:pPr>
      <w:r>
        <w:t xml:space="preserve">Say a probability frame is an ordered pair ⟨W, P⟩ such that W is a set (intuitively, of worlds), and P is a function from W to probability functions defined on w. One way to generate such a pair is to have some experiment E and prior probability Pr, each defined on W, and have P(</w:t>
      </w:r>
      <w:r>
        <w:rPr>
          <w:i/>
          <w:iCs/>
        </w:rPr>
        <w:t xml:space="preserve">w</w:t>
      </w:r>
      <w:r>
        <w:t xml:space="preserve">) be Pr(• | E(</w:t>
      </w:r>
      <w:r>
        <w:rPr>
          <w:i/>
          <w:iCs/>
        </w:rPr>
        <w:t xml:space="preserve">w</w:t>
      </w:r>
      <w:r>
        <w:t xml:space="preserve">)). But you can just cut out the E and Pr, and focus simply on W and P. As</w:t>
      </w:r>
      <w:r>
        <w:t xml:space="preserve"> </w:t>
      </w:r>
      <w:r>
        <w:t xml:space="preserve">Dorst et al. (2021)</w:t>
      </w:r>
      <w:r>
        <w:t xml:space="preserve"> </w:t>
      </w:r>
      <w:r>
        <w:t xml:space="preserve">show, this turns out to be mathematically a very helpful move. It lets you see a lot more interesting features of these frames.</w:t>
      </w:r>
      <w:r>
        <w:rPr>
          <w:rStyle w:val="FootnoteReference"/>
        </w:rPr>
        <w:footnoteReference w:id="36"/>
      </w:r>
      <w:r>
        <w:t xml:space="preserve"> </w:t>
      </w:r>
      <w:r>
        <w:t xml:space="preserve">They call frames where P is generated from E and Pr in this way</w:t>
      </w:r>
      <w:r>
        <w:t xml:space="preserve"> </w:t>
      </w:r>
      <w:r>
        <w:rPr>
          <w:i/>
          <w:iCs/>
        </w:rPr>
        <w:t xml:space="preserve">prior frames</w:t>
      </w:r>
      <w:r>
        <w:t xml:space="preserve">, and those will be the focus of discussion here, but it is interesting to see them as a special case of a more general class.</w:t>
      </w:r>
    </w:p>
    <w:p>
      <w:pPr>
        <w:pStyle w:val="BodyText"/>
      </w:pPr>
      <w:r>
        <w:t xml:space="preserve">One thing they prove by looking at the more general class is that when W is finite, the following two claims are equivalent. (I’ll state the claims formally, then explain my notation.)</w:t>
      </w:r>
    </w:p>
    <w:p>
      <w:pPr>
        <w:pStyle w:val="DefinitionTerm"/>
      </w:pPr>
      <w:r>
        <w:t xml:space="preserve">Total Trust</w:t>
      </w:r>
    </w:p>
    <w:p>
      <w:pPr>
        <w:pStyle w:val="Definition"/>
      </w:pPr>
      <w:r>
        <w:t xml:space="preserve">E(X | {</w:t>
      </w:r>
      <w:r>
        <w:rPr>
          <w:i/>
          <w:iCs/>
        </w:rPr>
        <w:t xml:space="preserve">w</w:t>
      </w:r>
      <w:r>
        <w:t xml:space="preserve">: Exp(X, P(</w:t>
      </w:r>
      <w:r>
        <w:rPr>
          <w:i/>
          <w:iCs/>
        </w:rPr>
        <w:t xml:space="preserve">w</w:t>
      </w:r>
      <w:r>
        <w:t xml:space="preserve">)) ⩾ </w:t>
      </w:r>
      <w:r>
        <w:rPr>
          <w:i/>
          <w:iCs/>
        </w:rPr>
        <w:t xml:space="preserve">t</w:t>
      </w:r>
      <w:r>
        <w:t xml:space="preserve">}, π) ⩾ </w:t>
      </w:r>
      <w:r>
        <w:rPr>
          <w:i/>
          <w:iCs/>
        </w:rPr>
        <w:t xml:space="preserve">t</w:t>
      </w:r>
    </w:p>
    <w:p>
      <w:pPr>
        <w:pStyle w:val="DefinitionTerm"/>
      </w:pPr>
      <w:r>
        <w:t xml:space="preserve">Value</w:t>
      </w:r>
    </w:p>
    <w:p>
      <w:pPr>
        <w:pStyle w:val="Definition"/>
      </w:pPr>
      <w:r>
        <w:t xml:space="preserve">If O is a set of options,</w:t>
      </w:r>
      <w:r>
        <w:t xml:space="preserve"> </w:t>
      </w:r>
      <w:r>
        <w:rPr>
          <w:i/>
          <w:iCs/>
        </w:rPr>
        <w:t xml:space="preserve">s</w:t>
      </w:r>
      <w:r>
        <w:t xml:space="preserve"> </w:t>
      </w:r>
      <w:r>
        <w:t xml:space="preserve">is a recommended strategy for O, and</w:t>
      </w:r>
      <w:r>
        <w:t xml:space="preserve"> </w:t>
      </w:r>
      <w:r>
        <w:rPr>
          <w:i/>
          <w:iCs/>
        </w:rPr>
        <w:t xml:space="preserve">o</w:t>
      </w:r>
      <w:r>
        <w:t xml:space="preserve"> </w:t>
      </w:r>
      <w:r>
        <w:t xml:space="preserve">is a member of O, then Exp(</w:t>
      </w:r>
      <w:r>
        <w:rPr>
          <w:i/>
          <w:iCs/>
        </w:rPr>
        <w:t xml:space="preserve">s</w:t>
      </w:r>
      <w:r>
        <w:t xml:space="preserve">, π) ⩾ E(</w:t>
      </w:r>
      <w:r>
        <w:rPr>
          <w:i/>
          <w:iCs/>
        </w:rPr>
        <w:t xml:space="preserve">o</w:t>
      </w:r>
      <w:r>
        <w:t xml:space="preserve">, π).</w:t>
      </w:r>
    </w:p>
    <w:p>
      <w:pPr>
        <w:pStyle w:val="FirstParagraph"/>
      </w:pPr>
      <w:r>
        <w:t xml:space="preserve">There is a bit there to unpack. We’ll follow them in using π for a probability function that is outside the frame. We’ll sometimes call it Novice’s probability function, as opposed to P(</w:t>
      </w:r>
      <w:r>
        <w:rPr>
          <w:i/>
          <w:iCs/>
        </w:rPr>
        <w:t xml:space="preserve">w</w:t>
      </w:r>
      <w:r>
        <w:t xml:space="preserve">) which is The Experimenter’s probability function at</w:t>
      </w:r>
      <w:r>
        <w:t xml:space="preserve"> </w:t>
      </w:r>
      <w:r>
        <w:rPr>
          <w:i/>
          <w:iCs/>
        </w:rPr>
        <w:t xml:space="preserve">w</w:t>
      </w:r>
      <w:r>
        <w:t xml:space="preserve">.</w:t>
      </w:r>
      <w:r>
        <w:rPr>
          <w:rStyle w:val="FootnoteReference"/>
        </w:rPr>
        <w:footnoteReference w:id="37"/>
      </w:r>
      <w:r>
        <w:t xml:space="preserve"> </w:t>
      </w:r>
      <w:r>
        <w:t xml:space="preserve">We’re generalising the notion of expectation a bit to allow for conditional expectations; Exp(X | p, Pr) is the expectation of X according to Pr(• | p). So here’s what Total Trust says. Take any random variable X. Update π on the proposition that consists of all and only worlds where The Experimenter at that world has an expected value for X at least equal to</w:t>
      </w:r>
      <w:r>
        <w:t xml:space="preserve"> </w:t>
      </w:r>
      <w:r>
        <w:rPr>
          <w:i/>
          <w:iCs/>
        </w:rPr>
        <w:t xml:space="preserve">t</w:t>
      </w:r>
      <w:r>
        <w:t xml:space="preserve">. After that update, Novice also expects X’s value to be at least</w:t>
      </w:r>
      <w:r>
        <w:t xml:space="preserve"> </w:t>
      </w:r>
      <w:r>
        <w:rPr>
          <w:i/>
          <w:iCs/>
        </w:rPr>
        <w:t xml:space="preserve">t</w:t>
      </w:r>
      <w:r>
        <w:t xml:space="preserve">.</w:t>
      </w:r>
    </w:p>
    <w:p>
      <w:pPr>
        <w:pStyle w:val="BodyText"/>
      </w:pPr>
      <w:r>
        <w:t xml:space="preserve">We discussed recommended strategies in</w:t>
      </w:r>
      <w:r>
        <w:t xml:space="preserve"> </w:t>
      </w:r>
      <w:hyperlink w:anchor="sec-nesting">
        <w:r>
          <w:rPr>
            <w:rStyle w:val="Hyperlink"/>
          </w:rPr>
          <w:t xml:space="preserve">Section 2</w:t>
        </w:r>
      </w:hyperlink>
      <w:r>
        <w:t xml:space="preserve">, so there is less to say about Value. What it says is that Novice does not expect any member of O to do better than any recommended strategy.</w:t>
      </w:r>
    </w:p>
    <w:p>
      <w:pPr>
        <w:pStyle w:val="BodyText"/>
      </w:pPr>
      <w:r>
        <w:t xml:space="preserve">One way Dorst et al put the equivalence between Total Trust and Value (on finite frames) is that π Totally Trusts a frame ⟨W, P⟩ iff it Values that frame. What I’ll show is that this equivalence breaks down when we drop the finiteness assumptions. Indeed, it breaks down even when W is countably infinite.</w:t>
      </w:r>
    </w:p>
    <w:p>
      <w:pPr>
        <w:pStyle w:val="BodyText"/>
      </w:pPr>
      <w:r>
        <w:t xml:space="preserve">Start with a frame I’ll call</w:t>
      </w:r>
      <w:r>
        <w:t xml:space="preserve"> </w:t>
      </w:r>
      <w:r>
        <w:rPr>
          <w:b/>
          <w:bCs/>
        </w:rPr>
        <w:t xml:space="preserve">Coin</w:t>
      </w:r>
      <w:r>
        <w:t xml:space="preserve">. A fair coin will be flipped repeatedly until it lands Tails. Let F be a random variable such that F = </w:t>
      </w:r>
      <w:r>
        <w:rPr>
          <w:i/>
          <w:iCs/>
        </w:rPr>
        <w:t xml:space="preserve">x</w:t>
      </w:r>
      <w:r>
        <w:t xml:space="preserve"> </w:t>
      </w:r>
      <w:r>
        <w:t xml:space="preserve">iff the coin is flipped</w:t>
      </w:r>
      <w:r>
        <w:t xml:space="preserve"> </w:t>
      </w:r>
      <w:r>
        <w:rPr>
          <w:i/>
          <w:iCs/>
        </w:rPr>
        <w:t xml:space="preserve">x</w:t>
      </w:r>
      <w:r>
        <w:t xml:space="preserve"> </w:t>
      </w:r>
      <w:r>
        <w:t xml:space="preserve">times. (If the coin never lands Tails, we’ll stipulate that F = 1. Since this has probability 0, it doesn’t make a difference to what follows, but this case will matter below.) Novice knows these facts about F, so π(F = </w:t>
      </w:r>
      <w:r>
        <w:rPr>
          <w:i/>
          <w:iCs/>
        </w:rPr>
        <w:t xml:space="preserve">x</w:t>
      </w:r>
      <w:r>
        <w:t xml:space="preserve">) = 2</w:t>
      </w:r>
      <w:r>
        <w:rPr>
          <w:vertAlign w:val="superscript"/>
        </w:rPr>
        <w:t xml:space="preserve">-</w:t>
      </w:r>
      <w:r>
        <w:rPr>
          <w:i/>
          <w:iCs/>
          <w:vertAlign w:val="superscript"/>
        </w:rPr>
        <w:t xml:space="preserve">x</w:t>
      </w:r>
      <w:r>
        <w:t xml:space="preserve">. If F = </w:t>
      </w:r>
      <w:r>
        <w:rPr>
          <w:i/>
          <w:iCs/>
        </w:rPr>
        <w:t xml:space="preserve">x</w:t>
      </w:r>
      <w:r>
        <w:t xml:space="preserve">, then The Experimenter knows F ⩾ </w:t>
      </w:r>
      <w:r>
        <w:rPr>
          <w:i/>
          <w:iCs/>
        </w:rPr>
        <w:t xml:space="preserve">x</w:t>
      </w:r>
      <w:r>
        <w:t xml:space="preserve">, and updates on that. That is, P(F = </w:t>
      </w:r>
      <w:r>
        <w:rPr>
          <w:i/>
          <w:iCs/>
        </w:rPr>
        <w:t xml:space="preserve">x</w:t>
      </w:r>
      <w:r>
        <w:t xml:space="preserve">) = π(•|F ⩾ x). For any positive integer</w:t>
      </w:r>
      <w:r>
        <w:t xml:space="preserve"> </w:t>
      </w:r>
      <w:r>
        <w:rPr>
          <w:i/>
          <w:iCs/>
        </w:rPr>
        <w:t xml:space="preserve">i</w:t>
      </w:r>
      <w:r>
        <w:t xml:space="preserve">, let O</w:t>
      </w:r>
      <w:r>
        <w:rPr>
          <w:vertAlign w:val="subscript"/>
        </w:rPr>
        <w:t xml:space="preserve">i</w:t>
      </w:r>
      <w:r>
        <w:t xml:space="preserve"> </w:t>
      </w:r>
      <w:r>
        <w:t xml:space="preserve">be the random variable that takes value 0 at F = </w:t>
      </w:r>
      <w:r>
        <w:rPr>
          <w:i/>
          <w:iCs/>
        </w:rPr>
        <w:t xml:space="preserve">j</w:t>
      </w:r>
      <w:r>
        <w:t xml:space="preserve"> when</w:t>
      </w:r>
      <w:r>
        <w:t xml:space="preserve"> </w:t>
      </w:r>
      <w:r>
        <w:rPr>
          <w:i/>
          <w:iCs/>
        </w:rPr>
        <w:t xml:space="preserve">j</w:t>
      </w:r>
      <w:r>
        <w:t xml:space="preserve"> ⩽ </w:t>
      </w:r>
      <w:r>
        <w:rPr>
          <w:i/>
          <w:iCs/>
        </w:rPr>
        <w:t xml:space="preserve">i</w:t>
      </w:r>
      <w:r>
        <w:t xml:space="preserve">, and value 2</w:t>
      </w:r>
      <w:r>
        <w:rPr>
          <w:i/>
          <w:iCs/>
          <w:vertAlign w:val="superscript"/>
        </w:rPr>
        <w:t xml:space="preserve">i</w:t>
      </w:r>
      <w:r>
        <w:t xml:space="preserve"> </w:t>
      </w:r>
      <w:r>
        <w:t xml:space="preserve">at F = </w:t>
      </w:r>
      <w:r>
        <w:rPr>
          <w:i/>
          <w:iCs/>
        </w:rPr>
        <w:t xml:space="preserve">j</w:t>
      </w:r>
      <w:r>
        <w:t xml:space="preserve"> </w:t>
      </w:r>
      <w:r>
        <w:t xml:space="preserve">when</w:t>
      </w:r>
      <w:r>
        <w:t xml:space="preserve"> </w:t>
      </w:r>
      <w:r>
        <w:rPr>
          <w:i/>
          <w:iCs/>
        </w:rPr>
        <w:t xml:space="preserve">j</w:t>
      </w:r>
      <w:r>
        <w:t xml:space="preserve"> &gt;</w:t>
      </w:r>
      <w:r>
        <w:t xml:space="preserve"> </w:t>
      </w:r>
      <w:r>
        <w:rPr>
          <w:i/>
          <w:iCs/>
        </w:rPr>
        <w:t xml:space="preserve">i</w:t>
      </w:r>
      <w:r>
        <w:t xml:space="preserve">. Let O be the set of each O</w:t>
      </w:r>
      <w:r>
        <w:rPr>
          <w:i/>
          <w:iCs/>
          <w:vertAlign w:val="subscript"/>
        </w:rPr>
        <w:t xml:space="preserve">i</w:t>
      </w:r>
      <w:r>
        <w:t xml:space="preserve">. The strategy</w:t>
      </w:r>
      <w:r>
        <w:t xml:space="preserve"> </w:t>
      </w:r>
      <w:r>
        <w:rPr>
          <w:i/>
          <w:iCs/>
        </w:rPr>
        <w:t xml:space="preserve">s</w:t>
      </w:r>
      <w:r>
        <w:t xml:space="preserve"> </w:t>
      </w:r>
      <w:r>
        <w:t xml:space="preserve">such that</w:t>
      </w:r>
      <w:r>
        <w:t xml:space="preserve"> </w:t>
      </w:r>
      <w:r>
        <w:rPr>
          <w:i/>
          <w:iCs/>
        </w:rPr>
        <w:t xml:space="preserve">s</w:t>
      </w:r>
      <w:r>
        <w:t xml:space="preserve">(F = </w:t>
      </w:r>
      <w:r>
        <w:rPr>
          <w:i/>
          <w:iCs/>
        </w:rPr>
        <w:t xml:space="preserve">i</w:t>
      </w:r>
      <w:r>
        <w:t xml:space="preserve">) = O</w:t>
      </w:r>
      <w:r>
        <w:rPr>
          <w:i/>
          <w:iCs/>
          <w:vertAlign w:val="subscript"/>
        </w:rPr>
        <w:t xml:space="preserve">i</w:t>
      </w:r>
      <w:r>
        <w:t xml:space="preserve"> </w:t>
      </w:r>
      <w:r>
        <w:t xml:space="preserve">is recommended, as can be easily checked. But E(</w:t>
      </w:r>
      <w:r>
        <w:rPr>
          <w:i/>
          <w:iCs/>
        </w:rPr>
        <w:t xml:space="preserve">s</w:t>
      </w:r>
      <w:r>
        <w:t xml:space="preserve">) = 0, while for any</w:t>
      </w:r>
      <w:r>
        <w:t xml:space="preserve"> </w:t>
      </w:r>
      <w:r>
        <w:rPr>
          <w:i/>
          <w:iCs/>
        </w:rPr>
        <w:t xml:space="preserve">o</w:t>
      </w:r>
      <w:r>
        <w:t xml:space="preserve"> </w:t>
      </w:r>
      <w:r>
        <w:t xml:space="preserve">∈ O, E(</w:t>
      </w:r>
      <w:r>
        <w:rPr>
          <w:i/>
          <w:iCs/>
        </w:rPr>
        <w:t xml:space="preserve">o</w:t>
      </w:r>
      <w:r>
        <w:t xml:space="preserve">, π) = ½. So Value fails on</w:t>
      </w:r>
      <w:r>
        <w:t xml:space="preserve"> </w:t>
      </w:r>
      <w:r>
        <w:rPr>
          <w:b/>
          <w:bCs/>
        </w:rPr>
        <w:t xml:space="preserve">Coin</w:t>
      </w:r>
      <w:r>
        <w:t xml:space="preserve">.</w:t>
      </w:r>
    </w:p>
    <w:p>
      <w:pPr>
        <w:pStyle w:val="BodyText"/>
      </w:pPr>
      <w:r>
        <w:t xml:space="preserve">On the other hand, π does Totally Trust</w:t>
      </w:r>
      <w:r>
        <w:t xml:space="preserve"> </w:t>
      </w:r>
      <w:r>
        <w:rPr>
          <w:b/>
          <w:bCs/>
        </w:rPr>
        <w:t xml:space="preserve">Coin</w:t>
      </w:r>
      <w:r>
        <w:t xml:space="preserve">. For any random variable X and threshold</w:t>
      </w:r>
      <w:r>
        <w:t xml:space="preserve"> </w:t>
      </w:r>
      <w:r>
        <w:rPr>
          <w:i/>
          <w:iCs/>
        </w:rPr>
        <w:t xml:space="preserve">t</w:t>
      </w:r>
      <w:r>
        <w:t xml:space="preserve">, say an integer</w:t>
      </w:r>
      <w:r>
        <w:t xml:space="preserve"> </w:t>
      </w:r>
      <w:r>
        <w:rPr>
          <w:i/>
          <w:iCs/>
        </w:rPr>
        <w:t xml:space="preserve">k</w:t>
      </w:r>
      <w:r>
        <w:t xml:space="preserve"> </w:t>
      </w:r>
      <w:r>
        <w:t xml:space="preserve">is a cut-off if either Exp(X | F ⩾ </w:t>
      </w:r>
      <w:r>
        <w:rPr>
          <w:i/>
          <w:iCs/>
        </w:rPr>
        <w:t xml:space="preserve">k</w:t>
      </w:r>
      <w:r>
        <w:t xml:space="preserve">, π) ⩾ </w:t>
      </w:r>
      <w:r>
        <w:rPr>
          <w:i/>
          <w:iCs/>
        </w:rPr>
        <w:t xml:space="preserve">t</w:t>
      </w:r>
      <w:r>
        <w:t xml:space="preserve"> </w:t>
      </w:r>
      <w:r>
        <w:t xml:space="preserve">and Exp(X | F ⩾ </w:t>
      </w:r>
      <w:r>
        <w:rPr>
          <w:i/>
          <w:iCs/>
        </w:rPr>
        <w:t xml:space="preserve">k</w:t>
      </w:r>
      <w:r>
        <w:t xml:space="preserve"> + 1, π) &lt; </w:t>
      </w:r>
      <w:r>
        <w:rPr>
          <w:i/>
          <w:iCs/>
        </w:rPr>
        <w:t xml:space="preserve">t</w:t>
      </w:r>
      <w:r>
        <w:t xml:space="preserve">, or Exp(X | F ⩾ </w:t>
      </w:r>
      <w:r>
        <w:rPr>
          <w:i/>
          <w:iCs/>
        </w:rPr>
        <w:t xml:space="preserve">k</w:t>
      </w:r>
      <w:r>
        <w:t xml:space="preserve">, π) &lt; </w:t>
      </w:r>
      <w:r>
        <w:rPr>
          <w:i/>
          <w:iCs/>
        </w:rPr>
        <w:t xml:space="preserve">t</w:t>
      </w:r>
      <w:r>
        <w:t xml:space="preserve"> </w:t>
      </w:r>
      <w:r>
        <w:t xml:space="preserve">and Exp(X | F ⩾ </w:t>
      </w:r>
      <w:r>
        <w:rPr>
          <w:i/>
          <w:iCs/>
        </w:rPr>
        <w:t xml:space="preserve">k</w:t>
      </w:r>
      <w:r>
        <w:t xml:space="preserve"> + 1, π) ⩾ </w:t>
      </w:r>
      <w:r>
        <w:rPr>
          <w:i/>
          <w:iCs/>
        </w:rPr>
        <w:t xml:space="preserve">t</w:t>
      </w:r>
      <w:r>
        <w:t xml:space="preserve">. Let c</w:t>
      </w:r>
      <w:r>
        <w:rPr>
          <w:i/>
          <w:iCs/>
          <w:vertAlign w:val="subscript"/>
        </w:rPr>
        <w:t xml:space="preserve">i</w:t>
      </w:r>
      <w:r>
        <w:t xml:space="preserve"> </w:t>
      </w:r>
      <w:r>
        <w:t xml:space="preserve">be the</w:t>
      </w:r>
      <w:r>
        <w:t xml:space="preserve"> </w:t>
      </w:r>
      <w:r>
        <w:rPr>
          <w:i/>
          <w:iCs/>
        </w:rPr>
        <w:t xml:space="preserve">i</w:t>
      </w:r>
      <w:r>
        <w:t xml:space="preserve">’th cutoff. Partition the integers into the regions between cutoffs. More precisely, do the following. If 1 is not a cutoff, the first cell of the partition is {1, …, c</w:t>
      </w:r>
      <w:r>
        <w:rPr>
          <w:vertAlign w:val="subscript"/>
        </w:rPr>
        <w:t xml:space="preserve">1</w:t>
      </w:r>
      <w:r>
        <w:t xml:space="preserve">-1}; otherwise the first cell is just {1}. If there is a last cutoff</w:t>
      </w:r>
      <w:r>
        <w:t xml:space="preserve"> </w:t>
      </w:r>
      <w:r>
        <w:rPr>
          <w:i/>
          <w:iCs/>
        </w:rPr>
        <w:t xml:space="preserve">c</w:t>
      </w:r>
      <w:r>
        <w:t xml:space="preserve">, the last cell is {c, c+1, …}. Otherwise, each cell is {c</w:t>
      </w:r>
      <w:r>
        <w:rPr>
          <w:i/>
          <w:iCs/>
          <w:vertAlign w:val="subscript"/>
        </w:rPr>
        <w:t xml:space="preserve">i</w:t>
      </w:r>
      <w:r>
        <w:t xml:space="preserve">, …, c</w:t>
      </w:r>
      <w:r>
        <w:rPr>
          <w:i/>
          <w:iCs/>
          <w:vertAlign w:val="subscript"/>
        </w:rPr>
        <w:t xml:space="preserve">i</w:t>
      </w:r>
      <w:r>
        <w:rPr>
          <w:vertAlign w:val="subscript"/>
        </w:rPr>
        <w:t xml:space="preserve">+1</w:t>
      </w:r>
      <w:r>
        <w:t xml:space="preserve">-1}. Say a cell is</w:t>
      </w:r>
      <w:r>
        <w:t xml:space="preserve"> </w:t>
      </w:r>
      <w:r>
        <w:rPr>
          <w:i/>
          <w:iCs/>
        </w:rPr>
        <w:t xml:space="preserve">positive</w:t>
      </w:r>
      <w:r>
        <w:t xml:space="preserve"> </w:t>
      </w:r>
      <w:r>
        <w:t xml:space="preserve">if for every</w:t>
      </w:r>
      <w:r>
        <w:t xml:space="preserve"> </w:t>
      </w:r>
      <w:r>
        <w:rPr>
          <w:i/>
          <w:iCs/>
        </w:rPr>
        <w:t xml:space="preserve">k</w:t>
      </w:r>
      <w:r>
        <w:t xml:space="preserve"> </w:t>
      </w:r>
      <w:r>
        <w:t xml:space="preserve">in it, Exp(X | F ⩾ </w:t>
      </w:r>
      <w:r>
        <w:rPr>
          <w:i/>
          <w:iCs/>
        </w:rPr>
        <w:t xml:space="preserve">k</w:t>
      </w:r>
      <w:r>
        <w:t xml:space="preserve">, π) ⩾ </w:t>
      </w:r>
      <w:r>
        <w:rPr>
          <w:i/>
          <w:iCs/>
        </w:rPr>
        <w:t xml:space="preserve">t</w:t>
      </w:r>
      <w:r>
        <w:t xml:space="preserve">, and negative otherwise. (By the construction of the cells, Exp(X | F ⩾ </w:t>
      </w:r>
      <w:r>
        <w:rPr>
          <w:i/>
          <w:iCs/>
        </w:rPr>
        <w:t xml:space="preserve">k</w:t>
      </w:r>
      <w:r>
        <w:t xml:space="preserve">, π) ⩾ </w:t>
      </w:r>
      <w:r>
        <w:rPr>
          <w:i/>
          <w:iCs/>
        </w:rPr>
        <w:t xml:space="preserve">t</w:t>
      </w:r>
      <w:r>
        <w:t xml:space="preserve"> </w:t>
      </w:r>
      <w:r>
        <w:t xml:space="preserve">is true for either all or none of the members.)</w:t>
      </w:r>
    </w:p>
    <w:p>
      <w:pPr>
        <w:pStyle w:val="BodyText"/>
      </w:pPr>
      <w:r>
        <w:t xml:space="preserve">Let {c</w:t>
      </w:r>
      <w:r>
        <w:rPr>
          <w:i/>
          <w:iCs/>
          <w:vertAlign w:val="subscript"/>
        </w:rPr>
        <w:t xml:space="preserve">i</w:t>
      </w:r>
      <w:r>
        <w:t xml:space="preserve">, …, c</w:t>
      </w:r>
      <w:r>
        <w:rPr>
          <w:i/>
          <w:iCs/>
          <w:vertAlign w:val="subscript"/>
        </w:rPr>
        <w:t xml:space="preserve">i</w:t>
      </w:r>
      <w:r>
        <w:rPr>
          <w:vertAlign w:val="subscript"/>
        </w:rPr>
        <w:t xml:space="preserve">+1</w:t>
      </w:r>
      <w:r>
        <w:t xml:space="preserve">-1} be an arbitrary positive interval. By construction, Exp(X | F ⩾ c</w:t>
      </w:r>
      <w:r>
        <w:rPr>
          <w:i/>
          <w:iCs/>
          <w:vertAlign w:val="subscript"/>
        </w:rPr>
        <w:t xml:space="preserve">i</w:t>
      </w:r>
      <w:r>
        <w:t xml:space="preserve">, π) ⩾ </w:t>
      </w:r>
      <w:r>
        <w:rPr>
          <w:i/>
          <w:iCs/>
        </w:rPr>
        <w:t xml:space="preserve">t</w:t>
      </w:r>
      <w:r>
        <w:t xml:space="preserve">, and Exp(X | F ⩾ c</w:t>
      </w:r>
      <w:r>
        <w:rPr>
          <w:i/>
          <w:iCs/>
          <w:vertAlign w:val="subscript"/>
        </w:rPr>
        <w:t xml:space="preserve">i</w:t>
      </w:r>
      <w:r>
        <w:rPr>
          <w:vertAlign w:val="subscript"/>
        </w:rPr>
        <w:t xml:space="preserve">+1</w:t>
      </w:r>
      <w:r>
        <w:t xml:space="preserve">, π) &lt; </w:t>
      </w:r>
      <w:r>
        <w:rPr>
          <w:i/>
          <w:iCs/>
        </w:rPr>
        <w:t xml:space="preserve">t</w:t>
      </w:r>
      <w:r>
        <w:t xml:space="preserve">. Since for some λ ∈ (0,1), Exp(X | F ⩾ c</w:t>
      </w:r>
      <w:r>
        <w:rPr>
          <w:i/>
          <w:iCs/>
          <w:vertAlign w:val="subscript"/>
        </w:rPr>
        <w:t xml:space="preserve">i</w:t>
      </w:r>
      <w:r>
        <w:t xml:space="preserve">, π) = λExp(X | F ∈ {c</w:t>
      </w:r>
      <w:r>
        <w:rPr>
          <w:i/>
          <w:iCs/>
          <w:vertAlign w:val="subscript"/>
        </w:rPr>
        <w:t xml:space="preserve">i</w:t>
      </w:r>
      <w:r>
        <w:t xml:space="preserve">, …, c</w:t>
      </w:r>
      <w:r>
        <w:rPr>
          <w:i/>
          <w:iCs/>
          <w:vertAlign w:val="subscript"/>
        </w:rPr>
        <w:t xml:space="preserve">i</w:t>
      </w:r>
      <w:r>
        <w:rPr>
          <w:vertAlign w:val="subscript"/>
        </w:rPr>
        <w:t xml:space="preserve">+1</w:t>
      </w:r>
      <w:r>
        <w:t xml:space="preserve">-1}, π) + (1-λ)Exp(X | F ⩾ c</w:t>
      </w:r>
      <w:r>
        <w:rPr>
          <w:i/>
          <w:iCs/>
          <w:vertAlign w:val="subscript"/>
        </w:rPr>
        <w:t xml:space="preserve">i</w:t>
      </w:r>
      <w:r>
        <w:rPr>
          <w:vertAlign w:val="subscript"/>
        </w:rPr>
        <w:t xml:space="preserve">+1</w:t>
      </w:r>
      <w:r>
        <w:t xml:space="preserve">, π), it follows that Exp(X | F ∈ {c</w:t>
      </w:r>
      <w:r>
        <w:rPr>
          <w:i/>
          <w:iCs/>
          <w:vertAlign w:val="subscript"/>
        </w:rPr>
        <w:t xml:space="preserve">i</w:t>
      </w:r>
      <w:r>
        <w:t xml:space="preserve">, …, c</w:t>
      </w:r>
      <w:r>
        <w:rPr>
          <w:i/>
          <w:iCs/>
          <w:vertAlign w:val="subscript"/>
        </w:rPr>
        <w:t xml:space="preserve">i</w:t>
      </w:r>
      <w:r>
        <w:rPr>
          <w:vertAlign w:val="subscript"/>
        </w:rPr>
        <w:t xml:space="preserve">+1</w:t>
      </w:r>
      <w:r>
        <w:t xml:space="preserve">-1}, π) ⩾ </w:t>
      </w:r>
      <w:r>
        <w:rPr>
          <w:i/>
          <w:iCs/>
        </w:rPr>
        <w:t xml:space="preserve">t</w:t>
      </w:r>
      <w:r>
        <w:t xml:space="preserve">. Since this was an arbitrary positive interval, it follows that Exp(X | F ∈ I, π) ⩾ </w:t>
      </w:r>
      <w:r>
        <w:rPr>
          <w:i/>
          <w:iCs/>
        </w:rPr>
        <w:t xml:space="preserve">t</w:t>
      </w:r>
      <w:r>
        <w:t xml:space="preserve"> </w:t>
      </w:r>
      <w:r>
        <w:t xml:space="preserve">for any positive interval I. Since Exp(X | {</w:t>
      </w:r>
      <w:r>
        <w:rPr>
          <w:i/>
          <w:iCs/>
        </w:rPr>
        <w:t xml:space="preserve">w</w:t>
      </w:r>
      <w:r>
        <w:t xml:space="preserve">: Exp(X, P(</w:t>
      </w:r>
      <w:r>
        <w:rPr>
          <w:i/>
          <w:iCs/>
        </w:rPr>
        <w:t xml:space="preserve">w</w:t>
      </w:r>
      <w:r>
        <w:t xml:space="preserve">)) ⩾ </w:t>
      </w:r>
      <w:r>
        <w:rPr>
          <w:i/>
          <w:iCs/>
        </w:rPr>
        <w:t xml:space="preserve">t</w:t>
      </w:r>
      <w:r>
        <w:t xml:space="preserve">}, π) is a weighted average of the values of Exp(X | F ∈ I, π) where I is one or other of the positive intervals, it follows that E(X | {</w:t>
      </w:r>
      <w:r>
        <w:rPr>
          <w:i/>
          <w:iCs/>
        </w:rPr>
        <w:t xml:space="preserve">w</w:t>
      </w:r>
      <w:r>
        <w:t xml:space="preserve">: Exp(X, P(</w:t>
      </w:r>
      <w:r>
        <w:rPr>
          <w:i/>
          <w:iCs/>
        </w:rPr>
        <w:t xml:space="preserve">w</w:t>
      </w:r>
      <w:r>
        <w:t xml:space="preserve">)) ⩾ </w:t>
      </w:r>
      <w:r>
        <w:rPr>
          <w:i/>
          <w:iCs/>
        </w:rPr>
        <w:t xml:space="preserve">t</w:t>
      </w:r>
      <w:r>
        <w:t xml:space="preserve">}, π) ⩾ </w:t>
      </w:r>
      <w:r>
        <w:rPr>
          <w:i/>
          <w:iCs/>
        </w:rPr>
        <w:t xml:space="preserve">t</w:t>
      </w:r>
      <w:r>
        <w:t xml:space="preserve">, as required.</w:t>
      </w:r>
    </w:p>
    <w:p>
      <w:pPr>
        <w:pStyle w:val="BodyText"/>
      </w:pPr>
      <w:r>
        <w:t xml:space="preserve">So π Totally Trusts</w:t>
      </w:r>
      <w:r>
        <w:t xml:space="preserve"> </w:t>
      </w:r>
      <w:r>
        <w:rPr>
          <w:b/>
          <w:bCs/>
        </w:rPr>
        <w:t xml:space="preserve">Coin</w:t>
      </w:r>
      <w:r>
        <w:t xml:space="preserve">, but doesn’t Value it. So the equivalence between Total Trust and Value fails here. But you might very reasonably object on two scores. First, the value function used to generate the counterexample was unbounded, and we know that unbounded value functions lead to all sorts of paradoxes. Second, I didn’t just make W infinite, I made O infinite as well, so this isn’t a minimal generalisation of the original claim. It turns out that if we put both these constraints on, then the equivalence fails in the other direction: It is possible to get a frame that π Values, but does not Totally Trust.</w:t>
      </w:r>
    </w:p>
    <w:p>
      <w:pPr>
        <w:pStyle w:val="BodyText"/>
      </w:pPr>
      <w:r>
        <w:t xml:space="preserve">Call the following frame</w:t>
      </w:r>
      <w:r>
        <w:t xml:space="preserve"> </w:t>
      </w:r>
      <w:r>
        <w:rPr>
          <w:b/>
          <w:bCs/>
        </w:rPr>
        <w:t xml:space="preserve">Bentham</w:t>
      </w:r>
      <w:r>
        <w:t xml:space="preserve">. Again, a coin will be flipped until it lands Tails. If it ever lands Tails, F is the number of flips. If it never lands Tails, which has probability 0, then F = ∞. Again, Novice knows these facts, and so far the case is just like</w:t>
      </w:r>
      <w:r>
        <w:t xml:space="preserve"> </w:t>
      </w:r>
      <w:r>
        <w:rPr>
          <w:b/>
          <w:bCs/>
        </w:rPr>
        <w:t xml:space="preserve">Coin</w:t>
      </w:r>
      <w:r>
        <w:t xml:space="preserve">. But in this case, if F = </w:t>
      </w:r>
      <w:r>
        <w:rPr>
          <w:i/>
          <w:iCs/>
        </w:rPr>
        <w:t xml:space="preserve">x</w:t>
      </w:r>
      <w:r>
        <w:t xml:space="preserve">, The Experimenter knows that F ⩽ </w:t>
      </w:r>
      <w:r>
        <w:rPr>
          <w:i/>
          <w:iCs/>
        </w:rPr>
        <w:t xml:space="preserve">x</w:t>
      </w:r>
      <w:r>
        <w:t xml:space="preserve">, and The Experimenter updates on that. So if F = ∞, The Experimenter learns nothing, but otherwise they can rule out all but finitely many possibilities. More precisely, P(F = </w:t>
      </w:r>
      <w:r>
        <w:rPr>
          <w:i/>
          <w:iCs/>
        </w:rPr>
        <w:t xml:space="preserve">x</w:t>
      </w:r>
      <w:r>
        <w:t xml:space="preserve">) = π(•|F ⩽ x).</w:t>
      </w:r>
    </w:p>
    <w:p>
      <w:pPr>
        <w:pStyle w:val="BodyText"/>
      </w:pPr>
      <w:r>
        <w:t xml:space="preserve">The Novice probability does not Value this frame. Let Y be a random variable such that Y(F = ∞) = 0, and for all finite</w:t>
      </w:r>
      <w:r>
        <w:t xml:space="preserve"> </w:t>
      </w:r>
      <w:r>
        <w:rPr>
          <w:i/>
          <w:iCs/>
        </w:rPr>
        <w:t xml:space="preserve">n</w:t>
      </w:r>
      <w:r>
        <w:t xml:space="preserve">, Y(F = </w:t>
      </w:r>
      <w:r>
        <w:rPr>
          <w:i/>
          <w:iCs/>
        </w:rPr>
        <w:t xml:space="preserve">n</w:t>
      </w:r>
      <w:r>
        <w:t xml:space="preserve">) = 1 - 2</w:t>
      </w:r>
      <w:r>
        <w:rPr>
          <w:vertAlign w:val="superscript"/>
        </w:rPr>
        <w:t xml:space="preserve">-</w:t>
      </w:r>
      <w:r>
        <w:rPr>
          <w:i/>
          <w:iCs/>
          <w:vertAlign w:val="superscript"/>
        </w:rPr>
        <w:t xml:space="preserve">n</w:t>
      </w:r>
      <w:r>
        <w:t xml:space="preserve">. E(Y | {</w:t>
      </w:r>
      <w:r>
        <w:rPr>
          <w:i/>
          <w:iCs/>
        </w:rPr>
        <w:t xml:space="preserve">w</w:t>
      </w:r>
      <w:r>
        <w:t xml:space="preserve">: Exp(Y, P(</w:t>
      </w:r>
      <w:r>
        <w:rPr>
          <w:i/>
          <w:iCs/>
        </w:rPr>
        <w:t xml:space="preserve">w</w:t>
      </w:r>
      <w:r>
        <w:t xml:space="preserve">)) ⩾ ⅔}, π) = 0 &lt; ⅔. The only world</w:t>
      </w:r>
      <w:r>
        <w:t xml:space="preserve"> </w:t>
      </w:r>
      <w:r>
        <w:rPr>
          <w:i/>
          <w:iCs/>
        </w:rPr>
        <w:t xml:space="preserve">w</w:t>
      </w:r>
      <w:r>
        <w:t xml:space="preserve"> </w:t>
      </w:r>
      <w:r>
        <w:t xml:space="preserve">where Exp(Y, P(</w:t>
      </w:r>
      <w:r>
        <w:rPr>
          <w:i/>
          <w:iCs/>
        </w:rPr>
        <w:t xml:space="preserve">w</w:t>
      </w:r>
      <w:r>
        <w:t xml:space="preserve">)) ⩾ ⅔ is F = ∞, and at F = ∞, Y = 0.</w:t>
      </w:r>
    </w:p>
    <w:p>
      <w:pPr>
        <w:pStyle w:val="BodyText"/>
      </w:pPr>
      <w:r>
        <w:t xml:space="preserve">On the other hand, π does Totally Trust this frame. To see this, for any set of options O, recommended strategy S, random variable X (all defined on W), and integer</w:t>
      </w:r>
      <w:r>
        <w:t xml:space="preserve"> </w:t>
      </w:r>
      <w:r>
        <w:rPr>
          <w:i/>
          <w:iCs/>
        </w:rPr>
        <w:t xml:space="preserve">n</w:t>
      </w:r>
      <w:r>
        <w:t xml:space="preserve">, let W</w:t>
      </w:r>
      <w:r>
        <w:rPr>
          <w:i/>
          <w:iCs/>
        </w:rPr>
        <w:t xml:space="preserve">n</w:t>
      </w:r>
      <w:r>
        <w:t xml:space="preserve"> </w:t>
      </w:r>
      <w:r>
        <w:t xml:space="preserve">be the set {F = 1, …, F = </w:t>
      </w:r>
      <w:r>
        <w:rPr>
          <w:i/>
          <w:iCs/>
        </w:rPr>
        <w:t xml:space="preserve">n</w:t>
      </w:r>
      <w:r>
        <w:t xml:space="preserve">}, O</w:t>
      </w:r>
      <w:r>
        <w:rPr>
          <w:i/>
          <w:iCs/>
          <w:vertAlign w:val="subscript"/>
        </w:rPr>
        <w:t xml:space="preserve">n</w:t>
      </w:r>
      <w:r>
        <w:t xml:space="preserve">, P</w:t>
      </w:r>
      <w:r>
        <w:rPr>
          <w:i/>
          <w:iCs/>
          <w:vertAlign w:val="subscript"/>
        </w:rPr>
        <w:t xml:space="preserve">n</w:t>
      </w:r>
      <w:r>
        <w:t xml:space="preserve">, S</w:t>
      </w:r>
      <w:r>
        <w:rPr>
          <w:i/>
          <w:iCs/>
          <w:vertAlign w:val="subscript"/>
        </w:rPr>
        <w:t xml:space="preserve">n</w:t>
      </w:r>
      <w:r>
        <w:t xml:space="preserve"> </w:t>
      </w:r>
      <w:r>
        <w:t xml:space="preserve">and X</w:t>
      </w:r>
      <w:r>
        <w:rPr>
          <w:i/>
          <w:iCs/>
          <w:vertAlign w:val="subscript"/>
        </w:rPr>
        <w:t xml:space="preserve">n</w:t>
      </w:r>
      <w:r>
        <w:t xml:space="preserve"> </w:t>
      </w:r>
      <w:r>
        <w:t xml:space="preserve">be the restrictions of O, P and S to worlds in W</w:t>
      </w:r>
      <w:r>
        <w:rPr>
          <w:i/>
          <w:iCs/>
        </w:rPr>
        <w:t xml:space="preserve">n</w:t>
      </w:r>
      <w:r>
        <w:t xml:space="preserve">. From the way P is constructed, i.e., by conditionalising on the set of worlds where F is no greater than it actually is, it follows that if S is recommended on ⟨W, P⟩, then S</w:t>
      </w:r>
      <w:r>
        <w:rPr>
          <w:i/>
          <w:iCs/>
          <w:vertAlign w:val="subscript"/>
        </w:rPr>
        <w:t xml:space="preserve">n</w:t>
      </w:r>
      <w:r>
        <w:t xml:space="preserve"> </w:t>
      </w:r>
      <w:r>
        <w:t xml:space="preserve">is recommended on ⟨W</w:t>
      </w:r>
      <w:r>
        <w:rPr>
          <w:i/>
          <w:iCs/>
          <w:vertAlign w:val="subscript"/>
        </w:rPr>
        <w:t xml:space="preserve">n</w:t>
      </w:r>
      <w:r>
        <w:t xml:space="preserve">, P</w:t>
      </w:r>
      <w:r>
        <w:rPr>
          <w:i/>
          <w:iCs/>
          <w:vertAlign w:val="subscript"/>
        </w:rPr>
        <w:t xml:space="preserve">n</w:t>
      </w:r>
      <w:r>
        <w:t xml:space="preserve">⟩. Since ⟨W</w:t>
      </w:r>
      <w:r>
        <w:rPr>
          <w:i/>
          <w:iCs/>
          <w:vertAlign w:val="subscript"/>
        </w:rPr>
        <w:t xml:space="preserve">n</w:t>
      </w:r>
      <w:r>
        <w:t xml:space="preserve">, P</w:t>
      </w:r>
      <w:r>
        <w:rPr>
          <w:i/>
          <w:iCs/>
          <w:vertAlign w:val="subscript"/>
        </w:rPr>
        <w:t xml:space="preserve">n</w:t>
      </w:r>
      <w:r>
        <w:t xml:space="preserve">⟩ is a finite prior frame where E is reflexive, transitive and nested, and Pr = π, it follows by the result of Geanakoplos described in</w:t>
      </w:r>
      <w:r>
        <w:t xml:space="preserve"> </w:t>
      </w:r>
      <w:hyperlink w:anchor="sec-nesting">
        <w:r>
          <w:rPr>
            <w:rStyle w:val="Hyperlink"/>
          </w:rPr>
          <w:t xml:space="preserve">Section 2</w:t>
        </w:r>
      </w:hyperlink>
      <w:r>
        <w:t xml:space="preserve">, that the expected return of S</w:t>
      </w:r>
      <w:r>
        <w:rPr>
          <w:i/>
          <w:iCs/>
          <w:vertAlign w:val="subscript"/>
        </w:rPr>
        <w:t xml:space="preserve">n</w:t>
      </w:r>
      <w:r>
        <w:t xml:space="preserve"> </w:t>
      </w:r>
      <w:r>
        <w:t xml:space="preserve">is greater than the expected return of any option in O</w:t>
      </w:r>
      <w:r>
        <w:rPr>
          <w:i/>
          <w:iCs/>
          <w:vertAlign w:val="subscript"/>
        </w:rPr>
        <w:t xml:space="preserve">n</w:t>
      </w:r>
      <w:r>
        <w:t xml:space="preserve">. For any random variable X, Exp(X, π) is the limit as</w:t>
      </w:r>
      <w:r>
        <w:t xml:space="preserve"> </w:t>
      </w:r>
      <w:r>
        <w:rPr>
          <w:i/>
          <w:iCs/>
        </w:rPr>
        <w:t xml:space="preserve">n</w:t>
      </w:r>
      <w:r>
        <w:t xml:space="preserve"> </w:t>
      </w:r>
      <w:r>
        <w:t xml:space="preserve">tends to ∞ of Exp(X</w:t>
      </w:r>
      <w:r>
        <w:rPr>
          <w:i/>
          <w:iCs/>
          <w:vertAlign w:val="subscript"/>
        </w:rPr>
        <w:t xml:space="preserve">n</w:t>
      </w:r>
      <w:r>
        <w:t xml:space="preserve">, π); this is because as</w:t>
      </w:r>
      <w:r>
        <w:t xml:space="preserve"> </w:t>
      </w:r>
      <w:r>
        <w:rPr>
          <w:i/>
          <w:iCs/>
        </w:rPr>
        <w:t xml:space="preserve">n</w:t>
      </w:r>
      <w:r>
        <w:t xml:space="preserve"> </w:t>
      </w:r>
      <w:r>
        <w:t xml:space="preserve">grows this covers all words in W except F = ∞, which has probability 0. If the expected return of S is the limit</w:t>
      </w:r>
      <w:r>
        <w:t xml:space="preserve"> </w:t>
      </w:r>
      <w:r>
        <w:rPr>
          <w:i/>
          <w:iCs/>
        </w:rPr>
        <w:t xml:space="preserve">n</w:t>
      </w:r>
      <w:r>
        <w:t xml:space="preserve"> </w:t>
      </w:r>
      <w:r>
        <w:t xml:space="preserve">tends to ∞ of the expected return of S</w:t>
      </w:r>
      <w:r>
        <w:rPr>
          <w:i/>
          <w:iCs/>
          <w:vertAlign w:val="subscript"/>
        </w:rPr>
        <w:t xml:space="preserve">n</w:t>
      </w:r>
      <w:r>
        <w:t xml:space="preserve">, and the expected return of an option in O is the limit as</w:t>
      </w:r>
      <w:r>
        <w:t xml:space="preserve"> </w:t>
      </w:r>
      <w:r>
        <w:rPr>
          <w:i/>
          <w:iCs/>
        </w:rPr>
        <w:t xml:space="preserve">n</w:t>
      </w:r>
      <w:r>
        <w:t xml:space="preserve"> </w:t>
      </w:r>
      <w:r>
        <w:t xml:space="preserve">tends to ∞ of its counterpart in O</w:t>
      </w:r>
      <w:r>
        <w:rPr>
          <w:i/>
          <w:iCs/>
          <w:vertAlign w:val="subscript"/>
        </w:rPr>
        <w:t xml:space="preserve">n</w:t>
      </w:r>
      <w:r>
        <w:t xml:space="preserve">, and S</w:t>
      </w:r>
      <w:r>
        <w:rPr>
          <w:i/>
          <w:iCs/>
          <w:vertAlign w:val="subscript"/>
        </w:rPr>
        <w:t xml:space="preserve">n</w:t>
      </w:r>
      <w:r>
        <w:t xml:space="preserve"> </w:t>
      </w:r>
      <w:r>
        <w:t xml:space="preserve">is better (in expectation) than every option in O</w:t>
      </w:r>
      <w:r>
        <w:rPr>
          <w:i/>
          <w:iCs/>
          <w:vertAlign w:val="subscript"/>
        </w:rPr>
        <w:t xml:space="preserve">n</w:t>
      </w:r>
      <w:r>
        <w:t xml:space="preserve">, it follows that S is better (in expectation) than every option in O. So Value is satisfied, as required.</w:t>
      </w:r>
    </w:p>
    <w:bookmarkEnd w:id="38"/>
    <w:bookmarkStart w:id="60" w:name="conclusion"/>
    <w:p>
      <w:pPr>
        <w:pStyle w:val="Heading1"/>
      </w:pPr>
      <w:r>
        <w:t xml:space="preserve">4. Conclusion</w:t>
      </w:r>
    </w:p>
    <w:p>
      <w:pPr>
        <w:pStyle w:val="Compact"/>
        <w:numPr>
          <w:ilvl w:val="0"/>
          <w:numId w:val="1005"/>
        </w:numPr>
      </w:pPr>
      <w:r>
        <w:t xml:space="preserve">Say some stuff about why infinite frames matter.</w:t>
      </w:r>
    </w:p>
    <w:p>
      <w:pPr>
        <w:pStyle w:val="Compact"/>
        <w:numPr>
          <w:ilvl w:val="0"/>
          <w:numId w:val="1005"/>
        </w:numPr>
      </w:pPr>
      <w:r>
        <w:t xml:space="preserve">It’s true that humans are finite, and so any infinite frame will be at best a model of a real human.</w:t>
      </w:r>
    </w:p>
    <w:p>
      <w:pPr>
        <w:pStyle w:val="Compact"/>
        <w:numPr>
          <w:ilvl w:val="0"/>
          <w:numId w:val="1005"/>
        </w:numPr>
      </w:pPr>
      <w:r>
        <w:t xml:space="preserve">But any probabilistic model is really a model, since real humans also can’t do the computations needed to be perfectly computationally coherent.</w:t>
      </w:r>
    </w:p>
    <w:p>
      <w:pPr>
        <w:pStyle w:val="Compact"/>
        <w:numPr>
          <w:ilvl w:val="0"/>
          <w:numId w:val="1005"/>
        </w:numPr>
      </w:pPr>
      <w:r>
        <w:t xml:space="preserve">And in some cases infinite models are simpler, and in important senses closer to reality.</w:t>
      </w:r>
    </w:p>
    <w:p>
      <w:pPr>
        <w:pStyle w:val="Compact"/>
        <w:numPr>
          <w:ilvl w:val="0"/>
          <w:numId w:val="1005"/>
        </w:numPr>
      </w:pPr>
      <w:r>
        <w:t xml:space="preserve">It’s more natural to use the model in</w:t>
      </w:r>
      <w:r>
        <w:t xml:space="preserve"> </w:t>
      </w:r>
      <w:hyperlink w:anchor="sec-gallow">
        <w:r>
          <w:rPr>
            <w:rStyle w:val="Hyperlink"/>
          </w:rPr>
          <w:t xml:space="preserve">Section 1</w:t>
        </w:r>
      </w:hyperlink>
      <w:r>
        <w:t xml:space="preserve"> </w:t>
      </w:r>
      <w:r>
        <w:t xml:space="preserve">than to use some discrete approximation to it, to model a scientist thinking about quantities that are roughly normally distributed.</w:t>
      </w:r>
    </w:p>
    <w:p>
      <w:pPr>
        <w:pStyle w:val="Compact"/>
        <w:numPr>
          <w:ilvl w:val="0"/>
          <w:numId w:val="1005"/>
        </w:numPr>
      </w:pPr>
      <w:r>
        <w:t xml:space="preserve">We shouldn’t think that because circles are infinitely curved it’s more natural to model someone thinking about a chiliagon than to model them thinking about a circle.</w:t>
      </w:r>
    </w:p>
    <w:p>
      <w:pPr>
        <w:pStyle w:val="Compact"/>
        <w:numPr>
          <w:ilvl w:val="0"/>
          <w:numId w:val="1005"/>
        </w:numPr>
      </w:pPr>
      <w:r>
        <w:t xml:space="preserve">There is something odd about the use of discontinuous models, as in</w:t>
      </w:r>
      <w:r>
        <w:t xml:space="preserve"> </w:t>
      </w:r>
      <w:hyperlink w:anchor="sec-nesting">
        <w:r>
          <w:rPr>
            <w:rStyle w:val="Hyperlink"/>
          </w:rPr>
          <w:t xml:space="preserve">Section 2</w:t>
        </w:r>
      </w:hyperlink>
      <w:r>
        <w:t xml:space="preserve">, and there are real puzzles about unbounded utility.</w:t>
      </w:r>
    </w:p>
    <w:p>
      <w:pPr>
        <w:pStyle w:val="Compact"/>
        <w:numPr>
          <w:ilvl w:val="0"/>
          <w:numId w:val="1005"/>
        </w:numPr>
      </w:pPr>
      <w:r>
        <w:t xml:space="preserve">But any mathematical result that is meant to have epistemological significance should apply to at least some infinite cases.</w:t>
      </w:r>
    </w:p>
    <w:bookmarkStart w:id="59" w:name="references"/>
    <w:p>
      <w:pPr>
        <w:pStyle w:val="Heading2"/>
      </w:pPr>
      <w:r>
        <w:t xml:space="preserve">References</w:t>
      </w:r>
    </w:p>
    <w:bookmarkStart w:id="58" w:name="refs"/>
    <w:bookmarkStart w:id="39" w:name="ref-Blackwell1951"/>
    <w:p>
      <w:pPr>
        <w:pStyle w:val="Bibliography"/>
      </w:pPr>
      <w:r>
        <w:t xml:space="preserve">Blackwell, David. 1951.</w:t>
      </w:r>
      <w:r>
        <w:t xml:space="preserve"> </w:t>
      </w:r>
      <w:r>
        <w:t xml:space="preserve">“Comparison of Experiments.”</w:t>
      </w:r>
      <w:r>
        <w:t xml:space="preserve"> </w:t>
      </w:r>
      <w:r>
        <w:rPr>
          <w:i/>
          <w:iCs/>
        </w:rPr>
        <w:t xml:space="preserve">Proceedings of the Berkeley Symposium on Mathematical Statistics and Probability</w:t>
      </w:r>
      <w:r>
        <w:t xml:space="preserve"> </w:t>
      </w:r>
      <w:r>
        <w:t xml:space="preserve">2 (1): 93–102.</w:t>
      </w:r>
    </w:p>
    <w:bookmarkEnd w:id="39"/>
    <w:bookmarkStart w:id="40" w:name="ref-Blackwell1953"/>
    <w:p>
      <w:pPr>
        <w:pStyle w:val="Bibliography"/>
      </w:pPr>
      <w:r>
        <w:t xml:space="preserve">———. 1953.</w:t>
      </w:r>
      <w:r>
        <w:t xml:space="preserve"> </w:t>
      </w:r>
      <w:r>
        <w:t xml:space="preserve">“Equivalent Comparisons of Experiments.”</w:t>
      </w:r>
      <w:r>
        <w:t xml:space="preserve"> </w:t>
      </w:r>
      <w:r>
        <w:rPr>
          <w:i/>
          <w:iCs/>
        </w:rPr>
        <w:t xml:space="preserve">The Annals of Mathematical Statistics</w:t>
      </w:r>
      <w:r>
        <w:t xml:space="preserve"> </w:t>
      </w:r>
      <w:r>
        <w:t xml:space="preserve">24 (2): 265–72.</w:t>
      </w:r>
    </w:p>
    <w:bookmarkEnd w:id="40"/>
    <w:bookmarkStart w:id="42" w:name="ref-LeCam1996"/>
    <w:p>
      <w:pPr>
        <w:pStyle w:val="Bibliography"/>
      </w:pPr>
      <w:r>
        <w:t xml:space="preserve">Cam, L. Le. 1996.</w:t>
      </w:r>
      <w:r>
        <w:t xml:space="preserve"> </w:t>
      </w:r>
      <w:r>
        <w:t xml:space="preserve">“Comparison of Experiments: A Short Review.”</w:t>
      </w:r>
      <w:r>
        <w:t xml:space="preserve"> </w:t>
      </w:r>
      <w:r>
        <w:t xml:space="preserve">In</w:t>
      </w:r>
      <w:r>
        <w:t xml:space="preserve"> </w:t>
      </w:r>
      <w:r>
        <w:rPr>
          <w:i/>
          <w:iCs/>
        </w:rPr>
        <w:t xml:space="preserve">Statistics, Probability and Game Theory: Papers in Honor of David Blackwell</w:t>
      </w:r>
      <w:r>
        <w:t xml:space="preserve">, edited by T. S. Ferguson, L. S. Shapley, and J. B. MacQueen, 127–38. Hayward, CA: Institute of Mathematical Statistics. doi:</w:t>
      </w:r>
      <w:r>
        <w:t xml:space="preserve"> </w:t>
      </w:r>
      <w:hyperlink r:id="rId41">
        <w:r>
          <w:rPr>
            <w:rStyle w:val="Hyperlink"/>
          </w:rPr>
          <w:t xml:space="preserve">10.1214/lnms/1215453569</w:t>
        </w:r>
      </w:hyperlink>
      <w:r>
        <w:t xml:space="preserve">.</w:t>
      </w:r>
    </w:p>
    <w:bookmarkEnd w:id="42"/>
    <w:bookmarkStart w:id="44" w:name="ref-Das2023"/>
    <w:p>
      <w:pPr>
        <w:pStyle w:val="Bibliography"/>
      </w:pPr>
      <w:r>
        <w:t xml:space="preserve">Das, Nilanjan. 2023.</w:t>
      </w:r>
      <w:r>
        <w:t xml:space="preserve"> </w:t>
      </w:r>
      <w:r>
        <w:t xml:space="preserve">“The Value of Biased Information.”</w:t>
      </w:r>
      <w:r>
        <w:t xml:space="preserve"> </w:t>
      </w:r>
      <w:r>
        <w:rPr>
          <w:i/>
          <w:iCs/>
        </w:rPr>
        <w:t xml:space="preserve">British Journal for the Philosophy of Science</w:t>
      </w:r>
      <w:r>
        <w:t xml:space="preserve"> </w:t>
      </w:r>
      <w:r>
        <w:t xml:space="preserve">74 (1): 25–55. doi:</w:t>
      </w:r>
      <w:r>
        <w:t xml:space="preserve"> </w:t>
      </w:r>
      <w:hyperlink r:id="rId43">
        <w:r>
          <w:rPr>
            <w:rStyle w:val="Hyperlink"/>
          </w:rPr>
          <w:t xml:space="preserve">10.1093/bjps/axaa003</w:t>
        </w:r>
      </w:hyperlink>
      <w:r>
        <w:t xml:space="preserve">.</w:t>
      </w:r>
    </w:p>
    <w:bookmarkEnd w:id="44"/>
    <w:bookmarkStart w:id="46" w:name="ref-Dorst2019"/>
    <w:p>
      <w:pPr>
        <w:pStyle w:val="Bibliography"/>
      </w:pPr>
      <w:r>
        <w:t xml:space="preserve">Dorst, Kevin. 2019.</w:t>
      </w:r>
      <w:r>
        <w:t xml:space="preserve"> </w:t>
      </w:r>
      <w:r>
        <w:t xml:space="preserve">“Evidence: A Guide for the Uncertain.”</w:t>
      </w:r>
      <w:r>
        <w:t xml:space="preserve"> </w:t>
      </w:r>
      <w:r>
        <w:rPr>
          <w:i/>
          <w:iCs/>
        </w:rPr>
        <w:t xml:space="preserve">Philosophy and Phenomenological Research</w:t>
      </w:r>
      <w:r>
        <w:t xml:space="preserve"> </w:t>
      </w:r>
      <w:r>
        <w:t xml:space="preserve">100 (3): 586–632. doi:</w:t>
      </w:r>
      <w:r>
        <w:t xml:space="preserve"> </w:t>
      </w:r>
      <w:hyperlink r:id="rId45">
        <w:r>
          <w:rPr>
            <w:rStyle w:val="Hyperlink"/>
          </w:rPr>
          <w:t xml:space="preserve">10.1111/phpr.12561</w:t>
        </w:r>
      </w:hyperlink>
      <w:r>
        <w:t xml:space="preserve">.</w:t>
      </w:r>
    </w:p>
    <w:bookmarkEnd w:id="46"/>
    <w:bookmarkStart w:id="48" w:name="ref-DorstEtAl2021"/>
    <w:p>
      <w:pPr>
        <w:pStyle w:val="Bibliography"/>
      </w:pPr>
      <w:r>
        <w:t xml:space="preserve">Dorst, Kevin, Benjamin A. Levinstein, Bernhard Salow, Brooke E. Husic, and Branden Fitelson. 2021.</w:t>
      </w:r>
      <w:r>
        <w:t xml:space="preserve"> </w:t>
      </w:r>
      <w:r>
        <w:t xml:space="preserve">“Deference Done Better.”</w:t>
      </w:r>
      <w:r>
        <w:t xml:space="preserve"> </w:t>
      </w:r>
      <w:r>
        <w:rPr>
          <w:i/>
          <w:iCs/>
        </w:rPr>
        <w:t xml:space="preserve">Philosophical Perspectives</w:t>
      </w:r>
      <w:r>
        <w:t xml:space="preserve"> </w:t>
      </w:r>
      <w:r>
        <w:t xml:space="preserve">35 (1): 99–150. doi:</w:t>
      </w:r>
      <w:r>
        <w:t xml:space="preserve"> </w:t>
      </w:r>
      <w:hyperlink r:id="rId47">
        <w:r>
          <w:rPr>
            <w:rStyle w:val="Hyperlink"/>
          </w:rPr>
          <w:t xml:space="preserve">10.1111/phpe.12156</w:t>
        </w:r>
      </w:hyperlink>
      <w:r>
        <w:t xml:space="preserve">.</w:t>
      </w:r>
    </w:p>
    <w:bookmarkEnd w:id="48"/>
    <w:bookmarkStart w:id="50" w:name="ref-Gallow2018"/>
    <w:p>
      <w:pPr>
        <w:pStyle w:val="Bibliography"/>
      </w:pPr>
      <w:r>
        <w:t xml:space="preserve">Gallow, J. Dmitri. 2018.</w:t>
      </w:r>
      <w:r>
        <w:t xml:space="preserve"> </w:t>
      </w:r>
      <w:r>
        <w:t xml:space="preserve">“No One Can Serve Two Epistemic Masters.”</w:t>
      </w:r>
      <w:r>
        <w:t xml:space="preserve"> </w:t>
      </w:r>
      <w:r>
        <w:rPr>
          <w:i/>
          <w:iCs/>
        </w:rPr>
        <w:t xml:space="preserve">Philosophical Studies</w:t>
      </w:r>
      <w:r>
        <w:t xml:space="preserve"> </w:t>
      </w:r>
      <w:r>
        <w:t xml:space="preserve">175 (10): 2389–98. doi:</w:t>
      </w:r>
      <w:r>
        <w:t xml:space="preserve"> </w:t>
      </w:r>
      <w:hyperlink r:id="rId49">
        <w:r>
          <w:rPr>
            <w:rStyle w:val="Hyperlink"/>
          </w:rPr>
          <w:t xml:space="preserve">10.1007/s11098-017-0964-8</w:t>
        </w:r>
      </w:hyperlink>
      <w:r>
        <w:t xml:space="preserve">.</w:t>
      </w:r>
    </w:p>
    <w:bookmarkEnd w:id="50"/>
    <w:bookmarkStart w:id="52" w:name="ref-Geanakoplos1989"/>
    <w:p>
      <w:pPr>
        <w:pStyle w:val="Bibliography"/>
      </w:pPr>
      <w:r>
        <w:t xml:space="preserve">Geanakoplos, John. (1989) 2021.</w:t>
      </w:r>
      <w:r>
        <w:t xml:space="preserve"> </w:t>
      </w:r>
      <w:r>
        <w:t xml:space="preserve">“Game Theory Without Partitions, and Applications to Speculation and Consensus.”</w:t>
      </w:r>
      <w:r>
        <w:t xml:space="preserve"> </w:t>
      </w:r>
      <w:r>
        <w:rPr>
          <w:i/>
          <w:iCs/>
        </w:rPr>
        <w:t xml:space="preserve">The B.E. Journal of Theoretical Economics</w:t>
      </w:r>
      <w:r>
        <w:t xml:space="preserve"> </w:t>
      </w:r>
      <w:r>
        <w:t xml:space="preserve">21 (2): 361–94. doi:</w:t>
      </w:r>
      <w:r>
        <w:t xml:space="preserve"> </w:t>
      </w:r>
      <w:hyperlink r:id="rId51">
        <w:r>
          <w:rPr>
            <w:rStyle w:val="Hyperlink"/>
          </w:rPr>
          <w:t xml:space="preserve">https://doi.org/10.1515/bejte-2019-0010</w:t>
        </w:r>
      </w:hyperlink>
      <w:r>
        <w:t xml:space="preserve">.</w:t>
      </w:r>
    </w:p>
    <w:bookmarkEnd w:id="52"/>
    <w:bookmarkStart w:id="53" w:name="ref-Levinstein2015"/>
    <w:p>
      <w:pPr>
        <w:pStyle w:val="Bibliography"/>
      </w:pPr>
      <w:r>
        <w:t xml:space="preserve">Levinstein, Benjamin Anders. 2015.</w:t>
      </w:r>
      <w:r>
        <w:t xml:space="preserve"> </w:t>
      </w:r>
      <w:r>
        <w:t xml:space="preserve">“With All Due Respect: The Macro-Epistemology of Disagreement.”</w:t>
      </w:r>
      <w:r>
        <w:t xml:space="preserve"> </w:t>
      </w:r>
      <w:r>
        <w:rPr>
          <w:i/>
          <w:iCs/>
        </w:rPr>
        <w:t xml:space="preserve">Philosophers’ Imprint</w:t>
      </w:r>
      <w:r>
        <w:t xml:space="preserve"> </w:t>
      </w:r>
      <w:r>
        <w:t xml:space="preserve">15 (13): 1–20.</w:t>
      </w:r>
    </w:p>
    <w:bookmarkEnd w:id="53"/>
    <w:bookmarkStart w:id="55" w:name="ref-Spencer2018"/>
    <w:p>
      <w:pPr>
        <w:pStyle w:val="Bibliography"/>
      </w:pPr>
      <w:r>
        <w:t xml:space="preserve">Spencer, Jack. 2018.</w:t>
      </w:r>
      <w:r>
        <w:t xml:space="preserve"> </w:t>
      </w:r>
      <w:r>
        <w:t xml:space="preserve">“No Crystal Balls.”</w:t>
      </w:r>
      <w:r>
        <w:t xml:space="preserve"> </w:t>
      </w:r>
      <w:r>
        <w:rPr>
          <w:i/>
          <w:iCs/>
        </w:rPr>
        <w:t xml:space="preserve">Noûs</w:t>
      </w:r>
      <w:r>
        <w:t xml:space="preserve"> </w:t>
      </w:r>
      <w:r>
        <w:t xml:space="preserve">54 (1): 105–25. doi:</w:t>
      </w:r>
      <w:r>
        <w:t xml:space="preserve"> </w:t>
      </w:r>
      <w:hyperlink r:id="rId54">
        <w:r>
          <w:rPr>
            <w:rStyle w:val="Hyperlink"/>
          </w:rPr>
          <w:t xml:space="preserve">10.1111/nous.12252</w:t>
        </w:r>
      </w:hyperlink>
      <w:r>
        <w:t xml:space="preserve">.</w:t>
      </w:r>
    </w:p>
    <w:bookmarkEnd w:id="55"/>
    <w:bookmarkStart w:id="57" w:name="ref-Williamson2019"/>
    <w:p>
      <w:pPr>
        <w:pStyle w:val="Bibliography"/>
      </w:pPr>
      <w:r>
        <w:t xml:space="preserve">Williamson, Timothy. 2019.</w:t>
      </w:r>
      <w:r>
        <w:t xml:space="preserve"> </w:t>
      </w:r>
      <w:r>
        <w:t xml:space="preserve">“Evidence of Evidence in Epistemic Logic.”</w:t>
      </w:r>
      <w:r>
        <w:t xml:space="preserve"> </w:t>
      </w:r>
      <w:r>
        <w:t xml:space="preserve">In</w:t>
      </w:r>
      <w:r>
        <w:t xml:space="preserve"> </w:t>
      </w:r>
      <w:r>
        <w:rPr>
          <w:i/>
          <w:iCs/>
        </w:rPr>
        <w:t xml:space="preserve">Higher-Order Evidence: New Essays</w:t>
      </w:r>
      <w:r>
        <w:t xml:space="preserve">, edited by Mattias Skipper and Asbjørn Steglich-Petersen, 265–97.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 doi:</w:t>
      </w:r>
      <w:r>
        <w:t xml:space="preserve"> </w:t>
      </w:r>
      <w:hyperlink r:id="rId56">
        <w:r>
          <w:rPr>
            <w:rStyle w:val="Hyperlink"/>
          </w:rPr>
          <w:t xml:space="preserve">10.1093/oso/9780198829775.003.0013</w:t>
        </w:r>
      </w:hyperlink>
      <w:r>
        <w:t xml:space="preserve">.</w:t>
      </w:r>
    </w:p>
    <w:bookmarkEnd w:id="57"/>
    <w:bookmarkEnd w:id="58"/>
    <w:bookmarkEnd w:id="59"/>
    <w:bookmarkEnd w:id="60"/>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That is, each of them satisfy positive and negative introspection for evidence. The next two sections will drop the assumption that more informed functions satisfy negative introspection.</w:t>
      </w:r>
    </w:p>
  </w:footnote>
  <w:footnote w:id="21">
    <w:p>
      <w:pPr>
        <w:pStyle w:val="FootnoteText"/>
      </w:pPr>
      <w:r>
        <w:rPr>
          <w:rStyle w:val="FootnoteReference"/>
        </w:rPr>
        <w:footnoteRef/>
      </w:r>
      <w:r>
        <w:t xml:space="preserve"> </w:t>
      </w:r>
      <w:r>
        <w:t xml:space="preserve">i.e.,</w:t>
      </w:r>
      <w:r>
        <w:t xml:space="preserve"> </w:t>
      </w:r>
      <m:oMath>
        <m:r>
          <m:t>ϕ</m:t>
        </m:r>
        <m:d>
          <m:dPr>
            <m:begChr m:val="("/>
            <m:sepChr m:val=""/>
            <m:endChr m:val=")"/>
            <m:grow/>
          </m:dPr>
          <m:e>
            <m:r>
              <m:t>x</m:t>
            </m:r>
          </m:e>
        </m:d>
        <m:r>
          <m:rPr>
            <m:sty m:val="p"/>
          </m:rPr>
          <m:t>=</m:t>
        </m:r>
        <m:f>
          <m:fPr>
            <m:type m:val="bar"/>
          </m:fPr>
          <m:num>
            <m:sSup>
              <m:e>
                <m:r>
                  <m:t>e</m:t>
                </m:r>
              </m:e>
              <m:sup>
                <m:r>
                  <m:rPr>
                    <m:sty m:val="p"/>
                  </m:rPr>
                  <m:t>−</m:t>
                </m:r>
                <m:f>
                  <m:fPr>
                    <m:type m:val="bar"/>
                  </m:fPr>
                  <m:num>
                    <m:sSup>
                      <m:e>
                        <m:r>
                          <m:t>x</m:t>
                        </m:r>
                      </m:e>
                      <m:sup>
                        <m:r>
                          <m:t>2</m:t>
                        </m:r>
                      </m:sup>
                    </m:sSup>
                  </m:num>
                  <m:den>
                    <m:r>
                      <m:t>2</m:t>
                    </m:r>
                  </m:den>
                </m:f>
              </m:sup>
            </m:sSup>
          </m:num>
          <m:den>
            <m:rad>
              <m:radPr>
                <m:degHide m:val="on"/>
              </m:radPr>
              <m:deg/>
              <m:e>
                <m:r>
                  <m:t>2</m:t>
                </m:r>
                <m:r>
                  <m:t>π</m:t>
                </m:r>
              </m:e>
            </m:rad>
          </m:den>
        </m:f>
      </m:oMath>
      <w:r>
        <w:t xml:space="preserve">.</w:t>
      </w:r>
    </w:p>
  </w:footnote>
  <w:footnote w:id="31">
    <w:p>
      <w:pPr>
        <w:pStyle w:val="FootnoteText"/>
      </w:pPr>
      <w:r>
        <w:rPr>
          <w:rStyle w:val="FootnoteReference"/>
        </w:rPr>
        <w:footnoteRef/>
      </w:r>
      <w:r>
        <w:t xml:space="preserve"> </w:t>
      </w:r>
      <w:r>
        <w:t xml:space="preserve">Note that comparisons here always include equality. An experiment is a refinement of itself, is more informative than itself, and is more valuable than itself. This can lead to confusion, but it’s the standard terminology, and the alternative is much more wordy.</w:t>
      </w:r>
    </w:p>
  </w:footnote>
  <w:footnote w:id="32">
    <w:p>
      <w:pPr>
        <w:pStyle w:val="FootnoteText"/>
      </w:pPr>
      <w:r>
        <w:rPr>
          <w:rStyle w:val="FootnoteReference"/>
        </w:rPr>
        <w:footnoteRef/>
      </w:r>
      <w:r>
        <w:t xml:space="preserve"> </w:t>
      </w:r>
      <w:r>
        <w:t xml:space="preserve">I’m defining random variable and expected value the way they are usually defined in philosophy. In some fields it is more common to define random variables as functions from a probability space to reals, where a probability space has W and Pr as constituents. Then we can define expectation as a one-place function that simply takes a random variable as input. I think the philosophers’ way of speaking is more useful, and in any case I’m a philosopher so it’s more natural to me. But note there is a potential terminological confusion here.</w:t>
      </w:r>
    </w:p>
  </w:footnote>
  <w:footnote w:id="33">
    <w:p>
      <w:pPr>
        <w:pStyle w:val="FootnoteText"/>
      </w:pPr>
      <w:r>
        <w:rPr>
          <w:rStyle w:val="FootnoteReference"/>
        </w:rPr>
        <w:footnoteRef/>
      </w:r>
      <w:r>
        <w:t xml:space="preserve"> </w:t>
      </w:r>
      <w:r>
        <w:t xml:space="preserve">This term is taken from</w:t>
      </w:r>
      <w:r>
        <w:t xml:space="preserve"> </w:t>
      </w:r>
      <w:r>
        <w:t xml:space="preserve">Dorst et al. (2021)</w:t>
      </w:r>
    </w:p>
  </w:footnote>
  <w:footnote w:id="34">
    <w:p>
      <w:pPr>
        <w:pStyle w:val="FootnoteText"/>
      </w:pPr>
      <w:r>
        <w:rPr>
          <w:rStyle w:val="FootnoteReference"/>
        </w:rPr>
        <w:footnoteRef/>
      </w:r>
      <w:r>
        <w:t xml:space="preserve"> </w:t>
      </w:r>
      <w:r>
        <w:t xml:space="preserve">Further, they haven’t always credited Blackwell (or the earlier results from Peirce and Ramsey that Das discusses) when they do discuss the results. We’re grateful to John Quiggin for pointing out to us the importance of Blackwell’s results in this context.</w:t>
      </w:r>
    </w:p>
  </w:footnote>
  <w:footnote w:id="36">
    <w:p>
      <w:pPr>
        <w:pStyle w:val="FootnoteText"/>
      </w:pPr>
      <w:r>
        <w:rPr>
          <w:rStyle w:val="FootnoteReference"/>
        </w:rPr>
        <w:footnoteRef/>
      </w:r>
      <w:r>
        <w:t xml:space="preserve"> </w:t>
      </w:r>
      <w:r>
        <w:t xml:space="preserve">At least in the case where W is finite; we’ll be getting to the issues when it is not.</w:t>
      </w:r>
    </w:p>
  </w:footnote>
  <w:footnote w:id="37">
    <w:p>
      <w:pPr>
        <w:pStyle w:val="FootnoteText"/>
      </w:pPr>
      <w:r>
        <w:rPr>
          <w:rStyle w:val="FootnoteReference"/>
        </w:rPr>
        <w:footnoteRef/>
      </w:r>
      <w:r>
        <w:t xml:space="preserve"> </w:t>
      </w:r>
      <w:r>
        <w:t xml:space="preserve">When the frame is a prior frame, it is natural to focus on the case where π = Pr, but again we’re not just looking at prior frames.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9"/>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343BB"/>
    <w:rsid w:val="001403B9"/>
    <w:rsid w:val="001D619D"/>
    <w:rsid w:val="00223D0E"/>
    <w:rsid w:val="00282616"/>
    <w:rsid w:val="002A2E48"/>
    <w:rsid w:val="002C0803"/>
    <w:rsid w:val="002D50BA"/>
    <w:rsid w:val="002E328C"/>
    <w:rsid w:val="002F66ED"/>
    <w:rsid w:val="00365437"/>
    <w:rsid w:val="004213E1"/>
    <w:rsid w:val="00430106"/>
    <w:rsid w:val="00431377"/>
    <w:rsid w:val="00467CAE"/>
    <w:rsid w:val="00485B43"/>
    <w:rsid w:val="00485C1D"/>
    <w:rsid w:val="004E29B3"/>
    <w:rsid w:val="004F7B53"/>
    <w:rsid w:val="00530EF5"/>
    <w:rsid w:val="00590D07"/>
    <w:rsid w:val="005A1531"/>
    <w:rsid w:val="0061450A"/>
    <w:rsid w:val="00630C6E"/>
    <w:rsid w:val="00637C96"/>
    <w:rsid w:val="006A097A"/>
    <w:rsid w:val="006C373E"/>
    <w:rsid w:val="007017E4"/>
    <w:rsid w:val="007030B0"/>
    <w:rsid w:val="00732711"/>
    <w:rsid w:val="00784D58"/>
    <w:rsid w:val="008130BF"/>
    <w:rsid w:val="00817D1B"/>
    <w:rsid w:val="008D6863"/>
    <w:rsid w:val="008E59FC"/>
    <w:rsid w:val="00901D2C"/>
    <w:rsid w:val="009076A4"/>
    <w:rsid w:val="00913774"/>
    <w:rsid w:val="00953943"/>
    <w:rsid w:val="00962B98"/>
    <w:rsid w:val="00965D42"/>
    <w:rsid w:val="009C7513"/>
    <w:rsid w:val="00A218D7"/>
    <w:rsid w:val="00A41841"/>
    <w:rsid w:val="00A43160"/>
    <w:rsid w:val="00A653A3"/>
    <w:rsid w:val="00A80850"/>
    <w:rsid w:val="00B12B75"/>
    <w:rsid w:val="00B35687"/>
    <w:rsid w:val="00B86B75"/>
    <w:rsid w:val="00BB2056"/>
    <w:rsid w:val="00BC48D5"/>
    <w:rsid w:val="00BE6683"/>
    <w:rsid w:val="00BF362E"/>
    <w:rsid w:val="00C36279"/>
    <w:rsid w:val="00C9076C"/>
    <w:rsid w:val="00CA4387"/>
    <w:rsid w:val="00CC75EF"/>
    <w:rsid w:val="00CD4570"/>
    <w:rsid w:val="00CE50D2"/>
    <w:rsid w:val="00DD157D"/>
    <w:rsid w:val="00E315A3"/>
    <w:rsid w:val="00E422F0"/>
    <w:rsid w:val="00EB2974"/>
    <w:rsid w:val="00EB5849"/>
    <w:rsid w:val="00F12BBB"/>
    <w:rsid w:val="00FA1D76"/>
    <w:rsid w:val="00FA3569"/>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49" Target="https://doi.org/10.1007/s11098-017-0964-8" TargetMode="External" /><Relationship Type="http://schemas.openxmlformats.org/officeDocument/2006/relationships/hyperlink" Id="rId43" Target="https://doi.org/10.1093/bjps/axaa003" TargetMode="External" /><Relationship Type="http://schemas.openxmlformats.org/officeDocument/2006/relationships/hyperlink" Id="rId56" Target="https://doi.org/10.1093/oso/9780198829775.003.0013" TargetMode="External" /><Relationship Type="http://schemas.openxmlformats.org/officeDocument/2006/relationships/hyperlink" Id="rId54" Target="https://doi.org/10.1111/nous.12252" TargetMode="External" /><Relationship Type="http://schemas.openxmlformats.org/officeDocument/2006/relationships/hyperlink" Id="rId47" Target="https://doi.org/10.1111/phpe.12156" TargetMode="External" /><Relationship Type="http://schemas.openxmlformats.org/officeDocument/2006/relationships/hyperlink" Id="rId45" Target="https://doi.org/10.1111/phpr.12561" TargetMode="External" /><Relationship Type="http://schemas.openxmlformats.org/officeDocument/2006/relationships/hyperlink" Id="rId41" Target="https://doi.org/10.1214/lnms/1215453569" TargetMode="External" /><Relationship Type="http://schemas.openxmlformats.org/officeDocument/2006/relationships/hyperlink" Id="rId51" Target="https://doi.org/10.1515/bejte-2019-0010"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7/s11098-017-0964-8" TargetMode="External" /><Relationship Type="http://schemas.openxmlformats.org/officeDocument/2006/relationships/hyperlink" Id="rId43" Target="https://doi.org/10.1093/bjps/axaa003" TargetMode="External" /><Relationship Type="http://schemas.openxmlformats.org/officeDocument/2006/relationships/hyperlink" Id="rId56" Target="https://doi.org/10.1093/oso/9780198829775.003.0013" TargetMode="External" /><Relationship Type="http://schemas.openxmlformats.org/officeDocument/2006/relationships/hyperlink" Id="rId54" Target="https://doi.org/10.1111/nous.12252" TargetMode="External" /><Relationship Type="http://schemas.openxmlformats.org/officeDocument/2006/relationships/hyperlink" Id="rId47" Target="https://doi.org/10.1111/phpe.12156" TargetMode="External" /><Relationship Type="http://schemas.openxmlformats.org/officeDocument/2006/relationships/hyperlink" Id="rId45" Target="https://doi.org/10.1111/phpr.12561" TargetMode="External" /><Relationship Type="http://schemas.openxmlformats.org/officeDocument/2006/relationships/hyperlink" Id="rId41" Target="https://doi.org/10.1214/lnms/1215453569" TargetMode="External" /><Relationship Type="http://schemas.openxmlformats.org/officeDocument/2006/relationships/hyperlink" Id="rId51" Target="https://doi.org/10.1515/bejte-2019-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Deference and Infinite Frames</dc:title>
  <dc:creator>Brian Weatherson</dc:creator>
  <cp:keywords/>
  <dcterms:created xsi:type="dcterms:W3CDTF">2025-08-14T12:55:36Z</dcterms:created>
  <dcterms:modified xsi:type="dcterms:W3CDTF">2025-08-14T12:55:36Z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concerns three recent results concerning probabilistic deference. The results show interesting things about how various kinds of deference work on finite frames, but in each case the results do not naturally generalise to infinite frames. The non-generalisation raises interesting philosophical questions about the epistemological significance of the results, but those questions are set aside here. The priority in this paper is simply showing that the results fail when we allow frames to be infinite.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../../../brian-quarto.bib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False</vt:lpwstr>
  </property>
  <property fmtid="{D5CDD505-2E9C-101B-9397-08002B2CF9AE}" pid="11" name="csl">
    <vt:lpwstr>../../../chicago-with-note.csl</vt:lpwstr>
  </property>
  <property fmtid="{D5CDD505-2E9C-101B-9397-08002B2CF9AE}" pid="12" name="date">
    <vt:lpwstr>2025-08-14</vt:lpwstr>
  </property>
  <property fmtid="{D5CDD505-2E9C-101B-9397-08002B2CF9AE}" pid="13" name="draft">
    <vt:lpwstr>True</vt:lpwstr>
  </property>
  <property fmtid="{D5CDD505-2E9C-101B-9397-08002B2CF9AE}" pid="14" name="draft-mode">
    <vt:lpwstr>unlinked</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