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3a5c" w:val="clear"/>
            <w:tcMar>
              <w:top w:type="dxa" w:w="440"/>
              <w:left w:type="dxa" w:w="440"/>
              <w:bottom w:type="dxa" w:w="360"/>
              <w:right w:type="dxa" w:w="440"/>
            </w:tcMar>
          </w:tcPr>
          <w:p>
            <w:pPr>
              <w:jc w:val="center"/>
            </w:pPr>
            <w:r>
              <w:rPr>
                <w:rFonts w:ascii="Arial" w:cs="Arial" w:eastAsia="Arial" w:hAnsi="Arial"/>
                <w:b/>
                <w:bCs/>
                <w:caps/>
                <w:color w:val="c8a951"/>
                <w:spacing w:val="200"/>
                <w:sz w:val="16"/>
                <w:szCs w:val="16"/>
              </w:rPr>
              <w:t xml:space="preserve">PORTFOLIO PROJECT</w:t>
            </w:r>
          </w:p>
          <w:p>
            <w:pPr>
              <w:spacing w:after="80" w:before="80"/>
              <w:jc w:val="center"/>
            </w:pPr>
            <w:r>
              <w:rPr>
                <w:rFonts w:ascii="Georgia" w:cs="Georgia" w:eastAsia="Georgia" w:hAnsi="Georgia"/>
                <w:b/>
                <w:bCs/>
                <w:color w:val="FFFFFF"/>
                <w:sz w:val="44"/>
                <w:szCs w:val="44"/>
              </w:rPr>
              <w:t xml:space="preserve">MDRC Postsecondary RCT</w:t>
            </w:r>
          </w:p>
          <w:p>
            <w:pPr>
              <w:spacing w:after="80" w:before="0"/>
              <w:jc w:val="center"/>
            </w:pPr>
            <w:r>
              <w:rPr>
                <w:rFonts w:ascii="Georgia" w:cs="Georgia" w:eastAsia="Georgia" w:hAnsi="Georgia"/>
                <w:b/>
                <w:bCs/>
                <w:color w:val="c8d8e8"/>
                <w:sz w:val="36"/>
                <w:szCs w:val="36"/>
              </w:rPr>
              <w:t xml:space="preserve">Interactive Study Locations Map</w:t>
            </w:r>
          </w:p>
          <w:p>
            <w:pPr>
              <w:jc w:val="center"/>
            </w:pPr>
            <w:r>
              <w:rPr>
                <w:rFonts w:ascii="Arial" w:cs="Arial" w:eastAsia="Arial" w:hAnsi="Arial"/>
                <w:color w:val="b0c4d8"/>
                <w:sz w:val="18"/>
                <w:szCs w:val="18"/>
              </w:rPr>
              <w:t xml:space="preserve">Methodology • Data Sources • Technical Documentation</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c8a951" w:val="clear"/>
            <w:tcMar>
              <w:top w:type="dxa" w:w="60"/>
              <w:left w:type="dxa" w:w="0"/>
              <w:bottom w:type="dxa" w:w="60"/>
              <w:right w:type="dxa" w:w="0"/>
            </w:tcMar>
          </w:tcPr>
          <w:p>
            <w:r>
              <w:t xml:space="preserve"/>
            </w:r>
          </w:p>
        </w:tc>
      </w:tr>
    </w:tbl>
    <w:p>
      <w:pPr>
        <w:spacing w:after="0" w:before="200"/>
      </w:pPr>
      <w:r>
        <w:t xml:space="preserve"/>
      </w:r>
    </w:p>
    <w:p>
      <w:pPr>
        <w:spacing w:after="60" w:before="0"/>
        <w:jc w:val="center"/>
      </w:pPr>
      <w:r>
        <w:rPr>
          <w:rFonts w:ascii="Georgia" w:cs="Georgia" w:eastAsia="Georgia" w:hAnsi="Georgia"/>
          <w:b/>
          <w:bCs/>
          <w:color w:val="1a3a5c"/>
          <w:sz w:val="22"/>
          <w:szCs w:val="22"/>
        </w:rPr>
        <w:t xml:space="preserve">Benjamin Weiss</w:t>
      </w:r>
    </w:p>
    <w:p>
      <w:pPr>
        <w:spacing w:after="200" w:before="0"/>
        <w:jc w:val="center"/>
      </w:pPr>
      <w:r>
        <w:rPr>
          <w:rFonts w:ascii="Arial" w:cs="Arial" w:eastAsia="Arial" w:hAnsi="Arial"/>
          <w:color w:val="888888"/>
          <w:sz w:val="18"/>
          <w:szCs w:val="18"/>
        </w:rPr>
        <w:t xml:space="preserve">Independent Research Project  •  2026  •  </w:t>
      </w:r>
      <w:r>
        <w:rPr>
          <w:rFonts w:ascii="Arial" w:cs="Arial" w:eastAsia="Arial" w:hAnsi="Arial"/>
          <w:color w:val="1a3a5c"/>
          <w:sz w:val="18"/>
          <w:szCs w:val="18"/>
        </w:rPr>
        <w:t xml:space="preserve">benweiss.shinyapps.io/mdrc-college-map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20"/>
              <w:left w:type="dxa" w:w="180"/>
              <w:bottom w:type="dxa" w:w="120"/>
              <w:right w:type="dxa" w:w="180"/>
            </w:tcMar>
          </w:tcPr>
          <w:p>
            <w:pPr>
              <w:jc w:val="center"/>
            </w:pPr>
            <w:r>
              <w:rPr>
                <w:rFonts w:ascii="Georgia" w:cs="Georgia" w:eastAsia="Georgia" w:hAnsi="Georgia"/>
                <w:b/>
                <w:bCs/>
                <w:color w:val="c8a951"/>
                <w:sz w:val="36"/>
                <w:szCs w:val="36"/>
              </w:rPr>
              <w:t xml:space="preserve">63</w:t>
            </w:r>
          </w:p>
          <w:p>
            <w:pPr>
              <w:jc w:val="center"/>
            </w:pPr>
            <w:r>
              <w:rPr>
                <w:rFonts w:ascii="Arial" w:cs="Arial" w:eastAsia="Arial" w:hAnsi="Arial"/>
                <w:caps/>
                <w:color w:val="b0c4d8"/>
                <w:sz w:val="14"/>
                <w:szCs w:val="14"/>
              </w:rPr>
              <w:t xml:space="preserve">Institutions Mapped</w:t>
            </w:r>
          </w:p>
        </w:tc>
        <w:tc>
          <w:tcPr>
            <w:tcW w:type="dxa" w:w="4680"/>
            <w:tcBorders>
              <w:top w:val="single" w:color="DDDDDD" w:sz="1"/>
              <w:left w:val="single" w:color="DDDDDD" w:sz="1"/>
              <w:bottom w:val="single" w:color="DDDDDD" w:sz="1"/>
              <w:right w:val="single" w:color="DDDDDD" w:sz="1"/>
            </w:tcBorders>
            <w:shd w:fill="1a3a5c" w:val="clear"/>
            <w:tcMar>
              <w:top w:type="dxa" w:w="120"/>
              <w:left w:type="dxa" w:w="180"/>
              <w:bottom w:type="dxa" w:w="120"/>
              <w:right w:type="dxa" w:w="180"/>
            </w:tcMar>
          </w:tcPr>
          <w:p>
            <w:pPr>
              <w:jc w:val="center"/>
            </w:pPr>
            <w:r>
              <w:rPr>
                <w:rFonts w:ascii="Georgia" w:cs="Georgia" w:eastAsia="Georgia" w:hAnsi="Georgia"/>
                <w:b/>
                <w:bCs/>
                <w:color w:val="c8a951"/>
                <w:sz w:val="36"/>
                <w:szCs w:val="36"/>
              </w:rPr>
              <w:t xml:space="preserve">33</w:t>
            </w:r>
          </w:p>
          <w:p>
            <w:pPr>
              <w:jc w:val="center"/>
            </w:pPr>
            <w:r>
              <w:rPr>
                <w:rFonts w:ascii="Arial" w:cs="Arial" w:eastAsia="Arial" w:hAnsi="Arial"/>
                <w:caps/>
                <w:color w:val="b0c4d8"/>
                <w:sz w:val="14"/>
                <w:szCs w:val="14"/>
              </w:rPr>
              <w:t xml:space="preserve">Study Programs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a5c" w:val="clear"/>
            <w:tcMar>
              <w:top w:type="dxa" w:w="120"/>
              <w:left w:type="dxa" w:w="180"/>
              <w:bottom w:type="dxa" w:w="120"/>
              <w:right w:type="dxa" w:w="180"/>
            </w:tcMar>
          </w:tcPr>
          <w:p>
            <w:pPr>
              <w:jc w:val="center"/>
            </w:pPr>
            <w:r>
              <w:rPr>
                <w:rFonts w:ascii="Georgia" w:cs="Georgia" w:eastAsia="Georgia" w:hAnsi="Georgia"/>
                <w:b/>
                <w:bCs/>
                <w:color w:val="c8a951"/>
                <w:sz w:val="36"/>
                <w:szCs w:val="36"/>
              </w:rPr>
              <w:t xml:space="preserve">16</w:t>
            </w:r>
          </w:p>
          <w:p>
            <w:pPr>
              <w:jc w:val="center"/>
            </w:pPr>
            <w:r>
              <w:rPr>
                <w:rFonts w:ascii="Arial" w:cs="Arial" w:eastAsia="Arial" w:hAnsi="Arial"/>
                <w:caps/>
                <w:color w:val="b0c4d8"/>
                <w:sz w:val="14"/>
                <w:szCs w:val="14"/>
              </w:rPr>
              <w:t xml:space="preserve">U.S. States Covered</w:t>
            </w:r>
          </w:p>
        </w:tc>
        <w:tc>
          <w:tcPr>
            <w:tcW w:type="dxa" w:w="4680"/>
            <w:tcBorders>
              <w:top w:val="single" w:color="DDDDDD" w:sz="1"/>
              <w:left w:val="single" w:color="DDDDDD" w:sz="1"/>
              <w:bottom w:val="single" w:color="DDDDDD" w:sz="1"/>
              <w:right w:val="single" w:color="DDDDDD" w:sz="1"/>
            </w:tcBorders>
            <w:shd w:fill="1a3a5c" w:val="clear"/>
            <w:tcMar>
              <w:top w:type="dxa" w:w="120"/>
              <w:left w:type="dxa" w:w="180"/>
              <w:bottom w:type="dxa" w:w="120"/>
              <w:right w:type="dxa" w:w="180"/>
            </w:tcMar>
          </w:tcPr>
          <w:p>
            <w:pPr>
              <w:jc w:val="center"/>
            </w:pPr>
            <w:r>
              <w:rPr>
                <w:rFonts w:ascii="Georgia" w:cs="Georgia" w:eastAsia="Georgia" w:hAnsi="Georgia"/>
                <w:b/>
                <w:bCs/>
                <w:color w:val="c8a951"/>
                <w:sz w:val="36"/>
                <w:szCs w:val="36"/>
              </w:rPr>
              <w:t xml:space="preserve">MDRC / IPEDS</w:t>
            </w:r>
          </w:p>
          <w:p>
            <w:pPr>
              <w:jc w:val="center"/>
            </w:pPr>
            <w:r>
              <w:rPr>
                <w:rFonts w:ascii="Arial" w:cs="Arial" w:eastAsia="Arial" w:hAnsi="Arial"/>
                <w:caps/>
                <w:color w:val="b0c4d8"/>
                <w:sz w:val="14"/>
                <w:szCs w:val="14"/>
              </w:rPr>
              <w:t xml:space="preserve">Data Source</w:t>
            </w:r>
          </w:p>
        </w:tc>
      </w:tr>
    </w:tbl>
    <w:p>
      <w:pPr>
        <w:spacing w:after="0" w:before="30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1.  Project Overview</w:t>
      </w:r>
    </w:p>
    <w:p>
      <w:pPr>
        <w:spacing w:after="0" w:before="60"/>
      </w:pPr>
      <w:r>
        <w:t xml:space="preserve"/>
      </w:r>
    </w:p>
    <w:p>
      <w:pPr>
        <w:spacing w:after="100" w:before="60"/>
      </w:pPr>
      <w:r>
        <w:rPr>
          <w:rFonts w:ascii="Arial" w:cs="Arial" w:eastAsia="Arial" w:hAnsi="Arial"/>
          <w:color w:val="2c2c2c"/>
          <w:sz w:val="20"/>
          <w:szCs w:val="20"/>
        </w:rPr>
        <w:t xml:space="preserve">This project is a fully interactive web application built in R and deployed publicly via shinyapps.io. It visualizes the geographic locations of 63 U.S. colleges and universities where MDRC — a nonprofit nonpartisan education and social policy research organization — has conducted postsecondary randomized controlled trials (RCTs).</w:t>
      </w:r>
    </w:p>
    <w:p>
      <w:pPr>
        <w:spacing w:after="0" w:before="40"/>
      </w:pPr>
      <w:r>
        <w:t xml:space="preserve"/>
      </w:r>
    </w:p>
    <w:p>
      <w:pPr>
        <w:spacing w:after="100" w:before="60"/>
      </w:pPr>
      <w:r>
        <w:rPr>
          <w:rFonts w:ascii="Arial" w:cs="Arial" w:eastAsia="Arial" w:hAnsi="Arial"/>
          <w:color w:val="2c2c2c"/>
          <w:sz w:val="20"/>
          <w:szCs w:val="20"/>
        </w:rPr>
        <w:t xml:space="preserve">The application was developed independently as a portfolio project to demonstrate skills in data wrangling, geospatial visualization, interactive web application development, and research communication. It was built with no prior experience in R or Shiny.</w:t>
      </w:r>
    </w:p>
    <w:p>
      <w:pPr>
        <w:spacing w:after="0" w:before="28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2.  Data Sources</w:t>
      </w:r>
    </w:p>
    <w:p>
      <w:pPr>
        <w:spacing w:after="0" w:before="60"/>
      </w:pPr>
      <w:r>
        <w:t xml:space="preserve"/>
      </w:r>
    </w:p>
    <w:p>
      <w:pPr>
        <w:spacing w:after="80" w:before="280"/>
      </w:pPr>
      <w:r>
        <w:rPr>
          <w:rFonts w:ascii="Arial" w:cs="Arial" w:eastAsia="Arial" w:hAnsi="Arial"/>
          <w:b/>
          <w:bCs/>
          <w:color w:val="1a3a5c"/>
          <w:spacing w:val="80"/>
          <w:sz w:val="20"/>
          <w:szCs w:val="20"/>
        </w:rPr>
        <w:t xml:space="preserve">PRIMARY SOURCE — MDRC RCT DATABASE</w:t>
      </w:r>
    </w:p>
    <w:p>
      <w:pPr>
        <w:spacing w:after="100" w:before="60"/>
      </w:pPr>
      <w:r>
        <w:rPr>
          <w:rFonts w:ascii="Arial" w:cs="Arial" w:eastAsia="Arial" w:hAnsi="Arial"/>
          <w:color w:val="2c2c2c"/>
          <w:sz w:val="20"/>
          <w:szCs w:val="20"/>
        </w:rPr>
        <w:t xml:space="preserve">The core dataset is a structured Excel database of MDRC postsecondary randomized controlled trials, compiled from publicly available MDRC research reports. Each record represents one RCT and includes the following fields:</w:t>
      </w:r>
    </w:p>
    <w:p>
      <w:pPr>
        <w:spacing w:after="0" w:before="40"/>
      </w:pPr>
      <w:r>
        <w:t xml:space="preserve"/>
      </w:r>
    </w:p>
    <w:p>
      <w:pPr>
        <w:pStyle w:val="ListParagraph"/>
        <w:numPr>
          <w:ilvl w:val="0"/>
          <w:numId w:val="2"/>
        </w:numPr>
        <w:spacing w:after="40" w:before="40"/>
      </w:pPr>
      <w:r>
        <w:rPr>
          <w:rFonts w:ascii="Arial" w:cs="Arial" w:eastAsia="Arial" w:hAnsi="Arial"/>
          <w:color w:val="2c2c2c"/>
          <w:sz w:val="20"/>
          <w:szCs w:val="20"/>
        </w:rPr>
        <w:t xml:space="preserve">Study program name and full title</w:t>
      </w:r>
    </w:p>
    <w:p>
      <w:pPr>
        <w:pStyle w:val="ListParagraph"/>
        <w:numPr>
          <w:ilvl w:val="0"/>
          <w:numId w:val="2"/>
        </w:numPr>
        <w:spacing w:after="40" w:before="40"/>
      </w:pPr>
      <w:r>
        <w:rPr>
          <w:rFonts w:ascii="Arial" w:cs="Arial" w:eastAsia="Arial" w:hAnsi="Arial"/>
          <w:color w:val="2c2c2c"/>
          <w:sz w:val="20"/>
          <w:szCs w:val="20"/>
        </w:rPr>
        <w:t xml:space="preserve">Institution(s) where the study was conducted</w:t>
      </w:r>
    </w:p>
    <w:p>
      <w:pPr>
        <w:pStyle w:val="ListParagraph"/>
        <w:numPr>
          <w:ilvl w:val="0"/>
          <w:numId w:val="2"/>
        </w:numPr>
        <w:spacing w:after="40" w:before="40"/>
      </w:pPr>
      <w:r>
        <w:rPr>
          <w:rFonts w:ascii="Arial" w:cs="Arial" w:eastAsia="Arial" w:hAnsi="Arial"/>
          <w:color w:val="2c2c2c"/>
          <w:sz w:val="20"/>
          <w:szCs w:val="20"/>
        </w:rPr>
        <w:t xml:space="preserve">Intervention components (financial support, advising, tutoring, instructional reform, learning communities, FT/summer enrollment promotion, success courses)</w:t>
      </w:r>
    </w:p>
    <w:p>
      <w:pPr>
        <w:pStyle w:val="ListParagraph"/>
        <w:numPr>
          <w:ilvl w:val="0"/>
          <w:numId w:val="2"/>
        </w:numPr>
        <w:spacing w:after="40" w:before="40"/>
      </w:pPr>
      <w:r>
        <w:rPr>
          <w:rFonts w:ascii="Arial" w:cs="Arial" w:eastAsia="Arial" w:hAnsi="Arial"/>
          <w:color w:val="2c2c2c"/>
          <w:sz w:val="20"/>
          <w:szCs w:val="20"/>
        </w:rPr>
        <w:t xml:space="preserve">Sample size and baseline demographic characteristics (gender, race/ethnicity, age)</w:t>
      </w:r>
    </w:p>
    <w:p>
      <w:pPr>
        <w:pStyle w:val="ListParagraph"/>
        <w:numPr>
          <w:ilvl w:val="0"/>
          <w:numId w:val="2"/>
        </w:numPr>
        <w:spacing w:after="40" w:before="40"/>
      </w:pPr>
      <w:r>
        <w:rPr>
          <w:rFonts w:ascii="Arial" w:cs="Arial" w:eastAsia="Arial" w:hAnsi="Arial"/>
          <w:color w:val="2c2c2c"/>
          <w:sz w:val="20"/>
          <w:szCs w:val="20"/>
        </w:rPr>
        <w:t xml:space="preserve">Summary of implementation and impact findings</w:t>
      </w:r>
    </w:p>
    <w:p>
      <w:pPr>
        <w:pStyle w:val="ListParagraph"/>
        <w:numPr>
          <w:ilvl w:val="0"/>
          <w:numId w:val="2"/>
        </w:numPr>
        <w:spacing w:after="40" w:before="40"/>
      </w:pPr>
      <w:r>
        <w:rPr>
          <w:rFonts w:ascii="Arial" w:cs="Arial" w:eastAsia="Arial" w:hAnsi="Arial"/>
          <w:color w:val="2c2c2c"/>
          <w:sz w:val="20"/>
          <w:szCs w:val="20"/>
        </w:rPr>
        <w:t xml:space="preserve">Links to published MDRC reports</w:t>
      </w:r>
    </w:p>
    <w:p>
      <w:pPr>
        <w:spacing w:after="0" w:before="120"/>
      </w:pPr>
      <w:r>
        <w:t xml:space="preserve"/>
      </w:r>
    </w:p>
    <w:p>
      <w:pPr>
        <w:spacing w:after="80" w:before="280"/>
      </w:pPr>
      <w:r>
        <w:rPr>
          <w:rFonts w:ascii="Arial" w:cs="Arial" w:eastAsia="Arial" w:hAnsi="Arial"/>
          <w:b/>
          <w:bCs/>
          <w:color w:val="1a3a5c"/>
          <w:spacing w:val="80"/>
          <w:sz w:val="20"/>
          <w:szCs w:val="20"/>
        </w:rPr>
        <w:t xml:space="preserve">GEOGRAPHIC COORDINATES — GOOGLE MAPS</w:t>
      </w:r>
    </w:p>
    <w:p>
      <w:pPr>
        <w:spacing w:after="100" w:before="60"/>
      </w:pPr>
      <w:r>
        <w:rPr>
          <w:rFonts w:ascii="Arial" w:cs="Arial" w:eastAsia="Arial" w:hAnsi="Arial"/>
          <w:color w:val="2c2c2c"/>
          <w:sz w:val="20"/>
          <w:szCs w:val="20"/>
        </w:rPr>
        <w:t xml:space="preserve">Geographic coordinates (latitude and longitude) were obtained for each of the 63 institutions using Google Maps. Each college was searched by full name and the precise coordinates were copied directly from Google Maps and recorded to 14 decimal places. All coordinates were manually verified against the institution's known address.</w:t>
      </w:r>
    </w:p>
    <w:p>
      <w:pPr>
        <w:spacing w:after="0" w:before="120"/>
      </w:pPr>
      <w:r>
        <w:t xml:space="preserve"/>
      </w:r>
    </w:p>
    <w:p>
      <w:pPr>
        <w:spacing w:after="80" w:before="280"/>
      </w:pPr>
      <w:r>
        <w:rPr>
          <w:rFonts w:ascii="Arial" w:cs="Arial" w:eastAsia="Arial" w:hAnsi="Arial"/>
          <w:b/>
          <w:bCs/>
          <w:color w:val="1a3a5c"/>
          <w:spacing w:val="80"/>
          <w:sz w:val="20"/>
          <w:szCs w:val="20"/>
        </w:rPr>
        <w:t xml:space="preserve">URBANICITY CLASSIFICATION — IPEDS</w:t>
      </w:r>
    </w:p>
    <w:p>
      <w:pPr>
        <w:spacing w:after="100" w:before="60"/>
      </w:pPr>
      <w:r>
        <w:rPr>
          <w:rFonts w:ascii="Arial" w:cs="Arial" w:eastAsia="Arial" w:hAnsi="Arial"/>
          <w:color w:val="2c2c2c"/>
          <w:sz w:val="20"/>
          <w:szCs w:val="20"/>
        </w:rPr>
        <w:t xml:space="preserve">Urbanicity classifications were obtained from the Integrated Postsecondary Education Data System (IPEDS) College Navigator, the official U.S. government database of higher education institutions maintained by the National Center for Education Statistics (NCES). The IPEDS locale classification system categorizes each institution into one of the following categories:</w:t>
      </w:r>
    </w:p>
    <w:p>
      <w:pPr>
        <w:spacing w:after="0" w:before="40"/>
      </w:pPr>
      <w:r>
        <w:t xml:space="preserve"/>
      </w:r>
    </w:p>
    <w:p>
      <w:pPr>
        <w:pStyle w:val="ListParagraph"/>
        <w:numPr>
          <w:ilvl w:val="0"/>
          <w:numId w:val="2"/>
        </w:numPr>
        <w:spacing w:after="40" w:before="40"/>
      </w:pPr>
      <w:r>
        <w:rPr>
          <w:rFonts w:ascii="Arial" w:cs="Arial" w:eastAsia="Arial" w:hAnsi="Arial"/>
          <w:color w:val="2c2c2c"/>
          <w:sz w:val="20"/>
          <w:szCs w:val="20"/>
        </w:rPr>
        <w:t xml:space="preserve">Urban — City: Large, City: Midsize, or City: Small</w:t>
      </w:r>
    </w:p>
    <w:p>
      <w:pPr>
        <w:pStyle w:val="ListParagraph"/>
        <w:numPr>
          <w:ilvl w:val="0"/>
          <w:numId w:val="2"/>
        </w:numPr>
        <w:spacing w:after="40" w:before="40"/>
      </w:pPr>
      <w:r>
        <w:rPr>
          <w:rFonts w:ascii="Arial" w:cs="Arial" w:eastAsia="Arial" w:hAnsi="Arial"/>
          <w:color w:val="2c2c2c"/>
          <w:sz w:val="20"/>
          <w:szCs w:val="20"/>
        </w:rPr>
        <w:t xml:space="preserve">Suburban — Suburb: Large, Suburb: Midsize, or Suburb: Small</w:t>
      </w:r>
    </w:p>
    <w:p>
      <w:pPr>
        <w:pStyle w:val="ListParagraph"/>
        <w:numPr>
          <w:ilvl w:val="0"/>
          <w:numId w:val="2"/>
        </w:numPr>
        <w:spacing w:after="40" w:before="40"/>
      </w:pPr>
      <w:r>
        <w:rPr>
          <w:rFonts w:ascii="Arial" w:cs="Arial" w:eastAsia="Arial" w:hAnsi="Arial"/>
          <w:color w:val="2c2c2c"/>
          <w:sz w:val="20"/>
          <w:szCs w:val="20"/>
        </w:rPr>
        <w:t xml:space="preserve">Town — Town: Fringe, Town: Distant, or Town: Remote</w:t>
      </w:r>
    </w:p>
    <w:p>
      <w:pPr>
        <w:pStyle w:val="ListParagraph"/>
        <w:numPr>
          <w:ilvl w:val="0"/>
          <w:numId w:val="2"/>
        </w:numPr>
        <w:spacing w:after="40" w:before="40"/>
      </w:pPr>
      <w:r>
        <w:rPr>
          <w:rFonts w:ascii="Arial" w:cs="Arial" w:eastAsia="Arial" w:hAnsi="Arial"/>
          <w:color w:val="2c2c2c"/>
          <w:sz w:val="20"/>
          <w:szCs w:val="20"/>
        </w:rPr>
        <w:t xml:space="preserve">Rural — Rural: Fringe, Rural: Distant, or Rural: Remote</w:t>
      </w:r>
    </w:p>
    <w:p>
      <w:pPr>
        <w:spacing w:after="0" w:before="28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3.  Methodology</w:t>
      </w:r>
    </w:p>
    <w:p>
      <w:pPr>
        <w:spacing w:after="0" w:before="60"/>
      </w:pPr>
      <w:r>
        <w:t xml:space="preserve"/>
      </w:r>
    </w:p>
    <w:p>
      <w:pPr>
        <w:spacing w:after="80" w:before="280"/>
      </w:pPr>
      <w:r>
        <w:rPr>
          <w:rFonts w:ascii="Arial" w:cs="Arial" w:eastAsia="Arial" w:hAnsi="Arial"/>
          <w:b/>
          <w:bCs/>
          <w:color w:val="1a3a5c"/>
          <w:spacing w:val="80"/>
          <w:sz w:val="20"/>
          <w:szCs w:val="20"/>
        </w:rPr>
        <w:t xml:space="preserve">DATA ORGANIZATION</w:t>
      </w:r>
    </w:p>
    <w:p>
      <w:pPr>
        <w:spacing w:after="100" w:before="60"/>
      </w:pPr>
      <w:r>
        <w:rPr>
          <w:rFonts w:ascii="Arial" w:cs="Arial" w:eastAsia="Arial" w:hAnsi="Arial"/>
          <w:color w:val="2c2c2c"/>
          <w:sz w:val="20"/>
          <w:szCs w:val="20"/>
        </w:rPr>
        <w:t xml:space="preserve">All college-level data is stored in a single Excel spreadsheet (RCT_Database_Task5_Coordinates.xlsx) with one row per institution. This design choice separates data from code, making future updates possible without modifying the application code. The spreadsheet includes 11 columns covering institution name, MDRC RCTs, degree level, state, urbanicity, IPEDS locale, latitude, longitude, and all seven intervention component indicators.</w:t>
      </w:r>
    </w:p>
    <w:p>
      <w:pPr>
        <w:spacing w:after="0" w:before="100"/>
      </w:pPr>
      <w:r>
        <w:t xml:space="preserve"/>
      </w:r>
    </w:p>
    <w:p>
      <w:pPr>
        <w:spacing w:after="80" w:before="280"/>
      </w:pPr>
      <w:r>
        <w:rPr>
          <w:rFonts w:ascii="Arial" w:cs="Arial" w:eastAsia="Arial" w:hAnsi="Arial"/>
          <w:b/>
          <w:bCs/>
          <w:color w:val="1a3a5c"/>
          <w:spacing w:val="80"/>
          <w:sz w:val="20"/>
          <w:szCs w:val="20"/>
        </w:rPr>
        <w:t xml:space="preserve">APPLICATION ARCHITECTURE</w:t>
      </w:r>
    </w:p>
    <w:p>
      <w:pPr>
        <w:spacing w:after="100" w:before="60"/>
      </w:pPr>
      <w:r>
        <w:rPr>
          <w:rFonts w:ascii="Arial" w:cs="Arial" w:eastAsia="Arial" w:hAnsi="Arial"/>
          <w:color w:val="2c2c2c"/>
          <w:sz w:val="20"/>
          <w:szCs w:val="20"/>
        </w:rPr>
        <w:t xml:space="preserve">The application follows the standard Shiny architecture with two main components that communicate reactively:</w:t>
      </w:r>
    </w:p>
    <w:p>
      <w:pPr>
        <w:spacing w:after="0" w:before="40"/>
      </w:pPr>
      <w:r>
        <w:t xml:space="preserve"/>
      </w:r>
    </w:p>
    <w:p>
      <w:pPr>
        <w:pStyle w:val="ListParagraph"/>
        <w:numPr>
          <w:ilvl w:val="0"/>
          <w:numId w:val="2"/>
        </w:numPr>
        <w:spacing w:after="40" w:before="40"/>
      </w:pPr>
      <w:r>
        <w:rPr>
          <w:rFonts w:ascii="Arial" w:cs="Arial" w:eastAsia="Arial" w:hAnsi="Arial"/>
          <w:color w:val="2c2c2c"/>
          <w:sz w:val="20"/>
          <w:szCs w:val="20"/>
        </w:rPr>
        <w:t xml:space="preserve">The UI defines the visual layout including the header, sidebar filters, interactive map panel, and institution table.</w:t>
      </w:r>
    </w:p>
    <w:p>
      <w:pPr>
        <w:pStyle w:val="ListParagraph"/>
        <w:numPr>
          <w:ilvl w:val="0"/>
          <w:numId w:val="2"/>
        </w:numPr>
        <w:spacing w:after="40" w:before="40"/>
      </w:pPr>
      <w:r>
        <w:rPr>
          <w:rFonts w:ascii="Arial" w:cs="Arial" w:eastAsia="Arial" w:hAnsi="Arial"/>
          <w:color w:val="2c2c2c"/>
          <w:sz w:val="20"/>
          <w:szCs w:val="20"/>
        </w:rPr>
        <w:t xml:space="preserve">The Server contains all reactive logic — reading from Excel at startup, filtering data in response to user inputs, updating map markers, rendering popup info sheets, and handling click events.</w:t>
      </w:r>
    </w:p>
    <w:p>
      <w:pPr>
        <w:spacing w:after="0" w:before="100"/>
      </w:pPr>
      <w:r>
        <w:t xml:space="preserve"/>
      </w:r>
    </w:p>
    <w:p>
      <w:pPr>
        <w:spacing w:after="80" w:before="280"/>
      </w:pPr>
      <w:r>
        <w:rPr>
          <w:rFonts w:ascii="Arial" w:cs="Arial" w:eastAsia="Arial" w:hAnsi="Arial"/>
          <w:b/>
          <w:bCs/>
          <w:color w:val="1a3a5c"/>
          <w:spacing w:val="80"/>
          <w:sz w:val="20"/>
          <w:szCs w:val="20"/>
        </w:rPr>
        <w:t xml:space="preserve">COORDINATE VERIFICATION</w:t>
      </w:r>
    </w:p>
    <w:p>
      <w:pPr>
        <w:spacing w:after="100" w:before="60"/>
      </w:pPr>
      <w:r>
        <w:rPr>
          <w:rFonts w:ascii="Arial" w:cs="Arial" w:eastAsia="Arial" w:hAnsi="Arial"/>
          <w:color w:val="2c2c2c"/>
          <w:sz w:val="20"/>
          <w:szCs w:val="20"/>
        </w:rPr>
        <w:t xml:space="preserve">Coordinates were verified in two stages. First, all values were programmatically checked to fall within the bounds of the continental United States (latitude 24–50°N, longitude 66–125°W). Second, each institution was visually inspected on the application map and compared against its Google Maps location. Corrections were made to any institution where the dot was visibly misplaced.</w:t>
      </w:r>
    </w:p>
    <w:p>
      <w:pPr>
        <w:spacing w:after="0" w:before="100"/>
      </w:pPr>
      <w:r>
        <w:t xml:space="preserve"/>
      </w:r>
    </w:p>
    <w:p>
      <w:pPr>
        <w:spacing w:after="80" w:before="280"/>
      </w:pPr>
      <w:r>
        <w:rPr>
          <w:rFonts w:ascii="Arial" w:cs="Arial" w:eastAsia="Arial" w:hAnsi="Arial"/>
          <w:b/>
          <w:bCs/>
          <w:color w:val="1a3a5c"/>
          <w:spacing w:val="80"/>
          <w:sz w:val="20"/>
          <w:szCs w:val="20"/>
        </w:rPr>
        <w:t xml:space="preserve">INTERVENTION COMPONENT CODING</w:t>
      </w:r>
    </w:p>
    <w:p>
      <w:pPr>
        <w:spacing w:after="100" w:before="60"/>
      </w:pPr>
      <w:r>
        <w:rPr>
          <w:rFonts w:ascii="Arial" w:cs="Arial" w:eastAsia="Arial" w:hAnsi="Arial"/>
          <w:color w:val="2c2c2c"/>
          <w:sz w:val="20"/>
          <w:szCs w:val="20"/>
        </w:rPr>
        <w:t xml:space="preserve">Each of the 33 study programs was coded across seven binary intervention components based on program descriptions in published MDRC reports. Where a college participated in multiple studies, component values were combined using a logical OR — meaning a college is flagged as having a component if any of its studies included that component.</w:t>
      </w:r>
    </w:p>
    <w:p>
      <w:pPr>
        <w:spacing w:after="0" w:before="28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4.  Application Features</w:t>
      </w:r>
    </w:p>
    <w:p>
      <w:pPr>
        <w:spacing w:after="0" w:before="60"/>
      </w:pPr>
      <w:r>
        <w:t xml:space="preserve"/>
      </w:r>
    </w:p>
    <w:p>
      <w:pPr>
        <w:spacing w:after="80" w:before="280"/>
      </w:pPr>
      <w:r>
        <w:rPr>
          <w:rFonts w:ascii="Arial" w:cs="Arial" w:eastAsia="Arial" w:hAnsi="Arial"/>
          <w:b/>
          <w:bCs/>
          <w:color w:val="1a3a5c"/>
          <w:spacing w:val="80"/>
          <w:sz w:val="20"/>
          <w:szCs w:val="20"/>
        </w:rPr>
        <w:t xml:space="preserve">INTERACTIVE MAP</w:t>
      </w:r>
    </w:p>
    <w:p>
      <w:pPr>
        <w:pStyle w:val="ListParagraph"/>
        <w:numPr>
          <w:ilvl w:val="0"/>
          <w:numId w:val="2"/>
        </w:numPr>
        <w:spacing w:after="40" w:before="40"/>
      </w:pPr>
      <w:r>
        <w:rPr>
          <w:rFonts w:ascii="Arial" w:cs="Arial" w:eastAsia="Arial" w:hAnsi="Arial"/>
          <w:color w:val="2c2c2c"/>
          <w:sz w:val="20"/>
          <w:szCs w:val="20"/>
        </w:rPr>
        <w:t xml:space="preserve">63 college markers color-coded by IPEDS urbanicity (navy = Urban, gold = Suburban, green = Town, red = Rural)</w:t>
      </w:r>
    </w:p>
    <w:p>
      <w:pPr>
        <w:pStyle w:val="ListParagraph"/>
        <w:numPr>
          <w:ilvl w:val="0"/>
          <w:numId w:val="2"/>
        </w:numPr>
        <w:spacing w:after="40" w:before="40"/>
      </w:pPr>
      <w:r>
        <w:rPr>
          <w:rFonts w:ascii="Arial" w:cs="Arial" w:eastAsia="Arial" w:hAnsi="Arial"/>
          <w:color w:val="2c2c2c"/>
          <w:sz w:val="20"/>
          <w:szCs w:val="20"/>
        </w:rPr>
        <w:t xml:space="preserve">Markers scale in size as the user zooms in and out</w:t>
      </w:r>
    </w:p>
    <w:p>
      <w:pPr>
        <w:pStyle w:val="ListParagraph"/>
        <w:numPr>
          <w:ilvl w:val="0"/>
          <w:numId w:val="2"/>
        </w:numPr>
        <w:spacing w:after="40" w:before="40"/>
      </w:pPr>
      <w:r>
        <w:rPr>
          <w:rFonts w:ascii="Arial" w:cs="Arial" w:eastAsia="Arial" w:hAnsi="Arial"/>
          <w:color w:val="2c2c2c"/>
          <w:sz w:val="20"/>
          <w:szCs w:val="20"/>
        </w:rPr>
        <w:t xml:space="preserve">Clicking any marker opens a full institution profile popup</w:t>
      </w:r>
    </w:p>
    <w:p>
      <w:pPr>
        <w:pStyle w:val="ListParagraph"/>
        <w:numPr>
          <w:ilvl w:val="0"/>
          <w:numId w:val="2"/>
        </w:numPr>
        <w:spacing w:after="40" w:before="40"/>
      </w:pPr>
      <w:r>
        <w:rPr>
          <w:rFonts w:ascii="Arial" w:cs="Arial" w:eastAsia="Arial" w:hAnsi="Arial"/>
          <w:color w:val="2c2c2c"/>
          <w:sz w:val="20"/>
          <w:szCs w:val="20"/>
        </w:rPr>
        <w:t xml:space="preserve">Map is restricted to the continental United States</w:t>
      </w:r>
    </w:p>
    <w:p>
      <w:pPr>
        <w:pStyle w:val="ListParagraph"/>
        <w:numPr>
          <w:ilvl w:val="0"/>
          <w:numId w:val="2"/>
        </w:numPr>
        <w:spacing w:after="40" w:before="40"/>
      </w:pPr>
      <w:r>
        <w:rPr>
          <w:rFonts w:ascii="Arial" w:cs="Arial" w:eastAsia="Arial" w:hAnsi="Arial"/>
          <w:color w:val="2c2c2c"/>
          <w:sz w:val="20"/>
          <w:szCs w:val="20"/>
        </w:rPr>
        <w:t xml:space="preserve">Urbanicity legend displayed in the bottom-right corner</w:t>
      </w:r>
    </w:p>
    <w:p>
      <w:pPr>
        <w:spacing w:after="0" w:before="80"/>
      </w:pPr>
      <w:r>
        <w:t xml:space="preserve"/>
      </w:r>
    </w:p>
    <w:p>
      <w:pPr>
        <w:spacing w:after="80" w:before="280"/>
      </w:pPr>
      <w:r>
        <w:rPr>
          <w:rFonts w:ascii="Arial" w:cs="Arial" w:eastAsia="Arial" w:hAnsi="Arial"/>
          <w:b/>
          <w:bCs/>
          <w:color w:val="1a3a5c"/>
          <w:spacing w:val="80"/>
          <w:sz w:val="20"/>
          <w:szCs w:val="20"/>
        </w:rPr>
        <w:t xml:space="preserve">INSTITUTION PROFILE POPUPS</w:t>
      </w:r>
    </w:p>
    <w:p>
      <w:pPr>
        <w:spacing w:after="100" w:before="60"/>
      </w:pPr>
      <w:r>
        <w:rPr>
          <w:rFonts w:ascii="Arial" w:cs="Arial" w:eastAsia="Arial" w:hAnsi="Arial"/>
          <w:color w:val="2c2c2c"/>
          <w:sz w:val="20"/>
          <w:szCs w:val="20"/>
        </w:rPr>
        <w:t xml:space="preserve">Each popup contains a complete one-page profile for every study conducted at that institution, including:</w:t>
      </w:r>
    </w:p>
    <w:p>
      <w:pPr>
        <w:spacing w:after="0" w:before="40"/>
      </w:pPr>
      <w:r>
        <w:t xml:space="preserve"/>
      </w:r>
    </w:p>
    <w:p>
      <w:pPr>
        <w:pStyle w:val="ListParagraph"/>
        <w:numPr>
          <w:ilvl w:val="0"/>
          <w:numId w:val="2"/>
        </w:numPr>
        <w:spacing w:after="40" w:before="40"/>
      </w:pPr>
      <w:r>
        <w:rPr>
          <w:rFonts w:ascii="Arial" w:cs="Arial" w:eastAsia="Arial" w:hAnsi="Arial"/>
          <w:color w:val="2c2c2c"/>
          <w:sz w:val="20"/>
          <w:szCs w:val="20"/>
        </w:rPr>
        <w:t xml:space="preserve">Full program name, description, and duration</w:t>
      </w:r>
    </w:p>
    <w:p>
      <w:pPr>
        <w:pStyle w:val="ListParagraph"/>
        <w:numPr>
          <w:ilvl w:val="0"/>
          <w:numId w:val="2"/>
        </w:numPr>
        <w:spacing w:after="40" w:before="40"/>
      </w:pPr>
      <w:r>
        <w:rPr>
          <w:rFonts w:ascii="Arial" w:cs="Arial" w:eastAsia="Arial" w:hAnsi="Arial"/>
          <w:color w:val="2c2c2c"/>
          <w:sz w:val="20"/>
          <w:szCs w:val="20"/>
        </w:rPr>
        <w:t xml:space="preserve">Key statistics: total students, number of sites, program length</w:t>
      </w:r>
    </w:p>
    <w:p>
      <w:pPr>
        <w:pStyle w:val="ListParagraph"/>
        <w:numPr>
          <w:ilvl w:val="0"/>
          <w:numId w:val="2"/>
        </w:numPr>
        <w:spacing w:after="40" w:before="40"/>
      </w:pPr>
      <w:r>
        <w:rPr>
          <w:rFonts w:ascii="Arial" w:cs="Arial" w:eastAsia="Arial" w:hAnsi="Arial"/>
          <w:color w:val="2c2c2c"/>
          <w:sz w:val="20"/>
          <w:szCs w:val="20"/>
        </w:rPr>
        <w:t xml:space="preserve">Demographic bar charts for gender, race/ethnicity, and age</w:t>
      </w:r>
    </w:p>
    <w:p>
      <w:pPr>
        <w:pStyle w:val="ListParagraph"/>
        <w:numPr>
          <w:ilvl w:val="0"/>
          <w:numId w:val="2"/>
        </w:numPr>
        <w:spacing w:after="40" w:before="40"/>
      </w:pPr>
      <w:r>
        <w:rPr>
          <w:rFonts w:ascii="Arial" w:cs="Arial" w:eastAsia="Arial" w:hAnsi="Arial"/>
          <w:color w:val="2c2c2c"/>
          <w:sz w:val="20"/>
          <w:szCs w:val="20"/>
        </w:rPr>
        <w:t xml:space="preserve">Binary indicators for all seven program components</w:t>
      </w:r>
    </w:p>
    <w:p>
      <w:pPr>
        <w:pStyle w:val="ListParagraph"/>
        <w:numPr>
          <w:ilvl w:val="0"/>
          <w:numId w:val="2"/>
        </w:numPr>
        <w:spacing w:after="40" w:before="40"/>
      </w:pPr>
      <w:r>
        <w:rPr>
          <w:rFonts w:ascii="Arial" w:cs="Arial" w:eastAsia="Arial" w:hAnsi="Arial"/>
          <w:color w:val="2c2c2c"/>
          <w:sz w:val="20"/>
          <w:szCs w:val="20"/>
        </w:rPr>
        <w:t xml:space="preserve">Implementation and impact findings summaries</w:t>
      </w:r>
    </w:p>
    <w:p>
      <w:pPr>
        <w:pStyle w:val="ListParagraph"/>
        <w:numPr>
          <w:ilvl w:val="0"/>
          <w:numId w:val="2"/>
        </w:numPr>
        <w:spacing w:after="40" w:before="40"/>
      </w:pPr>
      <w:r>
        <w:rPr>
          <w:rFonts w:ascii="Arial" w:cs="Arial" w:eastAsia="Arial" w:hAnsi="Arial"/>
          <w:color w:val="2c2c2c"/>
          <w:sz w:val="20"/>
          <w:szCs w:val="20"/>
        </w:rPr>
        <w:t xml:space="preserve">Links to published MDRC reports</w:t>
      </w:r>
    </w:p>
    <w:p>
      <w:pPr>
        <w:spacing w:after="0" w:before="80"/>
      </w:pPr>
      <w:r>
        <w:t xml:space="preserve"/>
      </w:r>
    </w:p>
    <w:p>
      <w:pPr>
        <w:spacing w:after="80" w:before="280"/>
      </w:pPr>
      <w:r>
        <w:rPr>
          <w:rFonts w:ascii="Arial" w:cs="Arial" w:eastAsia="Arial" w:hAnsi="Arial"/>
          <w:b/>
          <w:bCs/>
          <w:color w:val="1a3a5c"/>
          <w:spacing w:val="80"/>
          <w:sz w:val="20"/>
          <w:szCs w:val="20"/>
        </w:rPr>
        <w:t xml:space="preserve">FILTERING SYSTEM</w:t>
      </w:r>
    </w:p>
    <w:p>
      <w:pPr>
        <w:pStyle w:val="ListParagraph"/>
        <w:numPr>
          <w:ilvl w:val="0"/>
          <w:numId w:val="2"/>
        </w:numPr>
        <w:spacing w:after="40" w:before="40"/>
      </w:pPr>
      <w:r>
        <w:rPr>
          <w:rFonts w:ascii="Arial" w:cs="Arial" w:eastAsia="Arial" w:hAnsi="Arial"/>
          <w:color w:val="2c2c2c"/>
          <w:sz w:val="20"/>
          <w:szCs w:val="20"/>
        </w:rPr>
        <w:t xml:space="preserve">Filter by State — dropdown showing all 16 states represented</w:t>
      </w:r>
    </w:p>
    <w:p>
      <w:pPr>
        <w:pStyle w:val="ListParagraph"/>
        <w:numPr>
          <w:ilvl w:val="0"/>
          <w:numId w:val="2"/>
        </w:numPr>
        <w:spacing w:after="40" w:before="40"/>
      </w:pPr>
      <w:r>
        <w:rPr>
          <w:rFonts w:ascii="Arial" w:cs="Arial" w:eastAsia="Arial" w:hAnsi="Arial"/>
          <w:color w:val="2c2c2c"/>
          <w:sz w:val="20"/>
          <w:szCs w:val="20"/>
        </w:rPr>
        <w:t xml:space="preserve">Filter by Study Program — dropdown with all 33 individual programs</w:t>
      </w:r>
    </w:p>
    <w:p>
      <w:pPr>
        <w:pStyle w:val="ListParagraph"/>
        <w:numPr>
          <w:ilvl w:val="0"/>
          <w:numId w:val="2"/>
        </w:numPr>
        <w:spacing w:after="40" w:before="40"/>
      </w:pPr>
      <w:r>
        <w:rPr>
          <w:rFonts w:ascii="Arial" w:cs="Arial" w:eastAsia="Arial" w:hAnsi="Arial"/>
          <w:color w:val="2c2c2c"/>
          <w:sz w:val="20"/>
          <w:szCs w:val="20"/>
        </w:rPr>
        <w:t xml:space="preserve">Filter by Degree Level — Associate’s vs. Bachelor’s</w:t>
      </w:r>
    </w:p>
    <w:p>
      <w:pPr>
        <w:pStyle w:val="ListParagraph"/>
        <w:numPr>
          <w:ilvl w:val="0"/>
          <w:numId w:val="2"/>
        </w:numPr>
        <w:spacing w:after="40" w:before="40"/>
      </w:pPr>
      <w:r>
        <w:rPr>
          <w:rFonts w:ascii="Arial" w:cs="Arial" w:eastAsia="Arial" w:hAnsi="Arial"/>
          <w:color w:val="2c2c2c"/>
          <w:sz w:val="20"/>
          <w:szCs w:val="20"/>
        </w:rPr>
        <w:t xml:space="preserve">Filter by Urbanicity — Urban, Suburban, Town, or Rural</w:t>
      </w:r>
    </w:p>
    <w:p>
      <w:pPr>
        <w:pStyle w:val="ListParagraph"/>
        <w:numPr>
          <w:ilvl w:val="0"/>
          <w:numId w:val="2"/>
        </w:numPr>
        <w:spacing w:after="40" w:before="40"/>
      </w:pPr>
      <w:r>
        <w:rPr>
          <w:rFonts w:ascii="Arial" w:cs="Arial" w:eastAsia="Arial" w:hAnsi="Arial"/>
          <w:color w:val="2c2c2c"/>
          <w:sz w:val="20"/>
          <w:szCs w:val="20"/>
        </w:rPr>
        <w:t xml:space="preserve">Filter by Program Components — seven checkboxes for each intervention type</w:t>
      </w:r>
    </w:p>
    <w:p>
      <w:pPr>
        <w:pStyle w:val="ListParagraph"/>
        <w:numPr>
          <w:ilvl w:val="0"/>
          <w:numId w:val="2"/>
        </w:numPr>
        <w:spacing w:after="40" w:before="40"/>
      </w:pPr>
      <w:r>
        <w:rPr>
          <w:rFonts w:ascii="Arial" w:cs="Arial" w:eastAsia="Arial" w:hAnsi="Arial"/>
          <w:color w:val="2c2c2c"/>
          <w:sz w:val="20"/>
          <w:szCs w:val="20"/>
        </w:rPr>
        <w:t xml:space="preserve">Reset All Filters button clears all active filters simultaneously</w:t>
      </w:r>
    </w:p>
    <w:p>
      <w:pPr>
        <w:spacing w:after="0" w:before="80"/>
      </w:pPr>
      <w:r>
        <w:t xml:space="preserve"/>
      </w:r>
    </w:p>
    <w:p>
      <w:pPr>
        <w:spacing w:after="80" w:before="280"/>
      </w:pPr>
      <w:r>
        <w:rPr>
          <w:rFonts w:ascii="Arial" w:cs="Arial" w:eastAsia="Arial" w:hAnsi="Arial"/>
          <w:b/>
          <w:bCs/>
          <w:color w:val="1a3a5c"/>
          <w:spacing w:val="80"/>
          <w:sz w:val="20"/>
          <w:szCs w:val="20"/>
        </w:rPr>
        <w:t xml:space="preserve">INSTITUTION TABLE</w:t>
      </w:r>
    </w:p>
    <w:p>
      <w:pPr>
        <w:pStyle w:val="ListParagraph"/>
        <w:numPr>
          <w:ilvl w:val="0"/>
          <w:numId w:val="2"/>
        </w:numPr>
        <w:spacing w:after="40" w:before="40"/>
      </w:pPr>
      <w:r>
        <w:rPr>
          <w:rFonts w:ascii="Arial" w:cs="Arial" w:eastAsia="Arial" w:hAnsi="Arial"/>
          <w:color w:val="2c2c2c"/>
          <w:sz w:val="20"/>
          <w:szCs w:val="20"/>
        </w:rPr>
        <w:t xml:space="preserve">Searchable, paginated table listing all currently displayed institutions</w:t>
      </w:r>
    </w:p>
    <w:p>
      <w:pPr>
        <w:pStyle w:val="ListParagraph"/>
        <w:numPr>
          <w:ilvl w:val="0"/>
          <w:numId w:val="2"/>
        </w:numPr>
        <w:spacing w:after="40" w:before="40"/>
      </w:pPr>
      <w:r>
        <w:rPr>
          <w:rFonts w:ascii="Arial" w:cs="Arial" w:eastAsia="Arial" w:hAnsi="Arial"/>
          <w:color w:val="2c2c2c"/>
          <w:sz w:val="20"/>
          <w:szCs w:val="20"/>
        </w:rPr>
        <w:t xml:space="preserve">Clicking a row flies the map to that institution and highlights it with a red ring</w:t>
      </w:r>
    </w:p>
    <w:p>
      <w:pPr>
        <w:pStyle w:val="ListParagraph"/>
        <w:numPr>
          <w:ilvl w:val="0"/>
          <w:numId w:val="2"/>
        </w:numPr>
        <w:spacing w:after="40" w:before="40"/>
      </w:pPr>
      <w:r>
        <w:rPr>
          <w:rFonts w:ascii="Arial" w:cs="Arial" w:eastAsia="Arial" w:hAnsi="Arial"/>
          <w:color w:val="2c2c2c"/>
          <w:sz w:val="20"/>
          <w:szCs w:val="20"/>
        </w:rPr>
        <w:t xml:space="preserve">Clicking anywhere on the map background removes the highlight and resets the view</w:t>
      </w:r>
    </w:p>
    <w:p>
      <w:pPr>
        <w:spacing w:after="0" w:before="28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5.  Technical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b/>
                <w:bCs/>
                <w:color w:val="1a3a5c"/>
                <w:sz w:val="18"/>
                <w:szCs w:val="18"/>
              </w:rPr>
              <w:t xml:space="preserve">Language</w:t>
            </w:r>
          </w:p>
        </w:tc>
        <w:tc>
          <w:tcPr>
            <w:tcW w:type="dxa" w:w="656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color w:val="2c2c2c"/>
                <w:sz w:val="18"/>
                <w:szCs w:val="18"/>
              </w:rPr>
              <w:t xml:space="preserve">R (version 4.6.0)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Web Framework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Shiny — interactive web application framework for R</w:t>
            </w:r>
          </w:p>
        </w:tc>
      </w:tr>
      <w:tr>
        <w:tc>
          <w:tcPr>
            <w:tcW w:type="dxa" w:w="280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b/>
                <w:bCs/>
                <w:color w:val="1a3a5c"/>
                <w:sz w:val="18"/>
                <w:szCs w:val="18"/>
              </w:rPr>
              <w:t xml:space="preserve">Mapping Library</w:t>
            </w:r>
          </w:p>
        </w:tc>
        <w:tc>
          <w:tcPr>
            <w:tcW w:type="dxa" w:w="656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color w:val="2c2c2c"/>
                <w:sz w:val="18"/>
                <w:szCs w:val="18"/>
              </w:rPr>
              <w:t xml:space="preserve">Leaflet — open-source JavaScript mapping library via R bindings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Data Manipulation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dplyr — tidyverse package for data filtering and transformation</w:t>
            </w:r>
          </w:p>
        </w:tc>
      </w:tr>
      <w:tr>
        <w:tc>
          <w:tcPr>
            <w:tcW w:type="dxa" w:w="280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b/>
                <w:bCs/>
                <w:color w:val="1a3a5c"/>
                <w:sz w:val="18"/>
                <w:szCs w:val="18"/>
              </w:rPr>
              <w:t xml:space="preserve">Table Rendering</w:t>
            </w:r>
          </w:p>
        </w:tc>
        <w:tc>
          <w:tcPr>
            <w:tcW w:type="dxa" w:w="656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color w:val="2c2c2c"/>
                <w:sz w:val="18"/>
                <w:szCs w:val="18"/>
              </w:rPr>
              <w:t xml:space="preserve">DT — R interface to the DataTables JavaScript library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Data Import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readxl — reads Excel files directly into R data frames</w:t>
            </w:r>
          </w:p>
        </w:tc>
      </w:tr>
      <w:tr>
        <w:tc>
          <w:tcPr>
            <w:tcW w:type="dxa" w:w="280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b/>
                <w:bCs/>
                <w:color w:val="1a3a5c"/>
                <w:sz w:val="18"/>
                <w:szCs w:val="18"/>
              </w:rPr>
              <w:t xml:space="preserve">Map Tiles</w:t>
            </w:r>
          </w:p>
        </w:tc>
        <w:tc>
          <w:tcPr>
            <w:tcW w:type="dxa" w:w="656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color w:val="2c2c2c"/>
                <w:sz w:val="18"/>
                <w:szCs w:val="18"/>
              </w:rPr>
              <w:t xml:space="preserve">CartoDB Positron — clean light-gray basemap tiles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Deployment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shinyapps.io — cloud hosting platform for Shiny applications</w:t>
            </w:r>
          </w:p>
        </w:tc>
      </w:tr>
      <w:tr>
        <w:tc>
          <w:tcPr>
            <w:tcW w:type="dxa" w:w="280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b/>
                <w:bCs/>
                <w:color w:val="1a3a5c"/>
                <w:sz w:val="18"/>
                <w:szCs w:val="18"/>
              </w:rPr>
              <w:t xml:space="preserve">Data Storage</w:t>
            </w:r>
          </w:p>
        </w:tc>
        <w:tc>
          <w:tcPr>
            <w:tcW w:type="dxa" w:w="6560"/>
            <w:tcBorders>
              <w:top w:val="single" w:color="DDDDDD" w:sz="1"/>
              <w:left w:val="single" w:color="DDDDDD" w:sz="1"/>
              <w:bottom w:val="single" w:color="DDDDDD" w:sz="1"/>
              <w:right w:val="single" w:color="DDDDDD" w:sz="1"/>
            </w:tcBorders>
            <w:shd w:fill="f0ebe0" w:val="clear"/>
            <w:tcMar>
              <w:top w:type="dxa" w:w="80"/>
              <w:left w:type="dxa" w:w="120"/>
              <w:bottom w:type="dxa" w:w="80"/>
              <w:right w:type="dxa" w:w="120"/>
            </w:tcMar>
          </w:tcPr>
          <w:p>
            <w:r>
              <w:rPr>
                <w:rFonts w:ascii="Arial" w:cs="Arial" w:eastAsia="Arial" w:hAnsi="Arial"/>
                <w:color w:val="2c2c2c"/>
                <w:sz w:val="18"/>
                <w:szCs w:val="18"/>
              </w:rPr>
              <w:t xml:space="preserve">Microsoft Excel (.xlsx) — single source of truth for all college data</w:t>
            </w:r>
          </w:p>
        </w:tc>
      </w:tr>
    </w:tbl>
    <w:p>
      <w:pPr>
        <w:spacing w:after="0" w:before="28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6.  Key Design Decisions</w:t>
      </w:r>
    </w:p>
    <w:p>
      <w:pPr>
        <w:spacing w:after="0" w:before="60"/>
      </w:pPr>
      <w:r>
        <w:t xml:space="preserve"/>
      </w:r>
    </w:p>
    <w:p>
      <w:pPr>
        <w:pStyle w:val="ListParagraph"/>
        <w:numPr>
          <w:ilvl w:val="0"/>
          <w:numId w:val="2"/>
        </w:numPr>
        <w:spacing w:after="40" w:before="40"/>
      </w:pPr>
      <w:r>
        <w:rPr>
          <w:rFonts w:ascii="Arial" w:cs="Arial" w:eastAsia="Arial" w:hAnsi="Arial"/>
          <w:b/>
          <w:bCs/>
          <w:color w:val="1a3a5c"/>
          <w:sz w:val="20"/>
          <w:szCs w:val="20"/>
        </w:rPr>
        <w:t xml:space="preserve">Excel as data source: </w:t>
      </w:r>
      <w:r>
        <w:rPr>
          <w:rFonts w:ascii="Arial" w:cs="Arial" w:eastAsia="Arial" w:hAnsi="Arial"/>
          <w:color w:val="2c2c2c"/>
          <w:sz w:val="20"/>
          <w:szCs w:val="20"/>
        </w:rPr>
        <w:t xml:space="preserve">Data-code separation</w:t>
      </w:r>
    </w:p>
    <w:p>
      <w:pPr>
        <w:spacing w:after="100" w:before="60"/>
      </w:pPr>
      <w:r>
        <w:rPr>
          <w:rFonts w:ascii="Arial" w:cs="Arial" w:eastAsia="Arial" w:hAnsi="Arial"/>
          <w:color w:val="2c2c2c"/>
          <w:sz w:val="20"/>
          <w:szCs w:val="20"/>
        </w:rPr>
        <w:t xml:space="preserve">Separating data from application code means the map can be updated — new colleges added, coordinates corrected, program details revised — without modifying the R script. This makes the tool maintainable by non-programmers.</w:t>
      </w:r>
    </w:p>
    <w:p>
      <w:pPr>
        <w:spacing w:after="0" w:before="40"/>
      </w:pPr>
      <w:r>
        <w:t xml:space="preserve"/>
      </w:r>
    </w:p>
    <w:p>
      <w:pPr>
        <w:pStyle w:val="ListParagraph"/>
        <w:numPr>
          <w:ilvl w:val="0"/>
          <w:numId w:val="2"/>
        </w:numPr>
        <w:spacing w:after="40" w:before="40"/>
      </w:pPr>
      <w:r>
        <w:rPr>
          <w:rFonts w:ascii="Arial" w:cs="Arial" w:eastAsia="Arial" w:hAnsi="Arial"/>
          <w:b/>
          <w:bCs/>
          <w:color w:val="1a3a5c"/>
          <w:sz w:val="20"/>
          <w:szCs w:val="20"/>
        </w:rPr>
        <w:t xml:space="preserve">Google Maps precision: </w:t>
      </w:r>
      <w:r>
        <w:rPr>
          <w:rFonts w:ascii="Arial" w:cs="Arial" w:eastAsia="Arial" w:hAnsi="Arial"/>
          <w:color w:val="2c2c2c"/>
          <w:sz w:val="20"/>
          <w:szCs w:val="20"/>
        </w:rPr>
        <w:t xml:space="preserve">Verified coordinates</w:t>
      </w:r>
    </w:p>
    <w:p>
      <w:pPr>
        <w:spacing w:after="100" w:before="60"/>
      </w:pPr>
      <w:r>
        <w:rPr>
          <w:rFonts w:ascii="Arial" w:cs="Arial" w:eastAsia="Arial" w:hAnsi="Arial"/>
          <w:color w:val="2c2c2c"/>
          <w:sz w:val="20"/>
          <w:szCs w:val="20"/>
        </w:rPr>
        <w:t xml:space="preserve">Rather than relying on estimated or city-center coordinates, each institution’s latitude and longitude was obtained directly from Google Maps and verified visually. This ensures dots land on or very near the actual campus location.</w:t>
      </w:r>
    </w:p>
    <w:p>
      <w:pPr>
        <w:spacing w:after="0" w:before="40"/>
      </w:pPr>
      <w:r>
        <w:t xml:space="preserve"/>
      </w:r>
    </w:p>
    <w:p>
      <w:pPr>
        <w:pStyle w:val="ListParagraph"/>
        <w:numPr>
          <w:ilvl w:val="0"/>
          <w:numId w:val="2"/>
        </w:numPr>
        <w:spacing w:after="40" w:before="40"/>
      </w:pPr>
      <w:r>
        <w:rPr>
          <w:rFonts w:ascii="Arial" w:cs="Arial" w:eastAsia="Arial" w:hAnsi="Arial"/>
          <w:b/>
          <w:bCs/>
          <w:color w:val="1a3a5c"/>
          <w:sz w:val="20"/>
          <w:szCs w:val="20"/>
        </w:rPr>
        <w:t xml:space="preserve">Live map updates: </w:t>
      </w:r>
      <w:r>
        <w:rPr>
          <w:rFonts w:ascii="Arial" w:cs="Arial" w:eastAsia="Arial" w:hAnsi="Arial"/>
          <w:color w:val="2c2c2c"/>
          <w:sz w:val="20"/>
          <w:szCs w:val="20"/>
        </w:rPr>
        <w:t xml:space="preserve">Reactive filtering</w:t>
      </w:r>
    </w:p>
    <w:p>
      <w:pPr>
        <w:spacing w:after="100" w:before="60"/>
      </w:pPr>
      <w:r>
        <w:rPr>
          <w:rFonts w:ascii="Arial" w:cs="Arial" w:eastAsia="Arial" w:hAnsi="Arial"/>
          <w:color w:val="2c2c2c"/>
          <w:sz w:val="20"/>
          <w:szCs w:val="20"/>
        </w:rPr>
        <w:t xml:space="preserve">All seven filters operate simultaneously and update the map, marker count, and institution table in real time without any page reload. Filters can be combined arbitrarily — for example, showing only Urban community colleges in Ohio that included financial support.</w:t>
      </w:r>
    </w:p>
    <w:p>
      <w:pPr>
        <w:spacing w:after="0" w:before="40"/>
      </w:pPr>
      <w:r>
        <w:t xml:space="preserve"/>
      </w:r>
    </w:p>
    <w:p>
      <w:pPr>
        <w:pStyle w:val="ListParagraph"/>
        <w:numPr>
          <w:ilvl w:val="0"/>
          <w:numId w:val="2"/>
        </w:numPr>
        <w:spacing w:after="40" w:before="40"/>
      </w:pPr>
      <w:r>
        <w:rPr>
          <w:rFonts w:ascii="Arial" w:cs="Arial" w:eastAsia="Arial" w:hAnsi="Arial"/>
          <w:b/>
          <w:bCs/>
          <w:color w:val="1a3a5c"/>
          <w:sz w:val="20"/>
          <w:szCs w:val="20"/>
        </w:rPr>
        <w:t xml:space="preserve">Table-map integration: </w:t>
      </w:r>
      <w:r>
        <w:rPr>
          <w:rFonts w:ascii="Arial" w:cs="Arial" w:eastAsia="Arial" w:hAnsi="Arial"/>
          <w:color w:val="2c2c2c"/>
          <w:sz w:val="20"/>
          <w:szCs w:val="20"/>
        </w:rPr>
        <w:t xml:space="preserve">Click-to-fly navigation</w:t>
      </w:r>
    </w:p>
    <w:p>
      <w:pPr>
        <w:spacing w:after="100" w:before="60"/>
      </w:pPr>
      <w:r>
        <w:rPr>
          <w:rFonts w:ascii="Arial" w:cs="Arial" w:eastAsia="Arial" w:hAnsi="Arial"/>
          <w:color w:val="2c2c2c"/>
          <w:sz w:val="20"/>
          <w:szCs w:val="20"/>
        </w:rPr>
        <w:t xml:space="preserve">Clicking any row in the institution table below the map causes the map to animate to that college’s location and display a red highlight ring. This allows users to locate any institution quickly without manually panning.</w:t>
      </w:r>
    </w:p>
    <w:p>
      <w:pPr>
        <w:spacing w:after="0" w:before="280"/>
      </w:pPr>
      <w:r>
        <w:t xml:space="preserve"/>
      </w:r>
    </w:p>
    <w:p>
      <w:pPr>
        <w:pBdr>
          <w:bottom w:val="single" w:color="c8a951" w:sz="10" w:space="6"/>
        </w:pBdr>
        <w:spacing w:after="120" w:before="400"/>
      </w:pPr>
      <w:r>
        <w:rPr>
          <w:rFonts w:ascii="Georgia" w:cs="Georgia" w:eastAsia="Georgia" w:hAnsi="Georgia"/>
          <w:b/>
          <w:bCs/>
          <w:color w:val="1a3a5c"/>
          <w:sz w:val="30"/>
          <w:szCs w:val="30"/>
        </w:rPr>
        <w:t xml:space="preserve">7.  Known Limitations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3FA" w:val="clear"/>
            <w:tcMar>
              <w:top w:type="dxa" w:w="120"/>
              <w:left w:type="dxa" w:w="200"/>
              <w:bottom w:type="dxa" w:w="120"/>
              <w:right w:type="dxa" w:w="200"/>
            </w:tcMar>
          </w:tcPr>
          <w:p>
            <w:r>
              <w:rPr>
                <w:rFonts w:ascii="Arial" w:cs="Arial" w:eastAsia="Arial" w:hAnsi="Arial"/>
                <w:b/>
                <w:bCs/>
                <w:color w:val="1a3a5c"/>
                <w:sz w:val="18"/>
                <w:szCs w:val="18"/>
              </w:rPr>
              <w:t xml:space="preserve">Note:  </w:t>
            </w:r>
            <w:r>
              <w:rPr>
                <w:rFonts w:ascii="Arial" w:cs="Arial" w:eastAsia="Arial" w:hAnsi="Arial"/>
                <w:color w:val="2c2c2c"/>
                <w:sz w:val="18"/>
                <w:szCs w:val="18"/>
              </w:rPr>
              <w:t xml:space="preserve">The following are known limitations appropriate to a prototype or portfolio-stage project.</w:t>
            </w:r>
          </w:p>
        </w:tc>
      </w:tr>
    </w:tbl>
    <w:p>
      <w:pPr>
        <w:spacing w:after="0" w:before="100"/>
      </w:pPr>
      <w:r>
        <w:t xml:space="preserve"/>
      </w:r>
    </w:p>
    <w:p>
      <w:pPr>
        <w:pStyle w:val="ListParagraph"/>
        <w:numPr>
          <w:ilvl w:val="0"/>
          <w:numId w:val="2"/>
        </w:numPr>
        <w:spacing w:after="40" w:before="40"/>
      </w:pPr>
      <w:r>
        <w:rPr>
          <w:rFonts w:ascii="Arial" w:cs="Arial" w:eastAsia="Arial" w:hAnsi="Arial"/>
          <w:color w:val="2c2c2c"/>
          <w:sz w:val="20"/>
          <w:szCs w:val="20"/>
        </w:rPr>
        <w:t xml:space="preserve">Report links for some study programs point to general MDRC publication pages rather than specific report PDFs, as direct PDF URLs were not available for all studies.</w:t>
      </w:r>
    </w:p>
    <w:p>
      <w:pPr>
        <w:pStyle w:val="ListParagraph"/>
        <w:numPr>
          <w:ilvl w:val="0"/>
          <w:numId w:val="2"/>
        </w:numPr>
        <w:spacing w:after="40" w:before="40"/>
      </w:pPr>
      <w:r>
        <w:rPr>
          <w:rFonts w:ascii="Arial" w:cs="Arial" w:eastAsia="Arial" w:hAnsi="Arial"/>
          <w:color w:val="2c2c2c"/>
          <w:sz w:val="20"/>
          <w:szCs w:val="20"/>
        </w:rPr>
        <w:t xml:space="preserve">Demographic data for the SUCCESS, Montana 10, and MMA studies is drawn from a single published report and may not reflect the full multi-year sample.</w:t>
      </w:r>
    </w:p>
    <w:p>
      <w:pPr>
        <w:pStyle w:val="ListParagraph"/>
        <w:numPr>
          <w:ilvl w:val="0"/>
          <w:numId w:val="2"/>
        </w:numPr>
        <w:spacing w:after="40" w:before="40"/>
      </w:pPr>
      <w:r>
        <w:rPr>
          <w:rFonts w:ascii="Arial" w:cs="Arial" w:eastAsia="Arial" w:hAnsi="Arial"/>
          <w:color w:val="2c2c2c"/>
          <w:sz w:val="20"/>
          <w:szCs w:val="20"/>
        </w:rPr>
        <w:t xml:space="preserve">Montana 10 college-level data is based on institutional information rather than study-specific records, as the published brief did not disaggregate outcomes by site.</w:t>
      </w:r>
    </w:p>
    <w:p>
      <w:pPr>
        <w:pStyle w:val="ListParagraph"/>
        <w:numPr>
          <w:ilvl w:val="0"/>
          <w:numId w:val="2"/>
        </w:numPr>
        <w:spacing w:after="40" w:before="40"/>
      </w:pPr>
      <w:r>
        <w:rPr>
          <w:rFonts w:ascii="Arial" w:cs="Arial" w:eastAsia="Arial" w:hAnsi="Arial"/>
          <w:color w:val="2c2c2c"/>
          <w:sz w:val="20"/>
          <w:szCs w:val="20"/>
        </w:rPr>
        <w:t xml:space="preserve">The application does not include studies added to the MDRC database after the data collection cutoff date of this project.</w:t>
      </w:r>
    </w:p>
    <w:p>
      <w:pPr>
        <w:pStyle w:val="ListParagraph"/>
        <w:numPr>
          <w:ilvl w:val="0"/>
          <w:numId w:val="2"/>
        </w:numPr>
        <w:spacing w:after="40" w:before="40"/>
      </w:pPr>
      <w:r>
        <w:rPr>
          <w:rFonts w:ascii="Arial" w:cs="Arial" w:eastAsia="Arial" w:hAnsi="Arial"/>
          <w:color w:val="2c2c2c"/>
          <w:sz w:val="20"/>
          <w:szCs w:val="20"/>
        </w:rPr>
        <w:t xml:space="preserve">The free tier of shinyapps.io allows 25 active hours per month; heavy traffic could temporarily suspend the application.</w:t>
      </w:r>
    </w:p>
    <w:p>
      <w:pPr>
        <w:spacing w:after="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3a5c" w:val="clear"/>
            <w:tcMar>
              <w:top w:type="dxa" w:w="220"/>
              <w:left w:type="dxa" w:w="440"/>
              <w:bottom w:type="dxa" w:w="220"/>
              <w:right w:type="dxa" w:w="440"/>
            </w:tcMar>
          </w:tcPr>
          <w:p>
            <w:pPr>
              <w:jc w:val="center"/>
            </w:pPr>
            <w:r>
              <w:rPr>
                <w:rFonts w:ascii="Arial" w:cs="Arial" w:eastAsia="Arial" w:hAnsi="Arial"/>
                <w:color w:val="b0c4d8"/>
                <w:sz w:val="16"/>
                <w:szCs w:val="16"/>
              </w:rPr>
              <w:t xml:space="preserve">Benjamin Weiss  ·  Independent Research Project  ·  2026</w:t>
            </w:r>
          </w:p>
          <w:p>
            <w:pPr>
              <w:spacing w:before="60"/>
              <w:jc w:val="center"/>
            </w:pPr>
            <w:r>
              <w:rPr>
                <w:rFonts w:ascii="Arial" w:cs="Arial" w:eastAsia="Arial" w:hAnsi="Arial"/>
                <w:color w:val="c8a951"/>
                <w:sz w:val="16"/>
                <w:szCs w:val="16"/>
              </w:rPr>
              <w:t xml:space="preserve">benweiss.shinyapps.io/mdrc-college-map</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2026-06-12T03:51:04.925Z</dcterms:created>
  <dcterms:modified xsi:type="dcterms:W3CDTF">2026-06-12T03:51:04.940Z</dcterms:modified>
</cp:coreProperties>
</file>

<file path=docProps/custom.xml><?xml version="1.0" encoding="utf-8"?>
<Properties xmlns="http://schemas.openxmlformats.org/officeDocument/2006/custom-properties" xmlns:vt="http://schemas.openxmlformats.org/officeDocument/2006/docPropsVTypes"/>
</file>