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A7836D5" w14:textId="77777777" w:rsidR="00CB1637" w:rsidRPr="00DA3672" w:rsidRDefault="00CB1637" w:rsidP="006807CC">
      <w:pPr>
        <w:jc w:val="center"/>
        <w:rPr>
          <w:b/>
          <w:sz w:val="28"/>
        </w:rPr>
      </w:pPr>
      <w:r w:rsidRPr="00DA3672">
        <w:rPr>
          <w:b/>
          <w:sz w:val="28"/>
        </w:rPr>
        <w:t xml:space="preserve">Melodic Intonation Therapy: </w:t>
      </w:r>
      <w:r>
        <w:rPr>
          <w:b/>
          <w:sz w:val="28"/>
        </w:rPr>
        <w:t>A</w:t>
      </w:r>
      <w:r w:rsidRPr="00DA3672">
        <w:rPr>
          <w:b/>
          <w:sz w:val="28"/>
        </w:rPr>
        <w:t xml:space="preserve"> multi-level meta-analysis</w:t>
      </w:r>
    </w:p>
    <w:p w14:paraId="20DC664B" w14:textId="77777777" w:rsidR="00CB1637" w:rsidRPr="00DA3672" w:rsidRDefault="00CB1637">
      <w:pPr>
        <w:jc w:val="center"/>
        <w:rPr>
          <w:b/>
          <w:sz w:val="28"/>
          <w:szCs w:val="28"/>
        </w:rPr>
      </w:pPr>
    </w:p>
    <w:p w14:paraId="424D07B7" w14:textId="77777777" w:rsidR="00CB1637" w:rsidRPr="00DA3672" w:rsidRDefault="00CB1637">
      <w:pPr>
        <w:rPr>
          <w:vertAlign w:val="superscript"/>
        </w:rPr>
      </w:pPr>
      <w:r w:rsidRPr="00DA3672">
        <w:t>Tudor Popescu</w:t>
      </w:r>
      <w:r w:rsidRPr="00DA3672">
        <w:rPr>
          <w:vertAlign w:val="superscript"/>
        </w:rPr>
        <w:t>1</w:t>
      </w:r>
      <w:r>
        <w:rPr>
          <w:vertAlign w:val="superscript"/>
        </w:rPr>
        <w:t>-</w:t>
      </w:r>
      <w:r w:rsidRPr="00DA3672">
        <w:rPr>
          <w:vertAlign w:val="superscript"/>
        </w:rPr>
        <w:t>2*</w:t>
      </w:r>
      <w:r w:rsidRPr="00DA3672">
        <w:t>, Benjamin Stahl</w:t>
      </w:r>
      <w:r w:rsidRPr="00DA3672">
        <w:rPr>
          <w:vertAlign w:val="superscript"/>
        </w:rPr>
        <w:t>3</w:t>
      </w:r>
      <w:r>
        <w:rPr>
          <w:vertAlign w:val="superscript"/>
        </w:rPr>
        <w:t>-6</w:t>
      </w:r>
      <w:r w:rsidRPr="00DA3672">
        <w:t>, Brenton M. Wiernik</w:t>
      </w:r>
      <w:r>
        <w:rPr>
          <w:vertAlign w:val="superscript"/>
        </w:rPr>
        <w:t>7</w:t>
      </w:r>
      <w:r w:rsidRPr="00DA3672">
        <w:t>, Hannah Helm</w:t>
      </w:r>
      <w:r w:rsidRPr="00DA3672">
        <w:rPr>
          <w:vertAlign w:val="superscript"/>
        </w:rPr>
        <w:t>3</w:t>
      </w:r>
      <w:r w:rsidRPr="00DA3672">
        <w:t>, Michaela Zemanek</w:t>
      </w:r>
      <w:r w:rsidRPr="00DA3672">
        <w:rPr>
          <w:vertAlign w:val="superscript"/>
        </w:rPr>
        <w:t>1</w:t>
      </w:r>
      <w:r w:rsidRPr="00DA3672">
        <w:t>, Felix Haiduk</w:t>
      </w:r>
      <w:r w:rsidRPr="00DA3672">
        <w:rPr>
          <w:vertAlign w:val="superscript"/>
        </w:rPr>
        <w:t>1</w:t>
      </w:r>
      <w:r w:rsidRPr="00DA3672">
        <w:t>, Theresa Matzinger</w:t>
      </w:r>
      <w:r w:rsidRPr="00DA3672">
        <w:rPr>
          <w:vertAlign w:val="superscript"/>
        </w:rPr>
        <w:t>1</w:t>
      </w:r>
      <w:r w:rsidRPr="00DA3672">
        <w:t>, Roland Beisteiner</w:t>
      </w:r>
      <w:r w:rsidRPr="00DA3672">
        <w:rPr>
          <w:vertAlign w:val="superscript"/>
        </w:rPr>
        <w:t>2</w:t>
      </w:r>
      <w:r w:rsidRPr="00DA3672">
        <w:t>, Tecumseh W. Fitch</w:t>
      </w:r>
      <w:r w:rsidRPr="00DA3672">
        <w:rPr>
          <w:vertAlign w:val="superscript"/>
        </w:rPr>
        <w:t>1</w:t>
      </w:r>
    </w:p>
    <w:p w14:paraId="202DC15D" w14:textId="77777777" w:rsidR="00CB1637" w:rsidRPr="00DA3672" w:rsidRDefault="00CB1637" w:rsidP="005802C3">
      <w:pPr>
        <w:rPr>
          <w:vertAlign w:val="superscript"/>
        </w:rPr>
      </w:pPr>
    </w:p>
    <w:p w14:paraId="165FC403" w14:textId="77777777" w:rsidR="00CB1637" w:rsidRDefault="00CB1637" w:rsidP="005802C3">
      <w:r w:rsidRPr="00DA3672">
        <w:rPr>
          <w:vertAlign w:val="superscript"/>
        </w:rPr>
        <w:t>1</w:t>
      </w:r>
      <w:r>
        <w:rPr>
          <w:vertAlign w:val="superscript"/>
        </w:rPr>
        <w:t xml:space="preserve"> </w:t>
      </w:r>
      <w:r w:rsidRPr="00DA3672">
        <w:t xml:space="preserve">University of Vienna, </w:t>
      </w:r>
      <w:r>
        <w:t xml:space="preserve">Department of Behavioural and Cognitive Biology, </w:t>
      </w:r>
      <w:r w:rsidRPr="00DA3672">
        <w:t>Vienna, Austria</w:t>
      </w:r>
    </w:p>
    <w:p w14:paraId="72EF558B" w14:textId="77777777" w:rsidR="00CB1637" w:rsidRDefault="00CB1637" w:rsidP="005802C3">
      <w:r w:rsidRPr="00DA3672">
        <w:rPr>
          <w:vertAlign w:val="superscript"/>
        </w:rPr>
        <w:t>2</w:t>
      </w:r>
      <w:r>
        <w:rPr>
          <w:vertAlign w:val="superscript"/>
        </w:rPr>
        <w:t xml:space="preserve"> </w:t>
      </w:r>
      <w:r w:rsidRPr="00DA3672">
        <w:t xml:space="preserve">Medical University of Vienna, </w:t>
      </w:r>
      <w:r>
        <w:t xml:space="preserve">Department of Neurology, </w:t>
      </w:r>
      <w:r w:rsidRPr="00DA3672">
        <w:t>Vienna, Austria</w:t>
      </w:r>
    </w:p>
    <w:p w14:paraId="62B1A703" w14:textId="77777777" w:rsidR="00CB1637" w:rsidRDefault="00CB1637" w:rsidP="0008448D">
      <w:r w:rsidRPr="00DA3672">
        <w:rPr>
          <w:vertAlign w:val="superscript"/>
        </w:rPr>
        <w:t>3</w:t>
      </w:r>
      <w:r>
        <w:rPr>
          <w:vertAlign w:val="superscript"/>
        </w:rPr>
        <w:t xml:space="preserve"> </w:t>
      </w:r>
      <w:r>
        <w:t>Medical School Berlin, Department of Psychology, Berlin, Germany</w:t>
      </w:r>
    </w:p>
    <w:p w14:paraId="5460FF1F" w14:textId="77777777" w:rsidR="00CB1637" w:rsidRDefault="00CB1637" w:rsidP="0008448D">
      <w:r>
        <w:rPr>
          <w:vertAlign w:val="superscript"/>
        </w:rPr>
        <w:t xml:space="preserve">4 </w:t>
      </w:r>
      <w:r>
        <w:t>Charité Universitätsmedizin, Department of Neurology, Berlin, Germany</w:t>
      </w:r>
    </w:p>
    <w:p w14:paraId="28282AB8" w14:textId="77777777" w:rsidR="00CB1637" w:rsidRDefault="00CB1637" w:rsidP="0008448D">
      <w:r>
        <w:rPr>
          <w:vertAlign w:val="superscript"/>
        </w:rPr>
        <w:t xml:space="preserve">5 </w:t>
      </w:r>
      <w:r>
        <w:t>Max Planck Institute for Human Cognitive and Brain Sciences, Department of Neurophysics, Leipzig, Germany</w:t>
      </w:r>
    </w:p>
    <w:p w14:paraId="27FBA23F" w14:textId="77777777" w:rsidR="00CB1637" w:rsidRDefault="00CB1637" w:rsidP="0008448D">
      <w:r>
        <w:rPr>
          <w:vertAlign w:val="superscript"/>
        </w:rPr>
        <w:t xml:space="preserve">6 </w:t>
      </w:r>
      <w:r>
        <w:t>Universitätsmedizin Greifswald, Department of Neurology, Greifswald, Germany</w:t>
      </w:r>
    </w:p>
    <w:p w14:paraId="7B8C16B6" w14:textId="77777777" w:rsidR="00CB1637" w:rsidRPr="00DA3672" w:rsidRDefault="00CB1637" w:rsidP="005802C3">
      <w:r>
        <w:rPr>
          <w:vertAlign w:val="superscript"/>
        </w:rPr>
        <w:t xml:space="preserve">7 </w:t>
      </w:r>
      <w:r w:rsidRPr="00DA3672">
        <w:t xml:space="preserve">University of South Florida, </w:t>
      </w:r>
      <w:r w:rsidRPr="00B10D64">
        <w:t>Department of Psychology</w:t>
      </w:r>
      <w:r>
        <w:t xml:space="preserve">, </w:t>
      </w:r>
      <w:r w:rsidRPr="00DA3672">
        <w:t>Tampa, Florida, USA</w:t>
      </w:r>
    </w:p>
    <w:p w14:paraId="48503D6D" w14:textId="77777777" w:rsidR="00CB1637" w:rsidRPr="00DA3672" w:rsidRDefault="00CB1637">
      <w:pPr>
        <w:rPr>
          <w:vertAlign w:val="superscript"/>
        </w:rPr>
      </w:pPr>
    </w:p>
    <w:p w14:paraId="49515B6F" w14:textId="77777777" w:rsidR="00CB1637" w:rsidRPr="00DA3672" w:rsidRDefault="00CB1637">
      <w:r w:rsidRPr="00DA3672">
        <w:rPr>
          <w:vertAlign w:val="superscript"/>
        </w:rPr>
        <w:t>*</w:t>
      </w:r>
      <w:r w:rsidRPr="00DA3672">
        <w:t>: tudor.popescu@univie.ac.at</w:t>
      </w:r>
    </w:p>
    <w:p w14:paraId="512D8D30" w14:textId="77777777" w:rsidR="00CB1637" w:rsidRPr="00DA3672" w:rsidRDefault="00CB1637"/>
    <w:p w14:paraId="5B8E3870" w14:textId="77777777" w:rsidR="00CB1637" w:rsidRPr="00DA3672" w:rsidRDefault="00CB1637" w:rsidP="000F1926">
      <w:pPr>
        <w:pStyle w:val="Heading1"/>
        <w:numPr>
          <w:ilvl w:val="0"/>
          <w:numId w:val="0"/>
        </w:numPr>
        <w:ind w:left="360"/>
      </w:pPr>
      <w:bookmarkStart w:id="0" w:name="_a2cxtjq30a8i" w:colFirst="0" w:colLast="0"/>
      <w:bookmarkEnd w:id="0"/>
      <w:r w:rsidRPr="00DA3672">
        <w:t>Abstract</w:t>
      </w:r>
    </w:p>
    <w:p w14:paraId="7A17FDE5" w14:textId="77777777" w:rsidR="00CB1637" w:rsidRPr="00DA3672" w:rsidRDefault="00CB1637" w:rsidP="006807CC">
      <w:r w:rsidRPr="00DA3672">
        <w:t>INTRODUCTION</w:t>
      </w:r>
    </w:p>
    <w:p w14:paraId="057438E6" w14:textId="78412486" w:rsidR="00CB1637" w:rsidRPr="00DA3672" w:rsidRDefault="00CB1637" w:rsidP="006807CC">
      <w:pPr>
        <w:ind w:left="720"/>
      </w:pPr>
      <w:r w:rsidRPr="00DA3672">
        <w:t xml:space="preserve">Melodic Intonation Therapy (MIT) is </w:t>
      </w:r>
      <w:r>
        <w:t>a</w:t>
      </w:r>
      <w:r w:rsidRPr="00DA3672">
        <w:t xml:space="preserve"> prominent </w:t>
      </w:r>
      <w:r w:rsidR="001E2EC4">
        <w:t xml:space="preserve">rehabilitation </w:t>
      </w:r>
      <w:r w:rsidRPr="00DA3672">
        <w:t>program</w:t>
      </w:r>
      <w:r w:rsidR="001E2EC4">
        <w:t>me</w:t>
      </w:r>
      <w:r w:rsidRPr="00DA3672">
        <w:t xml:space="preserve"> for individuals with post-stroke aphasia. Despite substantial progress in recent years, the overall efficacy and </w:t>
      </w:r>
      <w:r>
        <w:t>clinical relevance</w:t>
      </w:r>
      <w:r w:rsidRPr="00DA3672">
        <w:t xml:space="preserve"> of MIT </w:t>
      </w:r>
      <w:r>
        <w:t>remain not fully understood</w:t>
      </w:r>
      <w:r w:rsidRPr="00DA3672">
        <w:t xml:space="preserve">: available studies are </w:t>
      </w:r>
      <w:r>
        <w:t xml:space="preserve">often </w:t>
      </w:r>
      <w:r w:rsidRPr="00DA3672">
        <w:t xml:space="preserve">constrained by </w:t>
      </w:r>
      <w:r>
        <w:t>lack of standardised outcomes, randomisation or control group</w:t>
      </w:r>
      <w:r w:rsidRPr="00DA3672">
        <w:t xml:space="preserve">. These limitations </w:t>
      </w:r>
      <w:r>
        <w:t>challenge the interpretation of the data.</w:t>
      </w:r>
    </w:p>
    <w:p w14:paraId="56B78906" w14:textId="77777777" w:rsidR="00CB1637" w:rsidRPr="00DA3672" w:rsidRDefault="00CB1637" w:rsidP="006807CC">
      <w:r w:rsidRPr="00DA3672">
        <w:t>AIMS</w:t>
      </w:r>
    </w:p>
    <w:p w14:paraId="5A10913B" w14:textId="77777777" w:rsidR="00CB1637" w:rsidRPr="00DA3672" w:rsidRDefault="00CB1637" w:rsidP="006807CC">
      <w:pPr>
        <w:ind w:left="720"/>
      </w:pPr>
      <w:r w:rsidRPr="00DA3672">
        <w:t xml:space="preserve">The present meta-analysis seeks to determine the efficacy and </w:t>
      </w:r>
      <w:r>
        <w:t>clinical relevance</w:t>
      </w:r>
      <w:r w:rsidRPr="00DA3672">
        <w:t xml:space="preserve"> of MIT while considering </w:t>
      </w:r>
      <w:r>
        <w:t>quality of</w:t>
      </w:r>
      <w:r w:rsidRPr="00DA3672">
        <w:t xml:space="preserve"> outcomes (psychometrically </w:t>
      </w:r>
      <w:r>
        <w:t>validated</w:t>
      </w:r>
      <w:r w:rsidRPr="00DA3672">
        <w:t xml:space="preserve"> </w:t>
      </w:r>
      <w:r w:rsidRPr="00FC75AC">
        <w:rPr>
          <w:i/>
        </w:rPr>
        <w:t>versus</w:t>
      </w:r>
      <w:r w:rsidRPr="00DA3672">
        <w:t xml:space="preserve"> </w:t>
      </w:r>
      <w:r>
        <w:t>unvalidated</w:t>
      </w:r>
      <w:r w:rsidRPr="00DA3672">
        <w:t xml:space="preserve"> measures), experimental design</w:t>
      </w:r>
      <w:r>
        <w:t> </w:t>
      </w:r>
      <w:r w:rsidRPr="00DA3672">
        <w:t xml:space="preserve">(presence </w:t>
      </w:r>
      <w:r w:rsidRPr="00FC75AC">
        <w:rPr>
          <w:i/>
        </w:rPr>
        <w:t>versus</w:t>
      </w:r>
      <w:r w:rsidRPr="00DA3672">
        <w:t xml:space="preserve"> absence of </w:t>
      </w:r>
      <w:r>
        <w:t>randomisation and control group</w:t>
      </w:r>
      <w:r w:rsidRPr="00DA3672">
        <w:t xml:space="preserve">), </w:t>
      </w:r>
      <w:r>
        <w:t>influence of spontaneous recovery </w:t>
      </w:r>
      <w:r w:rsidRPr="00DA3672">
        <w:t>(</w:t>
      </w:r>
      <w:r w:rsidR="000E6430">
        <w:t>quantified as</w:t>
      </w:r>
      <w:r w:rsidR="000E6430" w:rsidRPr="001A110F">
        <w:t xml:space="preserve"> number of months post-stroke</w:t>
      </w:r>
      <w:r w:rsidRPr="00DA3672">
        <w:t xml:space="preserve">), </w:t>
      </w:r>
      <w:r>
        <w:t>MIT version</w:t>
      </w:r>
      <w:r w:rsidRPr="00DA3672">
        <w:t xml:space="preserve"> </w:t>
      </w:r>
      <w:r>
        <w:t>applied </w:t>
      </w:r>
      <w:r w:rsidRPr="00DA3672">
        <w:t xml:space="preserve">(original </w:t>
      </w:r>
      <w:r w:rsidRPr="00EE0AC0">
        <w:rPr>
          <w:i/>
        </w:rPr>
        <w:t>versus</w:t>
      </w:r>
      <w:r w:rsidRPr="00DA3672">
        <w:t xml:space="preserve"> modified</w:t>
      </w:r>
      <w:r w:rsidRPr="00EE0AC0">
        <w:t xml:space="preserve"> </w:t>
      </w:r>
      <w:r w:rsidRPr="00DA3672">
        <w:t>protocol)</w:t>
      </w:r>
      <w:r>
        <w:t xml:space="preserve">, and </w:t>
      </w:r>
      <w:r w:rsidRPr="00DA3672">
        <w:t>level of generali</w:t>
      </w:r>
      <w:r>
        <w:t>s</w:t>
      </w:r>
      <w:r w:rsidRPr="00DA3672">
        <w:t>ation (</w:t>
      </w:r>
      <w:r>
        <w:t xml:space="preserve">testing </w:t>
      </w:r>
      <w:r w:rsidRPr="00DA3672">
        <w:t xml:space="preserve">performance on trained </w:t>
      </w:r>
      <w:r w:rsidRPr="00FC75AC">
        <w:rPr>
          <w:i/>
        </w:rPr>
        <w:t>versus</w:t>
      </w:r>
      <w:r w:rsidRPr="00DA3672">
        <w:t xml:space="preserve"> untrained items)</w:t>
      </w:r>
      <w:r>
        <w:t>.</w:t>
      </w:r>
    </w:p>
    <w:p w14:paraId="48A06D68" w14:textId="77777777" w:rsidR="00CB1637" w:rsidRPr="00DA3672" w:rsidRDefault="00CB1637" w:rsidP="006807CC">
      <w:r w:rsidRPr="00DA3672">
        <w:t>METHODS</w:t>
      </w:r>
    </w:p>
    <w:p w14:paraId="4D921AFA" w14:textId="3CA58F79" w:rsidR="00CB1637" w:rsidRPr="00DA3672" w:rsidRDefault="00CB1637" w:rsidP="006807CC">
      <w:pPr>
        <w:ind w:left="720"/>
      </w:pPr>
      <w:r w:rsidRPr="00DA3672">
        <w:t xml:space="preserve">An extensive literature search led to </w:t>
      </w:r>
      <w:r w:rsidRPr="00FA50B5">
        <w:rPr>
          <w:highlight w:val="darkGreen"/>
        </w:rPr>
        <w:t>X</w:t>
      </w:r>
      <w:r w:rsidRPr="00DA3672">
        <w:t xml:space="preserve"> studies being selected</w:t>
      </w:r>
      <w:r>
        <w:t xml:space="preserve">, </w:t>
      </w:r>
      <w:r w:rsidRPr="00FA50B5">
        <w:rPr>
          <w:highlight w:val="darkGreen"/>
        </w:rPr>
        <w:t>X</w:t>
      </w:r>
      <w:r>
        <w:t xml:space="preserve"> of which met the inclusion criteria.</w:t>
      </w:r>
      <w:r w:rsidRPr="00717291">
        <w:t xml:space="preserve"> Multi-level mixed- and random-effects models were </w:t>
      </w:r>
      <w:r>
        <w:t xml:space="preserve">used to </w:t>
      </w:r>
      <w:r w:rsidRPr="00717291">
        <w:t>separat</w:t>
      </w:r>
      <w:r>
        <w:t>ely meta-analyse</w:t>
      </w:r>
      <w:r w:rsidRPr="00717291">
        <w:t xml:space="preserve"> </w:t>
      </w:r>
      <w:r>
        <w:t>randomised controlled trial</w:t>
      </w:r>
      <w:r w:rsidR="00C903B7">
        <w:t> (RCT)</w:t>
      </w:r>
      <w:r>
        <w:t xml:space="preserve"> </w:t>
      </w:r>
      <w:r w:rsidRPr="00717291">
        <w:t xml:space="preserve">and </w:t>
      </w:r>
      <w:r>
        <w:t xml:space="preserve">non-RCT </w:t>
      </w:r>
      <w:r w:rsidR="00C903B7">
        <w:t>data</w:t>
      </w:r>
      <w:r>
        <w:t>.</w:t>
      </w:r>
    </w:p>
    <w:p w14:paraId="7921CDBF" w14:textId="77777777" w:rsidR="00CB1637" w:rsidRPr="00DA3672" w:rsidRDefault="00CB1637" w:rsidP="006807CC">
      <w:r w:rsidRPr="00DA3672">
        <w:t>REULTS</w:t>
      </w:r>
    </w:p>
    <w:p w14:paraId="20DF0BEE" w14:textId="7F161003" w:rsidR="00CB1637" w:rsidRDefault="00CB1637" w:rsidP="0022286C">
      <w:pPr>
        <w:ind w:left="720"/>
      </w:pPr>
      <w:r>
        <w:t>Unvalidated outcomes inflated the effect size</w:t>
      </w:r>
      <w:r w:rsidRPr="00483D6F">
        <w:t xml:space="preserve"> </w:t>
      </w:r>
      <w:r>
        <w:t xml:space="preserve">of MIT by a factor of </w:t>
      </w:r>
      <w:r w:rsidRPr="00FA50B5">
        <w:rPr>
          <w:highlight w:val="darkGreen"/>
        </w:rPr>
        <w:t>X</w:t>
      </w:r>
      <w:r>
        <w:t xml:space="preserve"> when compared to validated outcomes. Similarly, MIT effect size was 5.</w:t>
      </w:r>
      <w:r w:rsidRPr="00B27B09">
        <w:rPr>
          <w:highlight w:val="darkGreen"/>
        </w:rPr>
        <w:t>X</w:t>
      </w:r>
      <w:r>
        <w:t xml:space="preserve"> times larger for non-RCT data compared to RCT data. Effect size also decreased with number of months post-stroke, </w:t>
      </w:r>
      <w:r>
        <w:lastRenderedPageBreak/>
        <w:t xml:space="preserve">suggesting confounds related to spontaneous recovery, primarily within the first year post-stroke. In contrast, variation of the original MIT protocol did not systematically alter the benefit from treatment. </w:t>
      </w:r>
      <w:r w:rsidR="000A7F2D" w:rsidRPr="000A7F2D">
        <w:t xml:space="preserve">Crucially, analyses demonstrate significantly improved language performance on trained and untrained items; the latter finding mainly arose from gains in repetition tasks, but not in other domains of verbal expression, including everyday communication ability </w:t>
      </w:r>
      <w:r w:rsidR="000A6503" w:rsidRPr="00DA3672">
        <w:t>(</w:t>
      </w:r>
      <w:r w:rsidR="000A6503" w:rsidRPr="00DA3672">
        <w:rPr>
          <w:i/>
          <w:iCs/>
        </w:rPr>
        <w:t>g̅</w:t>
      </w:r>
      <w:r w:rsidR="000A6503" w:rsidRPr="00DA3672">
        <w:t xml:space="preserve"> = </w:t>
      </w:r>
      <w:r w:rsidR="000A6503">
        <w:t>−0.04</w:t>
      </w:r>
      <w:r w:rsidR="000A6503" w:rsidRPr="00DA3672">
        <w:t xml:space="preserve"> [95% CI </w:t>
      </w:r>
      <w:r w:rsidR="000A6503">
        <w:t>−0.57, 0.48]</w:t>
      </w:r>
      <w:r w:rsidR="000A6503" w:rsidRPr="00DA3672">
        <w:t>)</w:t>
      </w:r>
      <w:r>
        <w:t>.</w:t>
      </w:r>
    </w:p>
    <w:p w14:paraId="27D96089" w14:textId="77777777" w:rsidR="00CB1637" w:rsidRPr="00DA3672" w:rsidRDefault="00CB1637" w:rsidP="006807CC">
      <w:r w:rsidRPr="00DA3672">
        <w:t>CONCLUSIONS</w:t>
      </w:r>
    </w:p>
    <w:p w14:paraId="59592EA7" w14:textId="72EC92E2" w:rsidR="00CB1637" w:rsidRDefault="00C1235D" w:rsidP="00F17C48">
      <w:pPr>
        <w:ind w:left="720"/>
      </w:pPr>
      <w:r>
        <w:t xml:space="preserve">Accounting </w:t>
      </w:r>
      <w:r w:rsidR="00CB1637">
        <w:t xml:space="preserve">for various methodological </w:t>
      </w:r>
      <w:r w:rsidR="00DB5A4F">
        <w:t>aspects</w:t>
      </w:r>
      <w:r w:rsidR="00CB1637">
        <w:t>, the current results confirm the promising role of MIT in improving language performance on trained items and in repetition tasks</w:t>
      </w:r>
      <w:r w:rsidR="00C26F78">
        <w:t>,</w:t>
      </w:r>
      <w:r w:rsidR="00CB1637">
        <w:t xml:space="preserve"> while highlighting possible limitations in promoting </w:t>
      </w:r>
      <w:r w:rsidR="000E6430">
        <w:t>everyday communication ability.</w:t>
      </w:r>
    </w:p>
    <w:p w14:paraId="4D5F9010" w14:textId="77777777" w:rsidR="00CB1637" w:rsidRPr="00DA3672" w:rsidRDefault="00CB1637">
      <w:pPr>
        <w:ind w:left="720"/>
      </w:pPr>
    </w:p>
    <w:p w14:paraId="66269605" w14:textId="77777777" w:rsidR="00CB1637" w:rsidRPr="00DA3672" w:rsidRDefault="00CB1637" w:rsidP="0096096E">
      <w:pPr>
        <w:pStyle w:val="Heading1"/>
      </w:pPr>
      <w:bookmarkStart w:id="1" w:name="_pwr4jqgcf3ca" w:colFirst="0" w:colLast="0"/>
      <w:bookmarkEnd w:id="1"/>
      <w:r w:rsidRPr="00DA3672">
        <w:t>Introduction</w:t>
      </w:r>
    </w:p>
    <w:p w14:paraId="71562058" w14:textId="09F910D9" w:rsidR="00CB1637" w:rsidRDefault="004A578E" w:rsidP="00771F5B">
      <w:bookmarkStart w:id="2" w:name="_d3dn8g9mlijq" w:colFirst="0" w:colLast="0"/>
      <w:bookmarkEnd w:id="2"/>
      <w:r>
        <w:t>Stroke survivors</w:t>
      </w:r>
      <w:r w:rsidR="00CB1637" w:rsidRPr="00DA3672">
        <w:t xml:space="preserve"> often </w:t>
      </w:r>
      <w:r w:rsidR="00CB1637">
        <w:t>experience</w:t>
      </w:r>
      <w:r w:rsidR="00CB1637" w:rsidRPr="00DA3672">
        <w:t xml:space="preserve"> </w:t>
      </w:r>
      <w:r w:rsidR="00CB1637">
        <w:t>a profound loss of communication skills, among them a syndrome known as aphasia</w:t>
      </w:r>
      <w:r>
        <w:t>. T</w:t>
      </w:r>
      <w:r w:rsidR="00CB1637">
        <w:t xml:space="preserve">his syndrome may </w:t>
      </w:r>
      <w:r>
        <w:t>manifest as</w:t>
      </w:r>
      <w:r w:rsidR="00CB1637">
        <w:t xml:space="preserve"> </w:t>
      </w:r>
      <w:r>
        <w:t xml:space="preserve">severe </w:t>
      </w:r>
      <w:r w:rsidR="00DA6811">
        <w:t>difficult</w:t>
      </w:r>
      <w:r w:rsidR="00973B28">
        <w:t>y</w:t>
      </w:r>
      <w:r>
        <w:t xml:space="preserve"> in</w:t>
      </w:r>
      <w:r w:rsidR="00CB1637">
        <w:t xml:space="preserve"> verbal expression, referred to as ‘non-fluent aphasia.’ </w:t>
      </w:r>
      <w:r>
        <w:t>In addition, stroke survivors frequently suffer from impaired speech-motor planning.</w:t>
      </w:r>
      <w:r w:rsidRPr="00DA3672">
        <w:t xml:space="preserve"> </w:t>
      </w:r>
      <w:r>
        <w:t xml:space="preserve">Known as ‘apraxia of speech,’ this syndrome typically occurs in combination with aphasia. </w:t>
      </w:r>
      <w:r w:rsidR="00CB1637" w:rsidRPr="00DA3672">
        <w:t xml:space="preserve">Although </w:t>
      </w:r>
      <w:r w:rsidR="00CB1637">
        <w:t xml:space="preserve">about </w:t>
      </w:r>
      <w:r w:rsidR="00CB1637" w:rsidRPr="00DA3672">
        <w:t xml:space="preserve">a </w:t>
      </w:r>
      <w:r w:rsidR="00CB1637">
        <w:t xml:space="preserve">third </w:t>
      </w:r>
      <w:r w:rsidR="00CB1637" w:rsidRPr="00DA3672">
        <w:t xml:space="preserve">of </w:t>
      </w:r>
      <w:r w:rsidR="00CB1637">
        <w:t xml:space="preserve">individuals with </w:t>
      </w:r>
      <w:r w:rsidR="00662F4F">
        <w:t xml:space="preserve">neurological </w:t>
      </w:r>
      <w:r>
        <w:t xml:space="preserve">communication disorders </w:t>
      </w:r>
      <w:r w:rsidR="00CB1637">
        <w:t>do not</w:t>
      </w:r>
      <w:r w:rsidR="00CB1637" w:rsidRPr="00DA3672">
        <w:t xml:space="preserve"> recover completely</w:t>
      </w:r>
      <w:r w:rsidR="00CB1637">
        <w:t xml:space="preserve"> </w:t>
      </w:r>
      <w:r w:rsidR="00CB1637">
        <w:fldChar w:fldCharType="begin"/>
      </w:r>
      <w:r w:rsidR="003B01B7">
        <w:instrText xml:space="preserve"> ADDIN ZOTERO_ITEM CSL_CITATION {"citationID":"6TnUyfuz","properties":{"formattedCitation":"(Engelter et al., 2006)","plainCitation":"(Engelter et al., 2006)","noteIndex":0},"citationItems":[{"id":"nFN7BwCC/5gE3rxRf","uris":["http://zotero.org/users/7270/items/BHWPII6F"],"uri":["http://zotero.org/users/7270/items/BHWPII6F"],"itemData":{"id":13451,"type":"article-journal","abstract":"BACKGROUND AND PURPOSE: In a geographically defined population, we assessed incidence and determinants of aphasia attributable to first-ever ischemic stroke (FEIS).\nMETHODS: A 1-year prospective, population-based study among the permanent residents of the canton Basle City, Switzerland, was performed using multiple overlapping sources of information.\nRESULTS: Among 188,015 inhabitants, 269 patients had FEIS, of whom 80 (30%; 95% CI, 24 to 36) had aphasia. The overall incidence rate of aphasia attributable to FEIS amounted to 43 per 100,000 inhabitants (95% CI, 33 to 52). Aphasic stroke patients were older than nonaphasic patients. The risk of aphasia attributable to FEIS increased by 4% (95% CI, 1% to 7%), and after controlling for atrial fibrillation, by 3% (95% CI, 1% to 7%) with each year of patients' age. Gender had no effect on incidence, severity, or fluency of aphasia. Cardioembolism was more frequent in aphasic stroke patients than in nonaphasic ones (odds ratio [OR], 1.85; 95% CI, 1.07 to 3.20). Aphasic patients sought medical help earlier than nonaphasic stroke patients. Still, after controlling for stroke onset-assessment interval, aphasic stroke patients were more likely to receive thrombolysis than nonaphasics (OR, 3.5; 95% CI, 1.12 to 10.96).\nCONCLUSIONS: Annually, 43 of 100,000 inhabitants had aphasia resulting from first ischemic stroke. Advancing age and cardioembolism were associated with an increased risk for aphasia. Severity and fluency of aphasia were not affected by demographic variables.","container-title":"Stroke","DOI":"10.1161/01.STR.0000221815.64093.8c","ISSN":"1524-4628","issue":"6","journalAbbreviation":"Stroke","language":"eng","note":"00672 \nPMID: 16690899","page":"1379-1384","source":"PubMed","title":"Epidemiology of aphasia attributable to first ischemic stroke: incidence, severity, fluency, etiology, and thrombolysis","title-short":"Epidemiology of aphasia attributable to first ischemic stroke","volume":"37","author":[{"family":"Engelter","given":"Stefan T."},{"family":"Gostynski","given":"Michal"},{"family":"Papa","given":"Susanna"},{"family":"Frei","given":"Maya"},{"family":"Born","given":"Claudia"},{"family":"Ajdacic-Gross","given":"Vladeta"},{"family":"Gutzwiller","given":"Felix"},{"family":"Lyrer","given":"Phillipe A."}],"issued":{"date-parts":[["2006",6]]}}}],"schema":"https://github.com/citation-style-language/schema/raw/master/csl-citation.json"} </w:instrText>
      </w:r>
      <w:r w:rsidR="00CB1637">
        <w:fldChar w:fldCharType="separate"/>
      </w:r>
      <w:r w:rsidR="00CB1637" w:rsidRPr="00600E6D">
        <w:t>(Engelter et al., 2006)</w:t>
      </w:r>
      <w:r w:rsidR="00CB1637">
        <w:fldChar w:fldCharType="end"/>
      </w:r>
      <w:r w:rsidR="00CB1637" w:rsidRPr="00DA3672">
        <w:t xml:space="preserve">, </w:t>
      </w:r>
      <w:r w:rsidR="00860917">
        <w:t>rehabilitation programmes</w:t>
      </w:r>
      <w:r w:rsidR="00CF769F">
        <w:t xml:space="preserve"> can</w:t>
      </w:r>
      <w:r w:rsidR="00CB1637" w:rsidRPr="00DA3672">
        <w:t xml:space="preserve"> </w:t>
      </w:r>
      <w:r w:rsidR="00CB1637">
        <w:t>improve language performance</w:t>
      </w:r>
      <w:r w:rsidR="00CB1637" w:rsidRPr="00DA3672">
        <w:t xml:space="preserve"> </w:t>
      </w:r>
      <w:r w:rsidR="00CB1637">
        <w:t xml:space="preserve">even in the chronic stage of symptoms </w:t>
      </w:r>
      <w:r w:rsidR="00CB1637">
        <w:fldChar w:fldCharType="begin"/>
      </w:r>
      <w:r w:rsidR="003B01B7">
        <w:instrText xml:space="preserve"> ADDIN ZOTERO_ITEM CSL_CITATION {"citationID":"3oObKJUt","properties":{"formattedCitation":"(Breitenstein et al., 2017)","plainCitation":"(Breitenstein et al., 2017)","noteIndex":0},"citationItems":[{"id":"nFN7BwCC/YrBPhe9E","uris":["http://zotero.org/users/7270/items/5F3F45FP"],"uri":["http://zotero.org/users/7270/items/5F3F45FP"],"itemData":{"id":9672,"type":"article-journal","abstract":"Summary\nBackground\nTreatment guidelines for aphasia recommend intensive speech and language therapy for chronic (≥6 months) aphasia after stroke, but large-scale, class 1 randomised controlled trials on treatment effectiveness are scarce. We aimed to examine whether 3 weeks of intensive speech and language therapy under routine clinical conditions improved verbal communication in daily-life situations in people with chronic aphasia after stroke.\nMethods\nIn this multicentre, parallel group, superiority, open-label, blinded-endpoint, randomised controlled trial, patients aged 70 years or younger with aphasia after stroke lasting for 6 months or more were recruited from 19 inpatient or outpatient rehabilitation centres in Germany. An external biostatistician used a computer-generated permuted block randomisation method, stratified by treatment centre, to randomly assign participants to either 3 weeks or more of intensive speech and language therapy (≥10 h per week) or 3 weeks deferral of intensive speech and language therapy. The primary endpoint was between-group difference in the change in verbal communication effectiveness in everyday life scenarios (Amsterdam–Nijmegen Everyday Language Test A-scale) from baseline to immediately after 3 weeks of treatment or treatment deferral. All analyses were done using the modified intention-to-treat population (those who received 1 day or more of intensive treatment or treatment deferral). This study is registered with ClinicalTrials.gov, number NCT01540383.\nFindings\nWe randomly assigned 158 patients between April 1, 2012, and May 31, 2014. The modified intention-to-treat population comprised 156 patients (78 per group). Verbal communication was significantly improved from baseline to after intensive speech and language treatment (mean difference 2·61 points [SD 4·94]; 95% CI 1·49 to 3·72), but not from baseline to after treatment deferral (−0·03 points [4·04]; −0·94 to 0·88; between-group difference Cohen's d 0·58; p=0·0004). Eight patients had adverse events during therapy or treatment deferral (one car accident [in the control group], two common cold [one patient per group], three gastrointestinal or cardiac symptoms [all intervention group], two recurrent stroke [one in intervention group before initiation of treatment, and one before group assignment had occurred]); all were unrelated to study participation.\nInterpretation\n3 weeks of intensive speech and language therapy significantly enhanced verbal communication in people aged 70 years or younger with chronic aphasia after stroke, providing an effective evidence-based treatment approach in this population. Future studies should examine the minimum treatment intensity required for meaningful treatment effects, and determine whether treatment effects cumulate over repeated intervention periods.\nFunding\nGerman Federal Ministry of Education and Research and the German Society for Aphasia Research and Treatment.","container-title":"The Lancet","DOI":"10.1016/S0140-6736(17)30067-3","ISSN":"0140-6736","issue":"10078","journalAbbreviation":"The Lancet","note":"00063","page":"1528-1538","source":"ScienceDirect","title":"Intensive speech and language therapy in patients with chronic aphasia after stroke: a randomised, open-label, blinded-endpoint, controlled trial in a health-care setting","title-short":"Intensive speech and language therapy in patients with chronic aphasia after stroke","volume":"389","author":[{"family":"Breitenstein","given":"Caterina"},{"family":"Grewe","given":"Tanja"},{"family":"Flöel","given":"Agnes"},{"family":"Ziegler","given":"Wolfram"},{"family":"Springer","given":"Luise"},{"family":"Martus","given":"Peter"},{"family":"Huber","given":"Walter"},{"family":"Willmes","given":"Klaus"},{"family":"Ringelstein","given":"E Bernd"},{"family":"Haeusler","given":"Karl Georg"},{"family":"Abel","given":"Stefanie"},{"family":"Glindemann","given":"Ralf"},{"family":"Domahs","given":"Frank"},{"family":"Regenbrecht","given":"Frank"},{"family":"Schlenck","given":"Klaus-Jürgen"},{"family":"Thomas","given":"Marion"},{"family":"Obrig","given":"Hellmuth"},{"family":"Langen","given":"Ernst","non-dropping-particle":"de"},{"family":"Rocker","given":"Roman"},{"family":"Wigbers","given":"Franziska"},{"family":"Rühmkorf","given":"Christina"},{"family":"Hempen","given":"Indra"},{"family":"List","given":"Jonathan"},{"family":"Baumgaertner","given":"Annette"},{"family":"Villringer","given":"A"},{"family":"Bley","given":"M"},{"family":"Jöbges","given":"M"},{"family":"Halm","given":"K"},{"family":"Schulz","given":"J"},{"family":"Werner","given":"C"},{"family":"Goldenberg","given":"G"},{"family":"Klingenberg","given":"G"},{"family":"König","given":"E"},{"family":"Müller","given":"F"},{"family":"Gröne","given":"B"},{"family":"Knecht","given":"S"},{"family":"Baake","given":"R"},{"family":"Knauss","given":"J"},{"family":"Miethe","given":"S"},{"family":"Steller","given":"U"},{"family":"Sudhoff","given":"R"},{"family":"Schillikowski","given":"E"},{"family":"Pfeiffer","given":"G"},{"family":"Billo","given":"K"},{"family":"Hoffmann","given":"H"},{"family":"Ferneding","given":"F-J"},{"family":"Runge","given":"S"},{"family":"Keck","given":"T"},{"family":"Middeldorf","given":"V"},{"family":"Krüger","given":"S"},{"family":"Wilde","given":"B"},{"family":"Krakow","given":"K"},{"family":"Berghoff","given":"C"},{"family":"Reinhuber","given":"F"},{"family":"Maser","given":"I"},{"family":"Hofmann","given":"W"},{"family":"Sous-Kulke","given":"C"},{"family":"Schupp","given":"W"},{"family":"Oertel","given":"A"},{"family":"Bätz","given":"D"},{"family":"Hamzei","given":"F"},{"family":"Schulz","given":"K"},{"family":"Meyer","given":"A"},{"family":"Kartmann","given":"A"},{"family":"Som","given":"O'N"},{"family":"Schipke","given":"S-B"},{"family":"Bamborschke","given":"S"}],"issued":{"date-parts":[["2017",4,15]]}}}],"schema":"https://github.com/citation-style-language/schema/raw/master/csl-citation.json"} </w:instrText>
      </w:r>
      <w:r w:rsidR="00CB1637">
        <w:fldChar w:fldCharType="separate"/>
      </w:r>
      <w:r w:rsidR="00CB1637" w:rsidRPr="00600E6D">
        <w:t>(Breitenstein et al., 2017)</w:t>
      </w:r>
      <w:r w:rsidR="00CB1637">
        <w:fldChar w:fldCharType="end"/>
      </w:r>
      <w:r w:rsidR="00CB1637" w:rsidRPr="00DA3672">
        <w:t>.</w:t>
      </w:r>
    </w:p>
    <w:p w14:paraId="1023CAB4" w14:textId="264E6DDC" w:rsidR="00CB1637" w:rsidRDefault="00CB1637" w:rsidP="00771F5B">
      <w:r w:rsidRPr="00DA3672">
        <w:t xml:space="preserve">Melodic Intonation Therapy </w:t>
      </w:r>
      <w:r>
        <w:t>(MIT) is a prominent</w:t>
      </w:r>
      <w:r w:rsidRPr="00DA3672">
        <w:t xml:space="preserve"> </w:t>
      </w:r>
      <w:r w:rsidR="00860917">
        <w:t xml:space="preserve">rehabilitation </w:t>
      </w:r>
      <w:r>
        <w:t>programme originally developed for</w:t>
      </w:r>
      <w:r w:rsidRPr="00DA3672">
        <w:t xml:space="preserve"> </w:t>
      </w:r>
      <w:r>
        <w:t xml:space="preserve">individuals with non-fluent </w:t>
      </w:r>
      <w:r w:rsidRPr="00DA3672">
        <w:t xml:space="preserve">aphasia </w:t>
      </w:r>
      <w:r>
        <w:fldChar w:fldCharType="begin"/>
      </w:r>
      <w:r w:rsidR="003B01B7">
        <w:instrText xml:space="preserve"> ADDIN ZOTERO_ITEM CSL_CITATION {"citationID":"CerBtBGq","properties":{"formattedCitation":"(Albert et al., 1973)","plainCitation":"(Albert et al., 1973)","noteIndex":0},"citationItems":[{"id":"nFN7BwCC/oHonccDU","uris":["http://zotero.org/users/7270/items/KAWPME3D"],"uri":["http://zotero.org/users/7270/items/KAWPME3D"],"itemData":{"id":4849,"type":"article-journal","container-title":"Archives of Neurology","DOI":"10.1001/archneur.1973.00490260074018","ISSN":"0003-9942","issue":"2","language":"en","note":"00591","page":"130-131","source":"Crossref","title":"Melodic Intonation Therapy for Aphasia","volume":"29","author":[{"family":"Albert","given":"M. L."},{"family":"Sparks","given":"R. W."},{"family":"Helm","given":"N. A."}],"issued":{"date-parts":[["1973",8,1]]}}}],"schema":"https://github.com/citation-style-language/schema/raw/master/csl-citation.json"} </w:instrText>
      </w:r>
      <w:r>
        <w:fldChar w:fldCharType="separate"/>
      </w:r>
      <w:r w:rsidR="00EA5707" w:rsidRPr="00EA5707">
        <w:t>(Albert et al., 1973)</w:t>
      </w:r>
      <w:r>
        <w:fldChar w:fldCharType="end"/>
      </w:r>
      <w:r>
        <w:t xml:space="preserve">. </w:t>
      </w:r>
      <w:r w:rsidR="00662F4F">
        <w:t>D</w:t>
      </w:r>
      <w:r>
        <w:t>raw</w:t>
      </w:r>
      <w:r w:rsidR="00662F4F">
        <w:t>ing</w:t>
      </w:r>
      <w:r>
        <w:t xml:space="preserve"> </w:t>
      </w:r>
      <w:r w:rsidRPr="00DA3672">
        <w:t xml:space="preserve">on the observation that </w:t>
      </w:r>
      <w:r>
        <w:t xml:space="preserve">individuals with </w:t>
      </w:r>
      <w:r w:rsidR="00662F4F">
        <w:t xml:space="preserve">neurological communication disorders </w:t>
      </w:r>
      <w:r>
        <w:t xml:space="preserve">are </w:t>
      </w:r>
      <w:r w:rsidRPr="00DA3672">
        <w:t xml:space="preserve">often </w:t>
      </w:r>
      <w:r>
        <w:t xml:space="preserve">able to </w:t>
      </w:r>
      <w:r w:rsidRPr="00DA3672">
        <w:t xml:space="preserve">sing </w:t>
      </w:r>
      <w:r>
        <w:t xml:space="preserve">entire pieces of text fluently </w:t>
      </w:r>
      <w:r>
        <w:fldChar w:fldCharType="begin"/>
      </w:r>
      <w:r w:rsidR="003B01B7">
        <w:instrText xml:space="preserve"> ADDIN ZOTERO_ITEM CSL_CITATION {"citationID":"qmFFZ7nc","properties":{"formattedCitation":"(Gerstman, 1964; Mills, 1904; Yamadori et al., 1977)","plainCitation":"(Gerstman, 1964; Mills, 1904; Yamadori et al., 1977)","noteIndex":0},"citationItems":[{"id":"nFN7BwCC/6AfRbcAE","uris":["http://zotero.org/users/7270/items/LF7GA52X"],"uri":["http://zotero.org/users/7270/items/LF7GA52X"],"itemData":{"id":13079,"type":"article-journal","container-title":"The Journal of Speech and Hearing Disorders","DOI":"10.1044/jshd.2901.89","ISSN":"0022-4677","journalAbbreviation":"J Speech Hear Disord","language":"eng","note":"00054 \nPMID: 14122673","page":"89-91","source":"PubMed","title":"A case of aphasia","volume":"29","author":[{"family":"Gerstman","given":"H. L."}],"issued":{"date-parts":[["1964",2]]}},"label":"page"},{"id":"nFN7BwCC/FhNoy2bO","uris":["http://zotero.org/users/7270/items/4S4XRST4"],"uri":["http://zotero.org/users/7270/items/4S4XRST4"],"itemData":{"id":13081,"type":"article-journal","container-title":"Journal of the American Medical Association","issue":"26","note":"00060 \npublisher: American Medical Association","page":"1940–1949","source":"Google Scholar","title":"Treatment of aphasia by training","volume":"43","author":[{"family":"Mills","given":"Charles K."}],"issued":{"date-parts":[["1904"]]}},"label":"page"},{"id":"nFN7BwCC/K4MsNMSa","uris":["http://zotero.org/users/7270/items/H6YLC5GG"],"uri":["http://zotero.org/users/7270/items/H6YLC5GG"],"itemData":{"id":13076,"type":"article-journal","abstract":"Twenty-four right-handed, right hemiparetic patients with Broca's aphasia were examined for their singing capacity. Twenty-one (87.5%) produced good melogy. Twelve of these (57%) produced good text words while singing. It is speculated that the right hemisphere is dominant over the left for singing capacity. The relationship between melodic and text singing was also discussed.","container-title":"Journal of Neurology, Neurosurgery, and Psychiatry","DOI":"10.1136/jnnp.40.3.221","ISSN":"0022-3050","issue":"3","journalAbbreviation":"J Neurol Neurosurg Psychiatry","language":"eng","note":"00186 \nPMID: 886348\nPMCID: PMC492653","page":"221-224","source":"PubMed","title":"Preservation of singing in Broca's aphasia","volume":"40","author":[{"family":"Yamadori","given":"A."},{"family":"Osumi","given":"Y."},{"family":"Masuhara","given":"S."},{"family":"Okubo","given":"M."}],"issued":{"date-parts":[["1977",3]]}},"label":"page"}],"schema":"https://github.com/citation-style-language/schema/raw/master/csl-citation.json"} </w:instrText>
      </w:r>
      <w:r>
        <w:fldChar w:fldCharType="separate"/>
      </w:r>
      <w:r w:rsidRPr="00600E6D">
        <w:t>(Gerstman, 1964; Mills, 1904; Yamadori et al., 1977)</w:t>
      </w:r>
      <w:r>
        <w:fldChar w:fldCharType="end"/>
      </w:r>
      <w:r w:rsidR="00662F4F">
        <w:t>,</w:t>
      </w:r>
      <w:r w:rsidRPr="00DA3672">
        <w:t xml:space="preserve"> MIT uses </w:t>
      </w:r>
      <w:r>
        <w:t xml:space="preserve">melody, rhythm, vocal expression (in unison and alone), left-hand tapping, formulaic and non-formulaic </w:t>
      </w:r>
      <w:r w:rsidR="00860917">
        <w:t xml:space="preserve">verbal </w:t>
      </w:r>
      <w:r>
        <w:t>utterances, as well as other therapeutic elements, in a</w:t>
      </w:r>
      <w:r w:rsidRPr="00DA3672">
        <w:t xml:space="preserve"> hierarchically structured </w:t>
      </w:r>
      <w:r>
        <w:t>protocol</w:t>
      </w:r>
      <w:r w:rsidR="00662F4F">
        <w:t xml:space="preserve"> </w:t>
      </w:r>
      <w:r w:rsidR="00217671">
        <w:fldChar w:fldCharType="begin"/>
      </w:r>
      <w:r w:rsidR="003B01B7">
        <w:instrText xml:space="preserve"> ADDIN ZOTERO_ITEM CSL_CITATION {"citationID":"ZjvSZPWa","properties":{"formattedCitation":"(Helm-Estabrooks et al., 1989)","plainCitation":"(Helm-Estabrooks et al., 1989)","noteIndex":0},"citationItems":[{"id":"nFN7BwCC/snhc1Btw","uris":["http://zotero.org/users/7270/items/E5GCNUNW"],"uri":["http://zotero.org/users/7270/items/E5GCNUNW"],"itemData":{"id":13075,"type":"book","note":"00095","publisher":"Pro-Ed","source":"Google Scholar","title":"Melodic intonation therapy","author":[{"family":"Helm-Estabrooks","given":"Nancy"},{"family":"Morgan","given":"Alisa Ruggiero"},{"family":"Nicholas","given":"Marjorie"}],"issued":{"date-parts":[["1989"]]}}}],"schema":"https://github.com/citation-style-language/schema/raw/master/csl-citation.json"} </w:instrText>
      </w:r>
      <w:r w:rsidR="00217671">
        <w:fldChar w:fldCharType="separate"/>
      </w:r>
      <w:r w:rsidR="00217671" w:rsidRPr="00217671">
        <w:t>(Helm-Estabrooks et al., 1989)</w:t>
      </w:r>
      <w:r w:rsidR="00217671">
        <w:fldChar w:fldCharType="end"/>
      </w:r>
      <w:r w:rsidRPr="00DA3672">
        <w:t xml:space="preserve">. </w:t>
      </w:r>
      <w:r>
        <w:t>To date</w:t>
      </w:r>
      <w:r w:rsidRPr="00F6186E">
        <w:rPr>
          <w:spacing w:val="2"/>
        </w:rPr>
        <w:t>, randomi</w:t>
      </w:r>
      <w:r>
        <w:rPr>
          <w:spacing w:val="2"/>
        </w:rPr>
        <w:t>s</w:t>
      </w:r>
      <w:r w:rsidRPr="00F6186E">
        <w:rPr>
          <w:spacing w:val="2"/>
        </w:rPr>
        <w:t>ed controlled trial</w:t>
      </w:r>
      <w:r>
        <w:rPr>
          <w:spacing w:val="2"/>
        </w:rPr>
        <w:t xml:space="preserve"> (RCT) data</w:t>
      </w:r>
      <w:r w:rsidRPr="008A6B94">
        <w:t xml:space="preserve"> have confirmed the efficacy of </w:t>
      </w:r>
      <w:r>
        <w:t>MIT</w:t>
      </w:r>
      <w:r w:rsidRPr="008A6B94">
        <w:t xml:space="preserve"> on </w:t>
      </w:r>
      <w:r w:rsidR="008A4CA7">
        <w:t xml:space="preserve">validated </w:t>
      </w:r>
      <w:r w:rsidRPr="008A6B94">
        <w:t>outcome</w:t>
      </w:r>
      <w:r>
        <w:t>s</w:t>
      </w:r>
      <w:r w:rsidRPr="008A6B94">
        <w:t xml:space="preserve"> in the </w:t>
      </w:r>
      <w:r w:rsidRPr="008A6B94">
        <w:rPr>
          <w:i/>
        </w:rPr>
        <w:t>late subacute</w:t>
      </w:r>
      <w:r w:rsidRPr="008A6B94">
        <w:t xml:space="preserve"> or </w:t>
      </w:r>
      <w:r w:rsidRPr="008A6B94">
        <w:rPr>
          <w:i/>
        </w:rPr>
        <w:t>consolidation</w:t>
      </w:r>
      <w:r w:rsidRPr="008A6B94">
        <w:t xml:space="preserve"> stage of aphasia</w:t>
      </w:r>
      <w:r w:rsidR="001C577C">
        <w:t xml:space="preserve"> </w:t>
      </w:r>
      <w:r>
        <w:fldChar w:fldCharType="begin"/>
      </w:r>
      <w:r w:rsidR="003B01B7">
        <w:instrText xml:space="preserve"> ADDIN ZOTERO_ITEM CSL_CITATION {"citationID":"WFr5RiJ0","properties":{"formattedCitation":"(i.e., up to 12 months after stroke; van der Meulen et al., 2014)","plainCitation":"(i.e., up to 12 months after stroke; van der Meulen et al., 2014)","noteIndex":0},"citationItems":[{"id":"nFN7BwCC/mv8rFdPa","uris":["http://zotero.org/users/7270/items/FCYGBUGX"],"uri":["http://zotero.org/users/7270/items/FCYGBUGX"],"itemData":{"id":4900,"type":"article-journal","abstract":"Background. Little is known about the efficacy of language production treatment in subacute severe nonfluent aphasia. Although Melodic Intonation Therapy (MIT) is a language production treatment for this disorder, until now MIT effect studies have focused on chronic aphasia. Purpose. This study examines whether language production treatment with MIT is effective in subacute severe nonfluent aphasia. Methods. A multicenter, randomized controlled trial was conducted in a waiting-list control design: patients were randomly allocated to the experimental group (MIT) or the control group (control intervention followed by delayed MIT). In both groups, therapy started at 2 to 3 months poststroke and was given intensively (5 h/wk) during 6 weeks. In a second therapy period, the control group received 6 weeks of intensive MIT. The experimental group resumed their regular treatment. Assessment was done at baseline (T1), after the first intervention period (T2), and after the second intervention period (T3). Efficacy was evaluated at T2. The impact of delaying MIT on therapy outcome was also examined. Results. A total of 27 participants were included: n = 16 in the experimental group and n = 11 in the control group. A significant effect in favor of MIT on language repetition was observed for trained items, with mixed results for untrained items. After MIT there was a significant improvement in verbal communication but not after the control intervention. Finally, delaying MIT was related to less improvement in the repetition of trained material. Conclusions. In these patients with subacute severe nonfluent aphasia, language production treatment with MIT was effective. Earlier treatment may lead to greater improvement.","container-title":"Neurorehabilitation and Neural Repair","DOI":"10.1177/1545968313517753","ISSN":"1545-9683","issue":"6","journalAbbreviation":"Neurorehabil Neural Repair","language":"en","note":"00047","page":"536-544","source":"SAGE Journals","title":"The Efficacy and Timing of Melodic Intonation Therapy in Subacute Aphasia","volume":"28","author":[{"family":"Meulen","given":"Ineke","non-dropping-particle":"van der"},{"family":"Sandt-Koenderman","given":"W.Mieke.E.","non-dropping-particle":"van de"},{"family":"Heijenbrok-Kal","given":"Majanka H."},{"family":"Visch-Brink","given":"Evy G."},{"family":"Ribbers","given":"Gerard M."}],"issued":{"date-parts":[["2014",7,1]]}},"prefix":"i.e., up to 12 months after stroke; "}],"schema":"https://github.com/citation-style-language/schema/raw/master/csl-citation.json"} </w:instrText>
      </w:r>
      <w:r>
        <w:fldChar w:fldCharType="separate"/>
      </w:r>
      <w:r w:rsidR="002B0EB8" w:rsidRPr="002B0EB8">
        <w:t>(i.e., up to 12 months after stroke; van der Meulen et al., 2014)</w:t>
      </w:r>
      <w:r>
        <w:fldChar w:fldCharType="end"/>
      </w:r>
      <w:r>
        <w:t>;</w:t>
      </w:r>
      <w:r w:rsidRPr="008A6B94">
        <w:t xml:space="preserve"> but not in the </w:t>
      </w:r>
      <w:r w:rsidRPr="008A6B94">
        <w:rPr>
          <w:i/>
        </w:rPr>
        <w:t>chronic</w:t>
      </w:r>
      <w:r w:rsidRPr="008A6B94">
        <w:t xml:space="preserve"> stage of aphasia</w:t>
      </w:r>
      <w:r w:rsidR="001C577C">
        <w:t xml:space="preserve"> </w:t>
      </w:r>
      <w:r>
        <w:fldChar w:fldCharType="begin"/>
      </w:r>
      <w:r w:rsidR="003B01B7">
        <w:instrText xml:space="preserve"> ADDIN ZOTERO_ITEM CSL_CITATION {"citationID":"2hZ8AcB0","properties":{"formattedCitation":"(i.e. more than 6\\uc0\\u8211{}12 months after stroke; Van Der Meulen et al., 2016)","plainCitation":"(i.e. more than 6–12 months after stroke; Van Der Meulen et al., 2016)","noteIndex":0},"citationItems":[{"id":"nFN7BwCC/DKXYkRuH","uris":["http://zotero.org/users/7270/items/U2ST4KSH"],"uri":["http://zotero.org/users/7270/items/U2ST4KSH"],"itemData":{"id":5046,"type":"article-journal","abstract":"Abstract Melodic Intonation Therapy (MIT) is a language production therapy for severely non-fluent aphasic patients using melodic intoning and rhythm to restore language. Although many studies have reported its beneficial effects on language production, randomized controlled trials (RCT) examining the efficacy of MIT are rare. In an earlier publication, we presented the results of an RCT on MIT in subacute aphasia and found that MIT was effective on trained and untrained items. Further, we observed a clear trend in improved functional language use after MIT. Subacute aphasic patients receiving MIT improved considerably on language tasks measuring connected speech and daily life verbal communication. Here, we present the results of a pilot RCT on MIT in chronic aphasia and compare these to the results observed in subacute aphasia. We used a multicenter waiting-list randomized controlled trial design. Patients with chronic (&gt;1 year) post-stroke aphasia were randomly allocated to the experimental group (6 weeks MIT) or to the control group (6 weeks no intervention followed by 6 weeks MIT). Assessments were done at baseline (T1), after 6 weeks (T2), and 6 weeks later (T3). Efficacy was evaluated at T2 using univariable linear regression analyses. Outcome measures were chosen to examine several levels of therapy success: improvement on trained items, generalization to untrained items, and generalization to verbal communication. Of 17 included patients, 10 were allocated to the experimental condition and 7 to the control condition. MIT significantly improved repetition of trained items (β=13.32, p=.02). This effect did not remain stable at follow-up assessment. In contrast to earlier studies, we found only a limited and temporary effect of MIT, without generalization to untrained material or to functional communication. The results further suggest that the effect of MIT in chronic aphasia is more restricted than its effect in earlier stages post stroke. This is in line with studies showing larger effects of aphasia therapy in earlier compared to later stages post stroke. The study was designed as an RCT, but was underpowered. The results therefore have to be interpreted cautiously and future larger studies are needed. Clinical Trial Number: Dutch Trial Register: NTR 1961","container-title":"Frontiers in Human Neuroscience","DOI":"10.3389/fnhum.2016.00533","ISSN":"1662-5161","journalAbbreviation":"Front. Hum. Neurosci.","language":"English","note":"00015","source":"Frontiers","title":"Melodic Intonation Therapy in Chronic Aphasia: Evidence from a Pilot Randomized Controlled Trial","title-short":"Melodic Intonation Therapy in Chronic Aphasia","URL":"https://www.frontiersin.org/articles/10.3389/fnhum.2016.00533/full","volume":"10","author":[{"family":"Van Der Meulen","given":"Ineke"},{"family":"Van De Sandt-Koenderman","given":"Mieke W. M. E."},{"family":"Heijenbrok","given":"Majanka H."},{"family":"Visch-Brink","given":"Evy"},{"family":"Ribbers","given":"Gerard M."}],"accessed":{"date-parts":[["2019",1,31]]},"issued":{"date-parts":[["2016"]]}},"prefix":"i.e. more than 6–12 months after stroke; "}],"schema":"https://github.com/citation-style-language/schema/raw/master/csl-citation.json"} </w:instrText>
      </w:r>
      <w:r>
        <w:fldChar w:fldCharType="separate"/>
      </w:r>
      <w:r w:rsidR="002B0EB8" w:rsidRPr="002B0EB8">
        <w:rPr>
          <w:szCs w:val="24"/>
        </w:rPr>
        <w:t>(i.e. more than 6–12 months after stroke; Van Der Meulen et al., 2016)</w:t>
      </w:r>
      <w:r>
        <w:fldChar w:fldCharType="end"/>
      </w:r>
      <w:r>
        <w:t>.</w:t>
      </w:r>
    </w:p>
    <w:p w14:paraId="4824233F" w14:textId="1E9A41DE" w:rsidR="00CB1637" w:rsidRPr="00DA3672" w:rsidRDefault="00CB1637" w:rsidP="001144E1">
      <w:bookmarkStart w:id="3" w:name="_ujs8ygr5umwz" w:colFirst="0" w:colLast="0"/>
      <w:bookmarkEnd w:id="3"/>
      <w:r>
        <w:t xml:space="preserve">From a methodological point of view, </w:t>
      </w:r>
      <w:bookmarkStart w:id="4" w:name="_86081l93weis" w:colFirst="0" w:colLast="0"/>
      <w:bookmarkEnd w:id="4"/>
      <w:r>
        <w:t>influences</w:t>
      </w:r>
      <w:r w:rsidRPr="008A6B94">
        <w:t xml:space="preserve"> </w:t>
      </w:r>
      <w:r>
        <w:t>of</w:t>
      </w:r>
      <w:r w:rsidRPr="008A6B94">
        <w:t xml:space="preserve"> spontaneous recovery </w:t>
      </w:r>
      <w:r>
        <w:t>are</w:t>
      </w:r>
      <w:r w:rsidRPr="008A6B94">
        <w:t xml:space="preserve"> generally </w:t>
      </w:r>
      <w:r>
        <w:t xml:space="preserve">lower in </w:t>
      </w:r>
      <w:r w:rsidRPr="008A6B94">
        <w:t xml:space="preserve">the </w:t>
      </w:r>
      <w:r w:rsidRPr="008A6B94">
        <w:rPr>
          <w:i/>
        </w:rPr>
        <w:t>chronic</w:t>
      </w:r>
      <w:r w:rsidRPr="008A6B94">
        <w:t xml:space="preserve"> stage of aphasia</w:t>
      </w:r>
      <w:r>
        <w:t xml:space="preserve">, as suggested by RCT data </w:t>
      </w:r>
      <w:r>
        <w:fldChar w:fldCharType="begin"/>
      </w:r>
      <w:r w:rsidR="003B01B7">
        <w:instrText xml:space="preserve"> ADDIN ZOTERO_ITEM CSL_CITATION {"citationID":"1pZAfUec","properties":{"formattedCitation":"(Doppelbauer et al., 2021)","plainCitation":"(Doppelbauer et al., 2021)","noteIndex":0},"citationItems":[{"id":"nFN7BwCC/jtDuysPS","uris":["http://zotero.org/users/7270/items/32PB5CFB"],"uri":["http://zotero.org/users/7270/items/32PB5CFB"],"itemData":{"id":13456,"type":"article-journal","abstract":"Background. Intensive aphasia therapy can improve language functions in chronic aphasia over a short therapy interval of 2-4 weeks. For one intensive method, intensive language-action therapy, beneficial effects are well documented by a range of randomized controlled trials. However, it is unclear to date whether therapy-related improvements are maintained over years. Objective. The current study aimed at investigating long-term stability of ILAT treatment effects over circa 1-2 years (8-30 months). Methods. 38 patients with chronic aphasia participated in ILAT and were re-assessed at a follow-up assessment 8-30 months after treatment, which had been delivered 6-12.5 hours per week for 2-4 weeks. Results. A standardized clinical aphasia battery, the Aachen Aphasia Test, revealed significant improvements with ILAT that were maintained for up to 2.5 years. Improvements were relatively better preserved in comparatively young patients (&lt;60 years). Measures of communicative efficacy confirmed improvements during intensive therapy but showed inconsistent long-term stability effects. Conclusions. The present data indicate that gains resulting from intensive speech-language therapy with ILAT are maintained up to 2.5 years after the end of treatment. We discuss this novel finding in light of a possible move from sparse to intensive therapy regimes in clinical practice.","container-title":"Neurorehabilitation and Neural Repair","DOI":"10.1177/15459683211029235","ISSN":"1552-6844","journalAbbreviation":"Neurorehabil Neural Repair","language":"eng","note":"00000 \nPMID: 34232091","page":"15459683211029235","source":"PubMed","title":"Long-Term Stability of Short-Term Intensive Language-Action Therapy in Chronic Aphasia: A 1-2 year Follow-Up Study","title-short":"Long-Term Stability of Short-Term Intensive Language-Action Therapy in Chronic Aphasia","author":[{"family":"Doppelbauer","given":"Lea"},{"family":"Mohr","given":"Bettina"},{"family":"Dreyer","given":"Felix R."},{"family":"Stahl","given":"Benjamin"},{"family":"Büscher","given":"Verena"},{"family":"Pulvermüller","given":"Friedemann"}],"issued":{"date-parts":[["2021",7,7]]}}}],"schema":"https://github.com/citation-style-language/schema/raw/master/csl-citation.json"} </w:instrText>
      </w:r>
      <w:r>
        <w:fldChar w:fldCharType="separate"/>
      </w:r>
      <w:r w:rsidRPr="00600E6D">
        <w:t>(Doppelbauer et al., 2021)</w:t>
      </w:r>
      <w:r>
        <w:fldChar w:fldCharType="end"/>
      </w:r>
      <w:r>
        <w:t xml:space="preserve"> and meta-analyses </w:t>
      </w:r>
      <w:r>
        <w:fldChar w:fldCharType="begin"/>
      </w:r>
      <w:r w:rsidR="003B01B7">
        <w:instrText xml:space="preserve"> ADDIN ZOTERO_ITEM CSL_CITATION {"citationID":"Ydw0iTse","properties":{"formattedCitation":"(RELEASE Collaborators, 2021)","plainCitation":"(RELEASE Collaborators, 2021)","noteIndex":0},"citationItems":[{"id":"nFN7BwCC/yzltNEnl","uris":["http://zotero.org/users/7270/items/LF8AGY68"],"uri":["http://zotero.org/users/7270/items/LF8AGY68"],"itemData":{"id":13459,"type":"article-journal","abstract":"BACKGROUND AND PURPOSE: The factors associated with recovery of language domains after stroke remain uncertain. We described recovery of overall-language-ability, auditory comprehension, naming, and functional-communication across participants' age, sex, and aphasia chronicity in a large, multilingual, international aphasia dataset.\nMETHODS: Individual participant data meta-analysis of systematically sourced aphasia datasets described overall-language ability using the Western Aphasia Battery Aphasia-Quotient; auditory comprehension by Aachen Aphasia Test (AAT) Token Test; naming by Boston Naming Test and functional-communication by AAT Spontaneous-Speech Communication subscale. Multivariable analyses regressed absolute score-changes from baseline across language domains onto covariates identified a priori in randomized controlled trials and all study types. Change-from-baseline scores were presented as estimates of means and 95% CIs. Heterogeneity was described using relative variance. Risk of bias was considered at dataset and meta-analysis level.\nRESULTS: Assessments at baseline (median=43.6 weeks poststroke; interquartile range [4-165.1]) and first-follow-up (median=10 weeks from baseline; interquartile range [3-26]) were available for n=943 on overall-language ability, n=1056 on auditory comprehension, n=791 on naming and n=974 on functional-communication. Younger age (&lt;55 years, +15.4 Western Aphasia Battery Aphasia-Quotient points [CI, 10.0-20.9], +6.1 correct on AAT Token Test [CI, 3.2-8.9]; +9.3 Boston Naming Test points [CI, 4.7-13.9]; +0.8 AAT Spontaneous-Speech Communication subscale points [CI, 0.5-1.0]) and enrollment &lt;1 month post-onset (+19.1 Western Aphasia Battery Aphasia-Quotient points [CI, 13.9-24.4]; +5.3 correct on AAT Token Test [CI, 1.7-8.8]; +11.1 Boston Naming Test points [CI, 5.7-16.5]; and +1.1 AAT Spontaneous-Speech Communication subscale point [CI, 0.7-1.4]) conferred the greatest absolute change-from-baseline across each language domain. Improvements in language scores from baseline diminished with increasing age and aphasia chronicity. Data exhibited no significant statistical heterogeneity. Risk-of-bias was low to moderate-low.\nCONCLUSIONS: Earlier intervention for poststroke aphasia was crucial to maximize language recovery across a range of language domains, although recovery continued to be observed to a lesser extent beyond 6 months poststroke.","container-title":"Stroke","DOI":"10.1161/STROKEAHA.120.031162","ISSN":"1524-4628","issue":"5","journalAbbreviation":"Stroke","language":"eng","note":"00000 \nPMID: 33719515\nPMCID: PMC8078126","page":"1778-1787","source":"PubMed","title":"Predictors of Poststroke Aphasia Recovery: A Systematic Review-Informed Individual Participant Data Meta-Analysis","title-short":"Predictors of Poststroke Aphasia Recovery","volume":"52","author":[{"literal":"RELEASE Collaborators"}],"issued":{"date-parts":[["2021",5]]}}}],"schema":"https://github.com/citation-style-language/schema/raw/master/csl-citation.json"} </w:instrText>
      </w:r>
      <w:r>
        <w:fldChar w:fldCharType="separate"/>
      </w:r>
      <w:r w:rsidRPr="00600E6D">
        <w:t>(RELEASE Collaborators, 2021)</w:t>
      </w:r>
      <w:r>
        <w:fldChar w:fldCharType="end"/>
      </w:r>
      <w:r>
        <w:t xml:space="preserve">. Therefore, it is important to </w:t>
      </w:r>
      <w:r w:rsidR="00C26F78">
        <w:t>consider</w:t>
      </w:r>
      <w:r>
        <w:t xml:space="preserve"> stage of symptoms post-stroke. Moreover</w:t>
      </w:r>
      <w:bookmarkStart w:id="5" w:name="_6lcktcw69mrn" w:colFirst="0" w:colLast="0"/>
      <w:bookmarkEnd w:id="5"/>
      <w:r>
        <w:t>, speech-language therapy seeks to promote performance on untrained items. Consistent with this goal, the present work</w:t>
      </w:r>
      <w:r w:rsidRPr="00DA3672">
        <w:t xml:space="preserve"> </w:t>
      </w:r>
      <w:r>
        <w:t>distinguishes</w:t>
      </w:r>
      <w:r w:rsidRPr="00DA3672">
        <w:t xml:space="preserve"> progress on trained items</w:t>
      </w:r>
      <w:r>
        <w:t>—learning resulting from using the same set of utterances both during treatment and subsequent assessment—from</w:t>
      </w:r>
      <w:r w:rsidRPr="00DA3672">
        <w:t xml:space="preserve"> </w:t>
      </w:r>
      <w:r>
        <w:t xml:space="preserve">the more desirable goal of attaining </w:t>
      </w:r>
      <w:r w:rsidRPr="00DA3672">
        <w:t xml:space="preserve">generalisation </w:t>
      </w:r>
      <w:r>
        <w:t>to</w:t>
      </w:r>
      <w:r w:rsidRPr="00DA3672">
        <w:t xml:space="preserve"> untrained items</w:t>
      </w:r>
      <w:r>
        <w:t xml:space="preserve">, ideally in the context of everyday communication to ensure ecological validity </w:t>
      </w:r>
      <w:r>
        <w:fldChar w:fldCharType="begin"/>
      </w:r>
      <w:r w:rsidR="003B01B7">
        <w:instrText xml:space="preserve"> ADDIN ZOTERO_ITEM CSL_CITATION {"citationID":"pmn9gjqo","properties":{"formattedCitation":"(e.g., Blomert et al., 1994)","plainCitation":"(e.g., Blomert et al., 1994)","noteIndex":0},"citationItems":[{"id":"nFN7BwCC/qkyYvDuk","uris":["http://zotero.org/users/7270/items/996ASIBS"],"uri":["http://zotero.org/users/7270/items/996ASIBS"],"itemData":{"id":10093,"type":"article-journal","abstract":"The Amsterdam—Nijmegen Everyday Language Test (ANELT) is designed to measure, first, the level of verbal communicative abilities of aphasic patients and, second, changes in these abilities over time. The level of communicative effectiveness is determined by the adequacy of bringing a message across. Verbal communication is operationally defined as a function of the understandability of the message and the intelligibility of the utterance. Test items are constructed as scenarios of familiar daily life situations. Two parallel versions have been constructed, each consisting of 10 items; responses for every item are scored on two five-point scales. The psychometric analysis shows perfect parallelism for both test versions. Each scale for judging verbal communication is unidimensional in nature and measures only the construct it purports to measure. Criterion-related, as well as construct validity, measures show ANELT to be a sensitive instrument for measuring verbal communication in a language-disturbed population. The test is well suited for individual diagnostic and therapy evaluation procedures as well as for more fundamental research.","container-title":"Aphasiology","DOI":"10.1080/02687039408248666","ISSN":"0268-7038","issue":"4","note":"00182","page":"381-407","source":"Taylor and Francis+NEJM","title":"Amsterdam—Nijmegen everyday language test: construction, reliability and validity","title-short":"Amsterdam—Nijmegen everyday language test","volume":"8","author":[{"family":"Blomert","given":"L."},{"family":"Kean","given":"M. L."},{"family":"Koster","given":"Ch"},{"family":"Schokker","given":"J."}],"issued":{"date-parts":[["1994",7,1]]}},"prefix":"e.g., "}],"schema":"https://github.com/citation-style-language/schema/raw/master/csl-citation.json"} </w:instrText>
      </w:r>
      <w:r>
        <w:fldChar w:fldCharType="separate"/>
      </w:r>
      <w:r w:rsidRPr="00600E6D">
        <w:t>(e.g., Blomert et al., 1994)</w:t>
      </w:r>
      <w:r>
        <w:fldChar w:fldCharType="end"/>
      </w:r>
      <w:r>
        <w:t>.</w:t>
      </w:r>
      <w:bookmarkStart w:id="6" w:name="_yu8v54yvsya9" w:colFirst="0" w:colLast="0"/>
      <w:bookmarkEnd w:id="6"/>
    </w:p>
    <w:p w14:paraId="2D690925" w14:textId="4E311BEE" w:rsidR="00CB1637" w:rsidRPr="00DA3672" w:rsidRDefault="00CB1637" w:rsidP="006807CC">
      <w:bookmarkStart w:id="7" w:name="_vlz8v9edu948" w:colFirst="0" w:colLast="0"/>
      <w:bookmarkEnd w:id="7"/>
      <w:r>
        <w:t>So far, to our knowledge there are s</w:t>
      </w:r>
      <w:r w:rsidRPr="00DA3672">
        <w:t xml:space="preserve">ystematic reviews </w:t>
      </w:r>
      <w:r>
        <w:t>on</w:t>
      </w:r>
      <w:r w:rsidRPr="00DA3672">
        <w:t xml:space="preserve"> MIT </w:t>
      </w:r>
      <w:r>
        <w:fldChar w:fldCharType="begin"/>
      </w:r>
      <w:r w:rsidR="003B01B7">
        <w:instrText xml:space="preserve"> ADDIN ZOTERO_ITEM CSL_CITATION {"citationID":"mN7hb9bX","properties":{"formattedCitation":"(e.g., van der Meulen et al., 2012; Zumbansen et al., 2014)","plainCitation":"(e.g., van der Meulen et al., 2012; Zumbansen et al., 2014)","noteIndex":0},"citationItems":[{"id":"nFN7BwCC/nzs10Oin","uris":["http://zotero.org/users/7270/items/6GTDZFB5"],"uri":["http://zotero.org/users/7270/items/6GTDZFB5"],"itemData":{"id":4925,"type":"article-journal","abstract":"van der Meulen I, van de Sandt-Koenderman ME, Ribbers GM. Melodic Intonation Therapy: present controversies and future opportunities. This article describes the state of the art of Melodic Intonation Therapy (MIT), a structured aphasia therapy program using the melodic aspects of language (intonation, rhythm, and stress) to improve language production. MIT was developed in the 1970s and is still used worldwide. Nevertheless, we argue that many questions crucial for the clinical application of MIT are still unanswered. First, a review of MIT effect studies is presented showing that evidence from well-designed group studies is still lacking. It is also unclear which aspects of MIT contribute most to its therapeutic effect and which underlying neural mechanisms are involved. Two cases are presented illustrating unsolved questions concerning MIT in clinical practice, such as candidacy and the best timing of this therapy.","collection-title":"Rehabilitation of Neurological Language Disorders","container-title":"Archives of Physical Medicine and Rehabilitation","DOI":"10.1016/j.apmr.2011.05.029","ISSN":"0003-9993","issue":"1, Supplement","journalAbbreviation":"Archives of Physical Medicine and Rehabilitation","note":"00000","page":"S46-S52","source":"ScienceDirect","title":"Melodic Intonation Therapy: Present Controversies and Future Opportunities","title-short":"Melodic Intonation Therapy","volume":"93","author":[{"family":"Meulen","given":"Ineke","non-dropping-particle":"van der"},{"family":"Sandt-Koenderman","given":"Mieke E.","non-dropping-particle":"van de"},{"family":"Ribbers","given":"Gerard M."}],"issued":{"date-parts":[["2012",1,1]]}},"prefix":"e.g., "},{"id":"nFN7BwCC/AecTO5mg","uris":["http://zotero.org/users/7270/items/VNSHMAMU"],"uri":["http://zotero.org/users/7270/items/VNSHMAMU"],"itemData":{"id":4920,"type":"article-journal","abstract":"We present a critical review of the literature on Melodic intonation therapy (MIT), one of the most formalized treatments used by speech-language therapist in Broca’s aphasia. We suggest basic clarifications to enhance the scientific support of this promising treatment. First, MIT is a program, not a single speech facilitation technique. The goal of MIT is to restore propositional speech. The rational is that patients can learn a new way to speak through singing by using language-capable regions of the right cerebral hemisphere. We argue that many treatment programs covered in systematic reviews on MIT’s efficacy do not match MIT’s therapeutic goal and rationale. Second, we distinguish between the immediate effect of MIT’s main speech facilitation technique (i.e., intoned-speech) and the effect of the entire program on language recovery. Many results in the MIT literature can be explained by this duration factor. Finally, we propose that MIT can be viewed as a treatment of apraxia of speech more than aphasia. This issue should be explored in future experimental studies.","container-title":"Frontiers in Neurology","DOI":"10.3389/fneur.2014.00007","ISSN":"1664-2295","journalAbbreviation":"Front. Neurol.","language":"English","note":"00000","source":"Frontiers","title":"Melodic Intonation Therapy: Back to Basics for Future Research","title-short":"Melodic Intonation Therapy","URL":"https://www.frontiersin.org/articles/10.3389/fneur.2014.00007/full","volume":"5","author":[{"family":"Zumbansen","given":"Anna"},{"family":"Peretz","given":"Isabelle"},{"family":"Hébert","given":"Sylvie"}],"accessed":{"date-parts":[["2018",11,19]]},"issued":{"date-parts":[["2014"]]}}}],"schema":"https://github.com/citation-style-language/schema/raw/master/csl-citation.json"} </w:instrText>
      </w:r>
      <w:r>
        <w:fldChar w:fldCharType="separate"/>
      </w:r>
      <w:r w:rsidRPr="00600E6D">
        <w:t>(e.g., van der Meulen et al., 2012; Zumbansen et al., 2014)</w:t>
      </w:r>
      <w:r>
        <w:fldChar w:fldCharType="end"/>
      </w:r>
      <w:r w:rsidRPr="00DA3672">
        <w:t xml:space="preserve"> </w:t>
      </w:r>
      <w:r>
        <w:t>and</w:t>
      </w:r>
      <w:r w:rsidRPr="00DA3672">
        <w:t xml:space="preserve"> two meta-analyses </w:t>
      </w:r>
      <w:r>
        <w:fldChar w:fldCharType="begin"/>
      </w:r>
      <w:r w:rsidR="003B01B7">
        <w:instrText xml:space="preserve"> ADDIN ZOTERO_ITEM CSL_CITATION {"citationID":"M69ApoSc","properties":{"formattedCitation":"(Brady et al., 2016; Zumbansen &amp; Tremblay, 2018)","plainCitation":"(Brady et al., 2016; Zumbansen &amp; Tremblay, 2018)","noteIndex":0},"citationItems":[{"id":"nFN7BwCC/SQvxI0IR","uris":["http://zotero.org/users/7270/items/SIJZ3F8M"],"uri":["http://zotero.org/users/7270/items/SIJZ3F8M"],"itemData":{"id":5110,"type":"article-journal","container-title":"Cochrane Database of Systematic Reviews","DOI":"10.1002/14651858.CD000425.pub3","ISSN":"1465-1858","issue":"5","language":"en","note":"00000","source":"www.cochranelibrary.com","title":"Speech and language therapy for aphasia following stroke","URL":"https://www.cochranelibrary.com/cdsr/doi/10.1002/14651858.CD000425.pub3/abstract","author":[{"family":"Brady","given":"Marian C."},{"family":"Kelly","given":"Helen"},{"family":"Godwin","given":"Jon"},{"family":"Enderby","given":"Pam"}],"accessed":{"date-parts":[["2019",2,15]]},"issued":{"date-parts":[["2016"]]}}},{"id":"nFN7BwCC/1J7l5A6J","uris":["http://zotero.org/users/7270/items/UI5XF4BF"],"uri":["http://zotero.org/users/7270/items/UI5XF4BF"],"itemData":{"id":9113,"type":"article-journal","abstract":"Background: Melodic Intonation Therapy, a music-based intervention for the recovery of oral language production in aphasia, has been shown to be particularly eﬀective in patients with Broca’s aphasia compared to other aphasia subtypes. It has been suggested that this therapy might improve language output by acting on motor-speech deﬁcits often associated with Broca’s aphasia. In this article, we examine the relevance of a motor-speech mechanism for music-based interventions designed to improve verbal expression in patients with any type of aphasia.","container-title":"Aphasiology","DOI":"10.1080/02687038.2018.1506089","ISSN":"0268-7038, 1464-5041","issue":"4","language":"en","note":"00009","page":"466-497","source":"Crossref","title":"Music-based interventions for aphasia could act through a motor-speech mechanism: a systematic review and case–control analysis of published individual participant data","title-short":"Music-based interventions for aphasia could act through a motor-speech mechanism","volume":"33","author":[{"family":"Zumbansen","given":"Anna"},{"family":"Tremblay","given":"Pascale"}],"issued":{"date-parts":[["2018"]]}}}],"schema":"https://github.com/citation-style-language/schema/raw/master/csl-citation.json"} </w:instrText>
      </w:r>
      <w:r>
        <w:fldChar w:fldCharType="separate"/>
      </w:r>
      <w:r w:rsidRPr="00600E6D">
        <w:t>(Brady et al., 2016; Zumbansen &amp; Tremblay, 2018)</w:t>
      </w:r>
      <w:r>
        <w:fldChar w:fldCharType="end"/>
      </w:r>
      <w:r w:rsidRPr="00DA3672">
        <w:t xml:space="preserve">. </w:t>
      </w:r>
      <w:r>
        <w:t xml:space="preserve">These meta-analyses reflect a </w:t>
      </w:r>
      <w:r w:rsidR="00E40E05">
        <w:t xml:space="preserve">relatively </w:t>
      </w:r>
      <w:r>
        <w:t xml:space="preserve">limited amount of </w:t>
      </w:r>
      <w:r w:rsidRPr="00DA3672">
        <w:t>RCT</w:t>
      </w:r>
      <w:r>
        <w:t xml:space="preserve"> data </w:t>
      </w:r>
      <w:r>
        <w:fldChar w:fldCharType="begin"/>
      </w:r>
      <w:r w:rsidR="003B01B7">
        <w:instrText xml:space="preserve"> ADDIN ZOTERO_ITEM CSL_CITATION {"citationID":"CsAdK6MI","properties":{"formattedCitation":"(Brady et al., 2016)","plainCitation":"(Brady et al., 2016)","noteIndex":0},"citationItems":[{"id":"nFN7BwCC/SQvxI0IR","uris":["http://zotero.org/users/7270/items/SIJZ3F8M"],"uri":["http://zotero.org/users/7270/items/SIJZ3F8M"],"itemData":{"id":5110,"type":"article-journal","container-title":"Cochrane Database of Systematic Reviews","DOI":"10.1002/14651858.CD000425.pub3","ISSN":"1465-1858","issue":"5","language":"en","note":"00000","source":"www.cochranelibrary.com","title":"Speech and language therapy for aphasia following stroke","URL":"https://www.cochranelibrary.com/cdsr/doi/10.1002/14651858.CD000425.pub3/abstract","author":[{"family":"Brady","given":"Marian C."},{"family":"Kelly","given":"Helen"},{"family":"Godwin","given":"Jon"},{"family":"Enderby","given":"Pam"}],"accessed":{"date-parts":[["2019",2,15]]},"issued":{"date-parts":[["2016"]]}}}],"schema":"https://github.com/citation-style-language/schema/raw/master/csl-citation.json"} </w:instrText>
      </w:r>
      <w:r>
        <w:fldChar w:fldCharType="separate"/>
      </w:r>
      <w:r w:rsidRPr="00600E6D">
        <w:t>(Brady et al., 2016)</w:t>
      </w:r>
      <w:r>
        <w:fldChar w:fldCharType="end"/>
      </w:r>
      <w:r>
        <w:t xml:space="preserve"> or</w:t>
      </w:r>
      <w:r w:rsidRPr="00DA3672">
        <w:t xml:space="preserve"> dichotomise post-treatment improvement</w:t>
      </w:r>
      <w:r>
        <w:t xml:space="preserve"> in a way that prevents specific estimates of</w:t>
      </w:r>
      <w:r w:rsidRPr="00586237">
        <w:t xml:space="preserve"> </w:t>
      </w:r>
      <w:r>
        <w:t xml:space="preserve">effect size </w:t>
      </w:r>
      <w:r>
        <w:fldChar w:fldCharType="begin"/>
      </w:r>
      <w:r w:rsidR="003B01B7">
        <w:instrText xml:space="preserve"> ADDIN ZOTERO_ITEM CSL_CITATION {"citationID":"9URkeIzw","properties":{"formattedCitation":"(Zumbansen &amp; Tremblay, 2018)","plainCitation":"(Zumbansen &amp; Tremblay, 2018)","noteIndex":0},"citationItems":[{"id":"nFN7BwCC/1J7l5A6J","uris":["http://zotero.org/users/7270/items/UI5XF4BF"],"uri":["http://zotero.org/users/7270/items/UI5XF4BF"],"itemData":{"id":9113,"type":"article-journal","abstract":"Background: Melodic Intonation Therapy, a music-based intervention for the recovery of oral language production in aphasia, has been shown to be particularly eﬀective in patients with Broca’s aphasia compared to other aphasia subtypes. It has been suggested that this therapy might improve language output by acting on motor-speech deﬁcits often associated with Broca’s aphasia. In this article, we examine the relevance of a motor-speech mechanism for music-based interventions designed to improve verbal expression in patients with any type of aphasia.","container-title":"Aphasiology","DOI":"10.1080/02687038.2018.1506089","ISSN":"0268-7038, 1464-5041","issue":"4","language":"en","note":"00009","page":"466-497","source":"Crossref","title":"Music-based interventions for aphasia could act through a motor-speech mechanism: a systematic review and case–control analysis of published individual participant data","title-short":"Music-based interventions for aphasia could act through a motor-speech mechanism","volume":"33","author":[{"family":"Zumbansen","given":"Anna"},{"family":"Tremblay","given":"Pascale"}],"issued":{"date-parts":[["2018"]]}}}],"schema":"https://github.com/citation-style-language/schema/raw/master/csl-citation.json"} </w:instrText>
      </w:r>
      <w:r>
        <w:fldChar w:fldCharType="separate"/>
      </w:r>
      <w:r w:rsidRPr="00600E6D">
        <w:t>(Zumbansen &amp; Tremblay, 2018)</w:t>
      </w:r>
      <w:r>
        <w:fldChar w:fldCharType="end"/>
      </w:r>
      <w:r w:rsidRPr="00DA3672">
        <w:t>.</w:t>
      </w:r>
      <w:r>
        <w:t xml:space="preserve"> </w:t>
      </w:r>
      <w:r w:rsidRPr="00DA3672">
        <w:t xml:space="preserve">Given the substantial burden of disease associated with aphasia, </w:t>
      </w:r>
      <w:r w:rsidRPr="00DA3672">
        <w:lastRenderedPageBreak/>
        <w:t xml:space="preserve">the present meta-analysis attempts to </w:t>
      </w:r>
      <w:r>
        <w:t>provide</w:t>
      </w:r>
      <w:r w:rsidRPr="00DA3672">
        <w:t xml:space="preserve"> a deeper understanding about the </w:t>
      </w:r>
      <w:r>
        <w:t>potential</w:t>
      </w:r>
      <w:r w:rsidRPr="00DA3672">
        <w:t xml:space="preserve"> and limitations of MIT.</w:t>
      </w:r>
      <w:r>
        <w:t xml:space="preserve"> To achieve this goal, the current analyses synthesise available studies on MIT to address five</w:t>
      </w:r>
      <w:r w:rsidRPr="00DA3672">
        <w:t xml:space="preserve"> research questions</w:t>
      </w:r>
      <w:r>
        <w:t>:</w:t>
      </w:r>
    </w:p>
    <w:p w14:paraId="3190A171" w14:textId="304D8FE5" w:rsidR="00CB1637" w:rsidRDefault="00DA6811" w:rsidP="007C40A7">
      <w:pPr>
        <w:numPr>
          <w:ilvl w:val="0"/>
          <w:numId w:val="3"/>
        </w:numPr>
        <w:spacing w:before="80"/>
        <w:ind w:left="1412" w:hanging="357"/>
      </w:pPr>
      <w:r>
        <w:rPr>
          <w:b/>
        </w:rPr>
        <w:t>Psychometric quality</w:t>
      </w:r>
      <w:r w:rsidRPr="00A4038D">
        <w:rPr>
          <w:b/>
        </w:rPr>
        <w:t xml:space="preserve"> </w:t>
      </w:r>
      <w:r w:rsidR="00CB1637" w:rsidRPr="00A4038D">
        <w:rPr>
          <w:b/>
        </w:rPr>
        <w:t>of outcomes.</w:t>
      </w:r>
      <w:r w:rsidR="00CB1637" w:rsidRPr="00483D6F">
        <w:t xml:space="preserve"> Do</w:t>
      </w:r>
      <w:r w:rsidR="00CB1637">
        <w:t>es the use of</w:t>
      </w:r>
      <w:r w:rsidR="00CB1637" w:rsidRPr="00483D6F">
        <w:t xml:space="preserve"> validated </w:t>
      </w:r>
      <w:r w:rsidR="00CB1637" w:rsidRPr="00E856C9">
        <w:rPr>
          <w:i/>
        </w:rPr>
        <w:t>versus</w:t>
      </w:r>
      <w:r w:rsidR="00CB1637" w:rsidRPr="00483D6F">
        <w:t xml:space="preserve"> </w:t>
      </w:r>
      <w:r w:rsidR="00CB1637">
        <w:t>unval</w:t>
      </w:r>
      <w:r w:rsidR="00CB1637" w:rsidRPr="00483D6F">
        <w:t xml:space="preserve">idated outcomes </w:t>
      </w:r>
      <w:r w:rsidR="00CB1637">
        <w:t xml:space="preserve">systematically alter the resulting </w:t>
      </w:r>
      <w:r w:rsidR="00CB1637" w:rsidRPr="00483D6F">
        <w:t>effect size</w:t>
      </w:r>
      <w:r w:rsidR="00CB1637">
        <w:t xml:space="preserve"> of MIT</w:t>
      </w:r>
      <w:r w:rsidR="00CB1637" w:rsidRPr="00483D6F">
        <w:t>?</w:t>
      </w:r>
    </w:p>
    <w:p w14:paraId="148E2D17" w14:textId="77777777" w:rsidR="00CB1637" w:rsidRDefault="00CB1637" w:rsidP="006C7EE8">
      <w:pPr>
        <w:numPr>
          <w:ilvl w:val="0"/>
          <w:numId w:val="3"/>
        </w:numPr>
        <w:spacing w:before="80"/>
        <w:ind w:left="1412" w:hanging="357"/>
      </w:pPr>
      <w:r>
        <w:rPr>
          <w:b/>
        </w:rPr>
        <w:t>Experimental</w:t>
      </w:r>
      <w:r w:rsidRPr="00DA3672">
        <w:rPr>
          <w:b/>
        </w:rPr>
        <w:t xml:space="preserve"> design</w:t>
      </w:r>
      <w:r>
        <w:rPr>
          <w:b/>
        </w:rPr>
        <w:t>.</w:t>
      </w:r>
      <w:r w:rsidRPr="00DA3672">
        <w:t xml:space="preserve"> Do RCT and non-RCT</w:t>
      </w:r>
      <w:r>
        <w:t xml:space="preserve"> results</w:t>
      </w:r>
      <w:r w:rsidRPr="00DA3672">
        <w:t xml:space="preserve"> </w:t>
      </w:r>
      <w:r>
        <w:t>in the context of MIT differ systematically in</w:t>
      </w:r>
      <w:r w:rsidRPr="00DA3672">
        <w:t xml:space="preserve"> </w:t>
      </w:r>
      <w:r>
        <w:t xml:space="preserve">terms of </w:t>
      </w:r>
      <w:r w:rsidRPr="001A110F">
        <w:t>effect size?</w:t>
      </w:r>
    </w:p>
    <w:p w14:paraId="2D64984F" w14:textId="77777777" w:rsidR="00CB1637" w:rsidRPr="001A110F" w:rsidRDefault="00CB1637">
      <w:pPr>
        <w:numPr>
          <w:ilvl w:val="0"/>
          <w:numId w:val="3"/>
        </w:numPr>
        <w:ind w:left="1417"/>
      </w:pPr>
      <w:r w:rsidRPr="001A110F">
        <w:rPr>
          <w:b/>
        </w:rPr>
        <w:t>Aphasia stage.</w:t>
      </w:r>
      <w:r w:rsidRPr="001A110F">
        <w:t xml:space="preserve"> Do</w:t>
      </w:r>
      <w:r>
        <w:t xml:space="preserve"> influences related to spontaneous recovery, quantified as</w:t>
      </w:r>
      <w:r w:rsidRPr="001A110F">
        <w:t xml:space="preserve"> number of months post-stroke</w:t>
      </w:r>
      <w:r>
        <w:t>-onset (MPO),</w:t>
      </w:r>
      <w:r w:rsidRPr="001A110F">
        <w:t xml:space="preserve"> </w:t>
      </w:r>
      <w:r>
        <w:t>affect the effect size of MIT</w:t>
      </w:r>
      <w:r w:rsidRPr="001A110F">
        <w:t>?</w:t>
      </w:r>
    </w:p>
    <w:p w14:paraId="0733D715" w14:textId="132D2039" w:rsidR="00CB1637" w:rsidRPr="001A110F" w:rsidRDefault="00CB1637" w:rsidP="00595AA3">
      <w:pPr>
        <w:numPr>
          <w:ilvl w:val="0"/>
          <w:numId w:val="3"/>
        </w:numPr>
        <w:ind w:left="1417"/>
      </w:pPr>
      <w:r>
        <w:rPr>
          <w:b/>
        </w:rPr>
        <w:t>Variants of</w:t>
      </w:r>
      <w:r w:rsidRPr="001A110F">
        <w:rPr>
          <w:b/>
        </w:rPr>
        <w:t xml:space="preserve"> MIT protocol. </w:t>
      </w:r>
      <w:r w:rsidRPr="001A110F">
        <w:t xml:space="preserve">Do variations </w:t>
      </w:r>
      <w:r>
        <w:t>of</w:t>
      </w:r>
      <w:r w:rsidRPr="001A110F">
        <w:t xml:space="preserve"> </w:t>
      </w:r>
      <w:r>
        <w:t xml:space="preserve">the original </w:t>
      </w:r>
      <w:r w:rsidRPr="001A110F">
        <w:t xml:space="preserve">MIT protocol </w:t>
      </w:r>
      <w:r>
        <w:t>alter the</w:t>
      </w:r>
      <w:r w:rsidRPr="001A110F">
        <w:t xml:space="preserve"> </w:t>
      </w:r>
      <w:r>
        <w:t xml:space="preserve">resulting </w:t>
      </w:r>
      <w:r w:rsidRPr="001A110F">
        <w:t>effect size?</w:t>
      </w:r>
    </w:p>
    <w:p w14:paraId="6ACF05EF" w14:textId="1658D84A" w:rsidR="00CB1637" w:rsidRPr="001A110F" w:rsidRDefault="00CB1637" w:rsidP="00762219">
      <w:pPr>
        <w:numPr>
          <w:ilvl w:val="0"/>
          <w:numId w:val="3"/>
        </w:numPr>
        <w:ind w:left="1417"/>
      </w:pPr>
      <w:r w:rsidRPr="001A110F">
        <w:rPr>
          <w:b/>
        </w:rPr>
        <w:t>Generalisability.</w:t>
      </w:r>
      <w:r w:rsidRPr="00762219">
        <w:t xml:space="preserve"> </w:t>
      </w:r>
      <w:r w:rsidR="00ED13F5">
        <w:t>Apart from trained items, d</w:t>
      </w:r>
      <w:r w:rsidRPr="001A110F">
        <w:t xml:space="preserve">oes MIT </w:t>
      </w:r>
      <w:r>
        <w:t>enhance</w:t>
      </w:r>
      <w:r w:rsidRPr="001A110F">
        <w:t xml:space="preserve"> performance</w:t>
      </w:r>
      <w:r>
        <w:t xml:space="preserve"> </w:t>
      </w:r>
      <w:r w:rsidRPr="001A110F">
        <w:t>on untrained items</w:t>
      </w:r>
      <w:r>
        <w:t xml:space="preserve"> and, if so, does the resulting effect size demonstrate gains on measures of everyday communication ability</w:t>
      </w:r>
      <w:r w:rsidRPr="001A110F">
        <w:t>?</w:t>
      </w:r>
    </w:p>
    <w:p w14:paraId="2323A2B4" w14:textId="77777777" w:rsidR="00CB1637" w:rsidRPr="00DA3672" w:rsidRDefault="00CB1637" w:rsidP="0096096E">
      <w:pPr>
        <w:pStyle w:val="Heading1"/>
      </w:pPr>
      <w:bookmarkStart w:id="8" w:name="_8juvetbw9f48" w:colFirst="0" w:colLast="0"/>
      <w:bookmarkEnd w:id="8"/>
      <w:r w:rsidRPr="00DA3672">
        <w:t>Methods</w:t>
      </w:r>
    </w:p>
    <w:p w14:paraId="2925970D" w14:textId="77777777" w:rsidR="00CB1637" w:rsidRPr="00DA3672" w:rsidRDefault="00CB1637" w:rsidP="00B65411">
      <w:pPr>
        <w:pStyle w:val="Heading2"/>
      </w:pPr>
      <w:bookmarkStart w:id="9" w:name="_2xk47jdnt9fi" w:colFirst="0" w:colLast="0"/>
      <w:bookmarkStart w:id="10" w:name="_Ref77265200"/>
      <w:bookmarkEnd w:id="9"/>
      <w:r>
        <w:t xml:space="preserve">Eligibility </w:t>
      </w:r>
      <w:r w:rsidRPr="00DA3672">
        <w:t>criteria</w:t>
      </w:r>
      <w:bookmarkEnd w:id="10"/>
    </w:p>
    <w:p w14:paraId="2220A863" w14:textId="77777777" w:rsidR="00CB1637" w:rsidRPr="00DA3672" w:rsidRDefault="00CB1637" w:rsidP="00B65411">
      <w:pPr>
        <w:pStyle w:val="Heading3"/>
      </w:pPr>
      <w:bookmarkStart w:id="11" w:name="_byydop2148np" w:colFirst="0" w:colLast="0"/>
      <w:bookmarkEnd w:id="11"/>
      <w:commentRangeStart w:id="12"/>
      <w:commentRangeStart w:id="13"/>
      <w:r w:rsidRPr="00DA3672">
        <w:t>Inclusion criteria</w:t>
      </w:r>
      <w:commentRangeEnd w:id="12"/>
      <w:r w:rsidR="00FD35D8">
        <w:rPr>
          <w:rStyle w:val="CommentReference"/>
          <w:rFonts w:ascii="Cambria" w:hAnsi="Cambria"/>
          <w:bCs w:val="0"/>
          <w:spacing w:val="0"/>
          <w:u w:val="none"/>
        </w:rPr>
        <w:commentReference w:id="12"/>
      </w:r>
      <w:commentRangeEnd w:id="13"/>
      <w:r w:rsidR="002248B1">
        <w:rPr>
          <w:rStyle w:val="CommentReference"/>
          <w:rFonts w:ascii="Cambria" w:hAnsi="Cambria"/>
          <w:bCs w:val="0"/>
          <w:spacing w:val="0"/>
          <w:u w:val="none"/>
        </w:rPr>
        <w:commentReference w:id="13"/>
      </w:r>
    </w:p>
    <w:p w14:paraId="59E8AF8F" w14:textId="411C9CFF" w:rsidR="00CB1637" w:rsidRDefault="00CB1637" w:rsidP="00B65411">
      <w:r>
        <w:t xml:space="preserve">We defined the following </w:t>
      </w:r>
      <w:ins w:id="14" w:author="Brenton Wiernik" w:date="2021-07-26T16:32:00Z">
        <w:r w:rsidR="002248B1">
          <w:t xml:space="preserve">basic </w:t>
        </w:r>
      </w:ins>
      <w:r w:rsidR="00C34A79">
        <w:t xml:space="preserve">inclusion </w:t>
      </w:r>
      <w:r w:rsidRPr="00DA3672">
        <w:t>criteria</w:t>
      </w:r>
      <w:r>
        <w:t xml:space="preserve"> </w:t>
      </w:r>
      <w:del w:id="15" w:author="Brenton Wiernik" w:date="2021-07-26T16:32:00Z">
        <w:r w:rsidDel="002248B1">
          <w:delText xml:space="preserve">to </w:delText>
        </w:r>
      </w:del>
      <w:ins w:id="16" w:author="Brenton Wiernik" w:date="2021-07-26T16:32:00Z">
        <w:r w:rsidR="002248B1">
          <w:t>for studies to</w:t>
        </w:r>
        <w:r w:rsidR="002248B1">
          <w:t xml:space="preserve"> </w:t>
        </w:r>
      </w:ins>
      <w:r>
        <w:t>be considered for th</w:t>
      </w:r>
      <w:r w:rsidR="00ED13F5">
        <w:t>e present</w:t>
      </w:r>
      <w:r>
        <w:t xml:space="preserve"> meta-analysis:</w:t>
      </w:r>
    </w:p>
    <w:p w14:paraId="4EA3F9BC" w14:textId="5EB7FD28" w:rsidR="00CB1637" w:rsidRDefault="00CB1637" w:rsidP="00B65411">
      <w:pPr>
        <w:pStyle w:val="ListParagraph"/>
        <w:numPr>
          <w:ilvl w:val="0"/>
          <w:numId w:val="27"/>
        </w:numPr>
      </w:pPr>
      <w:r>
        <w:t xml:space="preserve">empirical study that </w:t>
      </w:r>
      <w:r w:rsidRPr="00DA3672">
        <w:t>administered MIT</w:t>
      </w:r>
      <w:r>
        <w:t xml:space="preserve"> to </w:t>
      </w:r>
      <w:r w:rsidRPr="00DA3672">
        <w:t xml:space="preserve">adult </w:t>
      </w:r>
      <w:r w:rsidR="00ED13F5">
        <w:t xml:space="preserve">individuals </w:t>
      </w:r>
      <w:ins w:id="17" w:author="Brenton Wiernik" w:date="2021-07-26T16:34:00Z">
        <w:r w:rsidR="002248B1">
          <w:t xml:space="preserve">(age 18 or over) </w:t>
        </w:r>
      </w:ins>
      <w:r w:rsidR="00ED13F5">
        <w:t>with aphasia</w:t>
      </w:r>
      <w:r>
        <w:t>, with or without a control group</w:t>
      </w:r>
      <w:r w:rsidR="00ED13F5">
        <w:t>;</w:t>
      </w:r>
    </w:p>
    <w:p w14:paraId="03B073A6" w14:textId="0B2C2FFE" w:rsidR="00CB1637" w:rsidRDefault="00CB1637" w:rsidP="00B65411">
      <w:pPr>
        <w:pStyle w:val="ListParagraph"/>
        <w:numPr>
          <w:ilvl w:val="0"/>
          <w:numId w:val="27"/>
        </w:numPr>
      </w:pPr>
      <w:r>
        <w:t xml:space="preserve">language-related outcomes </w:t>
      </w:r>
      <w:r w:rsidR="00ED13F5">
        <w:t>in</w:t>
      </w:r>
      <w:r>
        <w:t xml:space="preserve"> </w:t>
      </w:r>
      <w:r w:rsidRPr="00DA3672">
        <w:t>pre</w:t>
      </w:r>
      <w:r w:rsidR="00ED13F5">
        <w:t>-</w:t>
      </w:r>
      <w:r w:rsidRPr="00DA3672">
        <w:t>post</w:t>
      </w:r>
      <w:r w:rsidR="00ED13F5">
        <w:t xml:space="preserve"> assessment;</w:t>
      </w:r>
    </w:p>
    <w:p w14:paraId="23514C52" w14:textId="61E60DD9" w:rsidR="00CB1637" w:rsidRPr="00DA3672" w:rsidRDefault="00ED13F5" w:rsidP="00B65411">
      <w:pPr>
        <w:pStyle w:val="ListParagraph"/>
        <w:numPr>
          <w:ilvl w:val="0"/>
          <w:numId w:val="27"/>
        </w:numPr>
      </w:pPr>
      <w:r>
        <w:t>publication</w:t>
      </w:r>
      <w:r w:rsidRPr="00DA3672">
        <w:t xml:space="preserve"> </w:t>
      </w:r>
      <w:r>
        <w:t>in</w:t>
      </w:r>
      <w:r w:rsidR="00CB1637" w:rsidRPr="00DA3672">
        <w:t xml:space="preserve"> peer</w:t>
      </w:r>
      <w:r w:rsidR="00CB1637">
        <w:t>-</w:t>
      </w:r>
      <w:r w:rsidR="00CB1637" w:rsidRPr="00DA3672">
        <w:t>reviewed journal</w:t>
      </w:r>
      <w:r>
        <w:t>.</w:t>
      </w:r>
    </w:p>
    <w:p w14:paraId="00E9B54B" w14:textId="518CBC34" w:rsidR="00CB1637" w:rsidRPr="00DA3672" w:rsidRDefault="00CB1637" w:rsidP="00B65411">
      <w:r w:rsidRPr="00DA3672">
        <w:t xml:space="preserve">Despite the </w:t>
      </w:r>
      <w:r w:rsidR="00ED13F5">
        <w:t>limited</w:t>
      </w:r>
      <w:r w:rsidR="00ED13F5" w:rsidRPr="00DA3672">
        <w:t xml:space="preserve"> </w:t>
      </w:r>
      <w:r w:rsidRPr="00DA3672">
        <w:t>quality of evidence in non-RCT designs</w:t>
      </w:r>
      <w:r w:rsidR="00331C63">
        <w:t xml:space="preserve"> (</w:t>
      </w:r>
      <w:commentRangeStart w:id="18"/>
      <w:commentRangeStart w:id="19"/>
      <w:r w:rsidR="00331C63" w:rsidRPr="00DA3672">
        <w:t xml:space="preserve">case </w:t>
      </w:r>
      <w:r w:rsidR="00331C63">
        <w:t>reports</w:t>
      </w:r>
      <w:commentRangeEnd w:id="18"/>
      <w:r w:rsidR="00692E05">
        <w:rPr>
          <w:rStyle w:val="CommentReference"/>
        </w:rPr>
        <w:commentReference w:id="18"/>
      </w:r>
      <w:commentRangeEnd w:id="19"/>
      <w:r w:rsidR="002248B1">
        <w:rPr>
          <w:rStyle w:val="CommentReference"/>
        </w:rPr>
        <w:commentReference w:id="19"/>
      </w:r>
      <w:r w:rsidR="00331C63">
        <w:t>)</w:t>
      </w:r>
      <w:r w:rsidRPr="00DA3672">
        <w:t>, we chose to include</w:t>
      </w:r>
      <w:r w:rsidR="00331C63">
        <w:t xml:space="preserve"> </w:t>
      </w:r>
      <w:r w:rsidRPr="00DA3672">
        <w:t xml:space="preserve">and analyse </w:t>
      </w:r>
      <w:r w:rsidR="00331C63">
        <w:t xml:space="preserve">those </w:t>
      </w:r>
      <w:r w:rsidRPr="00DA3672">
        <w:t>separately and comparatively.</w:t>
      </w:r>
    </w:p>
    <w:p w14:paraId="20DCA702" w14:textId="77777777" w:rsidR="00CB1637" w:rsidRPr="00DA3672" w:rsidRDefault="00CB1637" w:rsidP="00B65411">
      <w:pPr>
        <w:pStyle w:val="Heading3"/>
      </w:pPr>
      <w:bookmarkStart w:id="20" w:name="_e3j09sq1dkrn" w:colFirst="0" w:colLast="0"/>
      <w:bookmarkEnd w:id="20"/>
      <w:r w:rsidRPr="00DA3672">
        <w:t>Exclusion criteria</w:t>
      </w:r>
    </w:p>
    <w:p w14:paraId="4BFFCA60" w14:textId="77777777" w:rsidR="00CB1637" w:rsidRPr="00DA3672" w:rsidRDefault="00CB1637" w:rsidP="00B65411">
      <w:r>
        <w:t xml:space="preserve">After the removal of </w:t>
      </w:r>
      <w:r w:rsidRPr="00DA3672">
        <w:t>duplicate</w:t>
      </w:r>
      <w:r>
        <w:t xml:space="preserve"> items (see </w:t>
      </w:r>
      <w:r>
        <w:fldChar w:fldCharType="begin"/>
      </w:r>
      <w:r>
        <w:instrText xml:space="preserve"> REF _Ref75116915 \h  \* MERGEFORMAT </w:instrText>
      </w:r>
      <w:r>
        <w:fldChar w:fldCharType="separate"/>
      </w:r>
      <w:r w:rsidR="000E6430" w:rsidRPr="000E6430">
        <w:rPr>
          <w:i/>
        </w:rPr>
        <w:t>Appendix 2: Dealing with duplicate findings</w:t>
      </w:r>
      <w:r>
        <w:fldChar w:fldCharType="end"/>
      </w:r>
      <w:r>
        <w:t>), the following exclusion criteria were applied to remaining</w:t>
      </w:r>
      <w:r w:rsidRPr="004E2D45">
        <w:t xml:space="preserve"> </w:t>
      </w:r>
      <w:r>
        <w:t>studies:</w:t>
      </w:r>
    </w:p>
    <w:p w14:paraId="36E8AB54" w14:textId="632A2F22" w:rsidR="00CB1637" w:rsidRPr="006D3B3B" w:rsidRDefault="00D60804" w:rsidP="00B65411">
      <w:pPr>
        <w:pStyle w:val="ListParagraph"/>
        <w:numPr>
          <w:ilvl w:val="0"/>
          <w:numId w:val="15"/>
        </w:numPr>
      </w:pPr>
      <w:r>
        <w:t>s</w:t>
      </w:r>
      <w:r w:rsidR="00CB1637" w:rsidRPr="00DA3672">
        <w:t>ubstantial variation from original MIT protocol</w:t>
      </w:r>
      <w:r w:rsidR="00CB1637">
        <w:t xml:space="preserve"> </w:t>
      </w:r>
      <w:r w:rsidR="00CB1637">
        <w:fldChar w:fldCharType="begin"/>
      </w:r>
      <w:r w:rsidR="003B01B7">
        <w:instrText xml:space="preserve"> ADDIN ZOTERO_ITEM CSL_CITATION {"citationID":"ssWTWdJ8","properties":{"formattedCitation":"(Albert et al., 1973)","plainCitation":"(Albert et al., 1973)","noteIndex":0},"citationItems":[{"id":"nFN7BwCC/oHonccDU","uris":["http://zotero.org/users/7270/items/KAWPME3D"],"uri":["http://zotero.org/users/7270/items/KAWPME3D"],"itemData":{"id":4849,"type":"article-journal","container-title":"Archives of Neurology","DOI":"10.1001/archneur.1973.00490260074018","ISSN":"0003-9942","issue":"2","language":"en","note":"00591","page":"130-131","source":"Crossref","title":"Melodic Intonation Therapy for Aphasia","volume":"29","author":[{"family":"Albert","given":"M. L."},{"family":"Sparks","given":"R. W."},{"family":"Helm","given":"N. A."}],"issued":{"date-parts":[["1973",8,1]]}}}],"schema":"https://github.com/citation-style-language/schema/raw/master/csl-citation.json"} </w:instrText>
      </w:r>
      <w:r w:rsidR="00CB1637">
        <w:fldChar w:fldCharType="separate"/>
      </w:r>
      <w:r w:rsidR="00CB1637" w:rsidRPr="00600E6D">
        <w:t>(Albert et al., 1973)</w:t>
      </w:r>
      <w:r w:rsidR="00CB1637">
        <w:fldChar w:fldCharType="end"/>
      </w:r>
      <w:r>
        <w:t xml:space="preserve">. </w:t>
      </w:r>
      <w:r w:rsidR="00CB1637">
        <w:t>W</w:t>
      </w:r>
      <w:r w:rsidR="00CB1637" w:rsidRPr="00DA3672">
        <w:t xml:space="preserve">e accepted </w:t>
      </w:r>
      <w:r w:rsidR="00CB1637" w:rsidRPr="00EA064B">
        <w:rPr>
          <w:i/>
        </w:rPr>
        <w:t>minor</w:t>
      </w:r>
      <w:r w:rsidR="00CB1637">
        <w:t xml:space="preserve"> </w:t>
      </w:r>
      <w:r w:rsidR="00C34A79">
        <w:t>changes</w:t>
      </w:r>
      <w:r w:rsidR="00C34A79" w:rsidRPr="00DA3672">
        <w:t xml:space="preserve"> </w:t>
      </w:r>
      <w:r w:rsidR="00C34A79">
        <w:t>to</w:t>
      </w:r>
      <w:r w:rsidR="00C34A79" w:rsidRPr="00DA3672">
        <w:t xml:space="preserve"> </w:t>
      </w:r>
      <w:r w:rsidR="00CB1637" w:rsidRPr="00DA3672">
        <w:t>th</w:t>
      </w:r>
      <w:r w:rsidR="00CB1637">
        <w:t>e MIT</w:t>
      </w:r>
      <w:r w:rsidR="00CB1637" w:rsidRPr="00DA3672">
        <w:t xml:space="preserve"> protocol</w:t>
      </w:r>
      <w:r w:rsidR="00CB1637">
        <w:t xml:space="preserve"> (</w:t>
      </w:r>
      <w:r w:rsidR="00CB1637" w:rsidRPr="00DA3672">
        <w:t xml:space="preserve">and examined the effect </w:t>
      </w:r>
      <w:r w:rsidR="00CB1637">
        <w:t xml:space="preserve">of the </w:t>
      </w:r>
      <w:r w:rsidR="00CB1637" w:rsidRPr="00DA3672">
        <w:t>categorical variable</w:t>
      </w:r>
      <w:r w:rsidR="00CB1637">
        <w:t xml:space="preserve">: </w:t>
      </w:r>
      <w:r w:rsidR="00CB1637" w:rsidRPr="00DA3672">
        <w:t xml:space="preserve">original </w:t>
      </w:r>
      <w:r w:rsidR="00CB1637" w:rsidRPr="002A1A74">
        <w:rPr>
          <w:i/>
        </w:rPr>
        <w:t>v</w:t>
      </w:r>
      <w:r w:rsidR="00C34A79" w:rsidRPr="002A1A74">
        <w:rPr>
          <w:i/>
        </w:rPr>
        <w:t>ersu</w:t>
      </w:r>
      <w:r w:rsidR="00CB1637" w:rsidRPr="002A1A74">
        <w:rPr>
          <w:i/>
        </w:rPr>
        <w:t>s</w:t>
      </w:r>
      <w:r w:rsidR="00CB1637" w:rsidRPr="00DA3672">
        <w:t xml:space="preserve"> modified MIT)</w:t>
      </w:r>
      <w:r w:rsidR="00CB1637">
        <w:t>, as long as the protocol met all of the following features:</w:t>
      </w:r>
    </w:p>
    <w:p w14:paraId="17019640" w14:textId="354BE528" w:rsidR="00CB1637" w:rsidRPr="00DA3672" w:rsidRDefault="00C34A79" w:rsidP="00B65411">
      <w:pPr>
        <w:pStyle w:val="ListParagraph"/>
        <w:numPr>
          <w:ilvl w:val="2"/>
          <w:numId w:val="15"/>
        </w:numPr>
      </w:pPr>
      <w:r>
        <w:t>melody-based vocal expression;</w:t>
      </w:r>
    </w:p>
    <w:p w14:paraId="32EDDBD5" w14:textId="77777777" w:rsidR="00C34A79" w:rsidRDefault="00C34A79" w:rsidP="00C34A79">
      <w:pPr>
        <w:pStyle w:val="ListParagraph"/>
        <w:numPr>
          <w:ilvl w:val="2"/>
          <w:numId w:val="15"/>
        </w:numPr>
      </w:pPr>
      <w:r w:rsidRPr="00DA3672">
        <w:t xml:space="preserve">some </w:t>
      </w:r>
      <w:r w:rsidR="006E1919">
        <w:t>form of</w:t>
      </w:r>
      <w:r w:rsidRPr="00DA3672">
        <w:t xml:space="preserve"> </w:t>
      </w:r>
      <w:r w:rsidR="006E1919">
        <w:t xml:space="preserve">rhythmic pacing (e.g., left-hand </w:t>
      </w:r>
      <w:r w:rsidRPr="00DA3672">
        <w:t>tapping</w:t>
      </w:r>
      <w:r w:rsidR="006E1919">
        <w:t>)</w:t>
      </w:r>
      <w:r>
        <w:t>;</w:t>
      </w:r>
    </w:p>
    <w:p w14:paraId="6A175843" w14:textId="3BA2F717" w:rsidR="00CB1637" w:rsidRPr="00DA3672" w:rsidRDefault="00C34A79" w:rsidP="00B65411">
      <w:pPr>
        <w:pStyle w:val="ListParagraph"/>
        <w:numPr>
          <w:ilvl w:val="2"/>
          <w:numId w:val="15"/>
        </w:numPr>
      </w:pPr>
      <w:r>
        <w:t>use of verbal utterances known from everyday communicative interaction</w:t>
      </w:r>
      <w:r w:rsidR="00D60804">
        <w:t>;</w:t>
      </w:r>
    </w:p>
    <w:p w14:paraId="0BF55AF1" w14:textId="145AD316" w:rsidR="00CB1637" w:rsidRPr="00F35E7F" w:rsidRDefault="00D60804" w:rsidP="00B65411">
      <w:pPr>
        <w:pStyle w:val="ListParagraph"/>
        <w:numPr>
          <w:ilvl w:val="0"/>
          <w:numId w:val="15"/>
        </w:numPr>
      </w:pPr>
      <w:r>
        <w:t>u</w:t>
      </w:r>
      <w:r w:rsidR="00CB1637">
        <w:t>nval</w:t>
      </w:r>
      <w:r w:rsidR="00CB1637" w:rsidRPr="00DA3672">
        <w:t xml:space="preserve">idated </w:t>
      </w:r>
      <w:ins w:id="21" w:author="Brenton Wiernik" w:date="2021-07-26T16:34:00Z">
        <w:r w:rsidR="002248B1">
          <w:t xml:space="preserve">(ad hoc) </w:t>
        </w:r>
      </w:ins>
      <w:r w:rsidR="00CB1637">
        <w:t>outcome</w:t>
      </w:r>
      <w:ins w:id="22" w:author="Brenton Wiernik" w:date="2021-07-26T16:34:00Z">
        <w:r w:rsidR="002248B1">
          <w:t xml:space="preserve"> measure</w:t>
        </w:r>
      </w:ins>
      <w:r>
        <w:t>s</w:t>
      </w:r>
      <w:r w:rsidR="00C0458D">
        <w:t>;</w:t>
      </w:r>
      <w:r w:rsidR="00CB1637">
        <w:t xml:space="preserve"> </w:t>
      </w:r>
      <w:r w:rsidR="00C0458D">
        <w:t xml:space="preserve">no published or otherwise accessible </w:t>
      </w:r>
      <w:r w:rsidR="00CB1637">
        <w:t>validation study for the particular test</w:t>
      </w:r>
      <w:r w:rsidR="00C0458D">
        <w:t xml:space="preserve"> battery</w:t>
      </w:r>
      <w:r w:rsidR="00CB1637">
        <w:t xml:space="preserve">. </w:t>
      </w:r>
      <w:r>
        <w:t xml:space="preserve">Exception: </w:t>
      </w:r>
      <w:del w:id="23" w:author="Brenton Wiernik" w:date="2021-07-27T10:30:00Z">
        <w:r w:rsidDel="002520E2">
          <w:delText>i</w:delText>
        </w:r>
        <w:r w:rsidR="00C0458D" w:rsidDel="002520E2">
          <w:delText>n</w:delText>
        </w:r>
        <w:r w:rsidR="00CB1637" w:rsidDel="002520E2">
          <w:delText xml:space="preserve"> </w:delText>
        </w:r>
        <w:r w:rsidR="00CB1637" w:rsidRPr="00DA3672" w:rsidDel="002520E2">
          <w:delText xml:space="preserve">a </w:delText>
        </w:r>
        <w:r w:rsidR="00CB1637" w:rsidDel="002520E2">
          <w:delText>supplementary</w:delText>
        </w:r>
        <w:r w:rsidR="00CB1637" w:rsidRPr="00DA3672" w:rsidDel="002520E2">
          <w:delText xml:space="preserve"> analysis</w:delText>
        </w:r>
      </w:del>
      <w:ins w:id="24" w:author="Brenton Wiernik" w:date="2021-07-27T10:30:00Z">
        <w:r w:rsidR="002520E2">
          <w:t xml:space="preserve">if a study included both trained and untrained items for an unvalidated measure, we included it </w:t>
        </w:r>
      </w:ins>
      <w:ins w:id="25" w:author="Brenton Wiernik" w:date="2021-07-27T10:31:00Z">
        <w:r w:rsidR="002520E2">
          <w:t xml:space="preserve">to </w:t>
        </w:r>
      </w:ins>
      <w:del w:id="26" w:author="Brenton Wiernik" w:date="2021-07-27T10:31:00Z">
        <w:r w:rsidR="00CB1637" w:rsidDel="002520E2">
          <w:delText>,</w:delText>
        </w:r>
        <w:r w:rsidR="00C0458D" w:rsidDel="002520E2">
          <w:delText xml:space="preserve"> we considered unvalidated outcomes</w:delText>
        </w:r>
        <w:r w:rsidR="00CB1637" w:rsidDel="002520E2">
          <w:delText xml:space="preserve"> </w:delText>
        </w:r>
        <w:r w:rsidR="00C0458D" w:rsidDel="002520E2">
          <w:delText xml:space="preserve">to </w:delText>
        </w:r>
      </w:del>
      <w:r w:rsidR="00C0458D">
        <w:t xml:space="preserve">determine the degree of </w:t>
      </w:r>
      <w:r w:rsidR="00CB1637">
        <w:t>generalisation</w:t>
      </w:r>
      <w:r>
        <w:t xml:space="preserve"> by comparing performance on trained and untrained items</w:t>
      </w:r>
      <w:r w:rsidR="00CB1637">
        <w:t xml:space="preserve"> </w:t>
      </w:r>
      <w:r w:rsidR="00C0458D">
        <w:t>(see Results)</w:t>
      </w:r>
      <w:r>
        <w:t>;</w:t>
      </w:r>
    </w:p>
    <w:p w14:paraId="69300657" w14:textId="0BBFA7CF" w:rsidR="00CB1637" w:rsidDel="002248B1" w:rsidRDefault="00D60804" w:rsidP="002248B1">
      <w:pPr>
        <w:pStyle w:val="ListParagraph"/>
        <w:numPr>
          <w:ilvl w:val="0"/>
          <w:numId w:val="15"/>
        </w:numPr>
        <w:rPr>
          <w:del w:id="27" w:author="Brenton Wiernik" w:date="2021-07-26T16:35:00Z"/>
        </w:rPr>
        <w:pPrChange w:id="28" w:author="Brenton Wiernik" w:date="2021-07-26T16:35:00Z">
          <w:pPr>
            <w:pStyle w:val="ListParagraph"/>
            <w:numPr>
              <w:numId w:val="15"/>
            </w:numPr>
            <w:ind w:hanging="360"/>
          </w:pPr>
        </w:pPrChange>
      </w:pPr>
      <w:r>
        <w:t>o</w:t>
      </w:r>
      <w:r w:rsidR="00CB1637" w:rsidRPr="00DA3672">
        <w:t>ther essential data not reported and</w:t>
      </w:r>
      <w:r>
        <w:t xml:space="preserve"> </w:t>
      </w:r>
      <w:r w:rsidR="00CB1637" w:rsidRPr="00DA3672">
        <w:t>/</w:t>
      </w:r>
      <w:r>
        <w:t xml:space="preserve"> </w:t>
      </w:r>
      <w:r w:rsidR="00CB1637" w:rsidRPr="00DA3672">
        <w:t>or not retrievable</w:t>
      </w:r>
      <w:r w:rsidR="00CB1637">
        <w:t>, even</w:t>
      </w:r>
      <w:r w:rsidR="00CB1637" w:rsidRPr="00DA3672">
        <w:t xml:space="preserve"> after contacting the authors</w:t>
      </w:r>
      <w:ins w:id="29" w:author="Brenton Wiernik" w:date="2021-07-26T16:34:00Z">
        <w:r w:rsidR="002248B1">
          <w:t xml:space="preserve"> (e.g., </w:t>
        </w:r>
      </w:ins>
      <w:ins w:id="30" w:author="Brenton Wiernik" w:date="2021-07-26T16:35:00Z">
        <w:r w:rsidR="002248B1">
          <w:t>no sample size or standard error, insufficient information to compute an effect size)</w:t>
        </w:r>
      </w:ins>
      <w:del w:id="31" w:author="Brenton Wiernik" w:date="2021-07-26T16:35:00Z">
        <w:r w:rsidDel="002248B1">
          <w:delText>;</w:delText>
        </w:r>
      </w:del>
    </w:p>
    <w:p w14:paraId="727029CB" w14:textId="20C46A97" w:rsidR="00CB1637" w:rsidRPr="00DA3672" w:rsidRDefault="00D60804" w:rsidP="002248B1">
      <w:pPr>
        <w:pStyle w:val="ListParagraph"/>
        <w:numPr>
          <w:ilvl w:val="0"/>
          <w:numId w:val="15"/>
        </w:numPr>
      </w:pPr>
      <w:del w:id="32" w:author="Brenton Wiernik" w:date="2021-07-26T16:35:00Z">
        <w:r w:rsidDel="002248B1">
          <w:delText>individuals</w:delText>
        </w:r>
        <w:r w:rsidR="00CB1637" w:rsidRPr="00261C1C" w:rsidDel="002248B1">
          <w:delText xml:space="preserve"> </w:delText>
        </w:r>
        <w:r w:rsidR="006A06A9" w:rsidDel="002248B1">
          <w:delText>aged</w:delText>
        </w:r>
        <w:r w:rsidR="006A06A9" w:rsidRPr="00261C1C" w:rsidDel="002248B1">
          <w:delText xml:space="preserve"> </w:delText>
        </w:r>
        <w:r w:rsidR="00CB1637" w:rsidRPr="00261C1C" w:rsidDel="002248B1">
          <w:delText>17 or younger</w:delText>
        </w:r>
      </w:del>
      <w:r>
        <w:t>.</w:t>
      </w:r>
    </w:p>
    <w:p w14:paraId="54004A0E" w14:textId="77777777" w:rsidR="00CB1637" w:rsidRPr="00DA3672" w:rsidRDefault="00CB1637" w:rsidP="00B65411">
      <w:pPr>
        <w:pStyle w:val="Heading3"/>
      </w:pPr>
      <w:r w:rsidRPr="00DA3672">
        <w:lastRenderedPageBreak/>
        <w:t>List of included studies</w:t>
      </w:r>
      <w:r>
        <w:t xml:space="preserve"> (after application of exclusion criteria)</w:t>
      </w:r>
    </w:p>
    <w:p w14:paraId="2A25D7EC" w14:textId="77777777" w:rsidR="00CB1637" w:rsidRDefault="00CB1637" w:rsidP="00B65411">
      <w:pPr>
        <w:rPr>
          <w:i/>
        </w:rPr>
      </w:pPr>
      <w:r w:rsidRPr="00DA3672">
        <w:rPr>
          <w:i/>
        </w:rPr>
        <w:t xml:space="preserve">(to paste here the </w:t>
      </w:r>
      <w:r w:rsidRPr="000D3EC5">
        <w:rPr>
          <w:b/>
          <w:i/>
        </w:rPr>
        <w:t>@</w:t>
      </w:r>
      <w:r w:rsidRPr="00DA3672">
        <w:rPr>
          <w:b/>
          <w:i/>
        </w:rPr>
        <w:t xml:space="preserve">includedStudies </w:t>
      </w:r>
      <w:r w:rsidRPr="00DA3672">
        <w:rPr>
          <w:i/>
        </w:rPr>
        <w:t xml:space="preserve">tab from main sheet, possibly with certain essential </w:t>
      </w:r>
      <w:r>
        <w:rPr>
          <w:i/>
        </w:rPr>
        <w:t xml:space="preserve">study features </w:t>
      </w:r>
      <w:r w:rsidRPr="00DA3672">
        <w:rPr>
          <w:i/>
        </w:rPr>
        <w:t xml:space="preserve">added </w:t>
      </w:r>
      <w:r>
        <w:rPr>
          <w:i/>
        </w:rPr>
        <w:t xml:space="preserve">as </w:t>
      </w:r>
      <w:r w:rsidRPr="00DA3672">
        <w:rPr>
          <w:i/>
        </w:rPr>
        <w:t>columns from STUDIES:ALL, such as MIT type etc)</w:t>
      </w:r>
    </w:p>
    <w:p w14:paraId="08D9549A" w14:textId="77777777" w:rsidR="00CB1637" w:rsidRPr="00780059" w:rsidRDefault="00CB1637" w:rsidP="00B65411">
      <w:r>
        <w:t xml:space="preserve">For a list of the excluded studies, see </w:t>
      </w:r>
      <w:r>
        <w:fldChar w:fldCharType="begin"/>
      </w:r>
      <w:r>
        <w:instrText xml:space="preserve"> REF _Ref77260820 \h </w:instrText>
      </w:r>
      <w:r>
        <w:fldChar w:fldCharType="separate"/>
      </w:r>
      <w:r w:rsidR="000E6430" w:rsidRPr="00DA3672">
        <w:t xml:space="preserve">Appendix </w:t>
      </w:r>
      <w:r w:rsidR="000E6430">
        <w:t>4</w:t>
      </w:r>
      <w:r w:rsidR="000E6430" w:rsidRPr="00DA3672">
        <w:t xml:space="preserve">: </w:t>
      </w:r>
      <w:r w:rsidR="000E6430">
        <w:t>List of excluded studies</w:t>
      </w:r>
      <w:r>
        <w:fldChar w:fldCharType="end"/>
      </w:r>
      <w:r>
        <w:t>.</w:t>
      </w:r>
    </w:p>
    <w:p w14:paraId="148F3F96" w14:textId="77777777" w:rsidR="00CB1637" w:rsidRPr="00DA3672" w:rsidRDefault="00CB1637" w:rsidP="0096096E">
      <w:pPr>
        <w:pStyle w:val="Heading2"/>
      </w:pPr>
      <w:r w:rsidRPr="00DA3672">
        <w:t>Search strategy</w:t>
      </w:r>
    </w:p>
    <w:p w14:paraId="56871457" w14:textId="520D096A" w:rsidR="00CB1637" w:rsidRPr="00DA3672" w:rsidRDefault="00CB1637" w:rsidP="006807CC">
      <w:r w:rsidRPr="00DA3672">
        <w:t xml:space="preserve">The literature search strategy was devised and implemented by authors TP and MZ. This was designed to obtain high search sensitivity, using both free-text and subject headings in databases, </w:t>
      </w:r>
      <w:r>
        <w:t xml:space="preserve">which </w:t>
      </w:r>
      <w:r w:rsidRPr="00DA3672">
        <w:t xml:space="preserve">were not restricted by language or publication form </w:t>
      </w:r>
      <w:r>
        <w:t xml:space="preserve"> </w:t>
      </w:r>
      <w:r>
        <w:fldChar w:fldCharType="begin"/>
      </w:r>
      <w:r w:rsidR="003B01B7">
        <w:instrText xml:space="preserve"> ADDIN ZOTERO_ITEM CSL_CITATION {"citationID":"WVQPh9mj","properties":{"formattedCitation":"(Higgins et al., 2021)","plainCitation":"(Higgins et al., 2021)","noteIndex":0},"citationItems":[{"id":"nFN7BwCC/aFLSniit","uris":["http://zotero.org/users/7270/items/3G6AEKL6"],"uri":["http://zotero.org/users/7270/items/3G6AEKL6"],"itemData":{"id":13475,"type":"book","collection-title":"version 6.2","note":"00000","publisher":"Cochrane","title":"Cochrane Handbook for Systematic Reviews of Interventions","URL":"www.training.cochrane.org/handbook","editor":[{"family":"Higgins","given":"JPT"},{"family":"Thomas","given":"J"},{"family":"Chandler","given":"J"},{"family":"Cumpston","given":"M"},{"family":"Li","given":"T"},{"family":"Page","given":"MJ"},{"family":"Welch","given":"VA"}],"issued":{"date-parts":[["2021",2]]}}}],"schema":"https://github.com/citation-style-language/schema/raw/master/csl-citation.json"} </w:instrText>
      </w:r>
      <w:r>
        <w:fldChar w:fldCharType="separate"/>
      </w:r>
      <w:r w:rsidRPr="00600E6D">
        <w:t>(Higgins et al., 2021)</w:t>
      </w:r>
      <w:r>
        <w:fldChar w:fldCharType="end"/>
      </w:r>
      <w:r w:rsidRPr="00DA3672">
        <w:t>.</w:t>
      </w:r>
    </w:p>
    <w:p w14:paraId="172425F3" w14:textId="77777777" w:rsidR="00CB1637" w:rsidRPr="00DA3672" w:rsidRDefault="00CB1637" w:rsidP="00FA7545">
      <w:pPr>
        <w:pStyle w:val="Heading3"/>
      </w:pPr>
      <w:bookmarkStart w:id="33" w:name="_73oy38nsqsta" w:colFirst="0" w:colLast="0"/>
      <w:bookmarkEnd w:id="33"/>
      <w:r w:rsidRPr="00DA3672">
        <w:t>Electronic searches</w:t>
      </w:r>
    </w:p>
    <w:p w14:paraId="60D094AC" w14:textId="77777777" w:rsidR="00CB1637" w:rsidRPr="00DA3672" w:rsidRDefault="00CB1637" w:rsidP="006807CC">
      <w:r w:rsidRPr="00DA3672">
        <w:t xml:space="preserve">We searched the following databases: </w:t>
      </w:r>
      <w:r w:rsidRPr="004E6BE5">
        <w:rPr>
          <w:i/>
        </w:rPr>
        <w:t>Cochrane Library</w:t>
      </w:r>
      <w:r w:rsidRPr="00DA3672">
        <w:t xml:space="preserve"> (last searched 25.02.2021), </w:t>
      </w:r>
      <w:r w:rsidRPr="004E6BE5">
        <w:rPr>
          <w:i/>
        </w:rPr>
        <w:t>CINAHL EBSCOhost</w:t>
      </w:r>
      <w:r w:rsidRPr="00DA3672">
        <w:t xml:space="preserve"> (last searched 27.02.2021), </w:t>
      </w:r>
      <w:r w:rsidRPr="004E6BE5">
        <w:rPr>
          <w:i/>
        </w:rPr>
        <w:t>PsycINFO OVID</w:t>
      </w:r>
      <w:r w:rsidRPr="00DA3672">
        <w:t xml:space="preserve"> (1806 to August 2020), </w:t>
      </w:r>
      <w:r w:rsidRPr="004E6BE5">
        <w:rPr>
          <w:i/>
        </w:rPr>
        <w:t>Web of Science</w:t>
      </w:r>
      <w:r w:rsidRPr="00DA3672">
        <w:t xml:space="preserve"> (last searched 25.02.2021), </w:t>
      </w:r>
      <w:r w:rsidRPr="004E6BE5">
        <w:rPr>
          <w:i/>
        </w:rPr>
        <w:t>PubMed</w:t>
      </w:r>
      <w:r w:rsidRPr="00DA3672">
        <w:t xml:space="preserve"> (last searched 26.02.2021), </w:t>
      </w:r>
      <w:r w:rsidRPr="004E6BE5">
        <w:rPr>
          <w:i/>
        </w:rPr>
        <w:t>Scopus</w:t>
      </w:r>
      <w:r w:rsidRPr="00DA3672">
        <w:t xml:space="preserve"> (last searched 26.02.2021), </w:t>
      </w:r>
      <w:r w:rsidRPr="004E6BE5">
        <w:rPr>
          <w:i/>
        </w:rPr>
        <w:t>Medline</w:t>
      </w:r>
      <w:r w:rsidRPr="00DA3672">
        <w:t xml:space="preserve"> </w:t>
      </w:r>
      <w:r w:rsidRPr="004E6BE5">
        <w:rPr>
          <w:i/>
        </w:rPr>
        <w:t>OVID</w:t>
      </w:r>
      <w:r w:rsidRPr="00DA3672">
        <w:t xml:space="preserve"> (1946 to February 2021) </w:t>
      </w:r>
      <w:r w:rsidRPr="004E6BE5">
        <w:rPr>
          <w:i/>
        </w:rPr>
        <w:t>PSYNDEX OVID</w:t>
      </w:r>
      <w:r w:rsidRPr="00DA3672">
        <w:t xml:space="preserve"> (1977 to February 2021), </w:t>
      </w:r>
      <w:r w:rsidRPr="004E6BE5">
        <w:rPr>
          <w:i/>
        </w:rPr>
        <w:t>Music Periodicals Database</w:t>
      </w:r>
      <w:r w:rsidRPr="00DA3672">
        <w:t xml:space="preserve"> (last searched 26.02.2021), and </w:t>
      </w:r>
      <w:r w:rsidRPr="004E6BE5">
        <w:rPr>
          <w:i/>
        </w:rPr>
        <w:t>ProQuest Dissertations &amp; Theses Global</w:t>
      </w:r>
      <w:r w:rsidRPr="00DA3672">
        <w:t xml:space="preserve"> (last searched 27.02.2021).</w:t>
      </w:r>
    </w:p>
    <w:p w14:paraId="3CE46992" w14:textId="77777777" w:rsidR="00CB1637" w:rsidRPr="00DA3672" w:rsidRDefault="00CB1637" w:rsidP="006807CC">
      <w:r w:rsidRPr="00DA3672">
        <w:t xml:space="preserve">We also searched trials registers, including </w:t>
      </w:r>
      <w:r w:rsidRPr="00DA3672">
        <w:rPr>
          <w:i/>
        </w:rPr>
        <w:t xml:space="preserve">International Clinical Trials Registry Platform </w:t>
      </w:r>
      <w:r w:rsidRPr="00DA3672">
        <w:t>(ICTRP,</w:t>
      </w:r>
      <w:hyperlink r:id="rId11">
        <w:r w:rsidRPr="00DA3672">
          <w:t xml:space="preserve"> </w:t>
        </w:r>
      </w:hyperlink>
      <w:hyperlink r:id="rId12">
        <w:r w:rsidRPr="00DA3672">
          <w:rPr>
            <w:u w:val="single"/>
          </w:rPr>
          <w:t>https://www.isrctn.com/</w:t>
        </w:r>
      </w:hyperlink>
      <w:r w:rsidRPr="00DA3672">
        <w:t xml:space="preserve">; last searched 11.03.2021), </w:t>
      </w:r>
      <w:r w:rsidRPr="00DA3672">
        <w:rPr>
          <w:i/>
        </w:rPr>
        <w:t xml:space="preserve">National Research Register </w:t>
      </w:r>
      <w:r w:rsidRPr="00DA3672">
        <w:t>(UK),</w:t>
      </w:r>
      <w:hyperlink r:id="rId13">
        <w:r w:rsidRPr="00DA3672">
          <w:t xml:space="preserve"> </w:t>
        </w:r>
      </w:hyperlink>
      <w:hyperlink r:id="rId14">
        <w:r w:rsidRPr="00DA3672">
          <w:rPr>
            <w:u w:val="single"/>
          </w:rPr>
          <w:t>http://www.nihr.ac.uk/</w:t>
        </w:r>
      </w:hyperlink>
      <w:r w:rsidRPr="00DA3672">
        <w:t xml:space="preserve">; last searched 11.03.2021), </w:t>
      </w:r>
      <w:r w:rsidRPr="00DA3672">
        <w:rPr>
          <w:i/>
        </w:rPr>
        <w:t>Clinical Trials.gov</w:t>
      </w:r>
      <w:r w:rsidRPr="00DA3672">
        <w:t xml:space="preserve"> (</w:t>
      </w:r>
      <w:hyperlink r:id="rId15">
        <w:r w:rsidRPr="00DA3672">
          <w:rPr>
            <w:u w:val="single"/>
          </w:rPr>
          <w:t>www.clinicaltrials.gov</w:t>
        </w:r>
      </w:hyperlink>
      <w:r w:rsidRPr="00DA3672">
        <w:t xml:space="preserve">; last searched 11.03.2021), </w:t>
      </w:r>
      <w:r w:rsidRPr="00DA3672">
        <w:rPr>
          <w:i/>
        </w:rPr>
        <w:t>Netherlands Trials Register</w:t>
      </w:r>
      <w:hyperlink r:id="rId16">
        <w:r w:rsidRPr="00DA3672">
          <w:rPr>
            <w:i/>
          </w:rPr>
          <w:t xml:space="preserve"> </w:t>
        </w:r>
      </w:hyperlink>
      <w:hyperlink r:id="rId17">
        <w:r w:rsidRPr="00DA3672">
          <w:rPr>
            <w:u w:val="single"/>
          </w:rPr>
          <w:t>www.trialregister.nl</w:t>
        </w:r>
      </w:hyperlink>
      <w:r w:rsidRPr="00DA3672">
        <w:t xml:space="preserve">; last searched 11.03.2021), and the </w:t>
      </w:r>
      <w:r w:rsidRPr="00DA3672">
        <w:rPr>
          <w:i/>
        </w:rPr>
        <w:t>German clinical trials Register</w:t>
      </w:r>
      <w:hyperlink r:id="rId18">
        <w:r w:rsidRPr="00DA3672">
          <w:rPr>
            <w:i/>
          </w:rPr>
          <w:t xml:space="preserve"> </w:t>
        </w:r>
      </w:hyperlink>
      <w:hyperlink r:id="rId19">
        <w:r w:rsidRPr="00DA3672">
          <w:rPr>
            <w:u w:val="single"/>
          </w:rPr>
          <w:t>https://www.drks.de/drks_web/</w:t>
        </w:r>
      </w:hyperlink>
      <w:r w:rsidRPr="00DA3672">
        <w:t>; last searched 11.03.2021)</w:t>
      </w:r>
    </w:p>
    <w:p w14:paraId="21B2CCC6" w14:textId="77777777" w:rsidR="00CB1637" w:rsidRPr="00DA3672" w:rsidRDefault="00CB1637" w:rsidP="00FA7545">
      <w:r w:rsidRPr="00DA3672">
        <w:t>Additionally, we performed searches in Google Scholar (last searched 11.03.2021) and in the grey literature database OpenGrey.eu (</w:t>
      </w:r>
      <w:hyperlink r:id="rId20">
        <w:r w:rsidRPr="00DA3672">
          <w:rPr>
            <w:u w:val="single"/>
          </w:rPr>
          <w:t>http://www.opengrey.eu/</w:t>
        </w:r>
      </w:hyperlink>
      <w:r w:rsidRPr="00DA3672">
        <w:t>; last searched 11.03.2021). Messages soliciting any unpublished data were additionally sent to:</w:t>
      </w:r>
    </w:p>
    <w:p w14:paraId="63668D63" w14:textId="77777777" w:rsidR="00CB1637" w:rsidRPr="00DA3672" w:rsidRDefault="00CB1637" w:rsidP="00FA7545">
      <w:pPr>
        <w:pStyle w:val="ListParagraph"/>
        <w:numPr>
          <w:ilvl w:val="0"/>
          <w:numId w:val="16"/>
        </w:numPr>
      </w:pPr>
      <w:r w:rsidRPr="00DA3672">
        <w:t>aphasia associations</w:t>
      </w:r>
    </w:p>
    <w:p w14:paraId="704AF76A" w14:textId="77777777" w:rsidR="00CB1637" w:rsidRPr="00DA3672" w:rsidRDefault="00CB1637" w:rsidP="00FA7545">
      <w:pPr>
        <w:pStyle w:val="ListParagraph"/>
        <w:numPr>
          <w:ilvl w:val="1"/>
          <w:numId w:val="16"/>
        </w:numPr>
      </w:pPr>
      <w:r w:rsidRPr="00DA3672">
        <w:t>National Aphasia Association, NAA, https://www.aphasia.org</w:t>
      </w:r>
    </w:p>
    <w:p w14:paraId="07027F4B" w14:textId="77777777" w:rsidR="00CB1637" w:rsidRPr="00DA3672" w:rsidRDefault="00CB1637" w:rsidP="00FA7545">
      <w:pPr>
        <w:pStyle w:val="ListParagraph"/>
        <w:numPr>
          <w:ilvl w:val="1"/>
          <w:numId w:val="16"/>
        </w:numPr>
      </w:pPr>
      <w:r w:rsidRPr="00DA3672">
        <w:t>Australian Aphasia Association (AAA), https://aphasia.org.au</w:t>
      </w:r>
    </w:p>
    <w:p w14:paraId="05DA1560" w14:textId="77777777" w:rsidR="00CB1637" w:rsidRPr="00DA3672" w:rsidRDefault="00CB1637" w:rsidP="00FA7545">
      <w:pPr>
        <w:pStyle w:val="ListParagraph"/>
        <w:numPr>
          <w:ilvl w:val="1"/>
          <w:numId w:val="16"/>
        </w:numPr>
      </w:pPr>
      <w:r w:rsidRPr="00DA3672">
        <w:t>Fédération Nationale des Aphasiques de France (FNAF), http://aphasie.fr/</w:t>
      </w:r>
    </w:p>
    <w:p w14:paraId="1A72AF09" w14:textId="77777777" w:rsidR="00CB1637" w:rsidRPr="00DA3672" w:rsidRDefault="00CB1637" w:rsidP="00FA7545">
      <w:pPr>
        <w:pStyle w:val="ListParagraph"/>
        <w:numPr>
          <w:ilvl w:val="0"/>
          <w:numId w:val="16"/>
        </w:numPr>
      </w:pPr>
      <w:r w:rsidRPr="00DA3672">
        <w:t>music therapy associations</w:t>
      </w:r>
    </w:p>
    <w:p w14:paraId="3CB1B7B9" w14:textId="77777777" w:rsidR="00CB1637" w:rsidRPr="00DA3672" w:rsidRDefault="00CB1637" w:rsidP="00FA7545">
      <w:pPr>
        <w:pStyle w:val="ListParagraph"/>
        <w:numPr>
          <w:ilvl w:val="1"/>
          <w:numId w:val="16"/>
        </w:numPr>
      </w:pPr>
      <w:r w:rsidRPr="00DA3672">
        <w:t>American Music Therapy Association (AMTA), https://www.musictherapy.org/</w:t>
      </w:r>
    </w:p>
    <w:p w14:paraId="08E20AAE" w14:textId="77777777" w:rsidR="00CB1637" w:rsidRPr="00DA3672" w:rsidRDefault="00CB1637" w:rsidP="00FA7545">
      <w:pPr>
        <w:pStyle w:val="ListParagraph"/>
        <w:numPr>
          <w:ilvl w:val="1"/>
          <w:numId w:val="16"/>
        </w:numPr>
      </w:pPr>
      <w:r w:rsidRPr="00DA3672">
        <w:t>British Association for Music Therapy (BAMT), https://www.bamt.org</w:t>
      </w:r>
    </w:p>
    <w:p w14:paraId="62C059D9" w14:textId="77777777" w:rsidR="00CB1637" w:rsidRPr="00DA3672" w:rsidRDefault="00CB1637" w:rsidP="00FA7545">
      <w:pPr>
        <w:pStyle w:val="ListParagraph"/>
        <w:numPr>
          <w:ilvl w:val="0"/>
          <w:numId w:val="16"/>
        </w:numPr>
      </w:pPr>
      <w:r w:rsidRPr="00DA3672">
        <w:t>mailing lists</w:t>
      </w:r>
    </w:p>
    <w:p w14:paraId="0843D338" w14:textId="77777777" w:rsidR="00CB1637" w:rsidRPr="00DA3672" w:rsidRDefault="00CB1637" w:rsidP="00FA7545">
      <w:pPr>
        <w:pStyle w:val="ListParagraph"/>
        <w:numPr>
          <w:ilvl w:val="1"/>
          <w:numId w:val="16"/>
        </w:numPr>
      </w:pPr>
      <w:r w:rsidRPr="00DA3672">
        <w:t>AUDITORY</w:t>
      </w:r>
    </w:p>
    <w:p w14:paraId="2D0AC8B6" w14:textId="77777777" w:rsidR="00CB1637" w:rsidRPr="00DA3672" w:rsidRDefault="00CB1637" w:rsidP="00FA7545">
      <w:pPr>
        <w:pStyle w:val="ListParagraph"/>
        <w:numPr>
          <w:ilvl w:val="1"/>
          <w:numId w:val="16"/>
        </w:numPr>
      </w:pPr>
      <w:r w:rsidRPr="00DA3672">
        <w:t>Musicology-all</w:t>
      </w:r>
    </w:p>
    <w:p w14:paraId="11C2BEE5" w14:textId="77777777" w:rsidR="00CB1637" w:rsidRPr="00DA3672" w:rsidRDefault="00CB1637" w:rsidP="00FA7545">
      <w:pPr>
        <w:pStyle w:val="ListParagraph"/>
        <w:numPr>
          <w:ilvl w:val="0"/>
          <w:numId w:val="16"/>
        </w:numPr>
      </w:pPr>
      <w:r w:rsidRPr="00DA3672">
        <w:t>authors of the included studies</w:t>
      </w:r>
    </w:p>
    <w:p w14:paraId="77220352" w14:textId="77777777" w:rsidR="00CB1637" w:rsidRPr="00DA3672" w:rsidRDefault="00CB1637"/>
    <w:p w14:paraId="170FA2DA" w14:textId="0889FE90" w:rsidR="00CB1637" w:rsidRPr="00DA3672" w:rsidRDefault="00CB1637" w:rsidP="006807CC">
      <w:r w:rsidRPr="00DA3672">
        <w:t xml:space="preserve">Finally, to ensure no studies were omitted we consulted the list of studies in published systematic reviews </w:t>
      </w:r>
      <w:r>
        <w:t xml:space="preserve">and meta-analyses </w:t>
      </w:r>
      <w:r w:rsidRPr="00DA3672">
        <w:t xml:space="preserve">concerning MIT </w:t>
      </w:r>
      <w:r>
        <w:fldChar w:fldCharType="begin"/>
      </w:r>
      <w:r w:rsidR="003B01B7">
        <w:instrText xml:space="preserve"> ADDIN ZOTERO_ITEM CSL_CITATION {"citationID":"K15yJIWQ","properties":{"formattedCitation":"(Brady et al., 2016; Hurkmans et al., 2012; van der Meulen et al., 2012; Zumbansen et al., 2014; Zumbansen &amp; Tremblay, 2018)","plainCitation":"(Brady et al., 2016; Hurkmans et al., 2012; van der Meulen et al., 2012; Zumbansen et al., 2014; Zumbansen &amp; Tremblay, 2018)","noteIndex":0},"citationItems":[{"id":"nFN7BwCC/SQvxI0IR","uris":["http://zotero.org/users/7270/items/SIJZ3F8M"],"uri":["http://zotero.org/users/7270/items/SIJZ3F8M"],"itemData":{"id":5110,"type":"article-journal","container-title":"Cochrane Database of Systematic Reviews","DOI":"10.1002/14651858.CD000425.pub3","ISSN":"1465-1858","issue":"5","language":"en","note":"00000","source":"www.cochranelibrary.com","title":"Speech and language therapy for aphasia following stroke","URL":"https://www.cochranelibrary.com/cdsr/doi/10.1002/14651858.CD000425.pub3/abstract","author":[{"family":"Brady","given":"Marian C."},{"family":"Kelly","given":"Helen"},{"family":"Godwin","given":"Jon"},{"family":"Enderby","given":"Pam"}],"accessed":{"date-parts":[["2019",2,15]]},"issued":{"date-parts":[["2016"]]}}},{"id":"nFN7BwCC/NLE9G8SF","uris":["http://zotero.org/users/7270/items/D8SQE2ZT"],"uri":["http://zotero.org/users/7270/items/D8SQE2ZT"],"itemData":{"id":4923,"type":"article-journal","abstract":"Background: Acquired brain injury resulting from a stroke can result in impairments in, among other things, communication. Music therapy has been used in rehabilitation to stimulate brain functions involved in speech. The use of elements of music is well known and more often used in the treatment of aphasia and apraxia of speech. Aims: The aim of the study is to synthesise studies on the effect of music parameters in the treatment of neurological language and speech disorders. In addition, possible mechanisms that explain recovery are investigated. Methods &amp; Procedures: Search terms were formulated based on the research question. A systematic search in databases was performed using these search terms. Then inclusion criteria were formulated and articles meeting the criteria were reviewed on patient characteristics, interventions, and methodological quality. Outcomes &amp; Results: A total of 1250 articles have been selected from the databases, of which 15 were included in this study. The Melodic Intonation Therapy was the most studied programme. Melody and rhythm were the music interventions that have been applied the most. Measurable recovery has been reported in all those reviewed studies using music in the treatment of neurological language and speech disorders. In three studies research was also conducted into the mechanisms of explanation of the measured recovery. However, the methodological quality of the investigated studies was rated as “low”, using the ASHA level of evidence indicators for judging research. Conclusions: Although treatment outcomes were reported as positive in all of the 15 reviewed studies, caution should be used relative to conclusions about the effectiveness of treatments that incorporate components of music with neurologically impaired individuals. Methodological quality was rated as low and interpretations of mechanisms of recovery were contradictory. Suggestions for standardising and improving methodological quality drawn from the analysis are presented. A revised version of this article has been published in a Dutch journal (Stem Spraak- en Taalpathologie).","container-title":"Aphasiology","DOI":"10.1080/02687038.2011.602514","ISSN":"0268-7038","issue":"1","note":"00000","page":"1-19","source":"Taylor and Francis+NEJM","title":"Music in the treatment of neurological language and speech disorders: A systematic review","title-short":"Music in the treatment of neurological language and speech disorders","volume":"26","author":[{"family":"Hurkmans","given":"Joost"},{"family":"Bruijn","given":"Madeleen","dropping-particle":"de"},{"family":"Boonstra","given":"Anne M."},{"family":"Jonkers","given":"Roel"},{"family":"Bastiaanse","given":"Roelien"},{"family":"Arendzen","given":"Hans"},{"family":"Reinders-Messelink","given":"Heleen A."}],"issued":{"date-parts":[["2012",1,1]]}}},{"id":"nFN7BwCC/nzs10Oin","uris":["http://zotero.org/users/7270/items/6GTDZFB5"],"uri":["http://zotero.org/users/7270/items/6GTDZFB5"],"itemData":{"id":4925,"type":"article-journal","abstract":"van der Meulen I, van de Sandt-Koenderman ME, Ribbers GM. Melodic Intonation Therapy: present controversies and future opportunities. This article describes the state of the art of Melodic Intonation Therapy (MIT), a structured aphasia therapy program using the melodic aspects of language (intonation, rhythm, and stress) to improve language production. MIT was developed in the 1970s and is still used worldwide. Nevertheless, we argue that many questions crucial for the clinical application of MIT are still unanswered. First, a review of MIT effect studies is presented showing that evidence from well-designed group studies is still lacking. It is also unclear which aspects of MIT contribute most to its therapeutic effect and which underlying neural mechanisms are involved. Two cases are presented illustrating unsolved questions concerning MIT in clinical practice, such as candidacy and the best timing of this therapy.","collection-title":"Rehabilitation of Neurological Language Disorders","container-title":"Archives of Physical Medicine and Rehabilitation","DOI":"10.1016/j.apmr.2011.05.029","ISSN":"0003-9993","issue":"1, Supplement","journalAbbreviation":"Archives of Physical Medicine and Rehabilitation","note":"00000","page":"S46-S52","source":"ScienceDirect","title":"Melodic Intonation Therapy: Present Controversies and Future Opportunities","title-short":"Melodic Intonation Therapy","volume":"93","author":[{"family":"Meulen","given":"Ineke","non-dropping-particle":"van der"},{"family":"Sandt-Koenderman","given":"Mieke E.","non-dropping-particle":"van de"},{"family":"Ribbers","given":"Gerard M."}],"issued":{"date-parts":[["2012",1,1]]}}},{"id":"nFN7BwCC/AecTO5mg","uris":["http://zotero.org/users/7270/items/VNSHMAMU"],"uri":["http://zotero.org/users/7270/items/VNSHMAMU"],"itemData":{"id":4920,"type":"article-journal","abstract":"We present a critical review of the literature on Melodic intonation therapy (MIT), one of the most formalized treatments used by speech-language therapist in Broca’s aphasia. We suggest basic clarifications to enhance the scientific support of this promising treatment. First, MIT is a program, not a single speech facilitation technique. The goal of MIT is to restore propositional speech. The rational is that patients can learn a new way to speak through singing by using language-capable regions of the right cerebral hemisphere. We argue that many treatment programs covered in systematic reviews on MIT’s efficacy do not match MIT’s therapeutic goal and rationale. Second, we distinguish between the immediate effect of MIT’s main speech facilitation technique (i.e., intoned-speech) and the effect of the entire program on language recovery. Many results in the MIT literature can be explained by this duration factor. Finally, we propose that MIT can be viewed as a treatment of apraxia of speech more than aphasia. This issue should be explored in future experimental studies.","container-title":"Frontiers in Neurology","DOI":"10.3389/fneur.2014.00007","ISSN":"1664-2295","journalAbbreviation":"Front. Neurol.","language":"English","note":"00000","source":"Frontiers","title":"Melodic Intonation Therapy: Back to Basics for Future Research","title-short":"Melodic Intonation Therapy","URL":"https://www.frontiersin.org/articles/10.3389/fneur.2014.00007/full","volume":"5","author":[{"family":"Zumbansen","given":"Anna"},{"family":"Peretz","given":"Isabelle"},{"family":"Hébert","given":"Sylvie"}],"accessed":{"date-parts":[["2018",11,19]]},"issued":{"date-parts":[["2014"]]}}},{"id":"nFN7BwCC/1J7l5A6J","uris":["http://zotero.org/users/7270/items/UI5XF4BF"],"uri":["http://zotero.org/users/7270/items/UI5XF4BF"],"itemData":{"id":9113,"type":"article-journal","abstract":"Background: Melodic Intonation Therapy, a music-based intervention for the recovery of oral language production in aphasia, has been shown to be particularly eﬀective in patients with Broca’s aphasia compared to other aphasia subtypes. It has been suggested that this therapy might improve language output by acting on motor-speech deﬁcits often associated with Broca’s aphasia. In this article, we examine the relevance of a motor-speech mechanism for music-based interventions designed to improve verbal expression in patients with any type of aphasia.","container-title":"Aphasiology","DOI":"10.1080/02687038.2018.1506089","ISSN":"0268-7038, 1464-5041","issue":"4","language":"en","note":"00009","page":"466-497","source":"Crossref","title":"Music-based interventions for aphasia could act through a motor-speech mechanism: a systematic review and case–control analysis of published individual participant data","title-short":"Music-based interventions for aphasia could act through a motor-speech mechanism","volume":"33","author":[{"family":"Zumbansen","given":"Anna"},{"family":"Tremblay","given":"Pascale"}],"issued":{"date-parts":[["2018"]]}}}],"schema":"https://github.com/citation-style-language/schema/raw/master/csl-citation.json"} </w:instrText>
      </w:r>
      <w:r>
        <w:fldChar w:fldCharType="separate"/>
      </w:r>
      <w:r w:rsidRPr="00600E6D">
        <w:t>(Brady et al., 2016; Hurkmans et al., 2012; van der Meulen et al., 2012; Zumbansen et al., 2014; Zumbansen &amp; Tremblay, 2018)</w:t>
      </w:r>
      <w:r>
        <w:fldChar w:fldCharType="end"/>
      </w:r>
      <w:r w:rsidRPr="00DA3672">
        <w:t>.</w:t>
      </w:r>
    </w:p>
    <w:p w14:paraId="4DE75525" w14:textId="77777777" w:rsidR="00CB1637" w:rsidRPr="00DA3672" w:rsidRDefault="00CB1637">
      <w:pPr>
        <w:rPr>
          <w:i/>
        </w:rPr>
      </w:pPr>
      <w:r w:rsidRPr="00DA3672">
        <w:t xml:space="preserve">Search histories are provided in </w:t>
      </w:r>
      <w:r>
        <w:fldChar w:fldCharType="begin"/>
      </w:r>
      <w:r>
        <w:instrText xml:space="preserve"> REF _Ref75116894 \h  \* MERGEFORMAT </w:instrText>
      </w:r>
      <w:r>
        <w:fldChar w:fldCharType="separate"/>
      </w:r>
      <w:r w:rsidR="000E6430" w:rsidRPr="000E6430">
        <w:rPr>
          <w:i/>
        </w:rPr>
        <w:t>Appendix 1: Search terms</w:t>
      </w:r>
      <w:r>
        <w:fldChar w:fldCharType="end"/>
      </w:r>
      <w:r w:rsidRPr="00DA3672">
        <w:t xml:space="preserve">, and the number of search hits and duplicate removal in </w:t>
      </w:r>
      <w:r>
        <w:fldChar w:fldCharType="begin"/>
      </w:r>
      <w:r>
        <w:instrText xml:space="preserve"> REF _Ref75116915 \h  \* MERGEFORMAT </w:instrText>
      </w:r>
      <w:r>
        <w:fldChar w:fldCharType="separate"/>
      </w:r>
      <w:r w:rsidR="000E6430" w:rsidRPr="000E6430">
        <w:rPr>
          <w:i/>
        </w:rPr>
        <w:t>Appendix 2: Dealing with duplicate findings</w:t>
      </w:r>
      <w:r>
        <w:fldChar w:fldCharType="end"/>
      </w:r>
    </w:p>
    <w:p w14:paraId="3EBA3F03" w14:textId="77777777" w:rsidR="00CB1637" w:rsidRPr="00DA3672" w:rsidRDefault="00CB1637" w:rsidP="00E7683F">
      <w:pPr>
        <w:pStyle w:val="Heading3"/>
      </w:pPr>
      <w:bookmarkStart w:id="34" w:name="_8ipxlaa3q1lf" w:colFirst="0" w:colLast="0"/>
      <w:bookmarkEnd w:id="34"/>
      <w:r w:rsidRPr="00DA3672">
        <w:lastRenderedPageBreak/>
        <w:t>Extracting empirical studies and excluding not relevant studies</w:t>
      </w:r>
    </w:p>
    <w:p w14:paraId="0A103660" w14:textId="77777777" w:rsidR="00CB1637" w:rsidRPr="00DA3672" w:rsidRDefault="00CB1637" w:rsidP="006807CC">
      <w:r w:rsidRPr="00DA3672">
        <w:t>Since no filters relating to methods used or publication type were applied to our searches, we manually</w:t>
      </w:r>
      <w:r>
        <w:t xml:space="preserve"> separated and kept the</w:t>
      </w:r>
      <w:r w:rsidRPr="00DA3672">
        <w:t xml:space="preserve"> empirical studies from </w:t>
      </w:r>
      <w:r>
        <w:t>the overall results</w:t>
      </w:r>
      <w:r w:rsidRPr="00DA3672">
        <w:t xml:space="preserve">. </w:t>
      </w:r>
    </w:p>
    <w:p w14:paraId="2B02C403" w14:textId="77777777" w:rsidR="00CB1637" w:rsidRPr="00DA3672" w:rsidRDefault="00CB1637" w:rsidP="0096096E">
      <w:pPr>
        <w:pStyle w:val="Heading2"/>
      </w:pPr>
      <w:bookmarkStart w:id="35" w:name="_xthu2npbuohu" w:colFirst="0" w:colLast="0"/>
      <w:bookmarkStart w:id="36" w:name="_8k1c8oksnk9r" w:colFirst="0" w:colLast="0"/>
      <w:bookmarkEnd w:id="35"/>
      <w:bookmarkEnd w:id="36"/>
      <w:r w:rsidRPr="00DA3672">
        <w:t>Study coding and double-coding</w:t>
      </w:r>
    </w:p>
    <w:p w14:paraId="24267757" w14:textId="77777777" w:rsidR="00CB1637" w:rsidRPr="00DA3672" w:rsidRDefault="00CB1637" w:rsidP="003E4C8F">
      <w:r w:rsidRPr="00DA3672">
        <w:t>All studies were coded by the first author (TP)</w:t>
      </w:r>
      <w:r>
        <w:t>. T</w:t>
      </w:r>
      <w:r w:rsidRPr="00DA3672">
        <w:t xml:space="preserve">wo </w:t>
      </w:r>
      <w:r>
        <w:t xml:space="preserve">of the </w:t>
      </w:r>
      <w:r w:rsidRPr="00DA3672">
        <w:t xml:space="preserve">authors (FH, TM) re-coded </w:t>
      </w:r>
      <w:r>
        <w:t>all studies,</w:t>
      </w:r>
      <w:r w:rsidRPr="00DA3672">
        <w:t xml:space="preserve"> verif</w:t>
      </w:r>
      <w:r>
        <w:t>ying</w:t>
      </w:r>
      <w:r w:rsidRPr="00DA3672">
        <w:t xml:space="preserve"> the cross-coder consistency. Agreement among the three coders occurred in a majority of cases, and any discrepancies found between coding sheets were solved by consensus. The ICCs (intraclass correlations) were &gt;0.9 in the remaining cases, such as errors arisen from numerically estimating data reported in plot format</w:t>
      </w:r>
      <w:r w:rsidRPr="0042510B">
        <w:t xml:space="preserve"> </w:t>
      </w:r>
      <w:r w:rsidRPr="00DA3672">
        <w:t>only.</w:t>
      </w:r>
    </w:p>
    <w:p w14:paraId="72BD0CAF" w14:textId="77777777" w:rsidR="00CB1637" w:rsidRPr="00DA3672" w:rsidRDefault="00CB1637" w:rsidP="0096096E">
      <w:pPr>
        <w:pStyle w:val="Heading2"/>
      </w:pPr>
      <w:bookmarkStart w:id="37" w:name="_rm5rofkxwz4j" w:colFirst="0" w:colLast="0"/>
      <w:bookmarkStart w:id="38" w:name="_Ref77264802"/>
      <w:bookmarkEnd w:id="37"/>
      <w:r w:rsidRPr="00DA3672">
        <w:t xml:space="preserve">Tests and </w:t>
      </w:r>
      <w:r>
        <w:t xml:space="preserve">outcome </w:t>
      </w:r>
      <w:r w:rsidRPr="00DA3672">
        <w:t>measures</w:t>
      </w:r>
      <w:r>
        <w:t xml:space="preserve"> in primary studies</w:t>
      </w:r>
      <w:bookmarkEnd w:id="38"/>
    </w:p>
    <w:p w14:paraId="599C8BBC" w14:textId="77777777" w:rsidR="00CB1637" w:rsidRPr="00DA3672" w:rsidRDefault="00CB1637" w:rsidP="003E4C8F">
      <w:r w:rsidRPr="00DA3672">
        <w:t>The table below shows all the tests reported in the primary studies considered, and the reason for excluding some of them.</w:t>
      </w:r>
    </w:p>
    <w:p w14:paraId="65A9965E" w14:textId="77777777" w:rsidR="00CB1637" w:rsidRPr="00DA3672" w:rsidRDefault="00CB1637">
      <w:r>
        <w:rPr>
          <w:i/>
        </w:rPr>
        <w:t>(</w:t>
      </w:r>
      <w:r w:rsidRPr="00DA3672">
        <w:rPr>
          <w:i/>
        </w:rPr>
        <w:t xml:space="preserve">(to paste here the </w:t>
      </w:r>
      <w:r>
        <w:rPr>
          <w:i/>
        </w:rPr>
        <w:t>@</w:t>
      </w:r>
      <w:r w:rsidRPr="00DA3672">
        <w:rPr>
          <w:b/>
          <w:i/>
        </w:rPr>
        <w:t>test</w:t>
      </w:r>
      <w:r>
        <w:rPr>
          <w:b/>
          <w:i/>
        </w:rPr>
        <w:t>Batterie</w:t>
      </w:r>
      <w:r w:rsidRPr="00DA3672">
        <w:rPr>
          <w:b/>
          <w:i/>
        </w:rPr>
        <w:t xml:space="preserve">s </w:t>
      </w:r>
      <w:r w:rsidRPr="00DA3672">
        <w:rPr>
          <w:i/>
        </w:rPr>
        <w:t>tab from main sheet)</w:t>
      </w:r>
      <w:r>
        <w:rPr>
          <w:i/>
        </w:rPr>
        <w:t>)</w:t>
      </w:r>
    </w:p>
    <w:p w14:paraId="35FA83A5" w14:textId="77777777" w:rsidR="00CB1637" w:rsidRDefault="00CB1637" w:rsidP="003E4C8F"/>
    <w:p w14:paraId="66990F34" w14:textId="77777777" w:rsidR="00CB1637" w:rsidRPr="00DA3672" w:rsidRDefault="00CB1637" w:rsidP="003E4C8F">
      <w:r w:rsidRPr="00DA3672">
        <w:t xml:space="preserve">The table below shows how the different measures </w:t>
      </w:r>
      <w:r>
        <w:t xml:space="preserve">(subtests) </w:t>
      </w:r>
      <w:r w:rsidRPr="00DA3672">
        <w:t xml:space="preserve">from the batteries of </w:t>
      </w:r>
      <w:r>
        <w:t xml:space="preserve">validated </w:t>
      </w:r>
      <w:r w:rsidRPr="00DA3672">
        <w:t>tests that we considered, contributed to</w:t>
      </w:r>
      <w:r>
        <w:t>wards</w:t>
      </w:r>
      <w:r w:rsidRPr="00DA3672">
        <w:t xml:space="preserve"> the </w:t>
      </w:r>
      <w:r>
        <w:t xml:space="preserve">relevant linguistic </w:t>
      </w:r>
      <w:r w:rsidRPr="001C2895">
        <w:rPr>
          <w:i/>
        </w:rPr>
        <w:t>Abilities</w:t>
      </w:r>
      <w:r>
        <w:t xml:space="preserve">, and towards the </w:t>
      </w:r>
      <w:r w:rsidRPr="00DA3672">
        <w:t>meta-analysed dependent variables</w:t>
      </w:r>
      <w:r>
        <w:t xml:space="preserve"> (which we deemed </w:t>
      </w:r>
      <w:r>
        <w:rPr>
          <w:i/>
        </w:rPr>
        <w:t>Domains</w:t>
      </w:r>
      <w:r>
        <w:t>)</w:t>
      </w:r>
      <w:r w:rsidRPr="00DA3672">
        <w:t>.</w:t>
      </w:r>
    </w:p>
    <w:p w14:paraId="18E93BEC" w14:textId="77777777" w:rsidR="00CB1637" w:rsidRPr="00DA3672" w:rsidRDefault="00CB1637">
      <w:pPr>
        <w:rPr>
          <w:i/>
        </w:rPr>
      </w:pPr>
      <w:r>
        <w:rPr>
          <w:i/>
        </w:rPr>
        <w:t>(</w:t>
      </w:r>
      <w:r w:rsidRPr="00DA3672">
        <w:rPr>
          <w:i/>
        </w:rPr>
        <w:t xml:space="preserve">(to paste here the </w:t>
      </w:r>
      <w:r>
        <w:rPr>
          <w:i/>
        </w:rPr>
        <w:t>@</w:t>
      </w:r>
      <w:r w:rsidRPr="00DA3672">
        <w:rPr>
          <w:b/>
          <w:i/>
        </w:rPr>
        <w:t xml:space="preserve">categScheme </w:t>
      </w:r>
      <w:r w:rsidRPr="00DA3672">
        <w:rPr>
          <w:i/>
        </w:rPr>
        <w:t>tab from main sheet)</w:t>
      </w:r>
      <w:r>
        <w:rPr>
          <w:i/>
        </w:rPr>
        <w:t>)</w:t>
      </w:r>
    </w:p>
    <w:p w14:paraId="46AC9424" w14:textId="77777777" w:rsidR="00CB1637" w:rsidRDefault="00CB1637" w:rsidP="0096096E">
      <w:pPr>
        <w:pStyle w:val="Heading2"/>
      </w:pPr>
      <w:bookmarkStart w:id="39" w:name="_dnkwxuy23o0r" w:colFirst="0" w:colLast="0"/>
      <w:bookmarkEnd w:id="39"/>
      <w:r w:rsidRPr="00DA3672">
        <w:t>MIT variants</w:t>
      </w:r>
      <w:r>
        <w:t xml:space="preserve"> </w:t>
      </w:r>
    </w:p>
    <w:p w14:paraId="65BC06E3" w14:textId="77777777" w:rsidR="00CB1637" w:rsidRPr="0024210C" w:rsidRDefault="00CB1637" w:rsidP="0024210C">
      <w:r w:rsidRPr="00DA3672">
        <w:t>The table below shows all the</w:t>
      </w:r>
      <w:r>
        <w:t xml:space="preserve"> MIT variants that we considered, across both included and excluded studies.</w:t>
      </w:r>
    </w:p>
    <w:p w14:paraId="79611C2F" w14:textId="77777777" w:rsidR="00CB1637" w:rsidRPr="00DA3672" w:rsidRDefault="00CB1637">
      <w:pPr>
        <w:rPr>
          <w:i/>
        </w:rPr>
      </w:pPr>
      <w:r w:rsidRPr="00DA3672">
        <w:rPr>
          <w:i/>
        </w:rPr>
        <w:t xml:space="preserve">(to paste here, or perhaps in the SUpplMat, the </w:t>
      </w:r>
      <w:r>
        <w:rPr>
          <w:i/>
        </w:rPr>
        <w:t>@</w:t>
      </w:r>
      <w:r w:rsidRPr="00DA3672">
        <w:rPr>
          <w:b/>
          <w:i/>
        </w:rPr>
        <w:t xml:space="preserve">MIT variants </w:t>
      </w:r>
      <w:r w:rsidRPr="00DA3672">
        <w:rPr>
          <w:i/>
        </w:rPr>
        <w:t>tab from main sheet)</w:t>
      </w:r>
    </w:p>
    <w:p w14:paraId="1D834298" w14:textId="77777777" w:rsidR="00CB1637" w:rsidRPr="00DA3672" w:rsidRDefault="00CB1637" w:rsidP="0096096E">
      <w:pPr>
        <w:pStyle w:val="Heading2"/>
      </w:pPr>
      <w:bookmarkStart w:id="40" w:name="meta-analysis-methods"/>
      <w:bookmarkEnd w:id="40"/>
      <w:r w:rsidRPr="00DA3672">
        <w:t>Meta-analysis methods</w:t>
      </w:r>
    </w:p>
    <w:p w14:paraId="4F9E7D16" w14:textId="77777777" w:rsidR="00CB1637" w:rsidRPr="00DA3672" w:rsidRDefault="00CB1637" w:rsidP="0096096E">
      <w:pPr>
        <w:pStyle w:val="Heading3"/>
      </w:pPr>
      <w:bookmarkStart w:id="41" w:name="outcome-metric"/>
      <w:bookmarkEnd w:id="41"/>
      <w:r>
        <w:t>Computed o</w:t>
      </w:r>
      <w:r w:rsidRPr="00DA3672">
        <w:t>utcome metric</w:t>
      </w:r>
    </w:p>
    <w:p w14:paraId="0E3193DB" w14:textId="64A75278" w:rsidR="00CB1637" w:rsidRDefault="00CB1637" w:rsidP="003E4C8F">
      <w:r w:rsidRPr="00DA3672">
        <w:t>To maximi</w:t>
      </w:r>
      <w:r>
        <w:t>s</w:t>
      </w:r>
      <w:r w:rsidRPr="00DA3672">
        <w:t xml:space="preserve">e comparability of effects across studies, we used change scores from </w:t>
      </w:r>
      <w:r>
        <w:t xml:space="preserve">pre-test </w:t>
      </w:r>
      <w:r w:rsidRPr="00DA3672">
        <w:t xml:space="preserve">to post-test as the outcome variable, expressed in </w:t>
      </w:r>
      <w:r w:rsidRPr="00DA3672">
        <w:rPr>
          <w:i/>
          <w:iCs/>
        </w:rPr>
        <w:t>z</w:t>
      </w:r>
      <w:r w:rsidRPr="00DA3672">
        <w:t xml:space="preserve">-scores. For group-level </w:t>
      </w:r>
      <w:ins w:id="42" w:author="Brenton Wiernik" w:date="2021-07-26T16:40:00Z">
        <w:r w:rsidR="00EA16B3">
          <w:t xml:space="preserve">studies (the </w:t>
        </w:r>
      </w:ins>
      <w:r>
        <w:t>RCTs</w:t>
      </w:r>
      <w:ins w:id="43" w:author="Brenton Wiernik" w:date="2021-07-26T16:40:00Z">
        <w:r w:rsidR="00EA16B3">
          <w:t xml:space="preserve"> in the current analyses)</w:t>
        </w:r>
      </w:ins>
      <w:r w:rsidRPr="00DA3672">
        <w:t xml:space="preserve">, we </w:t>
      </w:r>
      <w:r>
        <w:t>standardis</w:t>
      </w:r>
      <w:r w:rsidRPr="00DA3672">
        <w:t xml:space="preserve">ed </w:t>
      </w:r>
      <w:r w:rsidRPr="00DA3672">
        <w:rPr>
          <w:i/>
          <w:iCs/>
        </w:rPr>
        <w:t>z</w:t>
      </w:r>
      <w:r w:rsidRPr="00DA3672">
        <w:t xml:space="preserve">-scores using pooled </w:t>
      </w:r>
      <w:r>
        <w:t xml:space="preserve">pre-test </w:t>
      </w:r>
      <w:r w:rsidRPr="00DA3672">
        <w:t xml:space="preserve">standard deviation across control and treatment groups. For </w:t>
      </w:r>
      <w:del w:id="44" w:author="Brenton Wiernik" w:date="2021-07-26T16:40:00Z">
        <w:r w:rsidDel="00EA16B3">
          <w:delText>IPD</w:delText>
        </w:r>
        <w:r w:rsidRPr="00DA3672" w:rsidDel="00EA16B3">
          <w:delText xml:space="preserve"> </w:delText>
        </w:r>
      </w:del>
      <w:ins w:id="45" w:author="Brenton Wiernik" w:date="2021-07-26T16:40:00Z">
        <w:r w:rsidR="00EA16B3">
          <w:t xml:space="preserve">individual patient data studies (the </w:t>
        </w:r>
      </w:ins>
      <w:r w:rsidRPr="00DA3672">
        <w:t xml:space="preserve">case </w:t>
      </w:r>
      <w:del w:id="46" w:author="Brenton Wiernik" w:date="2021-07-26T16:40:00Z">
        <w:r w:rsidRPr="00DA3672" w:rsidDel="00EA16B3">
          <w:delText>series</w:delText>
        </w:r>
      </w:del>
      <w:ins w:id="47" w:author="Brenton Wiernik" w:date="2021-07-26T16:40:00Z">
        <w:r w:rsidR="00EA16B3">
          <w:t>reports in the current analyses)</w:t>
        </w:r>
      </w:ins>
      <w:r w:rsidRPr="00DA3672">
        <w:t xml:space="preserve">, we computed </w:t>
      </w:r>
      <w:r w:rsidRPr="00DA3672">
        <w:rPr>
          <w:i/>
          <w:iCs/>
        </w:rPr>
        <w:t>z</w:t>
      </w:r>
      <w:r w:rsidRPr="00DA3672">
        <w:t xml:space="preserve">-scores in one of three ways. For studies that reported results as </w:t>
      </w:r>
      <w:r w:rsidRPr="00DA3672">
        <w:rPr>
          <w:i/>
          <w:iCs/>
        </w:rPr>
        <w:t>z</w:t>
      </w:r>
      <w:r w:rsidRPr="00DA3672">
        <w:t xml:space="preserve">-scores (e.g., based on test norms), we used the </w:t>
      </w:r>
      <w:r w:rsidRPr="00DA3672">
        <w:rPr>
          <w:i/>
          <w:iCs/>
        </w:rPr>
        <w:t>z</w:t>
      </w:r>
      <w:r w:rsidRPr="00DA3672">
        <w:t xml:space="preserve">-scores directly. For studies that reported results as percentile scores (e.g., based on test norms), we converted these to </w:t>
      </w:r>
      <w:r w:rsidRPr="00DA3672">
        <w:rPr>
          <w:i/>
          <w:iCs/>
        </w:rPr>
        <w:t>z</w:t>
      </w:r>
      <w:r w:rsidRPr="00DA3672">
        <w:t xml:space="preserve">-scores using the quantiles of the standard Normal distribution. For other studies, we estimated </w:t>
      </w:r>
      <w:r w:rsidRPr="00DA3672">
        <w:rPr>
          <w:i/>
          <w:iCs/>
        </w:rPr>
        <w:t>z</w:t>
      </w:r>
      <w:r w:rsidRPr="00DA3672">
        <w:t xml:space="preserve">-scores using the following procedure. We first converted </w:t>
      </w:r>
      <w:r>
        <w:t xml:space="preserve">normalised </w:t>
      </w:r>
      <w:r w:rsidRPr="00DA3672">
        <w:t xml:space="preserve">raw scores to reflect the proportion of the maximum possible score </w:t>
      </w:r>
      <w:r>
        <w:fldChar w:fldCharType="begin"/>
      </w:r>
      <w:r w:rsidR="003B01B7">
        <w:instrText xml:space="preserve"> ADDIN ZOTERO_ITEM CSL_CITATION {"citationID":"1CVyCH0z","properties":{"formattedCitation":"(POMP; Cohen et al., 1999)","plainCitation":"(POMP; Cohen et al., 1999)","noteIndex":0},"citationItems":[{"id":59383,"uris":["http://zotero.org/users/1386342/items/YHVIKDSG"],"uri":["http://zotero.org/users/1386342/items/YHVIKDSG"],"itemData":{"id":59383,"type":"article-journal","abstract":"Many areas of the behavioral sciences have few measures that are accepted as the standard for the operationalization of a construct. One consequence is that there is hardly ever an articulated and understood framework for the units of the measures that are employed. Without meaningful measurement units, theoretical formulations are limited to statements of the direction of an effect or association, or to effects expressed in standardized units. Thus the long term scientific goal of generation of laws expressing the relationships among variables in scale units is greatly hindered. This article reviews alternative methods of scoring a scale. Two recent journal volumes are surveyed with regard to current scoring practices. Alternative methods of scoring are evaluated against seven articulated criteria representing the information conveyed by each in an illustrative example. Converting scores to the percent of maximum possible score (POMP) is shown to provide useful additional information in many cases.","container-title":"Multivariate Behavioral Research","DOI":"10.1207/S15327906MBR3403_2","ISSN":"0027-3171","issue":"3","note":"Citation key: Cohen1999POMPscores\npublisher: Routledge\n_eprint: https://doi.org/10.1207/S15327906MBR3403_2","page":"315-346","source":"Taylor and Francis+NEJM","title":"The problem of units and the circumstance for POMP","URL":"https://doi.org/10.1207/S15327906MBR3403_2","volume":"34","author":[{"family":"Cohen","given":"Patricia"},{"family":"Cohen","given":"Jacob"},{"family":"Aiken","given":"Leona S."},{"family":"West","given":"Stephen G."}],"accessed":{"date-parts":[["2020",4,26]]},"issued":{"date-parts":[["1999",7,1]]}},"prefix":"POMP;"}],"schema":"https://github.com/citation-style-language/schema/raw/master/csl-citation.json"} </w:instrText>
      </w:r>
      <w:r>
        <w:fldChar w:fldCharType="separate"/>
      </w:r>
      <w:r w:rsidRPr="00600E6D">
        <w:t>(POMP; Cohen et al., 1999)</w:t>
      </w:r>
      <w:r>
        <w:fldChar w:fldCharType="end"/>
      </w:r>
      <w:r w:rsidRPr="00DA3672">
        <w:t>.</w:t>
      </w:r>
      <w:r w:rsidRPr="00DA3672">
        <w:rPr>
          <w:rStyle w:val="FootnoteReference"/>
        </w:rPr>
        <w:footnoteReference w:id="1"/>
      </w:r>
      <w:r w:rsidRPr="00DA3672">
        <w:t xml:space="preserve"> Next, we estimated a three-level random-intercept model for the </w:t>
      </w:r>
      <w:r>
        <w:t>pre-</w:t>
      </w:r>
      <w:r>
        <w:lastRenderedPageBreak/>
        <w:t xml:space="preserve">test </w:t>
      </w:r>
      <w:r w:rsidRPr="00DA3672">
        <w:t>POMP scores, with individual test scores nested within patients nested within studies</w:t>
      </w:r>
      <w:r>
        <w:t xml:space="preserve"> (see </w:t>
      </w:r>
      <w:r>
        <w:fldChar w:fldCharType="begin"/>
      </w:r>
      <w:r>
        <w:instrText xml:space="preserve"> REF _Ref77263971 \h </w:instrText>
      </w:r>
      <w:r>
        <w:fldChar w:fldCharType="separate"/>
      </w:r>
      <w:r w:rsidR="000E6430">
        <w:t xml:space="preserve">Figure </w:t>
      </w:r>
      <w:r w:rsidR="000E6430">
        <w:rPr>
          <w:noProof/>
        </w:rPr>
        <w:t>1</w:t>
      </w:r>
      <w:r>
        <w:fldChar w:fldCharType="end"/>
      </w:r>
      <w:r>
        <w:t>)</w:t>
      </w:r>
      <w:r w:rsidRPr="00DA3672">
        <w:t xml:space="preserve">. From these models, we used the population intercept as the estimated POMP score </w:t>
      </w:r>
      <w:r w:rsidRPr="00B7515B">
        <w:rPr>
          <w:i/>
        </w:rPr>
        <w:t>mean</w:t>
      </w:r>
      <w:r>
        <w:t>,</w:t>
      </w:r>
      <w:r w:rsidRPr="00DA3672">
        <w:t xml:space="preserve"> and the patient-level random effects standard deviation as the estimated POMP score </w:t>
      </w:r>
      <w:r w:rsidRPr="00DA3672">
        <w:rPr>
          <w:i/>
          <w:iCs/>
        </w:rPr>
        <w:t>SD</w:t>
      </w:r>
      <w:r w:rsidRPr="007C4E11">
        <w:rPr>
          <w:iCs/>
        </w:rPr>
        <w:t xml:space="preserve"> (</w:t>
      </w:r>
      <w:r w:rsidRPr="00B7515B">
        <w:t>τ</w:t>
      </w:r>
      <w:r w:rsidRPr="007C4E11">
        <w:rPr>
          <w:iCs/>
        </w:rPr>
        <w:t>)</w:t>
      </w:r>
      <w:r w:rsidRPr="00DA3672">
        <w:t xml:space="preserve">. We </w:t>
      </w:r>
      <w:r>
        <w:t xml:space="preserve">then </w:t>
      </w:r>
      <w:r w:rsidRPr="00DA3672">
        <w:t xml:space="preserve">used this </w:t>
      </w:r>
      <w:r w:rsidRPr="00B7515B">
        <w:rPr>
          <w:i/>
        </w:rPr>
        <w:t>mean</w:t>
      </w:r>
      <w:r w:rsidRPr="00DA3672">
        <w:t xml:space="preserve"> and </w:t>
      </w:r>
      <w:r w:rsidRPr="00DA3672">
        <w:rPr>
          <w:i/>
          <w:iCs/>
        </w:rPr>
        <w:t>SD</w:t>
      </w:r>
      <w:r w:rsidRPr="00DA3672">
        <w:t xml:space="preserve"> to </w:t>
      </w:r>
      <w:r>
        <w:t>standardis</w:t>
      </w:r>
      <w:r w:rsidRPr="00DA3672">
        <w:t xml:space="preserve">e the </w:t>
      </w:r>
      <w:r>
        <w:t xml:space="preserve">pre-test </w:t>
      </w:r>
      <w:r w:rsidRPr="00DA3672">
        <w:t>and post-test POMP scores.</w:t>
      </w:r>
    </w:p>
    <w:p w14:paraId="1F01EA63" w14:textId="748ED98F" w:rsidR="00CB1637" w:rsidRDefault="002360D7" w:rsidP="00F94F41">
      <w:pPr>
        <w:keepNext/>
      </w:pPr>
      <w:r w:rsidRPr="005A7B64">
        <w:rPr>
          <w:noProof/>
          <w:lang w:val="de-DE" w:eastAsia="de-DE"/>
        </w:rPr>
        <w:drawing>
          <wp:inline distT="0" distB="0" distL="0" distR="0" wp14:anchorId="156F1CFF" wp14:editId="7F68DA62">
            <wp:extent cx="5473065" cy="975995"/>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3065" cy="975995"/>
                    </a:xfrm>
                    <a:prstGeom prst="rect">
                      <a:avLst/>
                    </a:prstGeom>
                    <a:noFill/>
                    <a:ln>
                      <a:noFill/>
                    </a:ln>
                  </pic:spPr>
                </pic:pic>
              </a:graphicData>
            </a:graphic>
          </wp:inline>
        </w:drawing>
      </w:r>
    </w:p>
    <w:p w14:paraId="2789A9CA" w14:textId="77777777" w:rsidR="00CB1637" w:rsidRDefault="00CB1637" w:rsidP="00F94F41">
      <w:pPr>
        <w:pStyle w:val="Caption"/>
      </w:pPr>
      <w:bookmarkStart w:id="48" w:name="_Ref77263971"/>
      <w:r>
        <w:t xml:space="preserve">Figure </w:t>
      </w:r>
      <w:r>
        <w:fldChar w:fldCharType="begin"/>
      </w:r>
      <w:r>
        <w:instrText xml:space="preserve"> SEQ Figure \* ARABIC </w:instrText>
      </w:r>
      <w:r>
        <w:fldChar w:fldCharType="separate"/>
      </w:r>
      <w:r w:rsidR="000E6430">
        <w:rPr>
          <w:noProof/>
        </w:rPr>
        <w:t>1</w:t>
      </w:r>
      <w:r>
        <w:fldChar w:fldCharType="end"/>
      </w:r>
      <w:bookmarkEnd w:id="48"/>
      <w:r>
        <w:t>:</w:t>
      </w:r>
      <w:r w:rsidRPr="00F94F41">
        <w:t xml:space="preserve"> </w:t>
      </w:r>
      <w:r w:rsidRPr="00B7515B">
        <w:t>Three-level model employed, with SDs (τ) at study-, patient- and measure-level.</w:t>
      </w:r>
    </w:p>
    <w:p w14:paraId="67436B58" w14:textId="77777777" w:rsidR="00CB1637" w:rsidRPr="00DA3672" w:rsidRDefault="00CB1637" w:rsidP="003E4C8F"/>
    <w:p w14:paraId="2079FB51" w14:textId="0C4719DC" w:rsidR="00CB1637" w:rsidRPr="00DA3672" w:rsidRDefault="00CB1637" w:rsidP="0096096E">
      <w:pPr>
        <w:pStyle w:val="Heading3"/>
      </w:pPr>
      <w:bookmarkStart w:id="49" w:name="group-level-rct"/>
      <w:bookmarkEnd w:id="49"/>
      <w:commentRangeStart w:id="50"/>
      <w:del w:id="51" w:author="Brenton Wiernik" w:date="2021-07-26T16:36:00Z">
        <w:r w:rsidRPr="00DA3672" w:rsidDel="002248B1">
          <w:delText xml:space="preserve">Group-level </w:delText>
        </w:r>
        <w:commentRangeEnd w:id="50"/>
        <w:r w:rsidDel="002248B1">
          <w:rPr>
            <w:rStyle w:val="CommentReference"/>
            <w:rFonts w:ascii="Cambria" w:hAnsi="Cambria"/>
            <w:bCs w:val="0"/>
            <w:color w:val="A6A6A6"/>
            <w:spacing w:val="0"/>
            <w:u w:val="none"/>
          </w:rPr>
          <w:commentReference w:id="50"/>
        </w:r>
      </w:del>
      <w:r w:rsidRPr="00DA3672">
        <w:t>RCT</w:t>
      </w:r>
      <w:r>
        <w:t>s</w:t>
      </w:r>
    </w:p>
    <w:p w14:paraId="02AB1EEE" w14:textId="1964B293" w:rsidR="00CB1637" w:rsidRPr="00DA3672" w:rsidRDefault="00CB1637" w:rsidP="003E4C8F">
      <w:del w:id="52" w:author="Brenton Wiernik" w:date="2021-07-26T16:36:00Z">
        <w:r w:rsidRPr="00DA3672" w:rsidDel="002248B1">
          <w:delText xml:space="preserve">For group-level </w:delText>
        </w:r>
      </w:del>
      <w:ins w:id="53" w:author="Brenton Wiernik" w:date="2021-07-26T16:36:00Z">
        <w:r w:rsidR="002248B1">
          <w:t xml:space="preserve">All </w:t>
        </w:r>
      </w:ins>
      <w:r w:rsidRPr="00DA3672">
        <w:t>RCT</w:t>
      </w:r>
      <w:r>
        <w:t>s</w:t>
      </w:r>
      <w:ins w:id="54" w:author="Brenton Wiernik" w:date="2021-07-26T16:36:00Z">
        <w:r w:rsidR="002248B1">
          <w:t xml:space="preserve"> were reported at the group-level. W</w:t>
        </w:r>
      </w:ins>
      <w:del w:id="55" w:author="Brenton Wiernik" w:date="2021-07-26T16:36:00Z">
        <w:r w:rsidRPr="00DA3672" w:rsidDel="002248B1">
          <w:delText>, w</w:delText>
        </w:r>
      </w:del>
      <w:r w:rsidRPr="00DA3672">
        <w:t xml:space="preserve">e computed </w:t>
      </w:r>
      <w:del w:id="56" w:author="Brenton Wiernik" w:date="2021-07-26T16:36:00Z">
        <w:r w:rsidRPr="00DA3672" w:rsidDel="002248B1">
          <w:delText xml:space="preserve">group-level </w:delText>
        </w:r>
      </w:del>
      <w:r w:rsidRPr="00DA3672">
        <w:t xml:space="preserve">effect sizes as the pretest-posttest-control group Hedges’ </w:t>
      </w:r>
      <w:r w:rsidRPr="00DA3672">
        <w:rPr>
          <w:i/>
          <w:iCs/>
        </w:rPr>
        <w:t>g</w:t>
      </w:r>
      <w:r w:rsidRPr="00DA3672">
        <w:t>:</w:t>
      </w:r>
      <w:ins w:id="57" w:author="Brenton Wiernik" w:date="2021-07-26T19:02:00Z">
        <w:r w:rsidR="00294796">
          <w:t xml:space="preserve"> </w:t>
        </w:r>
      </w:ins>
      <m:oMath>
        <m:sSub>
          <m:sSubPr>
            <m:ctrlPr>
              <w:ins w:id="58" w:author="Brenton Wiernik" w:date="2021-07-26T19:03:00Z">
                <w:rPr>
                  <w:rFonts w:ascii="Cambria Math" w:hAnsi="Cambria Math"/>
                  <w:i/>
                </w:rPr>
              </w:ins>
            </m:ctrlPr>
          </m:sSubPr>
          <m:e>
            <m:r>
              <w:ins w:id="59" w:author="Brenton Wiernik" w:date="2021-07-26T19:03:00Z">
                <w:rPr>
                  <w:rFonts w:ascii="Cambria Math" w:hAnsi="Cambria Math"/>
                </w:rPr>
                <m:t>g</m:t>
              </w:ins>
            </m:r>
          </m:e>
          <m:sub>
            <m:r>
              <w:ins w:id="60" w:author="Brenton Wiernik" w:date="2021-07-26T19:03:00Z">
                <w:rPr>
                  <w:rFonts w:ascii="Cambria Math" w:hAnsi="Cambria Math"/>
                </w:rPr>
                <m:t>ppc</m:t>
              </w:ins>
            </m:r>
          </m:sub>
        </m:sSub>
        <m:r>
          <w:ins w:id="61" w:author="Brenton Wiernik" w:date="2021-07-26T19:03:00Z">
            <w:rPr>
              <w:rFonts w:ascii="Cambria Math" w:hAnsi="Cambria Math"/>
            </w:rPr>
            <m:t>=</m:t>
          </w:ins>
        </m:r>
        <m:d>
          <m:dPr>
            <m:ctrlPr>
              <w:ins w:id="62" w:author="Brenton Wiernik" w:date="2021-07-26T19:03:00Z">
                <w:rPr>
                  <w:rFonts w:ascii="Cambria Math" w:hAnsi="Cambria Math"/>
                  <w:i/>
                </w:rPr>
              </w:ins>
            </m:ctrlPr>
          </m:dPr>
          <m:e>
            <m:sSub>
              <m:sSubPr>
                <m:ctrlPr>
                  <w:ins w:id="63" w:author="Brenton Wiernik" w:date="2021-07-26T19:03:00Z">
                    <w:rPr>
                      <w:rFonts w:ascii="Cambria Math" w:hAnsi="Cambria Math"/>
                      <w:i/>
                    </w:rPr>
                  </w:ins>
                </m:ctrlPr>
              </m:sSubPr>
              <m:e>
                <m:r>
                  <w:ins w:id="64" w:author="Brenton Wiernik" w:date="2021-07-26T19:03:00Z">
                    <w:rPr>
                      <w:rFonts w:ascii="Cambria Math" w:hAnsi="Cambria Math"/>
                    </w:rPr>
                    <m:t>z</m:t>
                  </w:ins>
                </m:r>
              </m:e>
              <m:sub>
                <m:r>
                  <w:ins w:id="65" w:author="Brenton Wiernik" w:date="2021-07-26T19:03:00Z">
                    <w:rPr>
                      <w:rFonts w:ascii="Cambria Math" w:hAnsi="Cambria Math"/>
                    </w:rPr>
                    <m:t>trea</m:t>
                  </w:ins>
                </m:r>
                <m:sSub>
                  <m:sSubPr>
                    <m:ctrlPr>
                      <w:ins w:id="66" w:author="Brenton Wiernik" w:date="2021-07-26T19:03:00Z">
                        <w:rPr>
                          <w:rFonts w:ascii="Cambria Math" w:hAnsi="Cambria Math"/>
                          <w:i/>
                        </w:rPr>
                      </w:ins>
                    </m:ctrlPr>
                  </m:sSubPr>
                  <m:e>
                    <m:r>
                      <w:ins w:id="67" w:author="Brenton Wiernik" w:date="2021-07-26T19:03:00Z">
                        <w:rPr>
                          <w:rFonts w:ascii="Cambria Math" w:hAnsi="Cambria Math"/>
                        </w:rPr>
                        <m:t>t</m:t>
                      </w:ins>
                    </m:r>
                  </m:e>
                  <m:sub>
                    <m:r>
                      <w:ins w:id="68" w:author="Brenton Wiernik" w:date="2021-07-26T19:03:00Z">
                        <w:rPr>
                          <w:rFonts w:ascii="Cambria Math" w:hAnsi="Cambria Math"/>
                        </w:rPr>
                        <m:t>post</m:t>
                      </w:ins>
                    </m:r>
                  </m:sub>
                </m:sSub>
              </m:sub>
            </m:sSub>
            <m:r>
              <w:ins w:id="69" w:author="Brenton Wiernik" w:date="2021-07-26T19:03:00Z">
                <w:rPr>
                  <w:rFonts w:ascii="Cambria Math" w:hAnsi="Cambria Math"/>
                </w:rPr>
                <m:t>-</m:t>
              </w:ins>
            </m:r>
            <m:sSub>
              <m:sSubPr>
                <m:ctrlPr>
                  <w:ins w:id="70" w:author="Brenton Wiernik" w:date="2021-07-26T19:03:00Z">
                    <w:rPr>
                      <w:rFonts w:ascii="Cambria Math" w:hAnsi="Cambria Math"/>
                      <w:i/>
                    </w:rPr>
                  </w:ins>
                </m:ctrlPr>
              </m:sSubPr>
              <m:e>
                <m:r>
                  <w:ins w:id="71" w:author="Brenton Wiernik" w:date="2021-07-26T19:03:00Z">
                    <w:rPr>
                      <w:rFonts w:ascii="Cambria Math" w:hAnsi="Cambria Math"/>
                    </w:rPr>
                    <m:t>z</m:t>
                  </w:ins>
                </m:r>
              </m:e>
              <m:sub>
                <m:r>
                  <w:ins w:id="72" w:author="Brenton Wiernik" w:date="2021-07-26T19:03:00Z">
                    <w:rPr>
                      <w:rFonts w:ascii="Cambria Math" w:hAnsi="Cambria Math"/>
                    </w:rPr>
                    <m:t>trea</m:t>
                  </w:ins>
                </m:r>
                <m:sSub>
                  <m:sSubPr>
                    <m:ctrlPr>
                      <w:ins w:id="73" w:author="Brenton Wiernik" w:date="2021-07-26T19:03:00Z">
                        <w:rPr>
                          <w:rFonts w:ascii="Cambria Math" w:hAnsi="Cambria Math"/>
                          <w:i/>
                        </w:rPr>
                      </w:ins>
                    </m:ctrlPr>
                  </m:sSubPr>
                  <m:e>
                    <m:r>
                      <w:ins w:id="74" w:author="Brenton Wiernik" w:date="2021-07-26T19:03:00Z">
                        <w:rPr>
                          <w:rFonts w:ascii="Cambria Math" w:hAnsi="Cambria Math"/>
                        </w:rPr>
                        <m:t>t</m:t>
                      </w:ins>
                    </m:r>
                  </m:e>
                  <m:sub>
                    <m:r>
                      <w:ins w:id="75" w:author="Brenton Wiernik" w:date="2021-07-26T19:03:00Z">
                        <w:rPr>
                          <w:rFonts w:ascii="Cambria Math" w:hAnsi="Cambria Math"/>
                        </w:rPr>
                        <m:t>pre</m:t>
                      </w:ins>
                    </m:r>
                  </m:sub>
                </m:sSub>
              </m:sub>
            </m:sSub>
          </m:e>
        </m:d>
        <m:r>
          <w:ins w:id="76" w:author="Brenton Wiernik" w:date="2021-07-26T19:03:00Z">
            <w:rPr>
              <w:rFonts w:ascii="Cambria Math" w:hAnsi="Cambria Math"/>
            </w:rPr>
            <m:t>-</m:t>
          </w:ins>
        </m:r>
        <m:d>
          <m:dPr>
            <m:ctrlPr>
              <w:ins w:id="77" w:author="Brenton Wiernik" w:date="2021-07-26T19:03:00Z">
                <w:rPr>
                  <w:rFonts w:ascii="Cambria Math" w:hAnsi="Cambria Math"/>
                  <w:i/>
                </w:rPr>
              </w:ins>
            </m:ctrlPr>
          </m:dPr>
          <m:e>
            <m:sSub>
              <m:sSubPr>
                <m:ctrlPr>
                  <w:ins w:id="78" w:author="Brenton Wiernik" w:date="2021-07-26T19:03:00Z">
                    <w:rPr>
                      <w:rFonts w:ascii="Cambria Math" w:hAnsi="Cambria Math"/>
                      <w:i/>
                    </w:rPr>
                  </w:ins>
                </m:ctrlPr>
              </m:sSubPr>
              <m:e>
                <m:r>
                  <w:ins w:id="79" w:author="Brenton Wiernik" w:date="2021-07-26T19:03:00Z">
                    <w:rPr>
                      <w:rFonts w:ascii="Cambria Math" w:hAnsi="Cambria Math"/>
                    </w:rPr>
                    <m:t>z</m:t>
                  </w:ins>
                </m:r>
              </m:e>
              <m:sub>
                <m:r>
                  <w:ins w:id="80" w:author="Brenton Wiernik" w:date="2021-07-26T19:03:00Z">
                    <w:rPr>
                      <w:rFonts w:ascii="Cambria Math" w:hAnsi="Cambria Math"/>
                    </w:rPr>
                    <m:t>cont</m:t>
                  </w:ins>
                </m:r>
                <m:sSub>
                  <m:sSubPr>
                    <m:ctrlPr>
                      <w:ins w:id="81" w:author="Brenton Wiernik" w:date="2021-07-26T19:03:00Z">
                        <w:rPr>
                          <w:rFonts w:ascii="Cambria Math" w:hAnsi="Cambria Math"/>
                          <w:i/>
                        </w:rPr>
                      </w:ins>
                    </m:ctrlPr>
                  </m:sSubPr>
                  <m:e>
                    <m:r>
                      <w:ins w:id="82" w:author="Brenton Wiernik" w:date="2021-07-26T19:03:00Z">
                        <w:rPr>
                          <w:rFonts w:ascii="Cambria Math" w:hAnsi="Cambria Math"/>
                        </w:rPr>
                        <m:t>r</m:t>
                      </w:ins>
                    </m:r>
                  </m:e>
                  <m:sub>
                    <m:r>
                      <w:ins w:id="83" w:author="Brenton Wiernik" w:date="2021-07-26T19:03:00Z">
                        <w:rPr>
                          <w:rFonts w:ascii="Cambria Math" w:hAnsi="Cambria Math"/>
                        </w:rPr>
                        <m:t>post</m:t>
                      </w:ins>
                    </m:r>
                  </m:sub>
                </m:sSub>
              </m:sub>
            </m:sSub>
            <m:r>
              <w:ins w:id="84" w:author="Brenton Wiernik" w:date="2021-07-26T19:03:00Z">
                <w:rPr>
                  <w:rFonts w:ascii="Cambria Math" w:hAnsi="Cambria Math"/>
                </w:rPr>
                <m:t>-</m:t>
              </w:ins>
            </m:r>
            <m:sSub>
              <m:sSubPr>
                <m:ctrlPr>
                  <w:ins w:id="85" w:author="Brenton Wiernik" w:date="2021-07-26T19:03:00Z">
                    <w:rPr>
                      <w:rFonts w:ascii="Cambria Math" w:hAnsi="Cambria Math"/>
                      <w:i/>
                    </w:rPr>
                  </w:ins>
                </m:ctrlPr>
              </m:sSubPr>
              <m:e>
                <m:r>
                  <w:ins w:id="86" w:author="Brenton Wiernik" w:date="2021-07-26T19:03:00Z">
                    <w:rPr>
                      <w:rFonts w:ascii="Cambria Math" w:hAnsi="Cambria Math"/>
                    </w:rPr>
                    <m:t>z</m:t>
                  </w:ins>
                </m:r>
              </m:e>
              <m:sub>
                <m:r>
                  <w:ins w:id="87" w:author="Brenton Wiernik" w:date="2021-07-26T19:03:00Z">
                    <w:rPr>
                      <w:rFonts w:ascii="Cambria Math" w:hAnsi="Cambria Math"/>
                    </w:rPr>
                    <m:t>cont</m:t>
                  </w:ins>
                </m:r>
                <m:sSub>
                  <m:sSubPr>
                    <m:ctrlPr>
                      <w:ins w:id="88" w:author="Brenton Wiernik" w:date="2021-07-26T19:03:00Z">
                        <w:rPr>
                          <w:rFonts w:ascii="Cambria Math" w:hAnsi="Cambria Math"/>
                          <w:i/>
                        </w:rPr>
                      </w:ins>
                    </m:ctrlPr>
                  </m:sSubPr>
                  <m:e>
                    <m:r>
                      <w:ins w:id="89" w:author="Brenton Wiernik" w:date="2021-07-26T19:03:00Z">
                        <w:rPr>
                          <w:rFonts w:ascii="Cambria Math" w:hAnsi="Cambria Math"/>
                        </w:rPr>
                        <m:t>r</m:t>
                      </w:ins>
                    </m:r>
                  </m:e>
                  <m:sub>
                    <m:r>
                      <w:ins w:id="90" w:author="Brenton Wiernik" w:date="2021-07-26T19:03:00Z">
                        <w:rPr>
                          <w:rFonts w:ascii="Cambria Math" w:hAnsi="Cambria Math"/>
                        </w:rPr>
                        <m:t>pre</m:t>
                      </w:ins>
                    </m:r>
                  </m:sub>
                </m:sSub>
              </m:sub>
            </m:sSub>
          </m:e>
        </m:d>
      </m:oMath>
      <w:del w:id="91" w:author="Brenton Wiernik" w:date="2021-07-26T19:03:00Z">
        <w:r w:rsidRPr="00DA3672" w:rsidDel="00294796">
          <w:delText xml:space="preserve"> </w:delText>
        </w:r>
      </w:del>
      <w:r w:rsidRPr="00755841">
        <w:fldChar w:fldCharType="begin"/>
      </w:r>
      <w:r w:rsidRPr="00755841">
        <w:instrText xml:space="preserve"> QUOTE </w:instrText>
      </w:r>
      <w:r w:rsidR="002360D7" w:rsidRPr="005A7B64">
        <w:rPr>
          <w:noProof/>
          <w:lang w:val="de-DE" w:eastAsia="de-DE"/>
        </w:rPr>
        <w:drawing>
          <wp:inline distT="0" distB="0" distL="0" distR="0" wp14:anchorId="62B81776" wp14:editId="38F9524F">
            <wp:extent cx="3091180" cy="2800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91180" cy="280035"/>
                    </a:xfrm>
                    <a:prstGeom prst="rect">
                      <a:avLst/>
                    </a:prstGeom>
                    <a:noFill/>
                    <a:ln>
                      <a:noFill/>
                    </a:ln>
                  </pic:spPr>
                </pic:pic>
              </a:graphicData>
            </a:graphic>
          </wp:inline>
        </w:drawing>
      </w:r>
      <w:r w:rsidRPr="00755841">
        <w:instrText xml:space="preserve"> </w:instrText>
      </w:r>
      <w:r w:rsidRPr="00755841">
        <w:fldChar w:fldCharType="separate"/>
      </w:r>
      <w:del w:id="92" w:author="Brenton Wiernik" w:date="2021-07-26T19:03:00Z">
        <w:r w:rsidR="002360D7" w:rsidRPr="005A7B64" w:rsidDel="00294796">
          <w:rPr>
            <w:noProof/>
            <w:lang w:val="de-DE" w:eastAsia="de-DE"/>
          </w:rPr>
          <w:drawing>
            <wp:inline distT="0" distB="0" distL="0" distR="0" wp14:anchorId="4B68E5E1" wp14:editId="328F71D4">
              <wp:extent cx="3091180" cy="280035"/>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91180" cy="280035"/>
                      </a:xfrm>
                      <a:prstGeom prst="rect">
                        <a:avLst/>
                      </a:prstGeom>
                      <a:noFill/>
                      <a:ln>
                        <a:noFill/>
                      </a:ln>
                    </pic:spPr>
                  </pic:pic>
                </a:graphicData>
              </a:graphic>
            </wp:inline>
          </w:drawing>
        </w:r>
      </w:del>
      <w:r w:rsidRPr="00755841">
        <w:fldChar w:fldCharType="end"/>
      </w:r>
      <w:r w:rsidRPr="00DA3672">
        <w:t xml:space="preserve"> </w:t>
      </w:r>
      <w:r>
        <w:fldChar w:fldCharType="begin"/>
      </w:r>
      <w:r w:rsidR="003B01B7">
        <w:instrText xml:space="preserve"> ADDIN ZOTERO_ITEM CSL_CITATION {"citationID":"irZxQIj8","properties":{"formattedCitation":"(Morris, 2008)","plainCitation":"(Morris, 2008)","noteIndex":0},"citationItems":[{"id":61800,"uris":["http://zotero.org/users/1386342/items/KBL45S35"],"uri":["http://zotero.org/users/1386342/items/KBL45S35"],"itemData":{"id":61800,"type":"article-journal","abstract":"Previous research has recommended several measures of effect size for studies with repeated measurements in both treatment and control groups. Three alternate effect size estimates were compared in terms of bias, precision, and robustness to heterogeneity of variance. The results favored an effect size based on the mean pre-post change in the treatment group minus the mean pre-post change in the control group, divided by the pooled pretest standard deviation.","container-title":"Organizational Research Methods","DOI":"10.1177/1094428106291059","ISSN":"1094-4281","issue":"2","journalAbbreviation":"Org. Res. Meth.","language":"en","note":"publisher: SAGE Publications Inc","page":"364-386","source":"SAGE Journals","title":"Estimating effect sizes from pretest-posttest-control group designs","URL":"https://doi.org/10.1177/1094428106291059","volume":"11","author":[{"family":"Morris","given":"Scott B."}],"accessed":{"date-parts":[["2021",6,11]]},"issued":{"date-parts":[["2008",4,1]]}}}],"schema":"https://github.com/citation-style-language/schema/raw/master/csl-citation.json"} </w:instrText>
      </w:r>
      <w:r>
        <w:fldChar w:fldCharType="separate"/>
      </w:r>
      <w:r w:rsidRPr="00600E6D">
        <w:t>(Morris, 2008)</w:t>
      </w:r>
      <w:r>
        <w:fldChar w:fldCharType="end"/>
      </w:r>
      <w:r w:rsidRPr="00DA3672">
        <w:t xml:space="preserve">. We computed the variance for each </w:t>
      </w:r>
      <w:r w:rsidRPr="00DA3672">
        <w:rPr>
          <w:i/>
          <w:iCs/>
        </w:rPr>
        <w:t>g</w:t>
      </w:r>
      <w:r w:rsidRPr="00DA3672">
        <w:t xml:space="preserve"> using the method of Morris (2008). We estimated multi</w:t>
      </w:r>
      <w:r>
        <w:t>-</w:t>
      </w:r>
      <w:r w:rsidRPr="00DA3672">
        <w:t xml:space="preserve">level mixed effects meta-regression models to account for effect size dependency, with random intercepts for each study. We first fit an overall meta-analysis combining all effect sizes. Second, we fit additional meta-regression models including potential moderator variables. For these meta-regression models, we included random slopes for the </w:t>
      </w:r>
      <w:r w:rsidRPr="00C3345A">
        <w:rPr>
          <w:i/>
        </w:rPr>
        <w:t>Domain</w:t>
      </w:r>
      <w:r w:rsidRPr="00DA3672">
        <w:t xml:space="preserve"> moderator</w:t>
      </w:r>
      <w:r>
        <w:t>,</w:t>
      </w:r>
      <w:r w:rsidRPr="00DA3672">
        <w:t xml:space="preserve"> nested within studies </w:t>
      </w:r>
      <w:r>
        <w:fldChar w:fldCharType="begin"/>
      </w:r>
      <w:r w:rsidR="003B01B7">
        <w:instrText xml:space="preserve"> ADDIN ZOTERO_ITEM CSL_CITATION {"citationID":"FYQx0OY0","properties":{"formattedCitation":"(Konstantopoulos, 2011)","plainCitation":"(Konstantopoulos, 2011)","noteIndex":0},"citationItems":[{"id":60619,"uris":["http://zotero.org/users/1386342/items/JBSBX9ZW"],"uri":["http://zotero.org/users/1386342/items/JBSBX9ZW"],"itemData":{"id":60619,"type":"article-journal","container-title":"Research Synthesis Methods","DOI":"10.1002/jrsm.35","ISSN":"17592879","issue":"1","language":"en","page":"61-76","source":"Crossref","title":"Fixed effects and variance components estimation in three-level meta-analysis: Three-level meta-analysis","title-short":"Fixed effects and variance components estimation in three-level meta-analysis","URL":"http://doi.wiley.com/10.1002/jrsm.35","volume":"2","author":[{"family":"Konstantopoulos","given":"Spyros"}],"accessed":{"date-parts":[["2020",11,8]]},"issued":{"date-parts":[["2011",3]]}}}],"schema":"https://github.com/citation-style-language/schema/raw/master/csl-citation.json"} </w:instrText>
      </w:r>
      <w:r>
        <w:fldChar w:fldCharType="separate"/>
      </w:r>
      <w:r w:rsidRPr="00600E6D">
        <w:t>(Konstantopoulos, 2011)</w:t>
      </w:r>
      <w:r>
        <w:fldChar w:fldCharType="end"/>
      </w:r>
      <w:r w:rsidRPr="00DA3672">
        <w:t>. We used a homoscedastic compound symmetric structure for the random effects, estimating a single random effects variance and correlation for all abilities.</w:t>
      </w:r>
      <w:r w:rsidRPr="00DA3672">
        <w:rPr>
          <w:rStyle w:val="FootnoteReference"/>
        </w:rPr>
        <w:footnoteReference w:id="2"/>
      </w:r>
      <w:r w:rsidRPr="00DA3672">
        <w:t xml:space="preserve"> We estimated the amount of heterogeneity (i.e., </w:t>
      </w:r>
      <w:ins w:id="93" w:author="Brenton Wiernik" w:date="2021-07-27T10:31:00Z">
        <w:r w:rsidR="002520E2" w:rsidRPr="002520E2">
          <w:rPr>
            <w:i/>
            <w:iCs/>
            <w:rPrChange w:id="94" w:author="Brenton Wiernik" w:date="2021-07-27T10:31:00Z">
              <w:rPr/>
            </w:rPrChange>
          </w:rPr>
          <w:t>τ</w:t>
        </w:r>
      </w:ins>
      <w:r w:rsidRPr="00755841">
        <w:fldChar w:fldCharType="begin"/>
      </w:r>
      <w:r w:rsidRPr="00755841">
        <w:instrText xml:space="preserve"> QUOTE </w:instrText>
      </w:r>
      <w:r w:rsidR="002360D7" w:rsidRPr="005A7B64">
        <w:rPr>
          <w:noProof/>
          <w:lang w:val="de-DE" w:eastAsia="de-DE"/>
        </w:rPr>
        <w:drawing>
          <wp:inline distT="0" distB="0" distL="0" distR="0" wp14:anchorId="1247C4AE" wp14:editId="02D4BAC0">
            <wp:extent cx="102235" cy="16383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2235" cy="163830"/>
                    </a:xfrm>
                    <a:prstGeom prst="rect">
                      <a:avLst/>
                    </a:prstGeom>
                    <a:noFill/>
                    <a:ln>
                      <a:noFill/>
                    </a:ln>
                  </pic:spPr>
                </pic:pic>
              </a:graphicData>
            </a:graphic>
          </wp:inline>
        </w:drawing>
      </w:r>
      <w:r w:rsidRPr="00755841">
        <w:instrText xml:space="preserve"> </w:instrText>
      </w:r>
      <w:r w:rsidRPr="00755841">
        <w:fldChar w:fldCharType="separate"/>
      </w:r>
      <w:del w:id="95" w:author="Brenton Wiernik" w:date="2021-07-27T10:31:00Z">
        <w:r w:rsidR="002360D7" w:rsidRPr="005A7B64" w:rsidDel="002520E2">
          <w:rPr>
            <w:noProof/>
            <w:lang w:val="de-DE" w:eastAsia="de-DE"/>
          </w:rPr>
          <w:drawing>
            <wp:inline distT="0" distB="0" distL="0" distR="0" wp14:anchorId="6650F5D0" wp14:editId="44AB891A">
              <wp:extent cx="102235" cy="16383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2235" cy="163830"/>
                      </a:xfrm>
                      <a:prstGeom prst="rect">
                        <a:avLst/>
                      </a:prstGeom>
                      <a:noFill/>
                      <a:ln>
                        <a:noFill/>
                      </a:ln>
                    </pic:spPr>
                  </pic:pic>
                </a:graphicData>
              </a:graphic>
            </wp:inline>
          </w:drawing>
        </w:r>
      </w:del>
      <w:r w:rsidRPr="00755841">
        <w:fldChar w:fldCharType="end"/>
      </w:r>
      <w:r w:rsidRPr="00DA3672">
        <w:t xml:space="preserve">) using the restricted maximum-likelihood estimator </w:t>
      </w:r>
      <w:r>
        <w:fldChar w:fldCharType="begin"/>
      </w:r>
      <w:r w:rsidR="003B01B7">
        <w:instrText xml:space="preserve"> ADDIN ZOTERO_ITEM CSL_CITATION {"citationID":"MHpFNYBH","properties":{"formattedCitation":"(Viechtbauer, 2005)","plainCitation":"(Viechtbauer, 2005)","noteIndex":0},"citationItems":[{"id":59238,"uris":["http://zotero.org/users/1386342/items/D58ZIPD3"],"uri":["http://zotero.org/users/1386342/items/D58ZIPD3"],"itemData":{"id":59238,"type":"article-journal","abstract":"The meta-analytic random effects model assumes that the variability in effect size estimates drawn from a set of studies can be decomposed into two parts: heterogeneity due to random population effects and sampling variance. In this context, the usual goal is to estimate the central tendency and the amount of heterogeneity in the population effect sizes. The amount of heterogeneity in a set of effect sizes has implications regarding the interpretation of the meta-analytic findings and often serves as an indicator for the presence of potential moderator variables. Five population heterogeneity estimators were compared in this article analytically and via Monte Carlo simulations with respect to their bias and efficiency.","container-title":"Journal of Educational and Behavioral Statistics","DOI":"10.3102/10769986030003261","ISSN":"1076-9986, 1935-1054","issue":"3","language":"en","page":"261-293","source":"Crossref","title":"Bias and efficiency of meta-analytic variance estimators in the random-effects model","URL":"http://journals.sagepub.com/doi/10.3102/10769986030003261","volume":"30","author":[{"family":"Viechtbauer","given":"Wolfgang"}],"accessed":{"date-parts":[["2020",2,11]]},"issued":{"date-parts":[["2005",9]]}}}],"schema":"https://github.com/citation-style-language/schema/raw/master/csl-citation.json"} </w:instrText>
      </w:r>
      <w:r>
        <w:fldChar w:fldCharType="separate"/>
      </w:r>
      <w:r w:rsidRPr="00600E6D">
        <w:t>(Viechtbauer, 2005)</w:t>
      </w:r>
      <w:r>
        <w:fldChar w:fldCharType="end"/>
      </w:r>
      <w:r w:rsidRPr="00DA3672">
        <w:t xml:space="preserve">. We computed confidence intervals for meta-regression coefficients and mean treatment effects using the Knapp and Hartung  </w:t>
      </w:r>
      <w:ins w:id="96" w:author="Brenton Wiernik" w:date="2021-07-27T10:31:00Z">
        <w:r w:rsidR="002520E2">
          <w:rPr>
            <w:i/>
            <w:iCs/>
          </w:rPr>
          <w:t>t</w:t>
        </w:r>
      </w:ins>
      <w:r w:rsidRPr="00755841">
        <w:fldChar w:fldCharType="begin"/>
      </w:r>
      <w:r w:rsidRPr="00755841">
        <w:instrText xml:space="preserve"> QUOTE </w:instrText>
      </w:r>
      <w:r w:rsidR="002360D7" w:rsidRPr="005A7B64">
        <w:rPr>
          <w:noProof/>
          <w:lang w:val="de-DE" w:eastAsia="de-DE"/>
        </w:rPr>
        <w:drawing>
          <wp:inline distT="0" distB="0" distL="0" distR="0" wp14:anchorId="4AF32C04" wp14:editId="47E1D77D">
            <wp:extent cx="88900" cy="16383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900" cy="163830"/>
                    </a:xfrm>
                    <a:prstGeom prst="rect">
                      <a:avLst/>
                    </a:prstGeom>
                    <a:noFill/>
                    <a:ln>
                      <a:noFill/>
                    </a:ln>
                  </pic:spPr>
                </pic:pic>
              </a:graphicData>
            </a:graphic>
          </wp:inline>
        </w:drawing>
      </w:r>
      <w:r w:rsidRPr="00755841">
        <w:instrText xml:space="preserve"> </w:instrText>
      </w:r>
      <w:r w:rsidRPr="00755841">
        <w:fldChar w:fldCharType="separate"/>
      </w:r>
      <w:del w:id="97" w:author="Brenton Wiernik" w:date="2021-07-27T10:31:00Z">
        <w:r w:rsidR="002360D7" w:rsidRPr="005A7B64" w:rsidDel="002520E2">
          <w:rPr>
            <w:noProof/>
            <w:lang w:val="de-DE" w:eastAsia="de-DE"/>
          </w:rPr>
          <w:drawing>
            <wp:inline distT="0" distB="0" distL="0" distR="0" wp14:anchorId="6DEC6E2A" wp14:editId="70D150CE">
              <wp:extent cx="88900" cy="16383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900" cy="163830"/>
                      </a:xfrm>
                      <a:prstGeom prst="rect">
                        <a:avLst/>
                      </a:prstGeom>
                      <a:noFill/>
                      <a:ln>
                        <a:noFill/>
                      </a:ln>
                    </pic:spPr>
                  </pic:pic>
                </a:graphicData>
              </a:graphic>
            </wp:inline>
          </w:drawing>
        </w:r>
      </w:del>
      <w:r w:rsidRPr="00755841">
        <w:fldChar w:fldCharType="end"/>
      </w:r>
      <w:r w:rsidRPr="00DA3672">
        <w:t xml:space="preserve">-distribution method </w:t>
      </w:r>
      <w:r>
        <w:fldChar w:fldCharType="begin"/>
      </w:r>
      <w:r w:rsidR="003B01B7">
        <w:instrText xml:space="preserve"> ADDIN ZOTERO_ITEM CSL_CITATION {"citationID":"2w0Fqf1l","properties":{"formattedCitation":"(Knapp &amp; Hartung, 2003)","plainCitation":"(Knapp &amp; Hartung, 2003)","noteIndex":0},"citationItems":[{"id":60569,"uris":["http://zotero.org/users/1386342/items/V8TK72V3"],"uri":["http://zotero.org/users/1386342/items/V8TK72V3"],"itemData":{"id":60569,"type":"article-journal","abstract":"The explanation of heterogeneity plays an important role in meta-analysis. The random effects meta-regression model allows the inclusion of trial-specific covariates which may explain a part of the heterogeneity. We examine the commonly used tests on the parameters in the random effects meta-regression with one covariate and propose some new test statistics based on an improved estimator of the variance of the parameter estimates. The approximation of the distribution of the newly proposed tests is based on some theoretical considerations. Moreover, the newly proposed tests can easily be extended to the case of more than one covariate. In a simulation study, we compare the tests with regard to their actual significance level and we consider the log relative risk as the parameter of interest. Our simulation study reflects the meta-analysis of the efficacy of a vaccine for the prevention of tuberculosis originally discussed in Berkey et al. The simulation study shows that the newly proposed tests are superior to the commonly used test in holding the nominal significance level. Copyright © 2003 John Wiley &amp; Sons, Ltd.","container-title":"Statistics in Medicine","DOI":"10.1002/sim.1482","ISSN":"1097-0258","issue":"17","language":"fr","note":"_eprint: https://onlinelibrary.wiley.com/doi/pdf/10.1002/sim.1482","page":"2693-2710","source":"Wiley Online Library","title":"Improved tests for a random effects meta-regression with a single covariate","URL":"https://onlinelibrary.wiley.com/doi/abs/10.1002/sim.1482","volume":"22","author":[{"family":"Knapp","given":"Guido"},{"family":"Hartung","given":"Joachim"}],"accessed":{"date-parts":[["2020",10,25]]},"issued":{"date-parts":[["2003"]]}}}],"schema":"https://github.com/citation-style-language/schema/raw/master/csl-citation.json"} </w:instrText>
      </w:r>
      <w:r>
        <w:fldChar w:fldCharType="separate"/>
      </w:r>
      <w:r w:rsidRPr="00600E6D">
        <w:t>(Knapp &amp; Hartung, 2003)</w:t>
      </w:r>
      <w:r>
        <w:fldChar w:fldCharType="end"/>
      </w:r>
      <w:r>
        <w:t xml:space="preserve">, </w:t>
      </w:r>
      <w:r w:rsidRPr="00DA3672">
        <w:t xml:space="preserve">and for the random effects components using profile likelihood. We estimated models using </w:t>
      </w:r>
      <w:r w:rsidRPr="00DA3672">
        <w:rPr>
          <w:i/>
          <w:iCs/>
        </w:rPr>
        <w:t>R</w:t>
      </w:r>
      <w:r w:rsidRPr="00DA3672">
        <w:t xml:space="preserve"> </w:t>
      </w:r>
      <w:r>
        <w:fldChar w:fldCharType="begin"/>
      </w:r>
      <w:r w:rsidR="003B01B7">
        <w:instrText xml:space="preserve"> ADDIN ZOTERO_ITEM CSL_CITATION {"citationID":"UUxTqREF","properties":{"formattedCitation":"(version 4.1.0; R Core Team, 2021)","plainCitation":"(version 4.1.0; R Core Team, 2021)","noteIndex":0},"citationItems":[{"id":10955,"uris":["http://zotero.org/users/1386342/items/MWUKNHJZ"],"uri":["http://zotero.org/users/1386342/items/MWUKNHJZ"],"itemData":{"id":10955,"type":"book","event-place":"Vienna, Austria","publisher":"R Foundation for Statistical Computing","publisher-place":"Vienna, Austria","title":"R: a language and environment for statistical computing","title-short":"R","URL":"http://www.r-project.org/","version":"4.1.0","author":[{"literal":"R Core Team"}],"issued":{"date-parts":[["2021"]]}},"prefix":"version 4.1.0;"}],"schema":"https://github.com/citation-style-language/schema/raw/master/csl-citation.json"} </w:instrText>
      </w:r>
      <w:r>
        <w:fldChar w:fldCharType="separate"/>
      </w:r>
      <w:r w:rsidRPr="00600E6D">
        <w:t>(version 4.1.0; R Core Team, 2021)</w:t>
      </w:r>
      <w:r>
        <w:fldChar w:fldCharType="end"/>
      </w:r>
      <w:r w:rsidRPr="00DA3672">
        <w:t xml:space="preserve"> and the </w:t>
      </w:r>
      <w:r w:rsidRPr="00DA3672">
        <w:rPr>
          <w:i/>
          <w:iCs/>
        </w:rPr>
        <w:t>metafor</w:t>
      </w:r>
      <w:r w:rsidRPr="00DA3672">
        <w:t xml:space="preserve"> package </w:t>
      </w:r>
      <w:r>
        <w:fldChar w:fldCharType="begin"/>
      </w:r>
      <w:r w:rsidR="003B01B7">
        <w:instrText xml:space="preserve"> ADDIN ZOTERO_ITEM CSL_CITATION {"citationID":"c1INMKiu","properties":{"formattedCitation":"(version 3.-01 Viechtbauer, 2010)","plainCitation":"(version 3.-01 Viechtbauer, 2010)","noteIndex":0},"citationItems":[{"id":11364,"uris":["http://zotero.org/users/1386342/items/V84FAFYC"],"uri":["http://zotero.org/users/1386342/items/V84FAFYC"],"itemData":{"id":11364,"type":"article-journal","container-title":"Journal of Statistical Software","DOI":"10.18637/jss.v036.i03","ISSN":"1548-7660","issue":"3","language":"en","source":"CrossRef","title":"Conducting meta-analyses in &lt;i&gt;R&lt;/i&gt; with the &lt;i&gt;metafor&lt;/i&gt; package","URL":"http://www.jstatsoft.org/v36/i03/","volume":"36","author":[{"family":"Viechtbauer","given":"Wolfgang"}],"accessed":{"date-parts":[["2017",8,30]]},"issued":{"date-parts":[["2010"]]}},"prefix":"version 3.-01"}],"schema":"https://github.com/citation-style-language/schema/raw/master/csl-citation.json"} </w:instrText>
      </w:r>
      <w:r>
        <w:fldChar w:fldCharType="separate"/>
      </w:r>
      <w:r w:rsidRPr="00600E6D">
        <w:t>(version 3.-01 Viechtbauer, 2010)</w:t>
      </w:r>
      <w:r>
        <w:fldChar w:fldCharType="end"/>
      </w:r>
      <w:r w:rsidRPr="00DA3672">
        <w:t>.</w:t>
      </w:r>
      <w:r w:rsidRPr="00DA3672">
        <w:rPr>
          <w:rStyle w:val="FootnoteReference"/>
        </w:rPr>
        <w:footnoteReference w:id="3"/>
      </w:r>
    </w:p>
    <w:p w14:paraId="79CE5564" w14:textId="2CDBA968" w:rsidR="00CB1637" w:rsidRPr="00DA3672" w:rsidRDefault="00CB1637" w:rsidP="0096096E">
      <w:pPr>
        <w:pStyle w:val="Heading3"/>
      </w:pPr>
      <w:bookmarkStart w:id="99" w:name="individual-patient-data-ipd-case-series"/>
      <w:bookmarkEnd w:id="99"/>
      <w:commentRangeStart w:id="100"/>
      <w:del w:id="101" w:author="Brenton Wiernik" w:date="2021-07-26T16:36:00Z">
        <w:r w:rsidRPr="00DA3672" w:rsidDel="002248B1">
          <w:delText>IPD c</w:delText>
        </w:r>
      </w:del>
      <w:ins w:id="102" w:author="Brenton Wiernik" w:date="2021-07-26T16:36:00Z">
        <w:r w:rsidR="002248B1">
          <w:t>C</w:t>
        </w:r>
      </w:ins>
      <w:r w:rsidRPr="00DA3672">
        <w:t xml:space="preserve">ase </w:t>
      </w:r>
      <w:del w:id="103" w:author="Brenton Wiernik" w:date="2021-07-26T16:36:00Z">
        <w:r w:rsidRPr="00DA3672" w:rsidDel="002248B1">
          <w:delText>series</w:delText>
        </w:r>
        <w:commentRangeEnd w:id="100"/>
        <w:r w:rsidR="00EB2CE7" w:rsidDel="002248B1">
          <w:rPr>
            <w:rStyle w:val="CommentReference"/>
            <w:rFonts w:ascii="Cambria" w:hAnsi="Cambria"/>
            <w:bCs w:val="0"/>
            <w:spacing w:val="0"/>
            <w:u w:val="none"/>
          </w:rPr>
          <w:commentReference w:id="100"/>
        </w:r>
      </w:del>
      <w:ins w:id="104" w:author="Brenton Wiernik" w:date="2021-07-26T16:36:00Z">
        <w:r w:rsidR="002248B1">
          <w:t>reports</w:t>
        </w:r>
      </w:ins>
    </w:p>
    <w:p w14:paraId="7BAEE1BA" w14:textId="7A694951" w:rsidR="00CB1637" w:rsidRPr="00DA3672" w:rsidRDefault="002248B1" w:rsidP="003E4C8F">
      <w:ins w:id="105" w:author="Brenton Wiernik" w:date="2021-07-26T16:37:00Z">
        <w:r>
          <w:t xml:space="preserve">All case reports reported results as individual-level data, so we analyzed these studies using individual patient data (IPD) meta-analysis. </w:t>
        </w:r>
      </w:ins>
      <w:del w:id="106" w:author="Brenton Wiernik" w:date="2021-07-26T16:38:00Z">
        <w:r w:rsidR="00CB1637" w:rsidRPr="00DA3672" w:rsidDel="002248B1">
          <w:delText>For the IPD case series studies, w</w:delText>
        </w:r>
      </w:del>
      <w:ins w:id="107" w:author="Brenton Wiernik" w:date="2021-07-26T16:38:00Z">
        <w:r>
          <w:t>W</w:t>
        </w:r>
      </w:ins>
      <w:r w:rsidR="00CB1637" w:rsidRPr="00DA3672">
        <w:t xml:space="preserve">e computed individual-level scores as the difference between </w:t>
      </w:r>
      <w:r w:rsidR="00CB1637">
        <w:t xml:space="preserve">pre-test </w:t>
      </w:r>
      <w:r w:rsidR="00CB1637" w:rsidRPr="00DA3672">
        <w:t xml:space="preserve">and </w:t>
      </w:r>
      <w:r w:rsidR="00CB1637">
        <w:t xml:space="preserve">post-test </w:t>
      </w:r>
      <w:r w:rsidR="00CB1637" w:rsidRPr="00DA3672">
        <w:rPr>
          <w:i/>
          <w:iCs/>
        </w:rPr>
        <w:t>z</w:t>
      </w:r>
      <w:r w:rsidR="00CB1637" w:rsidRPr="00DA3672">
        <w:t>-scores (the mean difference in th</w:t>
      </w:r>
      <w:ins w:id="108" w:author="Brenton Wiernik" w:date="2021-07-27T10:34:00Z">
        <w:r w:rsidR="002520E2">
          <w:t>e</w:t>
        </w:r>
      </w:ins>
      <w:del w:id="109" w:author="Brenton Wiernik" w:date="2021-07-27T10:34:00Z">
        <w:r w:rsidR="00CB1637" w:rsidRPr="00DA3672" w:rsidDel="002520E2">
          <w:delText>i</w:delText>
        </w:r>
      </w:del>
      <w:r w:rsidR="00CB1637" w:rsidRPr="00DA3672">
        <w:t>s</w:t>
      </w:r>
      <w:ins w:id="110" w:author="Brenton Wiernik" w:date="2021-07-27T10:34:00Z">
        <w:r w:rsidR="002520E2">
          <w:t>e</w:t>
        </w:r>
      </w:ins>
      <w:r w:rsidR="00CB1637" w:rsidRPr="00DA3672">
        <w:t xml:space="preserve"> scores is the pretest-</w:t>
      </w:r>
      <w:r w:rsidR="00CB1637">
        <w:t xml:space="preserve">posttest </w:t>
      </w:r>
      <w:r w:rsidR="00CB1637" w:rsidRPr="00DA3672">
        <w:t xml:space="preserve">Hedges’ </w:t>
      </w:r>
      <w:r w:rsidR="00CB1637" w:rsidRPr="00DA3672">
        <w:rPr>
          <w:i/>
          <w:iCs/>
        </w:rPr>
        <w:t>g</w:t>
      </w:r>
      <w:r w:rsidR="00CB1637" w:rsidRPr="00DA3672">
        <w:t xml:space="preserve">, </w:t>
      </w:r>
      <w:ins w:id="111" w:author="Brenton Wiernik" w:date="2021-07-27T10:31:00Z">
        <w:r w:rsidR="002520E2">
          <w:rPr>
            <w:i/>
            <w:iCs/>
          </w:rPr>
          <w:t>g</w:t>
        </w:r>
        <w:r w:rsidR="002520E2">
          <w:rPr>
            <w:i/>
            <w:iCs/>
            <w:vertAlign w:val="subscript"/>
          </w:rPr>
          <w:t>pp</w:t>
        </w:r>
      </w:ins>
      <w:r w:rsidR="00CB1637" w:rsidRPr="00755841">
        <w:fldChar w:fldCharType="begin"/>
      </w:r>
      <w:r w:rsidR="00CB1637" w:rsidRPr="00755841">
        <w:instrText xml:space="preserve"> QUOTE </w:instrText>
      </w:r>
      <w:r w:rsidR="002360D7" w:rsidRPr="005A7B64">
        <w:rPr>
          <w:noProof/>
          <w:lang w:val="de-DE" w:eastAsia="de-DE"/>
        </w:rPr>
        <w:drawing>
          <wp:inline distT="0" distB="0" distL="0" distR="0" wp14:anchorId="224B43DC" wp14:editId="3AAD924A">
            <wp:extent cx="225425" cy="11620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5425" cy="116205"/>
                    </a:xfrm>
                    <a:prstGeom prst="rect">
                      <a:avLst/>
                    </a:prstGeom>
                    <a:noFill/>
                    <a:ln>
                      <a:noFill/>
                    </a:ln>
                  </pic:spPr>
                </pic:pic>
              </a:graphicData>
            </a:graphic>
          </wp:inline>
        </w:drawing>
      </w:r>
      <w:r w:rsidR="00CB1637" w:rsidRPr="00755841">
        <w:instrText xml:space="preserve"> </w:instrText>
      </w:r>
      <w:r w:rsidR="00CB1637" w:rsidRPr="00755841">
        <w:fldChar w:fldCharType="separate"/>
      </w:r>
      <w:del w:id="112" w:author="Brenton Wiernik" w:date="2021-07-27T10:31:00Z">
        <w:r w:rsidR="002360D7" w:rsidRPr="005A7B64" w:rsidDel="002520E2">
          <w:rPr>
            <w:noProof/>
            <w:lang w:val="de-DE" w:eastAsia="de-DE"/>
          </w:rPr>
          <w:drawing>
            <wp:inline distT="0" distB="0" distL="0" distR="0" wp14:anchorId="3C77197A" wp14:editId="44C95D16">
              <wp:extent cx="225425" cy="11620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5425" cy="116205"/>
                      </a:xfrm>
                      <a:prstGeom prst="rect">
                        <a:avLst/>
                      </a:prstGeom>
                      <a:noFill/>
                      <a:ln>
                        <a:noFill/>
                      </a:ln>
                    </pic:spPr>
                  </pic:pic>
                </a:graphicData>
              </a:graphic>
            </wp:inline>
          </w:drawing>
        </w:r>
      </w:del>
      <w:r w:rsidR="00CB1637" w:rsidRPr="00755841">
        <w:fldChar w:fldCharType="end"/>
      </w:r>
      <w:r w:rsidR="00CB1637" w:rsidRPr="00DA3672">
        <w:t xml:space="preserve">). We then pooled data across studies using a three-level random-effects IPD meta-analysis, with individual scores </w:t>
      </w:r>
      <w:r w:rsidR="00CB1637">
        <w:t>again (cf</w:t>
      </w:r>
      <w:ins w:id="113" w:author="Brenton Wiernik" w:date="2021-07-27T10:32:00Z">
        <w:r w:rsidR="002520E2">
          <w:t>.</w:t>
        </w:r>
      </w:ins>
      <w:r w:rsidR="00CB1637">
        <w:t xml:space="preserve"> </w:t>
      </w:r>
      <w:r w:rsidR="00CB1637">
        <w:fldChar w:fldCharType="begin"/>
      </w:r>
      <w:r w:rsidR="00CB1637">
        <w:instrText xml:space="preserve"> REF _Ref77263971 \h </w:instrText>
      </w:r>
      <w:r w:rsidR="00CB1637">
        <w:fldChar w:fldCharType="separate"/>
      </w:r>
      <w:r w:rsidR="000E6430">
        <w:t xml:space="preserve">Figure </w:t>
      </w:r>
      <w:r w:rsidR="000E6430">
        <w:rPr>
          <w:noProof/>
        </w:rPr>
        <w:t>1</w:t>
      </w:r>
      <w:r w:rsidR="00CB1637">
        <w:fldChar w:fldCharType="end"/>
      </w:r>
      <w:r w:rsidR="00CB1637">
        <w:t xml:space="preserve">) </w:t>
      </w:r>
      <w:r w:rsidR="00CB1637" w:rsidRPr="00DA3672">
        <w:t xml:space="preserve">nested within patients nested within studies </w:t>
      </w:r>
      <w:r w:rsidR="00CB1637">
        <w:fldChar w:fldCharType="begin"/>
      </w:r>
      <w:r w:rsidR="003B01B7">
        <w:instrText xml:space="preserve"> ADDIN ZOTERO_ITEM CSL_CITATION {"citationID":"ySybnY9x","properties":{"formattedCitation":"(Riley et al., 2010)","plainCitation":"(Riley et al., 2010)","noteIndex":0},"citationItems":[{"id":58395,"uris":["http://zotero.org/users/1386342/items/NTHR4NF9"],"uri":["http://zotero.org/users/1386342/items/NTHR4NF9"],"itemData":{"id":58395,"type":"article-journal","abstract":"&lt;p&gt;The use of individual participant data instead of aggregate data in meta-analyses has many potential advantages, both statistically and clinically. &lt;b&gt;Richard D Riley and colleagues&lt;/b&gt; describe the rationale for an individual participant data meta-analysis and outline how to conduct this type of study &lt;/p&gt;","container-title":"BMJ","DOI":"10.1136/bmj.c221","ISSN":"0959-8138, 1468-5833","journalAbbreviation":"BMJ","language":"en","note":"Citation key: Riley2010IPDmeta\nPMID: 20139215","page":"c221","source":"www.bmj.com","title":"Meta-analysis of individual participant data: rationale, conduct, and reporting","title-short":"Meta-analysis of individual participant data","URL":"https://www.bmj.com/content/340/bmj.c221","volume":"340","author":[{"family":"Riley","given":"Richard D."},{"family":"Lambert","given":"Paul C."},{"family":"Abo-Zaid","given":"Ghada"}],"accessed":{"date-parts":[["2019",11,3]]},"issued":{"date-parts":[["2010",2,5]]}}}],"schema":"https://github.com/citation-style-language/schema/raw/master/csl-citation.json"} </w:instrText>
      </w:r>
      <w:r w:rsidR="00CB1637">
        <w:fldChar w:fldCharType="separate"/>
      </w:r>
      <w:r w:rsidR="00CB1637" w:rsidRPr="00600E6D">
        <w:t>(Riley et al., 2010)</w:t>
      </w:r>
      <w:r w:rsidR="00CB1637">
        <w:fldChar w:fldCharType="end"/>
      </w:r>
      <w:r w:rsidR="00CB1637" w:rsidRPr="00DA3672">
        <w:t xml:space="preserve">. Similar to the group-level RCT meta-analyses, we first fit an overall model including all data points with no moderators, then fit additional models including potential moderator variables as predictors. For these models, we included random intercepts for patients </w:t>
      </w:r>
      <w:r w:rsidR="00CB1637" w:rsidRPr="00DA3672">
        <w:lastRenderedPageBreak/>
        <w:t>and studies.</w:t>
      </w:r>
      <w:r w:rsidR="00CB1637" w:rsidRPr="00DA3672">
        <w:rPr>
          <w:rStyle w:val="FootnoteReference"/>
        </w:rPr>
        <w:footnoteReference w:id="4"/>
      </w:r>
      <w:r w:rsidR="00CB1637" w:rsidRPr="00DA3672">
        <w:t xml:space="preserve"> We estimated random effects components using REML and computed confidence intervals using profile likelihood. We estimated models using </w:t>
      </w:r>
      <w:r w:rsidR="00CB1637" w:rsidRPr="00DA3672">
        <w:rPr>
          <w:i/>
          <w:iCs/>
        </w:rPr>
        <w:t>R</w:t>
      </w:r>
      <w:r w:rsidR="00CB1637" w:rsidRPr="00DA3672">
        <w:t xml:space="preserve"> </w:t>
      </w:r>
      <w:r w:rsidR="00CB1637">
        <w:fldChar w:fldCharType="begin"/>
      </w:r>
      <w:r w:rsidR="003B01B7">
        <w:instrText xml:space="preserve"> ADDIN ZOTERO_ITEM CSL_CITATION {"citationID":"9w1QVlTL","properties":{"formattedCitation":"(version 4.1.0; R Core Team, 2021)","plainCitation":"(version 4.1.0; R Core Team, 2021)","noteIndex":0},"citationItems":[{"id":10955,"uris":["http://zotero.org/users/1386342/items/MWUKNHJZ"],"uri":["http://zotero.org/users/1386342/items/MWUKNHJZ"],"itemData":{"id":10955,"type":"book","event-place":"Vienna, Austria","publisher":"R Foundation for Statistical Computing","publisher-place":"Vienna, Austria","title":"R: a language and environment for statistical computing","title-short":"R","URL":"http://www.r-project.org/","version":"4.1.0","author":[{"literal":"R Core Team"}],"issued":{"date-parts":[["2021"]]}},"prefix":"version 4.1.0;"}],"schema":"https://github.com/citation-style-language/schema/raw/master/csl-citation.json"} </w:instrText>
      </w:r>
      <w:r w:rsidR="00CB1637">
        <w:fldChar w:fldCharType="separate"/>
      </w:r>
      <w:r w:rsidR="00CB1637" w:rsidRPr="00600E6D">
        <w:t>(version 4.1.0; R Core Team, 2021)</w:t>
      </w:r>
      <w:r w:rsidR="00CB1637">
        <w:fldChar w:fldCharType="end"/>
      </w:r>
      <w:r w:rsidR="00CB1637" w:rsidRPr="00DA3672">
        <w:t xml:space="preserve"> and the </w:t>
      </w:r>
      <w:r w:rsidR="00CB1637" w:rsidRPr="00DA3672">
        <w:rPr>
          <w:i/>
          <w:iCs/>
        </w:rPr>
        <w:t>lme4</w:t>
      </w:r>
      <w:r w:rsidR="00CB1637" w:rsidRPr="00DA3672">
        <w:t xml:space="preserve"> package </w:t>
      </w:r>
      <w:r w:rsidR="00CB1637">
        <w:fldChar w:fldCharType="begin"/>
      </w:r>
      <w:r w:rsidR="003B01B7">
        <w:instrText xml:space="preserve"> ADDIN ZOTERO_ITEM CSL_CITATION {"citationID":"O0wUl6No","properties":{"formattedCitation":"(version 1.1-27; Bates et al., 2015a)","plainCitation":"(version 1.1-27; Bates et al., 2015a)","noteIndex":0},"citationItems":[{"id":61761,"uris":["http://zotero.org/users/1386342/items/YA57QQNH"],"uri":["http://zotero.org/users/1386342/items/YA57QQNH"],"itemData":{"id":61761,"type":"article-journal","abstract":"Maximum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Soft.","language":"en","note":"Citation Key: lme4article","source":"DOI.org (Crossref)","title":"Fitting linear mixed-effects models using &lt;span class=\"nocase\"&gt;&lt;i&gt;lme4&lt;/i&gt;&lt;/span&gt;","URL":"http://www.jstatsoft.org/v67/i01/","volume":"67","author":[{"family":"Bates","given":"Douglas"},{"family":"Mächler","given":"Martin"},{"family":"Bolker","given":"Ben"},{"family":"Walker","given":"Steve"}],"accessed":{"date-parts":[["2021",5,26]]},"issued":{"date-parts":[["2015"]]}},"prefix":"version 1.1-27;"}],"schema":"https://github.com/citation-style-language/schema/raw/master/csl-citation.json"} </w:instrText>
      </w:r>
      <w:r w:rsidR="00CB1637">
        <w:fldChar w:fldCharType="separate"/>
      </w:r>
      <w:r w:rsidR="00EA5707" w:rsidRPr="00EA5707">
        <w:t>(version 1.1-27; Bates et al., 2015a)</w:t>
      </w:r>
      <w:r w:rsidR="00CB1637">
        <w:fldChar w:fldCharType="end"/>
      </w:r>
      <w:r w:rsidR="00CB1637" w:rsidRPr="00DA3672">
        <w:t>.</w:t>
      </w:r>
    </w:p>
    <w:p w14:paraId="7F168BD6" w14:textId="77777777" w:rsidR="00CB1637" w:rsidRPr="00DA3672" w:rsidRDefault="00CB1637" w:rsidP="0096096E">
      <w:pPr>
        <w:pStyle w:val="Heading3"/>
      </w:pPr>
      <w:bookmarkStart w:id="114" w:name="moderator-analyses"/>
      <w:bookmarkEnd w:id="114"/>
      <w:r w:rsidRPr="00DA3672">
        <w:t>Moderator analyses</w:t>
      </w:r>
    </w:p>
    <w:p w14:paraId="1EFF86E8" w14:textId="5BF2155A" w:rsidR="00CB1637" w:rsidRPr="00DA3672" w:rsidRDefault="00CB1637" w:rsidP="003E4C8F">
      <w:r w:rsidRPr="00DA3672">
        <w:t xml:space="preserve">For the RCT meta-analyses, we fit a meta-regression model </w:t>
      </w:r>
      <w:r>
        <w:t>with the</w:t>
      </w:r>
      <w:r w:rsidRPr="00800150">
        <w:t xml:space="preserve"> </w:t>
      </w:r>
      <w:r w:rsidRPr="00DA3672">
        <w:t>moderators</w:t>
      </w:r>
      <w:r>
        <w:t xml:space="preserve"> </w:t>
      </w:r>
      <w:r w:rsidRPr="00DA3672">
        <w:t>(1) Domain</w:t>
      </w:r>
      <w:r>
        <w:t xml:space="preserve"> (</w:t>
      </w:r>
      <w:del w:id="115" w:author="Brenton Wiernik" w:date="2021-07-27T10:34:00Z">
        <w:r w:rsidDel="002520E2">
          <w:delText xml:space="preserve">cf </w:delText>
        </w:r>
      </w:del>
      <w:ins w:id="116" w:author="Brenton Wiernik" w:date="2021-07-27T10:34:00Z">
        <w:r w:rsidR="002520E2">
          <w:t xml:space="preserve">cf. </w:t>
        </w:r>
      </w:ins>
      <w:r>
        <w:t xml:space="preserve">section </w:t>
      </w:r>
      <w:r>
        <w:fldChar w:fldCharType="begin"/>
      </w:r>
      <w:r>
        <w:instrText xml:space="preserve"> REF _Ref77264802 \r \h </w:instrText>
      </w:r>
      <w:r>
        <w:fldChar w:fldCharType="separate"/>
      </w:r>
      <w:r w:rsidR="000E6430">
        <w:t>2.4</w:t>
      </w:r>
      <w:r>
        <w:fldChar w:fldCharType="end"/>
      </w:r>
      <w:r>
        <w:t>);</w:t>
      </w:r>
      <w:r w:rsidRPr="00DA3672">
        <w:t xml:space="preserve"> (2) whether the study used validated test</w:t>
      </w:r>
      <w:r w:rsidR="00122697">
        <w:t>s</w:t>
      </w:r>
      <w:r w:rsidRPr="00DA3672">
        <w:t xml:space="preserve"> </w:t>
      </w:r>
      <w:r w:rsidR="00226F6F">
        <w:t>as its outcome measure</w:t>
      </w:r>
      <w:r w:rsidR="00122697">
        <w:t>s</w:t>
      </w:r>
      <w:r w:rsidR="00226F6F">
        <w:t xml:space="preserve">, </w:t>
      </w:r>
      <w:r w:rsidRPr="00DA3672">
        <w:t xml:space="preserve">or </w:t>
      </w:r>
      <w:r w:rsidR="006A06A9" w:rsidRPr="00EB2CE7">
        <w:t>unvalidated</w:t>
      </w:r>
      <w:r w:rsidRPr="00DA3672">
        <w:t xml:space="preserve"> </w:t>
      </w:r>
      <w:r w:rsidR="00226F6F">
        <w:t>one</w:t>
      </w:r>
      <w:r w:rsidR="00122697">
        <w:t>s</w:t>
      </w:r>
      <w:ins w:id="117" w:author="Brenton Wiernik" w:date="2021-07-27T10:35:00Z">
        <w:r w:rsidR="002345AD">
          <w:t xml:space="preserve"> (for unvalidated measures, we treated trained and untrained items as separate groups</w:t>
        </w:r>
      </w:ins>
      <w:ins w:id="118" w:author="Brenton Wiernik" w:date="2021-07-27T10:36:00Z">
        <w:r w:rsidR="002345AD">
          <w:t xml:space="preserve"> to avoid confounding measure validation and training effects</w:t>
        </w:r>
      </w:ins>
      <w:ins w:id="119" w:author="Brenton Wiernik" w:date="2021-07-27T10:35:00Z">
        <w:r w:rsidR="002345AD">
          <w:t>)</w:t>
        </w:r>
      </w:ins>
      <w:r>
        <w:t>;</w:t>
      </w:r>
      <w:r w:rsidRPr="00DA3672">
        <w:t xml:space="preserve"> and (3) the Domain × Validated interaction. Next, we fit another model adding </w:t>
      </w:r>
      <w:r>
        <w:t>the</w:t>
      </w:r>
      <w:r w:rsidRPr="00D84D7A">
        <w:t xml:space="preserve"> </w:t>
      </w:r>
      <w:r w:rsidRPr="00DA3672">
        <w:t xml:space="preserve">additional moderators </w:t>
      </w:r>
      <w:r>
        <w:t xml:space="preserve">of </w:t>
      </w:r>
      <w:r w:rsidRPr="00DA3672">
        <w:t>(1) mean MPO across treatment and control groups</w:t>
      </w:r>
      <w:r>
        <w:t>;</w:t>
      </w:r>
      <w:r w:rsidRPr="00DA3672">
        <w:t xml:space="preserve"> and (2) the difference in mean MPO between treatment and control groups.</w:t>
      </w:r>
    </w:p>
    <w:p w14:paraId="4BE736FD" w14:textId="1BA81003" w:rsidR="00CB1637" w:rsidRPr="00DA3672" w:rsidRDefault="00CB1637" w:rsidP="003E4C8F">
      <w:r w:rsidRPr="00DA3672">
        <w:t xml:space="preserve">For the </w:t>
      </w:r>
      <w:del w:id="120" w:author="Brenton Wiernik" w:date="2021-07-27T10:34:00Z">
        <w:r w:rsidRPr="00DA3672" w:rsidDel="002520E2">
          <w:delText xml:space="preserve">IPD </w:delText>
        </w:r>
      </w:del>
      <w:ins w:id="121" w:author="Brenton Wiernik" w:date="2021-07-27T10:34:00Z">
        <w:r w:rsidR="002520E2">
          <w:t>case report</w:t>
        </w:r>
        <w:r w:rsidR="002520E2" w:rsidRPr="00DA3672">
          <w:t xml:space="preserve"> </w:t>
        </w:r>
      </w:ins>
      <w:r w:rsidRPr="00DA3672">
        <w:t xml:space="preserve">meta-analyses, we </w:t>
      </w:r>
      <w:r>
        <w:t xml:space="preserve">initially </w:t>
      </w:r>
      <w:r w:rsidRPr="00DA3672">
        <w:t>fit</w:t>
      </w:r>
      <w:r>
        <w:t xml:space="preserve">ted the same </w:t>
      </w:r>
      <w:r w:rsidRPr="00DA3672">
        <w:t xml:space="preserve">meta-regression model </w:t>
      </w:r>
      <w:r>
        <w:t>with three moderators as for RCTs</w:t>
      </w:r>
      <w:r w:rsidRPr="00DA3672">
        <w:t xml:space="preserve">. We then fit </w:t>
      </w:r>
      <w:ins w:id="122" w:author="Brenton Wiernik" w:date="2021-07-27T10:39:00Z">
        <w:r w:rsidR="002345AD">
          <w:t>2</w:t>
        </w:r>
      </w:ins>
      <w:del w:id="123" w:author="Brenton Wiernik" w:date="2021-07-27T10:39:00Z">
        <w:r w:rsidRPr="00DA3672" w:rsidDel="002345AD">
          <w:delText>3</w:delText>
        </w:r>
      </w:del>
      <w:r w:rsidRPr="00DA3672">
        <w:t xml:space="preserve"> additional models adding one moderator at a time to this baseline model. First, we fit a model adding individual-level MPO. Second, we fit a model adding whether a study used the original MIT protocol or a modified protocol. </w:t>
      </w:r>
      <w:del w:id="124" w:author="Brenton Wiernik" w:date="2021-07-27T10:39:00Z">
        <w:r w:rsidRPr="00DA3672" w:rsidDel="002345AD">
          <w:delText xml:space="preserve">Third, we fit a model including whether the tested stimuli for the outcome were also included in the training set (“trained”) or not (“untrained”). For this third analysis, all studies used </w:delText>
        </w:r>
        <w:r w:rsidR="006A06A9" w:rsidRPr="00EB2CE7" w:rsidDel="002345AD">
          <w:delText>unvalidated</w:delText>
        </w:r>
        <w:r w:rsidRPr="00DA3672" w:rsidDel="002345AD">
          <w:delText xml:space="preserve"> measures of language comprehension</w:delText>
        </w:r>
        <w:r w:rsidDel="002345AD">
          <w:delText xml:space="preserve"> (see section </w:delText>
        </w:r>
        <w:r w:rsidDel="002345AD">
          <w:fldChar w:fldCharType="begin"/>
        </w:r>
        <w:r w:rsidDel="002345AD">
          <w:delInstrText xml:space="preserve"> REF _Ref77265200 \r \h </w:delInstrText>
        </w:r>
        <w:r w:rsidDel="002345AD">
          <w:fldChar w:fldCharType="separate"/>
        </w:r>
        <w:r w:rsidR="000E6430" w:rsidDel="002345AD">
          <w:delText>2.1</w:delText>
        </w:r>
        <w:r w:rsidDel="002345AD">
          <w:fldChar w:fldCharType="end"/>
        </w:r>
        <w:r w:rsidDel="002345AD">
          <w:delText>)</w:delText>
        </w:r>
        <w:r w:rsidRPr="00DA3672" w:rsidDel="002345AD">
          <w:delText xml:space="preserve">, </w:delText>
        </w:r>
        <w:r w:rsidDel="002345AD">
          <w:delText>hence</w:delText>
        </w:r>
        <w:r w:rsidRPr="00DA3672" w:rsidDel="002345AD">
          <w:delText xml:space="preserve"> the Domain and Validat</w:delText>
        </w:r>
        <w:r w:rsidDel="002345AD">
          <w:delText>ed</w:delText>
        </w:r>
        <w:r w:rsidRPr="00DA3672" w:rsidDel="002345AD">
          <w:delText xml:space="preserve"> moderators were omitted from the model.</w:delText>
        </w:r>
      </w:del>
    </w:p>
    <w:p w14:paraId="00357768" w14:textId="77777777" w:rsidR="00CB1637" w:rsidRPr="00DA3672" w:rsidRDefault="00CB1637" w:rsidP="0096096E">
      <w:pPr>
        <w:pStyle w:val="Heading1"/>
      </w:pPr>
      <w:bookmarkStart w:id="125" w:name="_5shh93miv43" w:colFirst="0" w:colLast="0"/>
      <w:bookmarkStart w:id="126" w:name="_whriylx7dzyr" w:colFirst="0" w:colLast="0"/>
      <w:bookmarkEnd w:id="125"/>
      <w:bookmarkEnd w:id="126"/>
      <w:r w:rsidRPr="00DA3672">
        <w:t>Results</w:t>
      </w:r>
    </w:p>
    <w:p w14:paraId="1E328F0D" w14:textId="5A0031E9" w:rsidR="00CB1637" w:rsidRPr="00DA3672" w:rsidDel="002345AD" w:rsidRDefault="00CB1637" w:rsidP="0096096E">
      <w:pPr>
        <w:pStyle w:val="Heading2"/>
        <w:rPr>
          <w:del w:id="127" w:author="Brenton Wiernik" w:date="2021-07-27T10:41:00Z"/>
        </w:rPr>
      </w:pPr>
      <w:bookmarkStart w:id="128" w:name="_5jizkx5idpvy" w:colFirst="0" w:colLast="0"/>
      <w:bookmarkStart w:id="129" w:name="_t4js3cyufq7" w:colFirst="0" w:colLast="0"/>
      <w:bookmarkEnd w:id="128"/>
      <w:bookmarkEnd w:id="129"/>
      <w:del w:id="130" w:author="Brenton Wiernik" w:date="2021-07-27T10:41:00Z">
        <w:r w:rsidRPr="00DA3672" w:rsidDel="002345AD">
          <w:delText>Overall results</w:delText>
        </w:r>
      </w:del>
    </w:p>
    <w:p w14:paraId="14A69708" w14:textId="77777777" w:rsidR="00CB1637" w:rsidRPr="00DA3672" w:rsidRDefault="00CB1637" w:rsidP="008202BC">
      <w:r w:rsidRPr="00DA3672">
        <w:t xml:space="preserve">Study-level </w:t>
      </w:r>
      <w:r>
        <w:t>standardis</w:t>
      </w:r>
      <w:r w:rsidRPr="00DA3672">
        <w:t xml:space="preserve">ed mean difference scores and meta-analytic mean differences by Domain are shown in </w:t>
      </w:r>
      <w:r w:rsidRPr="00DA3672">
        <w:fldChar w:fldCharType="begin"/>
      </w:r>
      <w:r w:rsidRPr="00DA3672">
        <w:instrText xml:space="preserve"> REF _Ref75116297 \h </w:instrText>
      </w:r>
      <w:r w:rsidRPr="00DA3672">
        <w:fldChar w:fldCharType="separate"/>
      </w:r>
      <w:r w:rsidR="000E6430" w:rsidRPr="00DA3672">
        <w:t xml:space="preserve">Figure </w:t>
      </w:r>
      <w:r w:rsidR="000E6430">
        <w:rPr>
          <w:noProof/>
        </w:rPr>
        <w:t>2</w:t>
      </w:r>
      <w:r w:rsidRPr="00DA3672">
        <w:fldChar w:fldCharType="end"/>
      </w:r>
      <w:r w:rsidRPr="00DA3672">
        <w:t xml:space="preserve">. Full meta-regression results tables are </w:t>
      </w:r>
      <w:r>
        <w:t>reported</w:t>
      </w:r>
      <w:r w:rsidRPr="00DA3672">
        <w:t xml:space="preserve"> in the </w:t>
      </w:r>
      <w:r>
        <w:t xml:space="preserve">Supplementary </w:t>
      </w:r>
      <w:r w:rsidRPr="00DA3672">
        <w:t>Materials.</w:t>
      </w:r>
    </w:p>
    <w:p w14:paraId="55FCBD56" w14:textId="2198FC62" w:rsidR="00CB1637" w:rsidRPr="00DA3672" w:rsidRDefault="002360D7" w:rsidP="0088057F">
      <w:pPr>
        <w:pStyle w:val="FirstParagraph"/>
        <w:keepNext/>
      </w:pPr>
      <w:bookmarkStart w:id="131" w:name="figure-2.-results-of-meta-analyses"/>
      <w:bookmarkEnd w:id="131"/>
      <w:r w:rsidRPr="005A7B64">
        <w:rPr>
          <w:noProof/>
          <w:lang w:val="de-DE" w:eastAsia="de-DE"/>
        </w:rPr>
        <w:lastRenderedPageBreak/>
        <w:drawing>
          <wp:inline distT="0" distB="0" distL="0" distR="0" wp14:anchorId="40192CE5" wp14:editId="1BEFCAB0">
            <wp:extent cx="5315585" cy="7560223"/>
            <wp:effectExtent l="0" t="0" r="0" b="3175"/>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6"/>
                    <a:stretch>
                      <a:fillRect/>
                    </a:stretch>
                  </pic:blipFill>
                  <pic:spPr bwMode="auto">
                    <a:xfrm>
                      <a:off x="0" y="0"/>
                      <a:ext cx="5315585" cy="7560223"/>
                    </a:xfrm>
                    <a:prstGeom prst="rect">
                      <a:avLst/>
                    </a:prstGeom>
                    <a:noFill/>
                    <a:ln>
                      <a:noFill/>
                    </a:ln>
                  </pic:spPr>
                </pic:pic>
              </a:graphicData>
            </a:graphic>
          </wp:inline>
        </w:drawing>
      </w:r>
    </w:p>
    <w:p w14:paraId="5BF86541" w14:textId="618F33E9" w:rsidR="00CB1637" w:rsidRPr="00DA3672" w:rsidRDefault="00CB1637" w:rsidP="00B53C9C">
      <w:pPr>
        <w:pStyle w:val="Caption"/>
      </w:pPr>
      <w:bookmarkStart w:id="132" w:name="_Ref75116297"/>
      <w:r w:rsidRPr="00DA3672">
        <w:t xml:space="preserve">Figure </w:t>
      </w:r>
      <w:r>
        <w:fldChar w:fldCharType="begin"/>
      </w:r>
      <w:r>
        <w:instrText xml:space="preserve"> SEQ Figure \* ARABIC </w:instrText>
      </w:r>
      <w:r>
        <w:fldChar w:fldCharType="separate"/>
      </w:r>
      <w:r w:rsidR="000E6430">
        <w:rPr>
          <w:noProof/>
        </w:rPr>
        <w:t>2</w:t>
      </w:r>
      <w:r>
        <w:fldChar w:fldCharType="end"/>
      </w:r>
      <w:bookmarkEnd w:id="132"/>
      <w:r w:rsidRPr="00DA3672">
        <w:t xml:space="preserve">: Results of meta-analyses. Points are study-level </w:t>
      </w:r>
      <w:r>
        <w:t>standardis</w:t>
      </w:r>
      <w:r w:rsidRPr="00DA3672">
        <w:t>ed mean pretest-</w:t>
      </w:r>
      <w:r>
        <w:t xml:space="preserve">posttest </w:t>
      </w:r>
      <w:r w:rsidRPr="00DA3672">
        <w:t>difference scores, either adjusted for a control group (</w:t>
      </w:r>
      <w:r w:rsidRPr="00DA3672">
        <w:rPr>
          <w:i/>
        </w:rPr>
        <w:t>g</w:t>
      </w:r>
      <w:r w:rsidRPr="00DA3672">
        <w:rPr>
          <w:i/>
          <w:vertAlign w:val="subscript"/>
        </w:rPr>
        <w:t>ppc</w:t>
      </w:r>
      <w:r w:rsidRPr="00DA3672">
        <w:t>) or not (</w:t>
      </w:r>
      <w:r w:rsidRPr="00DA3672">
        <w:rPr>
          <w:i/>
        </w:rPr>
        <w:t>g</w:t>
      </w:r>
      <w:r w:rsidRPr="00DA3672">
        <w:rPr>
          <w:i/>
          <w:vertAlign w:val="subscript"/>
        </w:rPr>
        <w:t>pp</w:t>
      </w:r>
      <w:r w:rsidRPr="00DA3672">
        <w:t xml:space="preserve">). Points </w:t>
      </w:r>
      <w:r>
        <w:t>of</w:t>
      </w:r>
      <w:r w:rsidRPr="00DA3672">
        <w:t xml:space="preserve"> different colours </w:t>
      </w:r>
      <w:r>
        <w:t xml:space="preserve">are </w:t>
      </w:r>
      <w:r w:rsidRPr="00DA3672">
        <w:t xml:space="preserve">drawn from different studies. </w:t>
      </w:r>
      <w:del w:id="133" w:author="Brenton Wiernik" w:date="2021-07-27T10:25:00Z">
        <w:r w:rsidRPr="00DA3672" w:rsidDel="002520E2">
          <w:delText xml:space="preserve">● = validated measure; ▲ = unvalidated measure. </w:delText>
        </w:r>
      </w:del>
      <w:r w:rsidRPr="00DA3672">
        <w:t xml:space="preserve">Large points are mean </w:t>
      </w:r>
      <w:r w:rsidRPr="00DA3672">
        <w:rPr>
          <w:i/>
        </w:rPr>
        <w:t>g</w:t>
      </w:r>
      <w:r w:rsidRPr="00DA3672">
        <w:rPr>
          <w:i/>
          <w:vertAlign w:val="subscript"/>
        </w:rPr>
        <w:t>pp</w:t>
      </w:r>
      <w:ins w:id="134" w:author="Brenton Wiernik" w:date="2021-07-27T10:25:00Z">
        <w:r w:rsidR="002520E2">
          <w:rPr>
            <w:i/>
            <w:vertAlign w:val="subscript"/>
          </w:rPr>
          <w:t>(</w:t>
        </w:r>
      </w:ins>
      <w:r w:rsidRPr="00DA3672">
        <w:rPr>
          <w:i/>
          <w:vertAlign w:val="subscript"/>
        </w:rPr>
        <w:t>c</w:t>
      </w:r>
      <w:ins w:id="135" w:author="Brenton Wiernik" w:date="2021-07-27T10:25:00Z">
        <w:r w:rsidR="002520E2">
          <w:rPr>
            <w:i/>
            <w:vertAlign w:val="subscript"/>
          </w:rPr>
          <w:t>)</w:t>
        </w:r>
      </w:ins>
      <w:r w:rsidRPr="00DA3672">
        <w:t xml:space="preserve"> </w:t>
      </w:r>
      <w:ins w:id="136" w:author="Brenton Wiernik" w:date="2021-07-27T11:22:00Z">
        <w:r w:rsidR="00345350">
          <w:t xml:space="preserve">for validated measures </w:t>
        </w:r>
      </w:ins>
      <w:r w:rsidRPr="00DA3672">
        <w:t xml:space="preserve">with 66% (thick bar) and 95% (thin bar) confidence intervals and </w:t>
      </w:r>
      <w:r w:rsidRPr="00A31176">
        <w:rPr>
          <w:i/>
        </w:rPr>
        <w:t>t</w:t>
      </w:r>
      <w:r w:rsidRPr="00DA3672">
        <w:t xml:space="preserve">-distribution confidence densities. For case </w:t>
      </w:r>
      <w:del w:id="137" w:author="Brenton Wiernik" w:date="2021-07-26T16:39:00Z">
        <w:r w:rsidRPr="00DA3672" w:rsidDel="002248B1">
          <w:delText>series</w:delText>
        </w:r>
      </w:del>
      <w:ins w:id="138" w:author="Brenton Wiernik" w:date="2021-07-26T16:39:00Z">
        <w:r w:rsidR="002248B1">
          <w:t>reports</w:t>
        </w:r>
      </w:ins>
      <w:r w:rsidRPr="00DA3672">
        <w:t xml:space="preserve">, one aphasia severity study with </w:t>
      </w:r>
      <w:r w:rsidRPr="00DA3672">
        <w:rPr>
          <w:i/>
        </w:rPr>
        <w:t>g</w:t>
      </w:r>
      <w:r w:rsidRPr="00DA3672">
        <w:rPr>
          <w:i/>
          <w:vertAlign w:val="subscript"/>
        </w:rPr>
        <w:t>ppc</w:t>
      </w:r>
      <w:r w:rsidRPr="00DA3672">
        <w:t xml:space="preserve"> = .88 </w:t>
      </w:r>
      <w:del w:id="139" w:author="Brenton Wiernik" w:date="2021-07-27T10:25:00Z">
        <w:r w:rsidRPr="00DA3672" w:rsidDel="002520E2">
          <w:delText>omitted</w:delText>
        </w:r>
      </w:del>
      <w:ins w:id="140" w:author="Brenton Wiernik" w:date="2021-07-27T10:25:00Z">
        <w:r w:rsidR="002520E2">
          <w:t>not displayed</w:t>
        </w:r>
      </w:ins>
      <w:r w:rsidRPr="00DA3672">
        <w:t>.</w:t>
      </w:r>
    </w:p>
    <w:p w14:paraId="635166B9" w14:textId="77777777" w:rsidR="00CB1637" w:rsidRPr="00DA3672" w:rsidRDefault="00CB1637" w:rsidP="0088057F">
      <w:pPr>
        <w:pStyle w:val="Caption"/>
      </w:pPr>
    </w:p>
    <w:p w14:paraId="44DEA791" w14:textId="77777777" w:rsidR="00CB1637" w:rsidRPr="00DA3672" w:rsidRDefault="00CB1637" w:rsidP="0096096E">
      <w:pPr>
        <w:pStyle w:val="Heading2"/>
      </w:pPr>
      <w:bookmarkStart w:id="141" w:name="rct-studies"/>
      <w:bookmarkEnd w:id="141"/>
      <w:r w:rsidRPr="00DA3672">
        <w:t xml:space="preserve">RCT </w:t>
      </w:r>
      <w:r>
        <w:t>data</w:t>
      </w:r>
    </w:p>
    <w:p w14:paraId="2CCF2FC8" w14:textId="04F43A12" w:rsidR="00CB1637" w:rsidRPr="00DA3672" w:rsidRDefault="00CB1637" w:rsidP="003E4C8F">
      <w:r w:rsidRPr="00DA3672">
        <w:t xml:space="preserve">Overall, RCT </w:t>
      </w:r>
      <w:r>
        <w:t>data</w:t>
      </w:r>
      <w:r w:rsidRPr="00DA3672">
        <w:t xml:space="preserve"> showed a small to moderate</w:t>
      </w:r>
      <w:r w:rsidR="00C73F1E">
        <w:t xml:space="preserve"> the</w:t>
      </w:r>
      <w:r w:rsidRPr="00DA3672">
        <w:t xml:space="preserve"> </w:t>
      </w:r>
      <w:r>
        <w:t xml:space="preserve">pretest-posttest </w:t>
      </w:r>
      <w:r w:rsidRPr="00DA3672">
        <w:t>effect of MIT on aphasia outcomes</w:t>
      </w:r>
      <w:r>
        <w:t>,</w:t>
      </w:r>
      <w:r w:rsidRPr="00DA3672">
        <w:t xml:space="preserve"> after accounting for the control group (</w:t>
      </w:r>
      <w:r w:rsidRPr="00DA3672">
        <w:rPr>
          <w:i/>
          <w:iCs/>
        </w:rPr>
        <w:t>g̅</w:t>
      </w:r>
      <w:r w:rsidRPr="00DA3672">
        <w:t xml:space="preserve"> = .31 [95% CI −.01, .63]). These results were primarily based on </w:t>
      </w:r>
      <w:r>
        <w:t>Non-Communicative Language Expression</w:t>
      </w:r>
      <w:r w:rsidRPr="00DA3672">
        <w:t xml:space="preserve"> (</w:t>
      </w:r>
      <w:r w:rsidR="006A06A9">
        <w:t>r</w:t>
      </w:r>
      <w:r w:rsidRPr="00DA3672">
        <w:t xml:space="preserve">epetition) tasks. Other abilities were less commonly assessed. In moderator analyses, effects appeared to be much weaker for Communication and Language Comprehension tasks than for </w:t>
      </w:r>
      <w:r>
        <w:t>Non-Communicative Language Expression</w:t>
      </w:r>
      <w:r w:rsidRPr="00DA3672">
        <w:t xml:space="preserve">, but confidence intervals for these differences were wide (see </w:t>
      </w:r>
      <w:r w:rsidRPr="00DA3672">
        <w:fldChar w:fldCharType="begin"/>
      </w:r>
      <w:r w:rsidRPr="00DA3672">
        <w:instrText xml:space="preserve"> REF _Ref75116297 \h </w:instrText>
      </w:r>
      <w:r w:rsidRPr="00DA3672">
        <w:fldChar w:fldCharType="separate"/>
      </w:r>
      <w:r w:rsidR="000E6430" w:rsidRPr="00DA3672">
        <w:t xml:space="preserve">Figure </w:t>
      </w:r>
      <w:r w:rsidR="000E6430">
        <w:rPr>
          <w:noProof/>
        </w:rPr>
        <w:t>2</w:t>
      </w:r>
      <w:r w:rsidRPr="00DA3672">
        <w:fldChar w:fldCharType="end"/>
      </w:r>
      <w:r w:rsidRPr="00DA3672">
        <w:t xml:space="preserve">). Effects were estimated to be somewhat heterogeneous across studies (random effects standard deviation, </w:t>
      </w:r>
      <w:r w:rsidRPr="00DA3672">
        <w:rPr>
          <w:i/>
          <w:iCs/>
        </w:rPr>
        <w:t>τ = </w:t>
      </w:r>
      <w:r w:rsidRPr="00DA3672">
        <w:t>.3</w:t>
      </w:r>
      <w:ins w:id="142" w:author="Brenton Wiernik" w:date="2021-07-27T10:43:00Z">
        <w:r w:rsidR="002345AD">
          <w:t>3</w:t>
        </w:r>
      </w:ins>
      <w:del w:id="143" w:author="Brenton Wiernik" w:date="2021-07-27T10:43:00Z">
        <w:r w:rsidRPr="00DA3672" w:rsidDel="002345AD">
          <w:delText>1</w:delText>
        </w:r>
      </w:del>
      <w:r w:rsidRPr="00DA3672">
        <w:t xml:space="preserve"> [95% CI .1</w:t>
      </w:r>
      <w:ins w:id="144" w:author="Brenton Wiernik" w:date="2021-07-27T10:43:00Z">
        <w:r w:rsidR="002345AD">
          <w:t>5</w:t>
        </w:r>
      </w:ins>
      <w:del w:id="145" w:author="Brenton Wiernik" w:date="2021-07-27T10:43:00Z">
        <w:r w:rsidRPr="00DA3672" w:rsidDel="002345AD">
          <w:delText>3</w:delText>
        </w:r>
      </w:del>
      <w:r w:rsidRPr="00DA3672">
        <w:t xml:space="preserve">, </w:t>
      </w:r>
      <w:ins w:id="146" w:author="Brenton Wiernik" w:date="2021-07-27T10:43:00Z">
        <w:r w:rsidR="002345AD">
          <w:t>1</w:t>
        </w:r>
      </w:ins>
      <w:r w:rsidRPr="00DA3672">
        <w:t>.</w:t>
      </w:r>
      <w:ins w:id="147" w:author="Brenton Wiernik" w:date="2021-07-27T10:43:00Z">
        <w:r w:rsidR="002345AD">
          <w:t>01</w:t>
        </w:r>
      </w:ins>
      <w:del w:id="148" w:author="Brenton Wiernik" w:date="2021-07-27T10:43:00Z">
        <w:r w:rsidRPr="00DA3672" w:rsidDel="002345AD">
          <w:delText>93</w:delText>
        </w:r>
      </w:del>
      <w:r w:rsidRPr="00DA3672">
        <w:t>]).</w:t>
      </w:r>
    </w:p>
    <w:p w14:paraId="2368D7C9" w14:textId="5C6C3647" w:rsidR="00CB1637" w:rsidRPr="00DA3672" w:rsidRDefault="00CB1637" w:rsidP="00345350">
      <w:bookmarkStart w:id="149" w:name="moderator-analyses-1"/>
      <w:bookmarkEnd w:id="149"/>
      <w:r w:rsidRPr="00DA3672">
        <w:t xml:space="preserve">Two studies included several </w:t>
      </w:r>
      <w:r w:rsidR="006A06A9" w:rsidRPr="00C73F1E">
        <w:t>unvalidated</w:t>
      </w:r>
      <w:r w:rsidRPr="00DA3672">
        <w:t xml:space="preserve"> measures of </w:t>
      </w:r>
      <w:r>
        <w:t>Non-Communicative Language Expression</w:t>
      </w:r>
      <w:r w:rsidRPr="00DA3672">
        <w:t xml:space="preserve">. </w:t>
      </w:r>
      <w:ins w:id="150" w:author="Brenton Wiernik" w:date="2021-07-27T10:43:00Z">
        <w:r w:rsidR="002345AD" w:rsidRPr="002345AD">
          <w:rPr>
            <w:lang w:val="en-US"/>
          </w:rPr>
          <w:t>For these measures, treatment effects for untrained items were similar to those for validated measures (∆</w:t>
        </w:r>
        <w:r w:rsidR="002345AD" w:rsidRPr="002345AD">
          <w:rPr>
            <w:i/>
            <w:iCs/>
            <w:lang w:val="en-US"/>
          </w:rPr>
          <w:t>g̅</w:t>
        </w:r>
        <w:r w:rsidR="002345AD" w:rsidRPr="002345AD">
          <w:rPr>
            <w:lang w:val="en-US"/>
          </w:rPr>
          <w:t xml:space="preserve"> = −.15 [95% CI −.46, .15]). As expected, estimated treatment effects were much larger when patients were tested using trained items (∆</w:t>
        </w:r>
        <w:r w:rsidR="002345AD" w:rsidRPr="002345AD">
          <w:rPr>
            <w:i/>
            <w:iCs/>
            <w:lang w:val="en-US"/>
          </w:rPr>
          <w:t>g̅</w:t>
        </w:r>
        <w:r w:rsidR="002345AD" w:rsidRPr="002345AD">
          <w:rPr>
            <w:lang w:val="en-US"/>
          </w:rPr>
          <w:t xml:space="preserve"> = .99 [95% CI .60, 1.39]; trained vs. untrained items contrast: 1.15 [95% CI .74, 1.56]). The similarity of effects for validated measures and untrained stimuli on unvalidated measures suggests that ad hoc measures may perform similarly in these contexts, so long as assessment stimuli are untrai</w:t>
        </w:r>
      </w:ins>
      <w:ins w:id="151" w:author="Brenton Wiernik" w:date="2021-07-27T10:46:00Z">
        <w:r w:rsidR="00E35591">
          <w:rPr>
            <w:lang w:val="en-US"/>
          </w:rPr>
          <w:t>n</w:t>
        </w:r>
      </w:ins>
      <w:ins w:id="152" w:author="Brenton Wiernik" w:date="2021-07-27T10:43:00Z">
        <w:r w:rsidR="002345AD" w:rsidRPr="002345AD">
          <w:rPr>
            <w:lang w:val="en-US"/>
          </w:rPr>
          <w:t xml:space="preserve">ed </w:t>
        </w:r>
      </w:ins>
      <w:del w:id="153" w:author="Brenton Wiernik" w:date="2021-07-27T10:57:00Z">
        <w:r w:rsidRPr="00DA3672" w:rsidDel="003B01B7">
          <w:delText xml:space="preserve">These </w:delText>
        </w:r>
        <w:r w:rsidDel="003B01B7">
          <w:delText xml:space="preserve">measures </w:delText>
        </w:r>
        <w:r w:rsidRPr="00DA3672" w:rsidDel="003B01B7">
          <w:delText xml:space="preserve">tended to </w:delText>
        </w:r>
        <w:r w:rsidDel="003B01B7">
          <w:delText xml:space="preserve">yield </w:delText>
        </w:r>
        <w:r w:rsidRPr="00DA3672" w:rsidDel="003B01B7">
          <w:delText xml:space="preserve">larger effects than validated </w:delText>
        </w:r>
        <w:r w:rsidDel="003B01B7">
          <w:delText xml:space="preserve">ones </w:delText>
        </w:r>
        <w:r w:rsidRPr="00DA3672" w:rsidDel="003B01B7">
          <w:delText>(∆</w:delText>
        </w:r>
        <w:r w:rsidRPr="00DA3672" w:rsidDel="003B01B7">
          <w:rPr>
            <w:i/>
            <w:iCs/>
          </w:rPr>
          <w:delText>g̅</w:delText>
        </w:r>
        <w:r w:rsidRPr="00DA3672" w:rsidDel="003B01B7">
          <w:delText xml:space="preserve"> = .23 [95% CI −.04, .49]). This may indicate that </w:delText>
        </w:r>
        <w:r w:rsidR="006A06A9" w:rsidRPr="00C73F1E" w:rsidDel="003B01B7">
          <w:delText>unvalidated</w:delText>
        </w:r>
        <w:r w:rsidR="006A06A9" w:rsidDel="003B01B7">
          <w:rPr>
            <w:i/>
          </w:rPr>
          <w:delText xml:space="preserve"> </w:delText>
        </w:r>
        <w:r w:rsidRPr="00DA3672" w:rsidDel="003B01B7">
          <w:delText>measures inflate the effect</w:delText>
        </w:r>
        <w:r w:rsidDel="003B01B7">
          <w:delText xml:space="preserve">, which is </w:delText>
        </w:r>
        <w:r w:rsidRPr="00DA3672" w:rsidDel="003B01B7">
          <w:delText>plausibl</w:delText>
        </w:r>
        <w:r w:rsidDel="003B01B7">
          <w:delText>e given that</w:delText>
        </w:r>
        <w:r w:rsidRPr="00E37776" w:rsidDel="003B01B7">
          <w:delText xml:space="preserve"> validated measures may have better reliability and specificity to detect true treatment effects</w:delText>
        </w:r>
        <w:r w:rsidRPr="00DA3672" w:rsidDel="003B01B7">
          <w:delText xml:space="preserve"> </w:delText>
        </w:r>
      </w:del>
      <w:r>
        <w:fldChar w:fldCharType="begin"/>
      </w:r>
      <w:r w:rsidR="003B01B7">
        <w:instrText xml:space="preserve"> ADDIN ZOTERO_ITEM CSL_CITATION {"citationID":"hHZU5U6u","properties":{"formattedCitation":"(but cf. Ivanova &amp; Hallowell, 2013, for a discussion of other benefits of measure validation)","plainCitation":"(but cf. Ivanova &amp; Hallowell, 2013, for a discussion of other benefits of measure validation)","noteIndex":0},"citationItems":[{"id":61768,"uris":["http://zotero.org/users/1386342/items/U6HV89SR"],"uri":["http://zotero.org/users/1386342/items/U6HV89SR"],"itemData":{"id":61768,"type":"article-journal","abstract":"Background: There are a limited number of aphasia language tests in the majority of the world's commonly spoken languages. Furthermore, few aphasia tests in languages other than English have been standardised and normed, and few have supportive psychometric data pertaining to reliability and validity. The lack of standardised assessment tools across many of the world's languages poses serious challenges to clinical practice and research in aphasia. Aims: The current review addresses this lack of assessment tools by providing conceptual and statistical guidance for the development of aphasia assessment tools and establishment of their psychometric properties. Main Contribution: A list of aphasia tests in the 20 most widely spoken languages is included. The pitfalls of translating an existing test into a new language versus creating a new test are outlined. Factors to be considered in determining test content are discussed. Further, a description of test items corresponding to different language functions is provided, with special emphasis on implementing important controls in test design. Next, a broad review of principal psychometric properties relevant to aphasia tests is presented, with specific statistical guidance for establishing psychometric properties of standardised assessment tools. Conclusions: This article may be used to help guide future work on developing, standardising and validating aphasia language tests. The considerations discussed are also applicable to the development of standardised tests of other cognitive functions.","container-title":"Aphasiology","DOI":"10.1080/02687038.2013.805728","ISSN":"0268-7038","issue":"8","note":"publisher: Routledge\n_eprint: https://doi.org/10.1080/02687038.2013.805728","page":"891-920","source":"Taylor and Francis+NEJM","title":"A tutorial on aphasia test development in any language: Key substantive and psychometric considerations","title-short":"A tutorial on aphasia test development in any language","URL":"https://doi.org/10.1080/02687038.2013.805728","volume":"27","author":[{"family":"Ivanova","given":"Maria V."},{"family":"Hallowell","given":"Brooke"}],"accessed":{"date-parts":[["2021",6,3]]},"issued":{"date-parts":[["2013",8,1]]}},"prefix":"but cf.","suffix":", for a discussion of other benefits of measure validation"}],"schema":"https://github.com/citation-style-language/schema/raw/master/csl-citation.json"} </w:instrText>
      </w:r>
      <w:r>
        <w:fldChar w:fldCharType="separate"/>
      </w:r>
      <w:r w:rsidR="003B01B7" w:rsidRPr="003B01B7">
        <w:t>(but cf. Ivanova &amp; Hallowell, 2013, for a discussion of other benefits of measure validation)</w:t>
      </w:r>
      <w:r>
        <w:fldChar w:fldCharType="end"/>
      </w:r>
      <w:r w:rsidRPr="00DA3672">
        <w:t>.</w:t>
      </w:r>
    </w:p>
    <w:p w14:paraId="082B027B" w14:textId="400839B5" w:rsidR="00CB1637" w:rsidRPr="00DA3672" w:rsidRDefault="00CB1637" w:rsidP="003E4C8F">
      <w:r w:rsidRPr="00DA3672">
        <w:t>When aphasia stage (</w:t>
      </w:r>
      <w:r>
        <w:t>MPO</w:t>
      </w:r>
      <w:r w:rsidRPr="00DA3672">
        <w:t xml:space="preserve">) </w:t>
      </w:r>
      <w:r>
        <w:t xml:space="preserve">was </w:t>
      </w:r>
      <w:r w:rsidRPr="00DA3672">
        <w:t>added to the RCT model, neither mean MPO across groups (∆</w:t>
      </w:r>
      <w:r w:rsidRPr="00DA3672">
        <w:rPr>
          <w:i/>
          <w:iCs/>
        </w:rPr>
        <w:t>g̅</w:t>
      </w:r>
      <w:r w:rsidRPr="00DA3672">
        <w:t xml:space="preserve"> per month = −.00</w:t>
      </w:r>
      <w:del w:id="154" w:author="Brenton Wiernik" w:date="2021-07-27T10:58:00Z">
        <w:r w:rsidRPr="00DA3672" w:rsidDel="003B01B7">
          <w:delText>6</w:delText>
        </w:r>
      </w:del>
      <w:ins w:id="155" w:author="Brenton Wiernik" w:date="2021-07-27T10:58:00Z">
        <w:r w:rsidR="003B01B7">
          <w:t>8</w:t>
        </w:r>
      </w:ins>
      <w:r w:rsidRPr="00DA3672">
        <w:t xml:space="preserve"> [95% CI −.02</w:t>
      </w:r>
      <w:ins w:id="156" w:author="Brenton Wiernik" w:date="2021-07-27T10:58:00Z">
        <w:r w:rsidR="003B01B7">
          <w:t>4</w:t>
        </w:r>
      </w:ins>
      <w:del w:id="157" w:author="Brenton Wiernik" w:date="2021-07-27T10:58:00Z">
        <w:r w:rsidRPr="00DA3672" w:rsidDel="003B01B7">
          <w:delText>1</w:delText>
        </w:r>
      </w:del>
      <w:r w:rsidRPr="00DA3672">
        <w:t>, .0</w:t>
      </w:r>
      <w:ins w:id="158" w:author="Brenton Wiernik" w:date="2021-07-27T10:58:00Z">
        <w:r w:rsidR="003B01B7">
          <w:t>08</w:t>
        </w:r>
      </w:ins>
      <w:del w:id="159" w:author="Brenton Wiernik" w:date="2021-07-27T10:58:00Z">
        <w:r w:rsidRPr="00DA3672" w:rsidDel="003B01B7">
          <w:delText>10</w:delText>
        </w:r>
      </w:del>
      <w:r w:rsidRPr="00DA3672">
        <w:t>]) nor difference in mean MPO between MIT and control groups (∆</w:t>
      </w:r>
      <w:r w:rsidRPr="00DA3672">
        <w:rPr>
          <w:i/>
          <w:iCs/>
        </w:rPr>
        <w:t>g̅</w:t>
      </w:r>
      <w:r w:rsidRPr="00DA3672">
        <w:t xml:space="preserve"> per month = −.00</w:t>
      </w:r>
      <w:ins w:id="160" w:author="Brenton Wiernik" w:date="2021-07-27T10:58:00Z">
        <w:r w:rsidR="003B01B7">
          <w:t>4</w:t>
        </w:r>
      </w:ins>
      <w:del w:id="161" w:author="Brenton Wiernik" w:date="2021-07-27T10:58:00Z">
        <w:r w:rsidRPr="00DA3672" w:rsidDel="003B01B7">
          <w:delText>5</w:delText>
        </w:r>
      </w:del>
      <w:r w:rsidRPr="00DA3672">
        <w:t xml:space="preserve"> [95% CI −.020, .01</w:t>
      </w:r>
      <w:ins w:id="162" w:author="Brenton Wiernik" w:date="2021-07-27T10:58:00Z">
        <w:r w:rsidR="003B01B7">
          <w:t>1</w:t>
        </w:r>
      </w:ins>
      <w:del w:id="163" w:author="Brenton Wiernik" w:date="2021-07-27T10:58:00Z">
        <w:r w:rsidRPr="00DA3672" w:rsidDel="003B01B7">
          <w:delText>0</w:delText>
        </w:r>
      </w:del>
      <w:r w:rsidRPr="00DA3672">
        <w:t xml:space="preserve">]) showed meaningful relationships with MIT treatment effects. Importantly, effect sizes for RCT analyses were drawn from only </w:t>
      </w:r>
      <w:r>
        <w:t>three</w:t>
      </w:r>
      <w:r w:rsidRPr="00DA3672">
        <w:t xml:space="preserve"> studies, so these group-level MPO analyses have limited power to estimate </w:t>
      </w:r>
      <w:r>
        <w:t xml:space="preserve">the </w:t>
      </w:r>
      <w:r w:rsidRPr="00DA3672">
        <w:t>impact of MPO on MIT treatment effects.</w:t>
      </w:r>
    </w:p>
    <w:p w14:paraId="750ACE98" w14:textId="3055F5B1" w:rsidR="00CB1637" w:rsidRPr="00DA3672" w:rsidRDefault="00CB1637" w:rsidP="0096096E">
      <w:pPr>
        <w:pStyle w:val="Heading2"/>
      </w:pPr>
      <w:bookmarkStart w:id="164" w:name="ipd-case-series-studies"/>
      <w:bookmarkEnd w:id="164"/>
      <w:del w:id="165" w:author="Brenton Wiernik" w:date="2021-07-26T16:39:00Z">
        <w:r w:rsidRPr="00DA3672" w:rsidDel="002248B1">
          <w:delText xml:space="preserve">IPD </w:delText>
        </w:r>
      </w:del>
      <w:ins w:id="166" w:author="Brenton Wiernik" w:date="2021-07-26T16:39:00Z">
        <w:r w:rsidR="002248B1">
          <w:t>Case report</w:t>
        </w:r>
        <w:r w:rsidR="002248B1" w:rsidRPr="00DA3672">
          <w:t xml:space="preserve"> </w:t>
        </w:r>
      </w:ins>
      <w:r>
        <w:t>data</w:t>
      </w:r>
    </w:p>
    <w:p w14:paraId="3AA499FA" w14:textId="15524C37" w:rsidR="00CB1637" w:rsidRPr="00DA3672" w:rsidRDefault="00CB1637" w:rsidP="003E4C8F">
      <w:r w:rsidRPr="00DA3672">
        <w:t xml:space="preserve">Compared to RCT studies, case </w:t>
      </w:r>
      <w:del w:id="167" w:author="Brenton Wiernik" w:date="2021-07-26T16:39:00Z">
        <w:r w:rsidRPr="00DA3672" w:rsidDel="002248B1">
          <w:delText xml:space="preserve">series </w:delText>
        </w:r>
      </w:del>
      <w:ins w:id="168" w:author="Brenton Wiernik" w:date="2021-07-26T16:39:00Z">
        <w:r w:rsidR="002248B1">
          <w:t>reports</w:t>
        </w:r>
        <w:r w:rsidR="002248B1" w:rsidRPr="00DA3672">
          <w:t xml:space="preserve"> </w:t>
        </w:r>
      </w:ins>
      <w:del w:id="169" w:author="Brenton Wiernik" w:date="2021-07-26T16:39:00Z">
        <w:r w:rsidRPr="00DA3672" w:rsidDel="002248B1">
          <w:delText xml:space="preserve">studies </w:delText>
        </w:r>
      </w:del>
      <w:r w:rsidRPr="00DA3672">
        <w:t>without a control group estimated much larger effects of MIT (</w:t>
      </w:r>
      <w:r w:rsidRPr="00DA3672">
        <w:rPr>
          <w:i/>
          <w:iCs/>
        </w:rPr>
        <w:t>g̅</w:t>
      </w:r>
      <w:r w:rsidRPr="00DA3672">
        <w:t xml:space="preserve"> = 1.43 [95% CI .82, 2.02]). As with RCT studies, these results were primarily based on </w:t>
      </w:r>
      <w:r>
        <w:t>Non-Communicative Language Expression</w:t>
      </w:r>
      <w:r w:rsidRPr="00DA3672">
        <w:t xml:space="preserve"> (repetition) tasks. Overall aphasia severity and language comprehension appeared to show somewhat smaller effects, but confidence intervals on these differences were </w:t>
      </w:r>
      <w:r w:rsidR="00280788">
        <w:t xml:space="preserve">very </w:t>
      </w:r>
      <w:r w:rsidRPr="00DA3672">
        <w:t>wide. Effects were estimated to be highly heterogeneous across studies (</w:t>
      </w:r>
      <w:r w:rsidRPr="00DA3672">
        <w:rPr>
          <w:i/>
          <w:iCs/>
        </w:rPr>
        <w:t>τ</w:t>
      </w:r>
      <w:r w:rsidRPr="00DA3672">
        <w:t xml:space="preserve"> [between-studies] = </w:t>
      </w:r>
      <w:del w:id="170" w:author="Brenton Wiernik" w:date="2021-07-27T10:59:00Z">
        <w:r w:rsidRPr="00DA3672" w:rsidDel="003B01B7">
          <w:delText>1</w:delText>
        </w:r>
      </w:del>
      <w:r w:rsidRPr="00DA3672">
        <w:t>.</w:t>
      </w:r>
      <w:ins w:id="171" w:author="Brenton Wiernik" w:date="2021-07-27T10:59:00Z">
        <w:r w:rsidR="003B01B7">
          <w:t>93</w:t>
        </w:r>
      </w:ins>
      <w:del w:id="172" w:author="Brenton Wiernik" w:date="2021-07-27T10:59:00Z">
        <w:r w:rsidRPr="00DA3672" w:rsidDel="003B01B7">
          <w:delText>15</w:delText>
        </w:r>
      </w:del>
      <w:r w:rsidRPr="00DA3672">
        <w:t xml:space="preserve"> [95% CI .7</w:t>
      </w:r>
      <w:ins w:id="173" w:author="Brenton Wiernik" w:date="2021-07-27T10:59:00Z">
        <w:r w:rsidR="003B01B7">
          <w:t>3</w:t>
        </w:r>
      </w:ins>
      <w:del w:id="174" w:author="Brenton Wiernik" w:date="2021-07-27T10:59:00Z">
        <w:r w:rsidRPr="00DA3672" w:rsidDel="003B01B7">
          <w:delText>0</w:delText>
        </w:r>
      </w:del>
      <w:r w:rsidRPr="00DA3672">
        <w:t>, 1.</w:t>
      </w:r>
      <w:ins w:id="175" w:author="Brenton Wiernik" w:date="2021-07-27T10:59:00Z">
        <w:r w:rsidR="003B01B7">
          <w:t>1</w:t>
        </w:r>
      </w:ins>
      <w:del w:id="176" w:author="Brenton Wiernik" w:date="2021-07-27T10:59:00Z">
        <w:r w:rsidRPr="00DA3672" w:rsidDel="003B01B7">
          <w:delText>6</w:delText>
        </w:r>
      </w:del>
      <w:r w:rsidRPr="00DA3672">
        <w:t xml:space="preserve">9]), to </w:t>
      </w:r>
      <w:r>
        <w:t>the</w:t>
      </w:r>
      <w:r w:rsidRPr="00DA3672">
        <w:t xml:space="preserve"> degree that MIT was even estimated to be harmful in a small proportion of settings </w:t>
      </w:r>
      <w:r>
        <w:fldChar w:fldCharType="begin"/>
      </w:r>
      <w:r w:rsidR="003B01B7">
        <w:instrText xml:space="preserve"> ADDIN ZOTERO_ITEM CSL_CITATION {"citationID":"fc4UtFMe","properties":{"formattedCitation":"(for instance, the 95% normal-theory prediction interval for Non-Communicative Language Expression ranged \\uc0\\u8722{}0.49 to +3.40; IntHout et al., 2016)","plainCitation":"(for instance, the 95% normal-theory prediction interval for Non-Communicative Language Expression ranged −0.49 to +3.40; IntHout et al., 2016)","noteIndex":0},"citationItems":[{"id":59432,"uris":["http://zotero.org/users/1386342/items/8L3823KC"],"uri":["http://zotero.org/users/1386342/items/8L3823KC"],"itemData":{"id":59432,"type":"article-journal","abstract":"Objectives Evaluating the variation in the strength of the effect across studies is a key feature of meta-analyses. This variability is reflected by measures like τ2 or I2, but their clinical interpretation is not straightforward. A prediction interval is less complicated: it presents the expected range of true effects in similar studies. We aimed to show the advantages of having the prediction interval routinely reported in meta-analyses.\nDesign We show how the prediction interval can help understand the uncertainty about whether an intervention works or not. To evaluate the implications of using this interval to interpret the results, we selected the first meta-analysis per intervention review of the Cochrane Database of Systematic Reviews Issues 2009–2013 with a dichotomous (n=2009) or continuous (n=1254) outcome, and generated 95% prediction intervals for them.\nResults In 72.4% of 479 statistically significant (random-effects p&lt;0.05) meta-analyses in the Cochrane Database 2009–2013 with heterogeneity (I2&gt;0), the 95% prediction interval suggested that the intervention effect could be null or even be in the opposite direction. In 20.3% of those 479 meta-analyses, the prediction interval showed that the effect could be completely opposite to the point estimate of the meta-analysis. We demonstrate also how the prediction interval can be used to calculate the probability that a new trial will show a negative effect and to improve the calculations of the power of a new trial.\nConclusions The prediction interval reflects the variation in treatment effects over different settings, including what effect is to be expected in future patients, such as the patients that a clinician is interested to treat. Prediction intervals should be routinely reported to allow more informative inferences in meta-analyses.","container-title":"BMJ Open","DOI":"10.1136/bmjopen-2015-010247","ISSN":"2044-6055, 2044-6055","issue":"7","language":"en","note":"tex.ids: IntHout2016PleaRoutinelya, IntHoutPlearoutinelypresenting2016\nPMID: 27406637\npublisher: British Medical Journal Publishing Group\nsection: Research methods","page":"e010247","source":"bmjopen.bmj.com","title":"Plea for routinely presenting prediction intervals in meta-analysis","URL":"https://bmjopen.bmj.com/content/6/7/e010247","volume":"6","author":[{"family":"IntHout","given":"Joanna"},{"family":"Ioannidis","given":"John P. A."},{"family":"Rovers","given":"Maroeska M."},{"family":"Goeman","given":"Jelle J."}],"accessed":{"date-parts":[["2020",4,29]]},"issued":{"date-parts":[["2016",7,1]]}},"prefix":"for instance, the 95% normal-theory prediction interval for Non-Communicative Language Expression ranged −0.49 to +3.40;"}],"schema":"https://github.com/citation-style-language/schema/raw/master/csl-citation.json"} </w:instrText>
      </w:r>
      <w:r>
        <w:fldChar w:fldCharType="separate"/>
      </w:r>
      <w:r w:rsidR="003B01B7" w:rsidRPr="003B01B7">
        <w:rPr>
          <w:szCs w:val="24"/>
        </w:rPr>
        <w:t>(for instance, the 95% normal-theory prediction interval for Non-Communicative Language Expression ranged −0.49 to +3.40; IntHout et al., 2016)</w:t>
      </w:r>
      <w:r>
        <w:fldChar w:fldCharType="end"/>
      </w:r>
      <w:r>
        <w:t>.</w:t>
      </w:r>
    </w:p>
    <w:p w14:paraId="744AA5A7" w14:textId="6E30E465" w:rsidR="003B01B7" w:rsidRPr="003B01B7" w:rsidRDefault="00CB1637" w:rsidP="003B01B7">
      <w:pPr>
        <w:rPr>
          <w:ins w:id="177" w:author="Brenton Wiernik" w:date="2021-07-27T11:01:00Z"/>
          <w:lang w:val="en-US"/>
        </w:rPr>
      </w:pPr>
      <w:bookmarkStart w:id="178" w:name="moderator-analyses-2"/>
      <w:bookmarkEnd w:id="178"/>
      <w:r w:rsidRPr="00DA3672">
        <w:t xml:space="preserve">Four studies included several </w:t>
      </w:r>
      <w:r w:rsidR="006A06A9" w:rsidRPr="00231B83">
        <w:t>unvalidated</w:t>
      </w:r>
      <w:r w:rsidR="006A06A9">
        <w:rPr>
          <w:i/>
        </w:rPr>
        <w:t xml:space="preserve"> </w:t>
      </w:r>
      <w:r w:rsidRPr="00DA3672">
        <w:t xml:space="preserve">measures of </w:t>
      </w:r>
      <w:r>
        <w:t>Non-Communicative Language Expression</w:t>
      </w:r>
      <w:r w:rsidRPr="00DA3672">
        <w:t xml:space="preserve">. As with RCT studies, </w:t>
      </w:r>
      <w:ins w:id="179" w:author="Brenton Wiernik" w:date="2021-07-27T11:01:00Z">
        <w:r w:rsidR="003B01B7" w:rsidRPr="003B01B7">
          <w:rPr>
            <w:lang w:val="en-US"/>
          </w:rPr>
          <w:t>treatment effects for untrained items were similar to those for validated measures (</w:t>
        </w:r>
      </w:ins>
      <w:ins w:id="180" w:author="Brenton Wiernik" w:date="2021-07-27T11:30:00Z">
        <w:r w:rsidR="006F67EC">
          <w:rPr>
            <w:lang w:val="en-US"/>
          </w:rPr>
          <w:t xml:space="preserve">with a wide confidence interval; </w:t>
        </w:r>
      </w:ins>
      <w:ins w:id="181" w:author="Brenton Wiernik" w:date="2021-07-27T11:01:00Z">
        <w:r w:rsidR="003B01B7" w:rsidRPr="003B01B7">
          <w:rPr>
            <w:lang w:val="en-US"/>
          </w:rPr>
          <w:t>∆</w:t>
        </w:r>
        <w:r w:rsidR="003B01B7" w:rsidRPr="003B01B7">
          <w:rPr>
            <w:i/>
            <w:iCs/>
            <w:lang w:val="en-US"/>
          </w:rPr>
          <w:t>g̅</w:t>
        </w:r>
        <w:r w:rsidR="003B01B7" w:rsidRPr="003B01B7">
          <w:rPr>
            <w:lang w:val="en-US"/>
          </w:rPr>
          <w:t xml:space="preserve"> = .31 [95% CI −1.16, 1.80]), but apparent treatment effects were much larger for trained items (∆</w:t>
        </w:r>
        <w:r w:rsidR="003B01B7" w:rsidRPr="003B01B7">
          <w:rPr>
            <w:i/>
            <w:iCs/>
            <w:lang w:val="en-US"/>
          </w:rPr>
          <w:t>g̅</w:t>
        </w:r>
        <w:r w:rsidR="003B01B7" w:rsidRPr="003B01B7">
          <w:rPr>
            <w:lang w:val="en-US"/>
          </w:rPr>
          <w:t xml:space="preserve"> = 1.86 [95% CI .40, 3.35]; trained vs. untrained items contrast: 1.56 [95% CI .67, 2.44]).</w:t>
        </w:r>
      </w:ins>
    </w:p>
    <w:p w14:paraId="57B3CFEE" w14:textId="16A46FF1" w:rsidR="00CB1637" w:rsidRPr="00DA3672" w:rsidDel="003B01B7" w:rsidRDefault="00CB1637" w:rsidP="003E4C8F">
      <w:pPr>
        <w:rPr>
          <w:del w:id="182" w:author="Brenton Wiernik" w:date="2021-07-27T11:01:00Z"/>
        </w:rPr>
      </w:pPr>
      <w:del w:id="183" w:author="Brenton Wiernik" w:date="2021-07-27T11:01:00Z">
        <w:r w:rsidRPr="00DA3672" w:rsidDel="003B01B7">
          <w:delText xml:space="preserve">these tended to show larger effects than </w:delText>
        </w:r>
        <w:r w:rsidDel="003B01B7">
          <w:delText xml:space="preserve">their </w:delText>
        </w:r>
        <w:r w:rsidRPr="00DA3672" w:rsidDel="003B01B7">
          <w:delText xml:space="preserve">validated </w:delText>
        </w:r>
        <w:r w:rsidDel="003B01B7">
          <w:delText>counterparts</w:delText>
        </w:r>
        <w:r w:rsidRPr="00DA3672" w:rsidDel="003B01B7">
          <w:delText xml:space="preserve"> (∆</w:delText>
        </w:r>
        <w:r w:rsidRPr="00DA3672" w:rsidDel="003B01B7">
          <w:rPr>
            <w:i/>
            <w:iCs/>
          </w:rPr>
          <w:delText>g̅</w:delText>
        </w:r>
        <w:r w:rsidRPr="00DA3672" w:rsidDel="003B01B7">
          <w:delText xml:space="preserve"> = 1.08 [95% CI −.32, 2.51]).</w:delText>
        </w:r>
      </w:del>
    </w:p>
    <w:p w14:paraId="283CBB93" w14:textId="715B678E" w:rsidR="00CB1637" w:rsidRPr="00DA3672" w:rsidRDefault="00CB1637" w:rsidP="003E4C8F">
      <w:r w:rsidRPr="00DA3672">
        <w:t>When aphasia stage (</w:t>
      </w:r>
      <w:r>
        <w:t>MPO</w:t>
      </w:r>
      <w:r w:rsidRPr="00DA3672">
        <w:t xml:space="preserve">) was added to the </w:t>
      </w:r>
      <w:del w:id="184" w:author="Brenton Wiernik" w:date="2021-07-27T11:01:00Z">
        <w:r w:rsidRPr="00DA3672" w:rsidDel="003B01B7">
          <w:delText xml:space="preserve">IPD </w:delText>
        </w:r>
      </w:del>
      <w:ins w:id="185" w:author="Brenton Wiernik" w:date="2021-07-27T11:01:00Z">
        <w:r w:rsidR="003B01B7">
          <w:t>case reports</w:t>
        </w:r>
        <w:r w:rsidR="003B01B7" w:rsidRPr="00DA3672">
          <w:t xml:space="preserve"> </w:t>
        </w:r>
      </w:ins>
      <w:r w:rsidRPr="00DA3672">
        <w:t xml:space="preserve">model, </w:t>
      </w:r>
      <w:commentRangeStart w:id="186"/>
      <w:commentRangeStart w:id="187"/>
      <w:r w:rsidRPr="00DA3672">
        <w:t>MPO showed a moderate negative relationship with treatment effects</w:t>
      </w:r>
      <w:commentRangeEnd w:id="186"/>
      <w:r w:rsidR="00741E2B">
        <w:rPr>
          <w:rStyle w:val="CommentReference"/>
        </w:rPr>
        <w:commentReference w:id="186"/>
      </w:r>
      <w:commentRangeEnd w:id="187"/>
      <w:r w:rsidR="00AE11D6">
        <w:rPr>
          <w:rStyle w:val="CommentReference"/>
        </w:rPr>
        <w:commentReference w:id="187"/>
      </w:r>
      <w:r w:rsidRPr="00DA3672">
        <w:t xml:space="preserve"> (∆</w:t>
      </w:r>
      <w:r w:rsidRPr="00DA3672">
        <w:rPr>
          <w:i/>
          <w:iCs/>
        </w:rPr>
        <w:t>g̅</w:t>
      </w:r>
      <w:r w:rsidRPr="00DA3672">
        <w:t xml:space="preserve"> per month = −.02 [95% CI −.02, −.01]; estimated effect for 12 months, −.19 [95% CI −.28, −.10]; estimated effect for 24 months, −.38 [95% CI −.55, −.20]).</w:t>
      </w:r>
    </w:p>
    <w:p w14:paraId="3CF4AF46" w14:textId="1FD42D31" w:rsidR="00CB1637" w:rsidRPr="00DA3672" w:rsidDel="006F67EC" w:rsidRDefault="00CB1637" w:rsidP="003E4C8F">
      <w:pPr>
        <w:rPr>
          <w:del w:id="188" w:author="Brenton Wiernik" w:date="2021-07-27T11:25:00Z"/>
        </w:rPr>
      </w:pPr>
      <w:r w:rsidRPr="00DA3672">
        <w:lastRenderedPageBreak/>
        <w:t xml:space="preserve">Compared to studies that used the original MIT protocol, studies that used a modified </w:t>
      </w:r>
      <w:r>
        <w:t xml:space="preserve">variant of the </w:t>
      </w:r>
      <w:r w:rsidRPr="00DA3672">
        <w:t>protocol appeared to show larger treatment effects, though the confidence interval on this difference was very wide (∆</w:t>
      </w:r>
      <w:r w:rsidRPr="00DA3672">
        <w:rPr>
          <w:i/>
          <w:iCs/>
        </w:rPr>
        <w:t>g̅</w:t>
      </w:r>
      <w:r w:rsidRPr="00DA3672">
        <w:t xml:space="preserve"> = .79 [95% CI −.99, 2.57]).</w:t>
      </w:r>
    </w:p>
    <w:p w14:paraId="11F4E51A" w14:textId="285515B9" w:rsidR="00CB1637" w:rsidRDefault="00CB1637" w:rsidP="006F67EC">
      <w:commentRangeStart w:id="189"/>
      <w:commentRangeStart w:id="190"/>
      <w:del w:id="191" w:author="Brenton Wiernik" w:date="2021-07-27T11:31:00Z">
        <w:r w:rsidRPr="00DA3672" w:rsidDel="006F67EC">
          <w:delText>F</w:delText>
        </w:r>
      </w:del>
      <w:del w:id="192" w:author="Brenton Wiernik" w:date="2021-07-27T11:26:00Z">
        <w:r w:rsidRPr="00DA3672" w:rsidDel="006F67EC">
          <w:delText>or</w:delText>
        </w:r>
        <w:r w:rsidDel="006F67EC">
          <w:delText xml:space="preserve"> </w:delText>
        </w:r>
        <w:r w:rsidR="006A06A9" w:rsidRPr="00BF020E" w:rsidDel="006F67EC">
          <w:delText>unvalid</w:delText>
        </w:r>
      </w:del>
      <w:del w:id="193" w:author="Brenton Wiernik" w:date="2021-07-27T11:30:00Z">
        <w:r w:rsidR="006A06A9" w:rsidRPr="00BF020E" w:rsidDel="006F67EC">
          <w:delText>ated</w:delText>
        </w:r>
        <w:r w:rsidRPr="00DA3672" w:rsidDel="006F67EC">
          <w:delText xml:space="preserve"> measures</w:delText>
        </w:r>
        <w:r w:rsidDel="006F67EC">
          <w:delText xml:space="preserve"> of</w:delText>
        </w:r>
        <w:r w:rsidRPr="00DA3672" w:rsidDel="006F67EC">
          <w:delText xml:space="preserve"> </w:delText>
        </w:r>
        <w:r w:rsidDel="006F67EC">
          <w:delText>Non-Communicative</w:delText>
        </w:r>
      </w:del>
      <w:del w:id="194" w:author="Brenton Wiernik" w:date="2021-07-27T11:31:00Z">
        <w:r w:rsidDel="006F67EC">
          <w:delText xml:space="preserve"> Language Expression,</w:delText>
        </w:r>
        <w:r w:rsidRPr="00DA3672" w:rsidDel="006F67EC">
          <w:delText xml:space="preserve"> </w:delText>
        </w:r>
        <w:r w:rsidDel="006F67EC">
          <w:delText xml:space="preserve">as expected, </w:delText>
        </w:r>
        <w:r w:rsidRPr="00DA3672" w:rsidDel="006F67EC">
          <w:delText xml:space="preserve">treatment effects were larger than when patients were tested using trained </w:delText>
        </w:r>
        <w:r w:rsidDel="006F67EC">
          <w:delText>items</w:delText>
        </w:r>
        <w:r w:rsidRPr="00DA3672" w:rsidDel="006F67EC">
          <w:delText xml:space="preserve"> </w:delText>
        </w:r>
        <w:r w:rsidDel="006F67EC">
          <w:delText>compared to untrained items</w:delText>
        </w:r>
      </w:del>
      <w:r>
        <w:t xml:space="preserve"> </w:t>
      </w:r>
      <w:commentRangeEnd w:id="189"/>
      <w:r w:rsidR="006C1C28">
        <w:rPr>
          <w:rStyle w:val="CommentReference"/>
        </w:rPr>
        <w:commentReference w:id="189"/>
      </w:r>
      <w:commentRangeEnd w:id="190"/>
      <w:r w:rsidR="00367582">
        <w:rPr>
          <w:rStyle w:val="CommentReference"/>
        </w:rPr>
        <w:commentReference w:id="190"/>
      </w:r>
      <w:del w:id="195" w:author="Brenton Wiernik" w:date="2021-07-27T11:31:00Z">
        <w:r w:rsidRPr="00DA3672" w:rsidDel="006F67EC">
          <w:delText>(∆</w:delText>
        </w:r>
        <w:r w:rsidRPr="00DA3672" w:rsidDel="006F67EC">
          <w:rPr>
            <w:i/>
            <w:iCs/>
          </w:rPr>
          <w:delText>g̅</w:delText>
        </w:r>
        <w:r w:rsidRPr="00DA3672" w:rsidDel="006F67EC">
          <w:delText xml:space="preserve"> = 1.56 [95% CI 1.08, 2.03]). </w:delText>
        </w:r>
      </w:del>
      <w:del w:id="196" w:author="Brenton Wiernik" w:date="2021-07-26T17:25:00Z">
        <w:r w:rsidDel="00243F94">
          <w:delText>E</w:delText>
        </w:r>
      </w:del>
      <w:del w:id="197" w:author="Brenton Wiernik" w:date="2021-07-27T11:31:00Z">
        <w:r w:rsidDel="006F67EC">
          <w:delText xml:space="preserve">ffect size for performance on untrained items was similar in magnitude to that of validated tests of Non-Communicative Language Expression </w:delText>
        </w:r>
        <w:r w:rsidRPr="00DA3672" w:rsidDel="006F67EC">
          <w:delText>(repetition) tasks (</w:delText>
        </w:r>
        <w:r w:rsidRPr="00DA3672" w:rsidDel="006F67EC">
          <w:rPr>
            <w:i/>
            <w:iCs/>
          </w:rPr>
          <w:delText>g̅</w:delText>
        </w:r>
        <w:r w:rsidRPr="00DA3672" w:rsidDel="006F67EC">
          <w:delText xml:space="preserve"> = 1.40 [95% CI .67, 2.31])</w:delText>
        </w:r>
      </w:del>
      <w:ins w:id="198" w:author="Brenton Wiernik" w:date="2021-07-26T17:26:00Z">
        <w:r w:rsidR="00243F94">
          <w:t xml:space="preserve"> </w:t>
        </w:r>
      </w:ins>
      <w:del w:id="199" w:author="Brenton Wiernik" w:date="2021-07-26T17:25:00Z">
        <w:r w:rsidDel="00243F94">
          <w:delText>.</w:delText>
        </w:r>
      </w:del>
      <w:del w:id="200" w:author="Brenton Wiernik" w:date="2021-07-27T11:26:00Z">
        <w:r w:rsidDel="006F67EC">
          <w:delText xml:space="preserve"> However, effect size estimates for </w:delText>
        </w:r>
        <w:r w:rsidR="000D1C7A" w:rsidDel="006F67EC">
          <w:delText xml:space="preserve">domains </w:delText>
        </w:r>
        <w:r w:rsidDel="006F67EC">
          <w:delText xml:space="preserve">other than Non-Communicative Language Expression, most notable among them </w:delText>
        </w:r>
        <w:r w:rsidR="000D1C7A" w:rsidDel="006F67EC">
          <w:delText>C</w:delText>
        </w:r>
        <w:r w:rsidDel="006F67EC">
          <w:delText>ommunication, were substantially smaller (</w:delText>
        </w:r>
        <w:r w:rsidRPr="00DA3672" w:rsidDel="006F67EC">
          <w:rPr>
            <w:i/>
            <w:iCs/>
          </w:rPr>
          <w:delText>g̅</w:delText>
        </w:r>
        <w:r w:rsidRPr="00DA3672" w:rsidDel="006F67EC">
          <w:delText xml:space="preserve"> =</w:delText>
        </w:r>
        <w:r w:rsidR="00BF020E" w:rsidDel="006F67EC">
          <w:delText xml:space="preserve"> −0.04</w:delText>
        </w:r>
        <w:r w:rsidR="00BF020E" w:rsidRPr="00DA3672" w:rsidDel="006F67EC">
          <w:delText xml:space="preserve"> [95% CI </w:delText>
        </w:r>
        <w:r w:rsidR="00BF020E" w:rsidDel="006F67EC">
          <w:delText>−0.57, 0.48]</w:delText>
        </w:r>
        <w:r w:rsidRPr="00DA3672" w:rsidDel="006F67EC">
          <w:delText>)</w:delText>
        </w:r>
        <w:r w:rsidDel="006F67EC">
          <w:delText>.</w:delText>
        </w:r>
      </w:del>
    </w:p>
    <w:p w14:paraId="7B05D3A9" w14:textId="77777777" w:rsidR="00CB1637" w:rsidRPr="00DA3672" w:rsidRDefault="00CB1637" w:rsidP="0096096E">
      <w:pPr>
        <w:pStyle w:val="Heading1"/>
      </w:pPr>
      <w:bookmarkStart w:id="201" w:name="_f2nvziqp5kv2" w:colFirst="0" w:colLast="0"/>
      <w:bookmarkEnd w:id="201"/>
      <w:commentRangeStart w:id="202"/>
      <w:commentRangeStart w:id="203"/>
      <w:r w:rsidRPr="00DA3672">
        <w:t>Discussion</w:t>
      </w:r>
      <w:commentRangeEnd w:id="202"/>
      <w:r w:rsidR="00122697">
        <w:rPr>
          <w:rStyle w:val="CommentReference"/>
          <w:rFonts w:ascii="Cambria" w:hAnsi="Cambria"/>
          <w:b w:val="0"/>
          <w:smallCaps w:val="0"/>
          <w:spacing w:val="0"/>
          <w:u w:val="none"/>
        </w:rPr>
        <w:commentReference w:id="202"/>
      </w:r>
      <w:commentRangeEnd w:id="203"/>
      <w:r w:rsidR="00AE11D6">
        <w:rPr>
          <w:rStyle w:val="CommentReference"/>
          <w:rFonts w:ascii="Cambria" w:hAnsi="Cambria"/>
          <w:b w:val="0"/>
          <w:smallCaps w:val="0"/>
          <w:spacing w:val="0"/>
          <w:u w:val="none"/>
        </w:rPr>
        <w:commentReference w:id="203"/>
      </w:r>
    </w:p>
    <w:p w14:paraId="760012BF" w14:textId="0DA2879B" w:rsidR="003D6B41" w:rsidRDefault="00CB1637" w:rsidP="008202BC">
      <w:r>
        <w:t>The present meta-analysis aimed to investigate the efficacy and clinical relevance of MIT while accounting for crucial methodological aspects</w:t>
      </w:r>
      <w:r w:rsidRPr="00F159D8">
        <w:t xml:space="preserve"> </w:t>
      </w:r>
      <w:r>
        <w:t xml:space="preserve">of primary studies, such as </w:t>
      </w:r>
      <w:r w:rsidR="00BC56A9">
        <w:t>validated</w:t>
      </w:r>
      <w:r>
        <w:t xml:space="preserve"> outcomes, use of control </w:t>
      </w:r>
      <w:del w:id="204" w:author="Brenton Wiernik" w:date="2021-07-27T11:40:00Z">
        <w:r w:rsidR="00BC56A9" w:rsidDel="00B67699">
          <w:delText>intervention</w:delText>
        </w:r>
      </w:del>
      <w:ins w:id="205" w:author="Brenton Wiernik" w:date="2021-07-27T11:40:00Z">
        <w:r w:rsidR="00B67699">
          <w:t>comparison</w:t>
        </w:r>
      </w:ins>
      <w:r>
        <w:t>, and</w:t>
      </w:r>
      <w:r w:rsidRPr="00F159D8">
        <w:t xml:space="preserve"> </w:t>
      </w:r>
      <w:r w:rsidR="00BC56A9">
        <w:t xml:space="preserve">randomised allocation to treatment </w:t>
      </w:r>
      <w:r w:rsidR="00981980">
        <w:t>group</w:t>
      </w:r>
      <w:r w:rsidR="00BC56A9">
        <w:t>s</w:t>
      </w:r>
      <w:r w:rsidRPr="00DA3672">
        <w:t>.</w:t>
      </w:r>
      <w:r>
        <w:t xml:space="preserve"> Our results reveal that </w:t>
      </w:r>
      <w:ins w:id="206" w:author="Brenton Wiernik" w:date="2021-07-27T11:42:00Z">
        <w:r w:rsidR="00B67699">
          <w:t xml:space="preserve">previously-trained items on </w:t>
        </w:r>
      </w:ins>
      <w:r>
        <w:t>unvalidated outcome</w:t>
      </w:r>
      <w:ins w:id="207" w:author="Brenton Wiernik" w:date="2021-07-27T11:42:00Z">
        <w:r w:rsidR="00B67699">
          <w:t xml:space="preserve"> measures</w:t>
        </w:r>
      </w:ins>
      <w:del w:id="208" w:author="Brenton Wiernik" w:date="2021-07-27T11:42:00Z">
        <w:r w:rsidDel="00B67699">
          <w:delText>s</w:delText>
        </w:r>
      </w:del>
      <w:r>
        <w:t xml:space="preserve"> inflate the effect size of MIT</w:t>
      </w:r>
      <w:r w:rsidRPr="00483D6F">
        <w:t xml:space="preserve"> </w:t>
      </w:r>
      <w:r>
        <w:t xml:space="preserve">by a factor of </w:t>
      </w:r>
      <w:commentRangeStart w:id="209"/>
      <w:ins w:id="210" w:author="Brenton Wiernik" w:date="2021-07-27T11:46:00Z">
        <w:r w:rsidR="00B50F5D">
          <w:t xml:space="preserve">≈ </w:t>
        </w:r>
      </w:ins>
      <w:del w:id="211" w:author="Brenton Wiernik" w:date="2021-07-27T11:44:00Z">
        <w:r w:rsidRPr="003709D9" w:rsidDel="00B67699">
          <w:rPr>
            <w:highlight w:val="darkGreen"/>
          </w:rPr>
          <w:delText>X.X</w:delText>
        </w:r>
        <w:r w:rsidDel="00B67699">
          <w:delText xml:space="preserve"> </w:delText>
        </w:r>
      </w:del>
      <w:ins w:id="212" w:author="Brenton Wiernik" w:date="2021-07-27T11:44:00Z">
        <w:r w:rsidR="00B67699">
          <w:t xml:space="preserve">3.8 </w:t>
        </w:r>
      </w:ins>
      <w:r>
        <w:t>when compared to validated outcome</w:t>
      </w:r>
      <w:ins w:id="213" w:author="Brenton Wiernik" w:date="2021-07-27T11:44:00Z">
        <w:r w:rsidR="00B67699">
          <w:t xml:space="preserve"> measure</w:t>
        </w:r>
      </w:ins>
      <w:r>
        <w:t>s</w:t>
      </w:r>
      <w:commentRangeEnd w:id="209"/>
      <w:r w:rsidR="00B50F5D">
        <w:rPr>
          <w:rStyle w:val="CommentReference"/>
        </w:rPr>
        <w:commentReference w:id="209"/>
      </w:r>
      <w:r>
        <w:t xml:space="preserve">. Similarly, the </w:t>
      </w:r>
      <w:ins w:id="214" w:author="Brenton Wiernik" w:date="2021-07-27T11:44:00Z">
        <w:r w:rsidR="00B67699">
          <w:t xml:space="preserve">apparent </w:t>
        </w:r>
      </w:ins>
      <w:r>
        <w:t xml:space="preserve">effect size of MIT proved to be </w:t>
      </w:r>
      <w:commentRangeStart w:id="215"/>
      <w:ins w:id="216" w:author="Brenton Wiernik" w:date="2021-07-27T11:46:00Z">
        <w:r w:rsidR="00B50F5D">
          <w:t xml:space="preserve">≈ </w:t>
        </w:r>
      </w:ins>
      <w:del w:id="217" w:author="Brenton Wiernik" w:date="2021-07-27T11:45:00Z">
        <w:r w:rsidDel="00B50F5D">
          <w:delText>5.</w:delText>
        </w:r>
        <w:r w:rsidRPr="009228E3" w:rsidDel="00B50F5D">
          <w:rPr>
            <w:highlight w:val="darkGreen"/>
          </w:rPr>
          <w:delText>X</w:delText>
        </w:r>
      </w:del>
      <w:ins w:id="218" w:author="Brenton Wiernik" w:date="2021-07-27T11:45:00Z">
        <w:r w:rsidR="00B50F5D">
          <w:t>4.2</w:t>
        </w:r>
      </w:ins>
      <w:r>
        <w:t xml:space="preserve"> times larger</w:t>
      </w:r>
      <w:commentRangeEnd w:id="215"/>
      <w:r w:rsidR="00B50F5D">
        <w:rPr>
          <w:rStyle w:val="CommentReference"/>
        </w:rPr>
        <w:commentReference w:id="215"/>
      </w:r>
      <w:r>
        <w:t xml:space="preserve"> for non-RCT data compared to RCT data, pointing out that rigorous experimental design can help reduce confound</w:t>
      </w:r>
      <w:r w:rsidR="00CB33E7">
        <w:t>s,</w:t>
      </w:r>
      <w:r>
        <w:t xml:space="preserve"> to obtain more realistic estimates.</w:t>
      </w:r>
      <w:r w:rsidR="00BA6B90">
        <w:t xml:space="preserve"> </w:t>
      </w:r>
      <w:r w:rsidR="003D6B41">
        <w:t>In particular,</w:t>
      </w:r>
      <w:r w:rsidR="002C3114">
        <w:t xml:space="preserve"> this results reaffirms that </w:t>
      </w:r>
      <w:r w:rsidR="003D6B41" w:rsidRPr="003D6B41">
        <w:t xml:space="preserve">adjusting for the control group is critical. </w:t>
      </w:r>
      <w:r w:rsidR="002C3114">
        <w:t xml:space="preserve">Without it, </w:t>
      </w:r>
      <w:r w:rsidR="003D6B41" w:rsidRPr="003D6B41">
        <w:t xml:space="preserve">most of the change observed in case </w:t>
      </w:r>
      <w:r w:rsidR="002C3114">
        <w:t>reports</w:t>
      </w:r>
      <w:r w:rsidR="00BA6B90">
        <w:t>,</w:t>
      </w:r>
      <w:r w:rsidR="00BA6B90" w:rsidRPr="00BA6B90">
        <w:t xml:space="preserve"> </w:t>
      </w:r>
      <w:r w:rsidR="00BA6B90">
        <w:t xml:space="preserve">visible in </w:t>
      </w:r>
      <w:r w:rsidR="00BA6B90" w:rsidRPr="003D6B41">
        <w:t>inflated estimates of the efficacy of MIT</w:t>
      </w:r>
      <w:r w:rsidR="00BA6B90">
        <w:t xml:space="preserve">, </w:t>
      </w:r>
      <w:r w:rsidR="003D6B41" w:rsidRPr="003D6B41">
        <w:t xml:space="preserve">are </w:t>
      </w:r>
      <w:r w:rsidR="002C3114">
        <w:t xml:space="preserve">inseparable from </w:t>
      </w:r>
      <w:r w:rsidR="008810F1">
        <w:t xml:space="preserve">the phenomena of </w:t>
      </w:r>
      <w:r w:rsidR="002C3114">
        <w:t>spontaneous recovery</w:t>
      </w:r>
      <w:r w:rsidR="008810F1">
        <w:t xml:space="preserve">, as well as, ultimately, </w:t>
      </w:r>
      <w:r w:rsidR="003D6B41" w:rsidRPr="003D6B41">
        <w:t xml:space="preserve">regression to the mean, </w:t>
      </w:r>
      <w:r w:rsidR="008810F1">
        <w:t>none of which are due to</w:t>
      </w:r>
      <w:r w:rsidR="003D6B41" w:rsidRPr="003D6B41">
        <w:t xml:space="preserve"> the treatment. </w:t>
      </w:r>
    </w:p>
    <w:p w14:paraId="41113941" w14:textId="4050997D" w:rsidR="0036274B" w:rsidRDefault="00CB1637" w:rsidP="008202BC">
      <w:pPr>
        <w:rPr>
          <w:ins w:id="219" w:author="Brenton Wiernik" w:date="2021-07-26T17:04:00Z"/>
        </w:rPr>
      </w:pPr>
      <w:del w:id="220" w:author="Brenton Wiernik" w:date="2021-07-26T17:01:00Z">
        <w:r w:rsidDel="0036274B">
          <w:delText xml:space="preserve"> </w:delText>
        </w:r>
      </w:del>
      <w:commentRangeStart w:id="221"/>
      <w:commentRangeStart w:id="222"/>
      <w:r>
        <w:t xml:space="preserve">Effect size also decreased with number of months post-stroke for IPD studies, indicating that progress in language performance reported in the </w:t>
      </w:r>
      <w:ins w:id="223" w:author="Brenton Wiernik" w:date="2021-07-26T17:03:00Z">
        <w:r w:rsidR="0036274B">
          <w:t xml:space="preserve">acute stage of aphasia </w:t>
        </w:r>
      </w:ins>
      <w:del w:id="224" w:author="Brenton Wiernik" w:date="2021-07-26T17:03:00Z">
        <w:r w:rsidDel="0036274B">
          <w:delText xml:space="preserve">late subacute or consolidation stage of aphasia </w:delText>
        </w:r>
      </w:del>
      <w:ins w:id="225" w:author="Brenton Wiernik" w:date="2021-07-26T17:04:00Z">
        <w:r w:rsidR="0036274B">
          <w:t xml:space="preserve">may confound MIT effects with </w:t>
        </w:r>
      </w:ins>
      <w:del w:id="226" w:author="Brenton Wiernik" w:date="2021-07-26T17:04:00Z">
        <w:r w:rsidDel="0036274B">
          <w:delText>may be confounded by i</w:delText>
        </w:r>
      </w:del>
      <w:ins w:id="227" w:author="Brenton Wiernik" w:date="2021-07-26T17:04:00Z">
        <w:r w:rsidR="0036274B">
          <w:t>i</w:t>
        </w:r>
      </w:ins>
      <w:r>
        <w:t>nfluences of spontaneous recovery</w:t>
      </w:r>
      <w:commentRangeEnd w:id="221"/>
      <w:r w:rsidR="00CA245E">
        <w:rPr>
          <w:rStyle w:val="CommentReference"/>
        </w:rPr>
        <w:commentReference w:id="221"/>
      </w:r>
      <w:commentRangeEnd w:id="222"/>
      <w:r w:rsidR="0036274B">
        <w:rPr>
          <w:rStyle w:val="CommentReference"/>
        </w:rPr>
        <w:commentReference w:id="222"/>
      </w:r>
      <w:r>
        <w:t xml:space="preserve">. </w:t>
      </w:r>
      <w:ins w:id="228" w:author="Brenton Wiernik" w:date="2021-07-26T17:04:00Z">
        <w:r w:rsidR="0036274B">
          <w:t xml:space="preserve">In the </w:t>
        </w:r>
        <w:r w:rsidR="0036274B">
          <w:t>late subacute or consolidation stage</w:t>
        </w:r>
        <w:r w:rsidR="0036274B">
          <w:t>s</w:t>
        </w:r>
        <w:r w:rsidR="0036274B">
          <w:t xml:space="preserve"> of aphasia</w:t>
        </w:r>
        <w:r w:rsidR="0036274B">
          <w:t xml:space="preserve">, much of the </w:t>
        </w:r>
        <w:r w:rsidR="0036274B">
          <w:t>spontaneous recovery</w:t>
        </w:r>
        <w:r w:rsidR="0036274B">
          <w:t xml:space="preserve"> is likely to have already occurred. This finding is also consistent </w:t>
        </w:r>
      </w:ins>
      <w:ins w:id="229" w:author="Brenton Wiernik" w:date="2021-07-26T17:05:00Z">
        <w:r w:rsidR="0036274B">
          <w:t>with the smaller results for RCTs, which also account for spontaneous recovery effects by adjustment against a control group.</w:t>
        </w:r>
      </w:ins>
    </w:p>
    <w:p w14:paraId="2995E398" w14:textId="6B4E975A" w:rsidR="00CB1637" w:rsidRDefault="00CB1637" w:rsidP="008202BC">
      <w:commentRangeStart w:id="230"/>
      <w:commentRangeStart w:id="231"/>
      <w:r>
        <w:t xml:space="preserve">Taken together, these results suggest that </w:t>
      </w:r>
      <w:r w:rsidR="0012749C">
        <w:t>validated outcomes</w:t>
      </w:r>
      <w:r>
        <w:t>, randomised-controlled designs and inclusion of individuals with chronic aphasia are essential prerequisites to determine the efficacy and clinical relevance of MIT</w:t>
      </w:r>
      <w:ins w:id="232" w:author="TP" w:date="2021-07-21T17:17:00Z">
        <w:r w:rsidR="00420671">
          <w:t xml:space="preserve"> (that is to say, statistical significance </w:t>
        </w:r>
        <w:r w:rsidR="00420671" w:rsidRPr="00E4623D">
          <w:rPr>
            <w:i/>
          </w:rPr>
          <w:t xml:space="preserve">and </w:t>
        </w:r>
        <w:r w:rsidR="00420671">
          <w:t>substantial effect size)</w:t>
        </w:r>
      </w:ins>
      <w:r>
        <w:t xml:space="preserve"> in a reliable way</w:t>
      </w:r>
      <w:commentRangeEnd w:id="230"/>
      <w:r w:rsidR="002F2932">
        <w:rPr>
          <w:rStyle w:val="CommentReference"/>
        </w:rPr>
        <w:commentReference w:id="230"/>
      </w:r>
      <w:commentRangeEnd w:id="231"/>
      <w:r w:rsidR="00E822B3">
        <w:rPr>
          <w:rStyle w:val="CommentReference"/>
        </w:rPr>
        <w:commentReference w:id="231"/>
      </w:r>
      <w:r>
        <w:t xml:space="preserve">. Interestingly, </w:t>
      </w:r>
      <w:commentRangeStart w:id="233"/>
      <w:commentRangeStart w:id="234"/>
      <w:r>
        <w:t>variation of the original MIT protocol did not systematically alter the effect size</w:t>
      </w:r>
      <w:commentRangeEnd w:id="233"/>
      <w:r w:rsidR="00DF68D3">
        <w:rPr>
          <w:rStyle w:val="CommentReference"/>
        </w:rPr>
        <w:commentReference w:id="233"/>
      </w:r>
      <w:commentRangeEnd w:id="234"/>
      <w:r w:rsidR="00E822B3">
        <w:rPr>
          <w:rStyle w:val="CommentReference"/>
        </w:rPr>
        <w:commentReference w:id="234"/>
      </w:r>
      <w:r>
        <w:t>, challenging the idea that modification of the treatment necessarily diminishes its outcome. Although MIT appears to benefit language performance on trained items, gains on untrained items emerged mostly from progress in repetition tasks. In contrast, the current results failed to demonstrate comparable progress in everyday communication ability</w:t>
      </w:r>
      <w:r w:rsidR="0012749C">
        <w:t xml:space="preserve"> on</w:t>
      </w:r>
      <w:r>
        <w:t xml:space="preserve"> </w:t>
      </w:r>
      <w:r w:rsidR="00D158BF">
        <w:t>validated</w:t>
      </w:r>
      <w:r>
        <w:t xml:space="preserve"> outcomes. These findings have implications in clinical practice.</w:t>
      </w:r>
    </w:p>
    <w:p w14:paraId="764918F4" w14:textId="3B2FC548" w:rsidR="00CB1637" w:rsidRDefault="00CB1637" w:rsidP="008202BC">
      <w:r>
        <w:t xml:space="preserve">As with any meta-analysis, the conclusiveness of the results strongly depends on the quality of the source material. As always, methodological shortcomings </w:t>
      </w:r>
      <w:r w:rsidR="00BC56A9">
        <w:t>of primary studies</w:t>
      </w:r>
      <w:r>
        <w:t xml:space="preserve"> emphasise the need for caution in interpreting the results. Nonetheless, the present meta-analysis considered various methodological aspects that tended to be neglected in previous work. In particular, our meta-analyses carefully determined the psychometric quality of each outcome, relative to recently defined standards in aphasia research (Wallace et al., 2019). In addition, the analyses accounted for quality of the research design, in terms of using control </w:t>
      </w:r>
      <w:r w:rsidR="00BC56A9">
        <w:t xml:space="preserve">interventions </w:t>
      </w:r>
      <w:r>
        <w:t>and</w:t>
      </w:r>
      <w:r w:rsidRPr="00093A4A">
        <w:t xml:space="preserve"> </w:t>
      </w:r>
      <w:r>
        <w:t xml:space="preserve">group randomisation to address unspecific </w:t>
      </w:r>
      <w:r w:rsidR="00EE12F9">
        <w:t>influences</w:t>
      </w:r>
      <w:r>
        <w:t xml:space="preserve">, including bias due to placebo effects. </w:t>
      </w:r>
      <w:commentRangeStart w:id="235"/>
      <w:commentRangeStart w:id="236"/>
      <w:r>
        <w:t xml:space="preserve">In light of heterogeneity in treatment administration across studies, the analyses also reflect changes to the original MIT protocol. </w:t>
      </w:r>
      <w:commentRangeEnd w:id="235"/>
      <w:r w:rsidR="00AE7B64">
        <w:rPr>
          <w:rStyle w:val="CommentReference"/>
        </w:rPr>
        <w:commentReference w:id="235"/>
      </w:r>
      <w:commentRangeEnd w:id="236"/>
      <w:r w:rsidR="00E822B3">
        <w:rPr>
          <w:rStyle w:val="CommentReference"/>
        </w:rPr>
        <w:commentReference w:id="236"/>
      </w:r>
      <w:r>
        <w:t xml:space="preserve">Our results demonstrate that the overall efficacy of MIT </w:t>
      </w:r>
      <w:r w:rsidR="00EE12F9">
        <w:t>in repetition tasks</w:t>
      </w:r>
      <w:r>
        <w:t xml:space="preserve"> appears to persist, albeit to a smaller degree than previously reported.</w:t>
      </w:r>
    </w:p>
    <w:p w14:paraId="15797A7E" w14:textId="1869B748" w:rsidR="00CB1637" w:rsidRDefault="00CB1637" w:rsidP="00A86E48">
      <w:r>
        <w:t xml:space="preserve">The current results indicate that changes to the original MIT protocol do not systematically alter </w:t>
      </w:r>
      <w:r w:rsidR="00C20E0A">
        <w:t xml:space="preserve">the </w:t>
      </w:r>
      <w:r>
        <w:t xml:space="preserve">benefit from treatment. This finding casts doubt on the notion that the original composition and </w:t>
      </w:r>
      <w:r>
        <w:lastRenderedPageBreak/>
        <w:t xml:space="preserve">hierarchical structure of MIT are indispensable for improving language performance. Using unvalidated outcomes, cross-sectional and longitudinal multiple-case studies have examined the role of different MIT elements: melody and rhythm </w:t>
      </w:r>
      <w:r>
        <w:fldChar w:fldCharType="begin"/>
      </w:r>
      <w:r w:rsidR="003B01B7">
        <w:instrText xml:space="preserve"> ADDIN ZOTERO_ITEM CSL_CITATION {"citationID":"Mrq2L3ps","properties":{"formattedCitation":"(e.g., Kershenbaum et al., 2019)","plainCitation":"(e.g., Kershenbaum et al., 2019)","noteIndex":0},"citationItems":[{"id":"nFN7BwCC/CXQf5X7p","uris":["http://zotero.org/users/7270/items/59RL5VJC"],"uri":["http://zotero.org/users/7270/items/59RL5VJC"],"itemData":{"id":13463,"type":"article-journal","abstract":"Background: Melodic intonation therapy (MIT) is a widely used treatment for nonfluent aphasia that builds upon a number of musical elements in order to ultimately improve generative language. These include intoning syllables on different pitches, using a metrically regular speech rhythm, and the clinician and patient producing phrases in unison. Studies have investigated which of these musical elements might be the most clinically facilitating, but important differences in methodology and results across studies leave some questions unanswered. In particular, the relative roles of intoning and unison production remain unclear.Aims: The present study examined these elements in isolation and in combination.Methods &amp; Procedures: Twelve people with aphasia (PWA) and 10 control participants sang and rhythmically spoke unfamiliar song lyrics in unison with a recording and by themselves. A subset of eight of the PWA returned for post-hoc testing to evaluate singing familiar lyrics from memory, and propositional speech. Across all tasks, productions were evaluated for syllable accuracy.Outcomes &amp; Results: On average, PWA benefited from unison over solo production and from rhythmic speech over singing when repeating unfamiliar lyrics. They did show a benefit of singing when producing familiar lyrics from memory, but this post-hoc task did not control for syllable duration or task order. Within-group correlations indicated that those with more severe apraxia of speech, worse single-word auditory comprehension, and poorer repetition ability benefited the most from unison production. Those with better sentence-level auditory comprehension and poorer performance on a perceptual rhythm test tended to benefit more from singing compared to rhythmically speaking unfamiliar lyrics.Conclusions: Unison production is an important element for promoting fluency in many PWA, and perhaps especially for those for whom MIT is considered an appropriate treatment option. However, some candidates for MIT are hindered by the inclusion of even moderately complex melodic information, indicating that this factor should be considered when customizing or adapting the therapy. Finally, PWA who show a striking improvement in fluency when singing familiar songs will not necessarily benefit from singing when the aim is to produce new lyrics or propositional content.","container-title":"Aphasiology","DOI":"10.1080/02687038.2017.1413487","ISSN":"0268-7038","issue":"4","note":"00010 \npublisher: Routledge\n_eprint: https://doi.org/10.1080/02687038.2017.1413487","page":"405-428","source":"Taylor and Francis+NEJM","title":"Speak along without the song: what promotes fluency in people with aphasia?","title-short":"Speak along without the song","volume":"33","author":[{"family":"Kershenbaum","given":"Ayelet"},{"family":"Nicholas","given":"M. L."},{"family":"Hunsaker","given":"Eileen"},{"family":"Zipse","given":"Lauryn"}],"issued":{"date-parts":[["2019",4,3]]}},"prefix":"e.g., "}],"schema":"https://github.com/citation-style-language/schema/raw/master/csl-citation.json"} </w:instrText>
      </w:r>
      <w:r>
        <w:fldChar w:fldCharType="separate"/>
      </w:r>
      <w:r w:rsidRPr="00600E6D">
        <w:t>(e.g., Kershenbaum et al., 2019)</w:t>
      </w:r>
      <w:r>
        <w:fldChar w:fldCharType="end"/>
      </w:r>
      <w:r>
        <w:t xml:space="preserve">, vocal expression in unison or alone </w:t>
      </w:r>
      <w:r>
        <w:fldChar w:fldCharType="begin"/>
      </w:r>
      <w:r w:rsidR="003B01B7">
        <w:instrText xml:space="preserve"> ADDIN ZOTERO_ITEM CSL_CITATION {"citationID":"tVjupVcX","properties":{"formattedCitation":"(Racette et al., 2006)","plainCitation":"(Racette et al., 2006)","noteIndex":0},"citationItems":[{"id":"nFN7BwCC/xTBtolUc","uris":["http://zotero.org/users/7270/items/46WDAU32"],"uri":["http://zotero.org/users/7270/items/46WDAU32"],"itemData":{"id":5308,"type":"article-journal","abstract":"Abstract.  A classic observation in neurology is that aphasics can sing words they cannot pronounce otherwise. To further assess this claim, we investigated the","container-title":"Brain","DOI":"10.1093/brain/awl250","ISSN":"0006-8950","issue":"10","journalAbbreviation":"Brain","language":"en","note":"00185","page":"2571-2584","source":"academic.oup.com","title":"Making non-fluent aphasics speak: sing along!","title-short":"Making non-fluent aphasics speak","volume":"129","author":[{"family":"Racette","given":"Amélie"},{"family":"Bard","given":"Céline"},{"family":"Peretz","given":"Isabelle"}],"issued":{"date-parts":[["2006",10,1]]}}}],"schema":"https://github.com/citation-style-language/schema/raw/master/csl-citation.json"} </w:instrText>
      </w:r>
      <w:r>
        <w:fldChar w:fldCharType="separate"/>
      </w:r>
      <w:r w:rsidRPr="00600E6D">
        <w:t>(Racette et al., 2006)</w:t>
      </w:r>
      <w:r>
        <w:fldChar w:fldCharType="end"/>
      </w:r>
      <w:r>
        <w:t xml:space="preserve">, left-hand tapping </w:t>
      </w:r>
      <w:r>
        <w:fldChar w:fldCharType="begin"/>
      </w:r>
      <w:r w:rsidR="003B01B7">
        <w:instrText xml:space="preserve"> ADDIN ZOTERO_ITEM CSL_CITATION {"citationID":"H6lrPWQa","properties":{"formattedCitation":"(e.g., Zipse et al., 2014)","plainCitation":"(e.g., Zipse et al., 2014)","noteIndex":0},"citationItems":[{"id":"nFN7BwCC/GfIK7iMM","uris":["http://zotero.org/users/7270/items/DRQ896DT"],"uri":["http://zotero.org/users/7270/items/DRQ896DT"],"itemData":{"id":13464,"type":"article-journal","abstract":"PURPOSE: In this study, the authors tested whether people with aphasia (PWAs) show an impaired ability to process rhythm, both in terms of perception and production.\nMETHOD: Two experiments were conducted. In Experiment 1, 16 PWAs and 15 age-matched control participants performed 3 rhythm tasks: tapping along to short rhythms, tapping these same rhythms from memory immediately after presentation, and making same-different judgments about pairs of tapped rhythms that they heard. Comparison tasks measured same-different judgment ability with visual stimuli and nonverbal working memory (Corsi blocks). In Experiment 2, 14 PWAs and 16 control participants made same-different judgments for pairs of auditory stimuli that differed in terms of rhythm or pitch (for comparison).\nRESULTS: In Experiment 1, PWAs performed worse than control participants across most measures of rhythm processing. In contrast, PWAs and control participants did not differ in their performance on the comparison tasks. In Experiment 2, the PWAs performed worse than control participants across all conditions but with a more marked deficit in stimulus pairs that differed in rhythm than in those that differed in pitch.\nCONCLUSIONS: The results support the hypothesis that at least some PWAs exhibit deficits of rhythm and timing. This may have implications for treatments involving tapping or other rhythmic cues.","container-title":"Journal of speech, language, and hearing research: JSLHR","DOI":"10.1044/2014_JSLHR-L-13-0309","ISSN":"1558-9102","issue":"6","journalAbbreviation":"J Speech Lang Hear Res","language":"eng","note":"00010 \nPMID: 25198536","page":"2234-2245","source":"PubMed","title":"Tapped out: do people with aphasia have rhythm processing deficits?","title-short":"Tapped out","volume":"57","author":[{"family":"Zipse","given":"Lauryn"},{"family":"Worek","given":"Amanda"},{"family":"Guarino","given":"Anthony J."},{"family":"Shattuck-Hufnagel","given":"Stefanie"}],"issued":{"date-parts":[["2014",12]]}},"prefix":"e.g.,"}],"schema":"https://github.com/citation-style-language/schema/raw/master/csl-citation.json"} </w:instrText>
      </w:r>
      <w:r>
        <w:fldChar w:fldCharType="separate"/>
      </w:r>
      <w:r w:rsidRPr="00600E6D">
        <w:t>(e.g., Zipse et al., 2014)</w:t>
      </w:r>
      <w:r>
        <w:fldChar w:fldCharType="end"/>
      </w:r>
      <w:r>
        <w:t xml:space="preserve">, and formulaicity of </w:t>
      </w:r>
      <w:r w:rsidR="00C20E0A">
        <w:t xml:space="preserve">verbal </w:t>
      </w:r>
      <w:r>
        <w:t xml:space="preserve">utterances </w:t>
      </w:r>
      <w:r>
        <w:fldChar w:fldCharType="begin"/>
      </w:r>
      <w:r w:rsidR="003B01B7">
        <w:instrText xml:space="preserve"> ADDIN ZOTERO_ITEM CSL_CITATION {"citationID":"R9gtP1MI","properties":{"formattedCitation":"(e.g., Stahl et al., 2011)","plainCitation":"(e.g., Stahl et al., 2011)","noteIndex":0},"citationItems":[{"id":"nFN7BwCC/H9lv61cW","uris":["http://zotero.org/users/7270/items/FRRCUYFC"],"uri":["http://zotero.org/users/7270/items/FRRCUYFC"],"itemData":{"id":9596,"type":"article-journal","abstract":"Abstract.  The question of whether singing may be helpful for stroke patients with non-fluent aphasia has been debated for many years. However, the role of rhyt","container-title":"Brain","DOI":"10.1093/brain/awr240","ISSN":"0006-8950","issue":"10","journalAbbreviation":"Brain","language":"en","note":"00136","page":"3083-3093","source":"academic.oup.com","title":"Rhythm in disguise: why singing may not hold the key to recovery from aphasia","title-short":"Rhythm in disguise","volume":"134","author":[{"family":"Stahl","given":"Benjamin"},{"family":"Kotz","given":"Sonja A."},{"family":"Henseler","given":"Ilona"},{"family":"Turner","given":"Robert"},{"family":"Geyer","given":"Stefan"}],"issued":{"date-parts":[["2011",10,1]]}},"prefix":"e.g.,"}],"schema":"https://github.com/citation-style-language/schema/raw/master/csl-citation.json"} </w:instrText>
      </w:r>
      <w:r>
        <w:fldChar w:fldCharType="separate"/>
      </w:r>
      <w:r w:rsidRPr="00600E6D">
        <w:t>(e.g., Stahl et al., 2011)</w:t>
      </w:r>
      <w:r>
        <w:fldChar w:fldCharType="end"/>
      </w:r>
      <w:r>
        <w:t>. Possible methodological reasons for seemingly contradictory data, as well as</w:t>
      </w:r>
      <w:r w:rsidRPr="00432800">
        <w:t xml:space="preserve"> </w:t>
      </w:r>
      <w:r>
        <w:t xml:space="preserve">conjectured mechanism of MIT, have been discussed </w:t>
      </w:r>
      <w:r>
        <w:fldChar w:fldCharType="begin"/>
      </w:r>
      <w:r w:rsidR="003B01B7">
        <w:instrText xml:space="preserve"> ADDIN ZOTERO_ITEM CSL_CITATION {"citationID":"4klkq2DF","properties":{"formattedCitation":"(Stahl &amp; Kotz, 2014)","plainCitation":"(Stahl &amp; Kotz, 2014)","noteIndex":0},"citationItems":[{"id":"nFN7BwCC/zqEf9vqu","uris":["http://zotero.org/users/7270/items/CGG3CEMQ"],"uri":["http://zotero.org/users/7270/items/CGG3CEMQ"],"itemData":{"id":13477,"type":"article-journal","abstract":"Facing the music: three issues in current research on singing and aphasia","container-title":"Frontiers in Psychology","DOI":"10.3389/fpsyg.2014.01033","ISSN":"1664-1078","journalAbbreviation":"Front. Psychol.","language":"English","note":"00027 \npublisher: Frontiers","page":"1033","source":"Frontiers","title":"Facing the music: three issues in current research on singing and aphasia","title-short":"Facing the music","volume":"5","author":[{"family":"Stahl","given":"Benjamin"},{"family":"Kotz","given":"Sonja A."}],"issued":{"date-parts":[["2014"]]}}}],"schema":"https://github.com/citation-style-language/schema/raw/master/csl-citation.json"} </w:instrText>
      </w:r>
      <w:r>
        <w:fldChar w:fldCharType="separate"/>
      </w:r>
      <w:r w:rsidRPr="00600E6D">
        <w:t>(Stahl &amp; Kotz, 2014)</w:t>
      </w:r>
      <w:r>
        <w:fldChar w:fldCharType="end"/>
      </w:r>
      <w:r>
        <w:t xml:space="preserve">. Obviously, the present results do not offer insight into </w:t>
      </w:r>
      <w:r w:rsidR="00C20E0A">
        <w:t xml:space="preserve">any of </w:t>
      </w:r>
      <w:r>
        <w:t>th</w:t>
      </w:r>
      <w:r w:rsidR="00C20E0A">
        <w:t>e</w:t>
      </w:r>
      <w:r>
        <w:t>se mechanisms. If indeed adherence to the original MIT protocol does not manifest in significantly elevated language performance, our results encourage future research to optimise the composition and structure of the treatment, to increase its efficacy in the rehabilitation of neurological communication disorders</w:t>
      </w:r>
      <w:r w:rsidR="00C20E0A">
        <w:t>. For example, individuals with</w:t>
      </w:r>
      <w:r>
        <w:t xml:space="preserve"> apraxia of speech may benefit from several elements</w:t>
      </w:r>
      <w:r w:rsidR="00C20E0A">
        <w:t xml:space="preserve"> of MIT</w:t>
      </w:r>
      <w:r>
        <w:t xml:space="preserve">, such as rhythmic pacing </w:t>
      </w:r>
      <w:r>
        <w:fldChar w:fldCharType="begin"/>
      </w:r>
      <w:r w:rsidR="003B01B7">
        <w:instrText xml:space="preserve"> ADDIN ZOTERO_ITEM CSL_CITATION {"citationID":"gFCCkixB","properties":{"formattedCitation":"(Aichert et al., 2016)","plainCitation":"(Aichert et al., 2016)","noteIndex":0},"citationItems":[{"id":"nFN7BwCC/uLusn286","uris":["http://zotero.org/groups/2294849/items/KG3GYTLF"],"uri":["http://zotero.org/groups/2294849/items/KG3GYTLF"],"itemData":{"id":5795,"type":"article-journal","abstract":"Several factors are known to influence speech accuracy in patients with apraxia of speech (AOS), e.g., syllable structure or word length. However, the impact of word stress has largely been neglected so far. More generally, the role of prosodic information at the phonetic encoding stage of speech production often remains unconsidered in models of speech production. This study aimed to investigate the influence of word stress on error production in AOS. Two-syllabic words with stress on the first (trochees) vs. the second syllable (iambs) were compared in 14 patients with AOS, three of them exhibiting pure AOS, and in a control group of six normal speakers. The patients produced significantly more errors on iambic than on trochaic words. A most prominent metrical effect was obtained for segmental errors. Acoustic analyses of word durations revealed a disproportionate advantage of the trochaic meter in the patients relative to the healthy controls. The results indicate that German apraxic speakers are sensitive to metrical information. It is assumed that metrical patterns function as prosodic frames for articulation planning, and that the regular metrical pattern in German, the trochaic form, has a facilitating effect on word production in patients with AOS.","container-title":"Neuropsychologia","DOI":"https://doi.org/10.1016/j.neuropsychologia.2016.01.009","ISSN":"0028-3932","note":"00009","page":"171 - 178","title":"The role of metrical information in apraxia of speech. Perceptual and acoustic analyses of word stress","volume":"82","author":[{"family":"Aichert","given":"Ingrid"},{"family":"Späth","given":"Mona"},{"family":"Ziegler","given":"Wolfram"}],"issued":{"date-parts":[["2016"]]}}}],"schema":"https://github.com/citation-style-language/schema/raw/master/csl-citation.json"} </w:instrText>
      </w:r>
      <w:r>
        <w:fldChar w:fldCharType="separate"/>
      </w:r>
      <w:r w:rsidRPr="00600E6D">
        <w:t>(Aichert et al., 2016)</w:t>
      </w:r>
      <w:r>
        <w:fldChar w:fldCharType="end"/>
      </w:r>
      <w:r>
        <w:t xml:space="preserve"> and language formulaicity </w:t>
      </w:r>
      <w:r>
        <w:fldChar w:fldCharType="begin"/>
      </w:r>
      <w:r w:rsidR="003B01B7">
        <w:instrText xml:space="preserve"> ADDIN ZOTERO_ITEM CSL_CITATION {"citationID":"D668qleY","properties":{"formattedCitation":"(Stahl et al., 2020)","plainCitation":"(Stahl et al., 2020)","noteIndex":0},"citationItems":[{"id":"nFN7BwCC/V8ioal2I","uris":["http://zotero.org/users/7270/items/NBZQ9RFK"],"uri":["http://zotero.org/users/7270/items/NBZQ9RFK"],"itemData":{"id":13466,"type":"article-journal","abstract":"PURPOSE: Decades of research have explored communication in cerebrovascular diseases by focusing on formulaic expressions (e.g., \"Thank you\"-\"You're welcome\"). This category of utterances is known for engaging primarily right-hemisphere frontotemporal and bilateral subcortical neural networks, explaining why left-hemisphere stroke patients with speech-motor planning disorders often produce formulaic expressions comparatively well. The present proof-of-concept study aims to confirm that using verbal cues derived from formulaic expressions can alleviate word-onset difficulties, one major symptom in apraxia of speech.\nMETHODS: In a cross-sectional repeated-measures design, 20 individuals with chronic post-stroke apraxia of speech were asked to produce (i) verbal cues (e.g., /guː/) and (ii) subsequent German target words (e.g., \"Tanz\") with critical onsets (e.g., /t/). Cues differed, most notably, in aspects of formulaicity (e.g., stereotyped prompt: /guː/, based on formulaic phrase \"Guten Morgen\"; unstereotyped prompt: /muː/, based on non-formulaic control word \"Mutig\"). Apart from systematic variation in stereotypy and communicative-pragmatic embeddedness possibly associated with holistic language processing, cues were matched for consonant-vowel structure, syllable-transition frequency, noun-verb classification, meter, and articulatory tempo.\nRESULTS: Statistical analyses revealed significant increases in correctly produced word onsets after verbal cues with distinct features of formulaicity (e.g., stereotyped versus unstereotyped prompts: p &lt; 0.001), as reflected in large effect sizes (Cohen's dz ≤ 2.2).\nCONCLUSIONS: The current results indicate that using preserved formulaic language skills can relieve word-onset difficulties in apraxia of speech. This finding is consistent with a dynamic interplay of left perilesional and right intact language networks in post-stroke rehabilitation and may inspire new treatment strategies for individuals with apraxia of speech.","container-title":"PloS One","DOI":"10.1371/journal.pone.0233608","ISSN":"1932-6203","issue":"6","journalAbbreviation":"PLoS One","language":"eng","note":"00001 \nPMID: 32497064\nPMCID: PMC7272023","page":"e0233608","source":"PubMed","title":"Formulaic Language Resources May Help Overcome Difficulties in Speech-Motor Planning after Stroke","volume":"15","author":[{"family":"Stahl","given":"Benjamin"},{"family":"Gawron","given":"Bianca"},{"family":"Regenbrecht","given":"Frank"},{"family":"Flöel","given":"Agnes"},{"family":"Kotz","given":"Sonja A."}],"issued":{"date-parts":[["2020"]]}}}],"schema":"https://github.com/citation-style-language/schema/raw/master/csl-citation.json"} </w:instrText>
      </w:r>
      <w:r>
        <w:fldChar w:fldCharType="separate"/>
      </w:r>
      <w:r w:rsidRPr="00600E6D">
        <w:t>(Stahl et al., 2020)</w:t>
      </w:r>
      <w:r>
        <w:fldChar w:fldCharType="end"/>
      </w:r>
      <w:r>
        <w:t>.</w:t>
      </w:r>
    </w:p>
    <w:p w14:paraId="705CEE24" w14:textId="76158F69" w:rsidR="00CB1637" w:rsidRDefault="00CB1637" w:rsidP="008202BC">
      <w:r>
        <w:t xml:space="preserve">According to the present meta-analysis, </w:t>
      </w:r>
      <w:commentRangeStart w:id="237"/>
      <w:commentRangeStart w:id="238"/>
      <w:r>
        <w:t xml:space="preserve">MIT </w:t>
      </w:r>
      <w:r w:rsidR="008A4CA7">
        <w:t>leads to gains</w:t>
      </w:r>
      <w:r>
        <w:t xml:space="preserve"> mainly in repetition tasks</w:t>
      </w:r>
      <w:commentRangeEnd w:id="237"/>
      <w:r w:rsidR="00D10EB2">
        <w:rPr>
          <w:rStyle w:val="CommentReference"/>
        </w:rPr>
        <w:commentReference w:id="237"/>
      </w:r>
      <w:commentRangeEnd w:id="238"/>
      <w:r w:rsidR="00EA16B3">
        <w:rPr>
          <w:rStyle w:val="CommentReference"/>
        </w:rPr>
        <w:commentReference w:id="238"/>
      </w:r>
      <w:r>
        <w:t xml:space="preserve"> that reflect the ability to reproduce</w:t>
      </w:r>
      <w:r w:rsidRPr="003C5B77">
        <w:t xml:space="preserve"> prior utterance</w:t>
      </w:r>
      <w:r>
        <w:t>s</w:t>
      </w:r>
      <w:r w:rsidRPr="003C5B77">
        <w:t xml:space="preserve"> in exactly the same form</w:t>
      </w:r>
      <w:r>
        <w:t xml:space="preserve">. Although this ability may facilitate the acquisition of novel words, it is not entirely clear to what extent it ultimately affects verbal behaviour in everyday communicative situations </w:t>
      </w:r>
      <w:r>
        <w:fldChar w:fldCharType="begin"/>
      </w:r>
      <w:r w:rsidR="003B01B7">
        <w:instrText xml:space="preserve"> ADDIN ZOTERO_ITEM CSL_CITATION {"citationID":"6H9H1J7d","properties":{"formattedCitation":"(Stahl et al., 2017)","plainCitation":"(Stahl et al., 2017)","noteIndex":0},"citationItems":[{"id":"nFN7BwCC/nTFmGPed","uris":["http://zotero.org/users/7270/items/BCWFCAJ8"],"uri":["http://zotero.org/users/7270/items/BCWFCAJ8"],"itemData":{"id":13469,"type":"article-journal","abstract":"A range of methods in clinical research aim to assess treatment-induced progress in aphasia therapy. Here, we used a crossover randomized controlled design to compare the suitability of utterance-centered and dialogue-sensitive outcome measures in speech-language testing. Fourteen individuals with post-stroke chronic non-fluent aphasia each received two types of intensive training in counterbalanced order: conventional confrontation naming, and communicative-pragmatic speech-language therapy (Intensive Language-Action Therapy, an expanded version of Constraint-Induced Aphasia Therapy). Motivated by linguistic-pragmatic theory and neuroscience data, our dependent variables included a newly created diagnostic instrument, the Action Communication Test (ACT). This diagnostic instrument requires patients to produce target words in two conditions: (i) utterance-centered object naming, and (ii) communicative-pragmatic social interaction based on verbal requests. In addition, we administered a standardized aphasia test battery, the Aachen Aphasia Test (AAT). Composite scores on the ACT and the AAT revealed similar patterns of changes in language performance over time, irrespective of the treatment applied. Changes in language performance were relatively consistent with the AAT results also when considering both ACT subscales separately from each other. However, only the ACT subscale evaluating verbal requests proved to be successful in distinguishing between different types of training in our patient sample. Critically, testing duration was substantially shorter for the entire ACT (10–20 minutes) than for the AAT (60–90 minutes). Taken together, the current findings suggest that communicative-pragmatic methods in speech-language testing provide a sensitive and time-effective measure to determine the outcome of aphasia therapy.","container-title":"Frontiers in Human Neuroscience","DOI":"10.3389/fnhum.2017.00223","ISSN":"1662-5161","journalAbbreviation":"Front. Hum. Neurosci.","language":"English","note":"00007 \npublisher: Frontiers","source":"Frontiers","title":"Communicative-Pragmatic Assessment Is Sensitive and Time-Effective in Measuring the Outcome of Aphasia Therapy","URL":"https://www.frontiersin.org/articles/10.3389/fnhum.2017.00223/full","volume":"11","author":[{"family":"Stahl","given":"Benjamin"},{"family":"Mohr","given":"Bettina"},{"family":"Dreyer","given":"Felix R."},{"family":"Lucchese","given":"Guglielmo"},{"family":"Pulvermüller","given":"Friedemann"}],"accessed":{"date-parts":[["2021",7,14]]},"issued":{"date-parts":[["2017"]]}}}],"schema":"https://github.com/citation-style-language/schema/raw/master/csl-citation.json"} </w:instrText>
      </w:r>
      <w:r>
        <w:fldChar w:fldCharType="separate"/>
      </w:r>
      <w:r w:rsidRPr="00600E6D">
        <w:t>(Stahl et al., 2017)</w:t>
      </w:r>
      <w:r>
        <w:fldChar w:fldCharType="end"/>
      </w:r>
      <w:r>
        <w:t xml:space="preserve">. Our results indicate </w:t>
      </w:r>
      <w:del w:id="239" w:author="Brenton Wiernik" w:date="2021-07-26T16:46:00Z">
        <w:r w:rsidDel="00EA16B3">
          <w:delText xml:space="preserve">modest </w:delText>
        </w:r>
      </w:del>
      <w:ins w:id="240" w:author="Brenton Wiernik" w:date="2021-07-26T16:46:00Z">
        <w:r w:rsidR="00EA16B3">
          <w:t>negligible</w:t>
        </w:r>
        <w:r w:rsidR="00EA16B3">
          <w:t xml:space="preserve"> </w:t>
        </w:r>
      </w:ins>
      <w:r>
        <w:t xml:space="preserve">progress on </w:t>
      </w:r>
      <w:r w:rsidR="008A4CA7">
        <w:t xml:space="preserve">validated </w:t>
      </w:r>
      <w:r>
        <w:t>outcomes of everyday communication ability with MIT</w:t>
      </w:r>
      <w:r w:rsidR="008A4CA7">
        <w:t xml:space="preserve"> (</w:t>
      </w:r>
      <w:commentRangeStart w:id="241"/>
      <w:commentRangeStart w:id="242"/>
      <w:r w:rsidR="00994B29" w:rsidRPr="00DA3672">
        <w:rPr>
          <w:i/>
          <w:iCs/>
        </w:rPr>
        <w:t>g̅</w:t>
      </w:r>
      <w:r w:rsidR="00994B29" w:rsidRPr="00DA3672">
        <w:t xml:space="preserve"> = </w:t>
      </w:r>
      <w:r w:rsidR="00994B29">
        <w:t>−0.04</w:t>
      </w:r>
      <w:r w:rsidR="00994B29" w:rsidRPr="00DA3672">
        <w:t xml:space="preserve"> [95% CI </w:t>
      </w:r>
      <w:r w:rsidR="00994B29">
        <w:t>−0.57, 0.48]</w:t>
      </w:r>
      <w:commentRangeEnd w:id="241"/>
      <w:r w:rsidR="001A66F7">
        <w:rPr>
          <w:rStyle w:val="CommentReference"/>
        </w:rPr>
        <w:commentReference w:id="241"/>
      </w:r>
      <w:commentRangeEnd w:id="242"/>
      <w:r w:rsidR="00EA16B3">
        <w:rPr>
          <w:rStyle w:val="CommentReference"/>
        </w:rPr>
        <w:commentReference w:id="242"/>
      </w:r>
      <w:r w:rsidR="008A4CA7">
        <w:t>)</w:t>
      </w:r>
      <w:r>
        <w:t xml:space="preserve">. </w:t>
      </w:r>
      <w:ins w:id="243" w:author="Brenton Wiernik" w:date="2021-07-26T16:47:00Z">
        <w:r w:rsidR="00EA16B3">
          <w:t xml:space="preserve">However, the number of studies reporting non-repetition outcomes </w:t>
        </w:r>
      </w:ins>
      <w:ins w:id="244" w:author="Brenton Wiernik" w:date="2021-07-26T16:48:00Z">
        <w:r w:rsidR="00EA16B3">
          <w:t xml:space="preserve">was very comparatively very small. This produced wide confidence intervals and therefore uncertainty as to MIT’s effectiveness for these outcomes. </w:t>
        </w:r>
      </w:ins>
      <w:ins w:id="245" w:author="Brenton Wiernik" w:date="2021-07-26T16:49:00Z">
        <w:r w:rsidR="00EA16B3">
          <w:t xml:space="preserve">Thus, although benefits from </w:t>
        </w:r>
      </w:ins>
      <w:ins w:id="246" w:author="Brenton Wiernik" w:date="2021-07-26T16:50:00Z">
        <w:r w:rsidR="00EA16B3">
          <w:t xml:space="preserve">MIT </w:t>
        </w:r>
      </w:ins>
      <w:ins w:id="247" w:author="Brenton Wiernik" w:date="2021-07-26T16:49:00Z">
        <w:r w:rsidR="00EA16B3">
          <w:t xml:space="preserve">cannot be ruled out, </w:t>
        </w:r>
      </w:ins>
      <w:ins w:id="248" w:author="Brenton Wiernik" w:date="2021-07-26T16:50:00Z">
        <w:r w:rsidR="00E822B3">
          <w:t xml:space="preserve">present evidence neither clearly supports them. </w:t>
        </w:r>
      </w:ins>
      <w:r>
        <w:t xml:space="preserve">In contrast, large-scale RCT data demonstrate that combining selected non-MIT methods </w:t>
      </w:r>
      <w:r w:rsidRPr="00260104">
        <w:rPr>
          <w:i/>
        </w:rPr>
        <w:t>can</w:t>
      </w:r>
      <w:r>
        <w:t xml:space="preserve"> lead to moderate gains on </w:t>
      </w:r>
      <w:r w:rsidR="008A4CA7">
        <w:t xml:space="preserve">validated </w:t>
      </w:r>
      <w:r>
        <w:t>outcomes of communication ability</w:t>
      </w:r>
      <w:r w:rsidR="008A4CA7">
        <w:t> </w:t>
      </w:r>
      <w:r>
        <w:fldChar w:fldCharType="begin"/>
      </w:r>
      <w:r w:rsidR="003B01B7">
        <w:instrText xml:space="preserve"> ADDIN ZOTERO_ITEM CSL_CITATION {"citationID":"mIb79tPy","properties":{"formattedCitation":"(Breitenstein et al., 2017)","plainCitation":"(Breitenstein et al., 2017)","noteIndex":0},"citationItems":[{"id":"nFN7BwCC/YrBPhe9E","uris":["http://zotero.org/users/7270/items/5F3F45FP"],"uri":["http://zotero.org/users/7270/items/5F3F45FP"],"itemData":{"id":9672,"type":"article-journal","abstract":"Summary\nBackground\nTreatment guidelines for aphasia recommend intensive speech and language therapy for chronic (≥6 months) aphasia after stroke, but large-scale, class 1 randomised controlled trials on treatment effectiveness are scarce. We aimed to examine whether 3 weeks of intensive speech and language therapy under routine clinical conditions improved verbal communication in daily-life situations in people with chronic aphasia after stroke.\nMethods\nIn this multicentre, parallel group, superiority, open-label, blinded-endpoint, randomised controlled trial, patients aged 70 years or younger with aphasia after stroke lasting for 6 months or more were recruited from 19 inpatient or outpatient rehabilitation centres in Germany. An external biostatistician used a computer-generated permuted block randomisation method, stratified by treatment centre, to randomly assign participants to either 3 weeks or more of intensive speech and language therapy (≥10 h per week) or 3 weeks deferral of intensive speech and language therapy. The primary endpoint was between-group difference in the change in verbal communication effectiveness in everyday life scenarios (Amsterdam–Nijmegen Everyday Language Test A-scale) from baseline to immediately after 3 weeks of treatment or treatment deferral. All analyses were done using the modified intention-to-treat population (those who received 1 day or more of intensive treatment or treatment deferral). This study is registered with ClinicalTrials.gov, number NCT01540383.\nFindings\nWe randomly assigned 158 patients between April 1, 2012, and May 31, 2014. The modified intention-to-treat population comprised 156 patients (78 per group). Verbal communication was significantly improved from baseline to after intensive speech and language treatment (mean difference 2·61 points [SD 4·94]; 95% CI 1·49 to 3·72), but not from baseline to after treatment deferral (−0·03 points [4·04]; −0·94 to 0·88; between-group difference Cohen's d 0·58; p=0·0004). Eight patients had adverse events during therapy or treatment deferral (one car accident [in the control group], two common cold [one patient per group], three gastrointestinal or cardiac symptoms [all intervention group], two recurrent stroke [one in intervention group before initiation of treatment, and one before group assignment had occurred]); all were unrelated to study participation.\nInterpretation\n3 weeks of intensive speech and language therapy significantly enhanced verbal communication in people aged 70 years or younger with chronic aphasia after stroke, providing an effective evidence-based treatment approach in this population. Future studies should examine the minimum treatment intensity required for meaningful treatment effects, and determine whether treatment effects cumulate over repeated intervention periods.\nFunding\nGerman Federal Ministry of Education and Research and the German Society for Aphasia Research and Treatment.","container-title":"The Lancet","DOI":"10.1016/S0140-6736(17)30067-3","ISSN":"0140-6736","issue":"10078","journalAbbreviation":"The Lancet","note":"00063","page":"1528-1538","source":"ScienceDirect","title":"Intensive speech and language therapy in patients with chronic aphasia after stroke: a randomised, open-label, blinded-endpoint, controlled trial in a health-care setting","title-short":"Intensive speech and language therapy in patients with chronic aphasia after stroke","volume":"389","author":[{"family":"Breitenstein","given":"Caterina"},{"family":"Grewe","given":"Tanja"},{"family":"Flöel","given":"Agnes"},{"family":"Ziegler","given":"Wolfram"},{"family":"Springer","given":"Luise"},{"family":"Martus","given":"Peter"},{"family":"Huber","given":"Walter"},{"family":"Willmes","given":"Klaus"},{"family":"Ringelstein","given":"E Bernd"},{"family":"Haeusler","given":"Karl Georg"},{"family":"Abel","given":"Stefanie"},{"family":"Glindemann","given":"Ralf"},{"family":"Domahs","given":"Frank"},{"family":"Regenbrecht","given":"Frank"},{"family":"Schlenck","given":"Klaus-Jürgen"},{"family":"Thomas","given":"Marion"},{"family":"Obrig","given":"Hellmuth"},{"family":"Langen","given":"Ernst","non-dropping-particle":"de"},{"family":"Rocker","given":"Roman"},{"family":"Wigbers","given":"Franziska"},{"family":"Rühmkorf","given":"Christina"},{"family":"Hempen","given":"Indra"},{"family":"List","given":"Jonathan"},{"family":"Baumgaertner","given":"Annette"},{"family":"Villringer","given":"A"},{"family":"Bley","given":"M"},{"family":"Jöbges","given":"M"},{"family":"Halm","given":"K"},{"family":"Schulz","given":"J"},{"family":"Werner","given":"C"},{"family":"Goldenberg","given":"G"},{"family":"Klingenberg","given":"G"},{"family":"König","given":"E"},{"family":"Müller","given":"F"},{"family":"Gröne","given":"B"},{"family":"Knecht","given":"S"},{"family":"Baake","given":"R"},{"family":"Knauss","given":"J"},{"family":"Miethe","given":"S"},{"family":"Steller","given":"U"},{"family":"Sudhoff","given":"R"},{"family":"Schillikowski","given":"E"},{"family":"Pfeiffer","given":"G"},{"family":"Billo","given":"K"},{"family":"Hoffmann","given":"H"},{"family":"Ferneding","given":"F-J"},{"family":"Runge","given":"S"},{"family":"Keck","given":"T"},{"family":"Middeldorf","given":"V"},{"family":"Krüger","given":"S"},{"family":"Wilde","given":"B"},{"family":"Krakow","given":"K"},{"family":"Berghoff","given":"C"},{"family":"Reinhuber","given":"F"},{"family":"Maser","given":"I"},{"family":"Hofmann","given":"W"},{"family":"Sous-Kulke","given":"C"},{"family":"Schupp","given":"W"},{"family":"Oertel","given":"A"},{"family":"Bätz","given":"D"},{"family":"Hamzei","given":"F"},{"family":"Schulz","given":"K"},{"family":"Meyer","given":"A"},{"family":"Kartmann","given":"A"},{"family":"Som","given":"O'N"},{"family":"Schipke","given":"S-B"},{"family":"Bamborschke","given":"S"}],"issued":{"date-parts":[["2017",4,15]]}}}],"schema":"https://github.com/citation-style-language/schema/raw/master/csl-citation.json"} </w:instrText>
      </w:r>
      <w:r>
        <w:fldChar w:fldCharType="separate"/>
      </w:r>
      <w:r w:rsidRPr="00600E6D">
        <w:t>(Breitenstein et al., 2017)</w:t>
      </w:r>
      <w:r>
        <w:fldChar w:fldCharType="end"/>
      </w:r>
      <w:r>
        <w:t xml:space="preserve">. This finding suggests that individuals with aphasia should not rely exclusively on MIT if the primary goal is to improve everyday communication. Still, our meta-analysis should not undermine the importance of MIT-mediated progress on trained items. In individuals with severe forms of aphasia, this ‘palliative’ use of MIT may nonetheless entail a substantial increase in quality of life </w:t>
      </w:r>
      <w:r>
        <w:fldChar w:fldCharType="begin"/>
      </w:r>
      <w:r w:rsidR="003B01B7">
        <w:instrText xml:space="preserve"> ADDIN ZOTERO_ITEM CSL_CITATION {"citationID":"9fTu9nmc","properties":{"formattedCitation":"(Zumbansen et al., 2014)","plainCitation":"(Zumbansen et al., 2014)","noteIndex":0},"citationItems":[{"id":"nFN7BwCC/AecTO5mg","uris":["http://zotero.org/users/7270/items/VNSHMAMU"],"uri":["http://zotero.org/users/7270/items/VNSHMAMU"],"itemData":{"id":4920,"type":"article-journal","abstract":"We present a critical review of the literature on Melodic intonation therapy (MIT), one of the most formalized treatments used by speech-language therapist in Broca’s aphasia. We suggest basic clarifications to enhance the scientific support of this promising treatment. First, MIT is a program, not a single speech facilitation technique. The goal of MIT is to restore propositional speech. The rational is that patients can learn a new way to speak through singing by using language-capable regions of the right cerebral hemisphere. We argue that many treatment programs covered in systematic reviews on MIT’s efficacy do not match MIT’s therapeutic goal and rationale. Second, we distinguish between the immediate effect of MIT’s main speech facilitation technique (i.e., intoned-speech) and the effect of the entire program on language recovery. Many results in the MIT literature can be explained by this duration factor. Finally, we propose that MIT can be viewed as a treatment of apraxia of speech more than aphasia. This issue should be explored in future experimental studies.","container-title":"Frontiers in Neurology","DOI":"10.3389/fneur.2014.00007","ISSN":"1664-2295","journalAbbreviation":"Front. Neurol.","language":"English","note":"00000","source":"Frontiers","title":"Melodic Intonation Therapy: Back to Basics for Future Research","title-short":"Melodic Intonation Therapy","URL":"https://www.frontiersin.org/articles/10.3389/fneur.2014.00007/full","volume":"5","author":[{"family":"Zumbansen","given":"Anna"},{"family":"Peretz","given":"Isabelle"},{"family":"Hébert","given":"Sylvie"}],"accessed":{"date-parts":[["2018",11,19]]},"issued":{"date-parts":[["2014"]]}}}],"schema":"https://github.com/citation-style-language/schema/raw/master/csl-citation.json"} </w:instrText>
      </w:r>
      <w:r>
        <w:fldChar w:fldCharType="separate"/>
      </w:r>
      <w:r w:rsidRPr="00600E6D">
        <w:t>(Zumbansen et al., 2014)</w:t>
      </w:r>
      <w:r>
        <w:fldChar w:fldCharType="end"/>
      </w:r>
      <w:r>
        <w:t xml:space="preserve">. Critically, individuals with aphasia may perceive notable progress in language performance irrespective of statistically significant gains on </w:t>
      </w:r>
      <w:r w:rsidR="008A4CA7">
        <w:t xml:space="preserve">validated </w:t>
      </w:r>
      <w:r>
        <w:t xml:space="preserve">outcomes. Known as </w:t>
      </w:r>
      <w:r w:rsidR="00CC6F2A">
        <w:t>‘</w:t>
      </w:r>
      <w:r w:rsidRPr="00260104">
        <w:t>minimal</w:t>
      </w:r>
      <w:r w:rsidR="00CC6F2A" w:rsidRPr="00260104">
        <w:t xml:space="preserve"> </w:t>
      </w:r>
      <w:r w:rsidRPr="00260104">
        <w:t>clinically-important difference</w:t>
      </w:r>
      <w:r w:rsidR="00CC6F2A">
        <w:t>’</w:t>
      </w:r>
      <w:r w:rsidRPr="00CC6F2A">
        <w:t xml:space="preserve"> </w:t>
      </w:r>
      <w:r>
        <w:fldChar w:fldCharType="begin"/>
      </w:r>
      <w:r w:rsidR="003B01B7">
        <w:instrText xml:space="preserve"> ADDIN ZOTERO_ITEM CSL_CITATION {"citationID":"AV5APllq","properties":{"formattedCitation":"(Revicki et al., 2008)","plainCitation":"(Revicki et al., 2008)","noteIndex":0},"citationItems":[{"id":"nFN7BwCC/55fQnt0X","uris":["http://zotero.org/users/7270/items/2JQ7UL6K"],"uri":["http://zotero.org/users/7270/items/2JQ7UL6K"],"itemData":{"id":13471,"type":"article-journal","abstract":"OBJECTIVE: The objective of this review is to summarize recommendations on methods for evaluating responsiveness and minimal important difference (MID) for patient-reported outcome (PRO) measures.\nSTUDY DESIGN AND SETTING: We review, summarize, and integrate information on issues and methods for evaluating responsiveness and determining MID estimates for PRO measures. Recommendations are made on best-practice methods for evaluating responsiveness and MID.\nRESULTS: The MID for a PRO instrument is not an immutable characteristic, but may vary by population and context, and no one MID may be valid for all study applications. MID estimates should be based on multiple approaches and triangulation of methods. Anchor-based methods applying various relevant patient-rated, clinician-rated, and disease-specific variables provide primary and meaningful estimates of an instrument's MID. Results for the PRO measures from clinical trials can also provide insight into observed effects based on treatment comparisons and should be used to help determine MID. Distribution-based methods can support estimates from anchor-based approaches and can be used in situations where anchor-based estimates are unavailable.\nCONCLUSION: We recommend that the MID is based primarily on relevant patient-based and clinical anchors, with clinical trial experience used to further inform understanding of MID.","container-title":"Journal of Clinical Epidemiology","DOI":"10.1016/j.jclinepi.2007.03.012","ISSN":"0895-4356","issue":"2","journalAbbreviation":"J Clin Epidemiol","language":"eng","note":"01550 \nPMID: 18177782","page":"102-109","source":"PubMed","title":"Recommended methods for determining responsiveness and minimally important differences for patient-reported outcomes","volume":"61","author":[{"family":"Revicki","given":"Dennis"},{"family":"Hays","given":"Ron D."},{"family":"Cella","given":"David"},{"family":"Sloan","given":"Jeff"}],"issued":{"date-parts":[["2008",2]]}}}],"schema":"https://github.com/citation-style-language/schema/raw/master/csl-citation.json"} </w:instrText>
      </w:r>
      <w:r>
        <w:fldChar w:fldCharType="separate"/>
      </w:r>
      <w:r w:rsidRPr="00600E6D">
        <w:t>(Revicki et al., 2008)</w:t>
      </w:r>
      <w:r>
        <w:fldChar w:fldCharType="end"/>
      </w:r>
      <w:r>
        <w:t xml:space="preserve">, this diagnostic approach may be especially valuable for individuals where MIT can help establish a repertoire of trained phrases to convey basic needs in daily life </w:t>
      </w:r>
      <w:r>
        <w:fldChar w:fldCharType="begin"/>
      </w:r>
      <w:r w:rsidR="003B01B7">
        <w:instrText xml:space="preserve"> ADDIN ZOTERO_ITEM CSL_CITATION {"citationID":"q26NfsbH","properties":{"formattedCitation":"(Van Lancker Sidtis, 2021)","plainCitation":"(Van Lancker Sidtis, 2021)","noteIndex":0},"citationItems":[{"id":"nFN7BwCC/vtwoLBRO","uris":["http://zotero.org/users/7270/items/AKBC38CZ"],"uri":["http://zotero.org/users/7270/items/AKBC38CZ"],"itemData":{"id":13473,"type":"book","abstract":"A broad overview of the many kinds of unitary expressions found in everyday verbal and written communication, including their signature meaning, form, and usage, authored by a renowned scholar in the field Foundations of Familiar Language is renowned scholar Diana Sidtis's new contribution to the study of formulaic language through a wide-ranging overview of a large group of language behaviors that share characteristics of cohesion and familiarity, featuring a rational classification of fixed, familiar expressions into formulaic expressions, lexical bundles, and collocations. This unique volume offers a new approach to linguistic classification and construction grammar through a dual-process model of language competence rooted in linguistic, psycholinguistic, and neurolinguistic observations, combining insights drawn from foundational studies of psychology and neurology with contemporary theories of the differences between formulaic and propositional language. This approach offers a distinct and innovative contribution to scholarship in the field. The text contains resources for further study and research such as examples, research protocols, and lists of fixed, familiar expressions from the past and present. This authoritative volume:  Describes the current state of knowledge and reviews experimental results, proposals, and models in a clear and straightforward manner Offers up-to-date surveys of the role of fixed expressions in education, social sciences, cognitive psychology, and brain science Features a wealth of engaging and relatable examples of formulaic expressions (conversational speech formulas, expletives, idioms, and proverbs), lexical bundles, and collocations Includes discussion of the use of fixed, familiar expressions in second language learning Presents new research data on the neurological foundations of familiar language drawn from clinical observations and experimental studies of stroke, dementia, and Parkinson’s disease Contains material from social media, magazines, newspapers, speeches, and other sources to illustrate the importance, abundance, and value of familiar language  Sufficiently in-depth for specialists, while accessible to students and non-specialists, Foundations of Familiar Language is an essential resource for a wide range of readers, including linguists, child language specialists, psychologists, social scientists, neuroscientists, philosophers, educators, teachers of English as a second language, and those working in artificial intelligence and speech synthesis.","edition":"1st edition","event-place":"Hoboken","ISBN":"978-1-119-16332-9","language":"English","note":"00000","number-of-pages":"464","publisher":"Wiley-Blackwell","publisher-place":"Hoboken","source":"Amazon","title":"Foundations of Familiar Language: Formulaic Expressions, Lexical Bundles, and Collocations at Work and Play","title-short":"Foundations of Familiar Language","author":[{"family":"Van Lancker Sidtis","given":"Diana"}],"issued":{"date-parts":[["2021",9,22]]}}}],"schema":"https://github.com/citation-style-language/schema/raw/master/csl-citation.json"} </w:instrText>
      </w:r>
      <w:r>
        <w:fldChar w:fldCharType="separate"/>
      </w:r>
      <w:r w:rsidRPr="00600E6D">
        <w:t>(Van Lancker Sidtis, 2021)</w:t>
      </w:r>
      <w:r>
        <w:fldChar w:fldCharType="end"/>
      </w:r>
      <w:r>
        <w:t>.</w:t>
      </w:r>
    </w:p>
    <w:p w14:paraId="3828C806" w14:textId="0F937A0A" w:rsidR="00CB1637" w:rsidRDefault="00CB1637" w:rsidP="008202BC">
      <w:r>
        <w:t xml:space="preserve">We here present the first meta-analysis on MIT that attempts to rule out various methodological caveats in interpreting the outcome of the treatment, such as lack of </w:t>
      </w:r>
      <w:r w:rsidR="008A4CA7">
        <w:t xml:space="preserve">validated </w:t>
      </w:r>
      <w:r>
        <w:t>outcomes, control group or</w:t>
      </w:r>
      <w:r w:rsidRPr="004C03FE">
        <w:t xml:space="preserve"> </w:t>
      </w:r>
      <w:r>
        <w:t>randomisation in previous studies</w:t>
      </w:r>
      <w:r w:rsidRPr="00DA3672">
        <w:t>.</w:t>
      </w:r>
      <w:r>
        <w:t xml:space="preserve"> Accounting for each of these issues in a rigorous way, the results of our meta-analyses confirm the promising role of MIT in improving language performance on trained items and in repetition tasks, while highlighting possible limitations in promoting everyday communication ability. We hope that the current work will be helpful for clinicians, patients and families to make informed decisions about their treatment options to support recovery from post-stroke aphasia.</w:t>
      </w:r>
    </w:p>
    <w:p w14:paraId="0F8E6C38" w14:textId="77777777" w:rsidR="00CB1637" w:rsidRPr="00DA3672" w:rsidRDefault="00CB1637" w:rsidP="0096096E">
      <w:pPr>
        <w:pStyle w:val="Heading1"/>
      </w:pPr>
      <w:bookmarkStart w:id="249" w:name="_k407fthx9afr" w:colFirst="0" w:colLast="0"/>
      <w:bookmarkStart w:id="250" w:name="_zdgsn5giixye" w:colFirst="0" w:colLast="0"/>
      <w:bookmarkStart w:id="251" w:name="_20eh0wrp1kik" w:colFirst="0" w:colLast="0"/>
      <w:bookmarkStart w:id="252" w:name="_pvex3wmqnz6e" w:colFirst="0" w:colLast="0"/>
      <w:bookmarkStart w:id="253" w:name="_8izuhir5ua57" w:colFirst="0" w:colLast="0"/>
      <w:bookmarkStart w:id="254" w:name="_t4x2gloc86d" w:colFirst="0" w:colLast="0"/>
      <w:bookmarkStart w:id="255" w:name="_lr71s3e04l4" w:colFirst="0" w:colLast="0"/>
      <w:bookmarkStart w:id="256" w:name="_mr58zgvt9vps" w:colFirst="0" w:colLast="0"/>
      <w:bookmarkStart w:id="257" w:name="_rgrr1x4g874x" w:colFirst="0" w:colLast="0"/>
      <w:bookmarkStart w:id="258" w:name="_yve7ogfjcazd" w:colFirst="0" w:colLast="0"/>
      <w:bookmarkStart w:id="259" w:name="_veupzyjqoshh" w:colFirst="0" w:colLast="0"/>
      <w:bookmarkStart w:id="260" w:name="_v1g3yomspynj" w:colFirst="0" w:colLast="0"/>
      <w:bookmarkEnd w:id="249"/>
      <w:bookmarkEnd w:id="250"/>
      <w:bookmarkEnd w:id="251"/>
      <w:bookmarkEnd w:id="252"/>
      <w:bookmarkEnd w:id="253"/>
      <w:bookmarkEnd w:id="254"/>
      <w:bookmarkEnd w:id="255"/>
      <w:bookmarkEnd w:id="256"/>
      <w:bookmarkEnd w:id="257"/>
      <w:bookmarkEnd w:id="258"/>
      <w:bookmarkEnd w:id="259"/>
      <w:bookmarkEnd w:id="260"/>
      <w:r w:rsidRPr="00DA3672">
        <w:t>Acknowledgements</w:t>
      </w:r>
    </w:p>
    <w:p w14:paraId="65DA523E" w14:textId="77777777" w:rsidR="00CB1637" w:rsidRPr="00DA3672" w:rsidRDefault="00CB1637" w:rsidP="008202BC">
      <w:r w:rsidRPr="00DA3672">
        <w:t>We gratefully acknowledge:</w:t>
      </w:r>
    </w:p>
    <w:p w14:paraId="039213AE" w14:textId="77777777" w:rsidR="00CB1637" w:rsidRPr="00DA3672" w:rsidRDefault="00CB1637" w:rsidP="006B13FF">
      <w:pPr>
        <w:pStyle w:val="ListParagraph"/>
        <w:numPr>
          <w:ilvl w:val="0"/>
          <w:numId w:val="12"/>
        </w:numPr>
      </w:pPr>
      <w:r w:rsidRPr="00DA3672">
        <w:t>Joost Hurkmans for providing unpublished work.</w:t>
      </w:r>
    </w:p>
    <w:p w14:paraId="1609B70E" w14:textId="77777777" w:rsidR="00CB1637" w:rsidRPr="00DA3672" w:rsidRDefault="00CB1637" w:rsidP="006B13FF">
      <w:pPr>
        <w:pStyle w:val="ListParagraph"/>
        <w:numPr>
          <w:ilvl w:val="0"/>
          <w:numId w:val="12"/>
        </w:numPr>
      </w:pPr>
      <w:r w:rsidRPr="00DA3672">
        <w:lastRenderedPageBreak/>
        <w:t>Sarah Wallace for providing test-related information.</w:t>
      </w:r>
    </w:p>
    <w:p w14:paraId="0DC05A72" w14:textId="77777777" w:rsidR="00CB1637" w:rsidRPr="00DA3672" w:rsidRDefault="00CB1637" w:rsidP="006B13FF">
      <w:pPr>
        <w:pStyle w:val="ListParagraph"/>
        <w:numPr>
          <w:ilvl w:val="0"/>
          <w:numId w:val="12"/>
        </w:numPr>
      </w:pPr>
      <w:r w:rsidRPr="00DA3672">
        <w:t>Luisa Krein and Emily Braun for information regarding test scores.</w:t>
      </w:r>
    </w:p>
    <w:p w14:paraId="275A9065" w14:textId="77777777" w:rsidR="00CB1637" w:rsidRPr="00DA3672" w:rsidRDefault="00CB1637" w:rsidP="006B13FF">
      <w:pPr>
        <w:pStyle w:val="ListParagraph"/>
        <w:numPr>
          <w:ilvl w:val="0"/>
          <w:numId w:val="12"/>
        </w:numPr>
        <w:spacing w:after="240"/>
      </w:pPr>
      <w:r w:rsidRPr="00DA3672">
        <w:t>Ajay Halai and Yina Quique Buitrago for very useful comments</w:t>
      </w:r>
      <w:r>
        <w:t>.</w:t>
      </w:r>
    </w:p>
    <w:p w14:paraId="58624962" w14:textId="77777777" w:rsidR="00CB1637" w:rsidRPr="00DA3672" w:rsidRDefault="00CB1637" w:rsidP="0096096E">
      <w:pPr>
        <w:pStyle w:val="Heading1"/>
      </w:pPr>
      <w:bookmarkStart w:id="261" w:name="_ef0gpro2a9cd" w:colFirst="0" w:colLast="0"/>
      <w:bookmarkEnd w:id="261"/>
      <w:r w:rsidRPr="00DA3672">
        <w:t xml:space="preserve">Author </w:t>
      </w:r>
      <w:r w:rsidRPr="00575D73">
        <w:t>contributions</w:t>
      </w:r>
      <w:r w:rsidRPr="00DA3672">
        <w:t xml:space="preserve"> (CRediT author statement)</w:t>
      </w:r>
    </w:p>
    <w:p w14:paraId="4DA61482" w14:textId="77777777" w:rsidR="00CB1637" w:rsidRPr="00DA3672" w:rsidRDefault="00CB1637" w:rsidP="008202BC">
      <w:r w:rsidRPr="00DA3672">
        <w:t>Conceptualization: TP, BS, WTF</w:t>
      </w:r>
    </w:p>
    <w:p w14:paraId="776DAC3F" w14:textId="77777777" w:rsidR="00CB1637" w:rsidRPr="00DA3672" w:rsidRDefault="00CB1637" w:rsidP="008202BC">
      <w:r w:rsidRPr="00DA3672">
        <w:t>Methodology: TP, BMW</w:t>
      </w:r>
    </w:p>
    <w:p w14:paraId="4575D1BD" w14:textId="77777777" w:rsidR="00CB1637" w:rsidRPr="00DA3672" w:rsidRDefault="00CB1637" w:rsidP="008202BC">
      <w:r w:rsidRPr="00DA3672">
        <w:t>Software: TP, BMW</w:t>
      </w:r>
    </w:p>
    <w:p w14:paraId="53FC2C61" w14:textId="77777777" w:rsidR="00CB1637" w:rsidRPr="00DA3672" w:rsidRDefault="00CB1637" w:rsidP="008202BC">
      <w:r w:rsidRPr="00DA3672">
        <w:t>Validation: TP</w:t>
      </w:r>
    </w:p>
    <w:p w14:paraId="0C3F7496" w14:textId="77777777" w:rsidR="00CB1637" w:rsidRPr="00DA3672" w:rsidRDefault="00CB1637" w:rsidP="008202BC">
      <w:r w:rsidRPr="00DA3672">
        <w:t>Formal analysis: TP, BMW</w:t>
      </w:r>
    </w:p>
    <w:p w14:paraId="79684ED1" w14:textId="77777777" w:rsidR="00CB1637" w:rsidRPr="00DA3672" w:rsidRDefault="00CB1637" w:rsidP="008202BC">
      <w:r w:rsidRPr="00DA3672">
        <w:t>Investigation: TP</w:t>
      </w:r>
    </w:p>
    <w:p w14:paraId="31A4AE33" w14:textId="77777777" w:rsidR="00CB1637" w:rsidRPr="00DA3672" w:rsidRDefault="00CB1637" w:rsidP="008202BC">
      <w:r w:rsidRPr="00DA3672">
        <w:t>Resources: TP, RB, WTF</w:t>
      </w:r>
    </w:p>
    <w:p w14:paraId="15BBA130" w14:textId="77777777" w:rsidR="00CB1637" w:rsidRPr="00DA3672" w:rsidRDefault="00CB1637" w:rsidP="008202BC">
      <w:r w:rsidRPr="00DA3672">
        <w:t>Data Curation: TP, BMW, FH, TM</w:t>
      </w:r>
    </w:p>
    <w:p w14:paraId="5A236CED" w14:textId="77777777" w:rsidR="00CB1637" w:rsidRPr="00DA3672" w:rsidRDefault="00CB1637" w:rsidP="008202BC">
      <w:r w:rsidRPr="00DA3672">
        <w:t>Writing - Original Draft: TP</w:t>
      </w:r>
    </w:p>
    <w:p w14:paraId="1C16ACAC" w14:textId="77777777" w:rsidR="00CB1637" w:rsidRPr="00DA3672" w:rsidRDefault="00CB1637" w:rsidP="008202BC">
      <w:r w:rsidRPr="00DA3672">
        <w:t>Writing - Review &amp; Editing: TP, BS, BMW, FH, TM, RB, WTF</w:t>
      </w:r>
    </w:p>
    <w:p w14:paraId="2CEAFD88" w14:textId="77777777" w:rsidR="00CB1637" w:rsidRPr="00DA3672" w:rsidRDefault="00CB1637" w:rsidP="008202BC">
      <w:r w:rsidRPr="00DA3672">
        <w:t>Visualization: TP</w:t>
      </w:r>
    </w:p>
    <w:p w14:paraId="4E0D02FA" w14:textId="77777777" w:rsidR="00CB1637" w:rsidRPr="00DA3672" w:rsidRDefault="00CB1637" w:rsidP="008202BC">
      <w:r w:rsidRPr="00DA3672">
        <w:t>Supervision: TP, BS</w:t>
      </w:r>
    </w:p>
    <w:p w14:paraId="64380FFA" w14:textId="77777777" w:rsidR="00CB1637" w:rsidRPr="00DA3672" w:rsidRDefault="00CB1637" w:rsidP="008202BC">
      <w:r w:rsidRPr="00DA3672">
        <w:t>Project administration: TP</w:t>
      </w:r>
    </w:p>
    <w:p w14:paraId="55C9DDE2" w14:textId="77777777" w:rsidR="00CB1637" w:rsidRPr="00DA3672" w:rsidRDefault="00CB1637" w:rsidP="008202BC">
      <w:r w:rsidRPr="00DA3672">
        <w:t>Funding acquisition: RB, WTF</w:t>
      </w:r>
    </w:p>
    <w:p w14:paraId="3C520ECE" w14:textId="77777777" w:rsidR="00CB1637" w:rsidRPr="00DA3672" w:rsidRDefault="00CB1637" w:rsidP="008202BC"/>
    <w:p w14:paraId="330EB74C" w14:textId="77777777" w:rsidR="00CB1637" w:rsidRPr="00DA3672" w:rsidRDefault="00CB1637" w:rsidP="008202BC">
      <w:r w:rsidRPr="00DA3672">
        <w:t>additional ones not included in the CRediT author statement</w:t>
      </w:r>
    </w:p>
    <w:p w14:paraId="569ABCDE" w14:textId="77777777" w:rsidR="00CB1637" w:rsidRPr="00DA3672" w:rsidRDefault="00CB1637" w:rsidP="008202BC">
      <w:pPr>
        <w:ind w:left="360"/>
      </w:pPr>
      <w:r w:rsidRPr="00DA3672">
        <w:t>literature search and curation: TP, HH, MZ</w:t>
      </w:r>
    </w:p>
    <w:p w14:paraId="094C7DD3" w14:textId="77777777" w:rsidR="00CB1637" w:rsidRPr="00DA3672" w:rsidRDefault="00CB1637" w:rsidP="0096096E">
      <w:pPr>
        <w:pStyle w:val="Heading1"/>
      </w:pPr>
      <w:bookmarkStart w:id="262" w:name="_cyd4wmh6hgu4" w:colFirst="0" w:colLast="0"/>
      <w:bookmarkEnd w:id="262"/>
      <w:r w:rsidRPr="00DA3672">
        <w:t>References</w:t>
      </w:r>
    </w:p>
    <w:bookmarkStart w:id="263" w:name="_ds2z9ltlty5u" w:colFirst="0" w:colLast="0"/>
    <w:bookmarkEnd w:id="263"/>
    <w:p w14:paraId="7603B1AC" w14:textId="77777777" w:rsidR="003B01B7" w:rsidRPr="003B01B7" w:rsidRDefault="00CB1637" w:rsidP="003B01B7">
      <w:pPr>
        <w:pStyle w:val="Bibliography"/>
      </w:pPr>
      <w:r>
        <w:fldChar w:fldCharType="begin"/>
      </w:r>
      <w:r>
        <w:instrText xml:space="preserve"> ADDIN ZOTERO_BIBL {"uncited":[],"omitted":[],"custom":[]} CSL_BIBLIOGRAPHY </w:instrText>
      </w:r>
      <w:r>
        <w:fldChar w:fldCharType="separate"/>
      </w:r>
      <w:r w:rsidR="003B01B7" w:rsidRPr="003B01B7">
        <w:t xml:space="preserve">Aichert, I., Späth, M., &amp; Ziegler, W. (2016). The role of metrical information in apraxia of speech. Perceptual and acoustic analyses of word stress. </w:t>
      </w:r>
      <w:r w:rsidR="003B01B7" w:rsidRPr="003B01B7">
        <w:rPr>
          <w:i/>
          <w:iCs/>
        </w:rPr>
        <w:t>Neuropsychologia</w:t>
      </w:r>
      <w:r w:rsidR="003B01B7" w:rsidRPr="003B01B7">
        <w:t xml:space="preserve">, </w:t>
      </w:r>
      <w:r w:rsidR="003B01B7" w:rsidRPr="003B01B7">
        <w:rPr>
          <w:i/>
          <w:iCs/>
        </w:rPr>
        <w:t>82</w:t>
      </w:r>
      <w:r w:rsidR="003B01B7" w:rsidRPr="003B01B7">
        <w:t>, 171–178. https://doi.org/10.1016/j.neuropsychologia.2016.01.009</w:t>
      </w:r>
    </w:p>
    <w:p w14:paraId="06C40F6B" w14:textId="77777777" w:rsidR="003B01B7" w:rsidRPr="003B01B7" w:rsidRDefault="003B01B7" w:rsidP="003B01B7">
      <w:pPr>
        <w:pStyle w:val="Bibliography"/>
      </w:pPr>
      <w:r w:rsidRPr="003B01B7">
        <w:t xml:space="preserve">Albert, M. L., Sparks, R. W., &amp; Helm, N. A. (1973). Melodic Intonation Therapy for Aphasia. </w:t>
      </w:r>
      <w:r w:rsidRPr="003B01B7">
        <w:rPr>
          <w:i/>
          <w:iCs/>
        </w:rPr>
        <w:t>Archives of Neurology</w:t>
      </w:r>
      <w:r w:rsidRPr="003B01B7">
        <w:t xml:space="preserve">, </w:t>
      </w:r>
      <w:r w:rsidRPr="003B01B7">
        <w:rPr>
          <w:i/>
          <w:iCs/>
        </w:rPr>
        <w:t>29</w:t>
      </w:r>
      <w:r w:rsidRPr="003B01B7">
        <w:t>(2), 130–131. https://doi.org/10.1001/archneur.1973.00490260074018</w:t>
      </w:r>
    </w:p>
    <w:p w14:paraId="2A904022" w14:textId="77777777" w:rsidR="003B01B7" w:rsidRPr="003B01B7" w:rsidRDefault="003B01B7" w:rsidP="003B01B7">
      <w:pPr>
        <w:pStyle w:val="Bibliography"/>
      </w:pPr>
      <w:r w:rsidRPr="003B01B7">
        <w:t xml:space="preserve">Bates, D. (2006, May 19). </w:t>
      </w:r>
      <w:r w:rsidRPr="003B01B7">
        <w:rPr>
          <w:i/>
          <w:iCs/>
        </w:rPr>
        <w:t>[R] lmer, p-values and all that</w:t>
      </w:r>
      <w:r w:rsidRPr="003B01B7">
        <w:t>. https://stat.ethz.ch/pipermail/r-help/2006-May/094765.html</w:t>
      </w:r>
    </w:p>
    <w:p w14:paraId="7AF91E08" w14:textId="77777777" w:rsidR="003B01B7" w:rsidRPr="003B01B7" w:rsidRDefault="003B01B7" w:rsidP="003B01B7">
      <w:pPr>
        <w:pStyle w:val="Bibliography"/>
      </w:pPr>
      <w:r w:rsidRPr="003B01B7">
        <w:t xml:space="preserve">Bates, D., Mächler, M., Bolker, B., &amp; Walker, S. (2015a). Fitting linear mixed-effects models using </w:t>
      </w:r>
      <w:r w:rsidRPr="003B01B7">
        <w:rPr>
          <w:i/>
          <w:iCs/>
        </w:rPr>
        <w:t>lme4</w:t>
      </w:r>
      <w:r w:rsidRPr="003B01B7">
        <w:t xml:space="preserve">. </w:t>
      </w:r>
      <w:r w:rsidRPr="003B01B7">
        <w:rPr>
          <w:i/>
          <w:iCs/>
        </w:rPr>
        <w:t>Journal of Statistical Software</w:t>
      </w:r>
      <w:r w:rsidRPr="003B01B7">
        <w:t xml:space="preserve">, </w:t>
      </w:r>
      <w:r w:rsidRPr="003B01B7">
        <w:rPr>
          <w:i/>
          <w:iCs/>
        </w:rPr>
        <w:t>67</w:t>
      </w:r>
      <w:r w:rsidRPr="003B01B7">
        <w:t>(1). https://doi.org/10.18637/jss.v067.i01</w:t>
      </w:r>
    </w:p>
    <w:p w14:paraId="42021643" w14:textId="77777777" w:rsidR="003B01B7" w:rsidRPr="003B01B7" w:rsidRDefault="003B01B7" w:rsidP="003B01B7">
      <w:pPr>
        <w:pStyle w:val="Bibliography"/>
      </w:pPr>
      <w:r w:rsidRPr="003B01B7">
        <w:lastRenderedPageBreak/>
        <w:t xml:space="preserve">Bates, D., Mächler, M., Bolker, B., &amp; Walker, S. (2015b). Fitting Linear Mixed-Effects Models Using lme4. </w:t>
      </w:r>
      <w:r w:rsidRPr="003B01B7">
        <w:rPr>
          <w:i/>
          <w:iCs/>
        </w:rPr>
        <w:t>Journal of Statistical Software</w:t>
      </w:r>
      <w:r w:rsidRPr="003B01B7">
        <w:t xml:space="preserve">, </w:t>
      </w:r>
      <w:r w:rsidRPr="003B01B7">
        <w:rPr>
          <w:i/>
          <w:iCs/>
        </w:rPr>
        <w:t>67</w:t>
      </w:r>
      <w:r w:rsidRPr="003B01B7">
        <w:t>(1), 1–48. https://doi.org/10.18637/jss.v067.i01</w:t>
      </w:r>
    </w:p>
    <w:p w14:paraId="651CDDD5" w14:textId="77777777" w:rsidR="003B01B7" w:rsidRPr="003B01B7" w:rsidRDefault="003B01B7" w:rsidP="003B01B7">
      <w:pPr>
        <w:pStyle w:val="Bibliography"/>
      </w:pPr>
      <w:r w:rsidRPr="003B01B7">
        <w:t xml:space="preserve">Blomert, L., Kean, M. L., Koster, C., &amp; Schokker, J. (1994). Amsterdam—Nijmegen everyday language test: Construction, reliability and validity. </w:t>
      </w:r>
      <w:r w:rsidRPr="003B01B7">
        <w:rPr>
          <w:i/>
          <w:iCs/>
        </w:rPr>
        <w:t>Aphasiology</w:t>
      </w:r>
      <w:r w:rsidRPr="003B01B7">
        <w:t xml:space="preserve">, </w:t>
      </w:r>
      <w:r w:rsidRPr="003B01B7">
        <w:rPr>
          <w:i/>
          <w:iCs/>
        </w:rPr>
        <w:t>8</w:t>
      </w:r>
      <w:r w:rsidRPr="003B01B7">
        <w:t>(4), 381–407. https://doi.org/10.1080/02687039408248666</w:t>
      </w:r>
    </w:p>
    <w:p w14:paraId="1F7717E3" w14:textId="77777777" w:rsidR="003B01B7" w:rsidRPr="003B01B7" w:rsidRDefault="003B01B7" w:rsidP="003B01B7">
      <w:pPr>
        <w:pStyle w:val="Bibliography"/>
      </w:pPr>
      <w:r w:rsidRPr="003B01B7">
        <w:t xml:space="preserve">Brady, M. C., Kelly, H., Godwin, J., &amp; Enderby, P. (2016). Speech and language therapy for aphasia following stroke. </w:t>
      </w:r>
      <w:r w:rsidRPr="003B01B7">
        <w:rPr>
          <w:i/>
          <w:iCs/>
        </w:rPr>
        <w:t>Cochrane Database of Systematic Reviews</w:t>
      </w:r>
      <w:r w:rsidRPr="003B01B7">
        <w:t xml:space="preserve">, </w:t>
      </w:r>
      <w:r w:rsidRPr="003B01B7">
        <w:rPr>
          <w:i/>
          <w:iCs/>
        </w:rPr>
        <w:t>5</w:t>
      </w:r>
      <w:r w:rsidRPr="003B01B7">
        <w:t>. https://doi.org/10.1002/14651858.CD000425.pub3</w:t>
      </w:r>
    </w:p>
    <w:p w14:paraId="36DC1B55" w14:textId="77777777" w:rsidR="003B01B7" w:rsidRPr="003B01B7" w:rsidRDefault="003B01B7" w:rsidP="003B01B7">
      <w:pPr>
        <w:pStyle w:val="Bibliography"/>
      </w:pPr>
      <w:r w:rsidRPr="003B01B7">
        <w:t xml:space="preserve">Breitenstein, C., Grewe, T., Flöel, A., Ziegler, W., Springer, L., Martus, P., Huber, W., Willmes, K., Ringelstein, E. B., Haeusler, K. G., Abel, S., Glindemann, R., Domahs, F., Regenbrecht, F., Schlenck, K.-J., Thomas, M., Obrig, H., de Langen, E., Rocker, R., … Bamborschke, S. (2017). Intensive speech and language therapy in patients with chronic aphasia after stroke: A randomised, open-label, blinded-endpoint, controlled trial in a health-care setting. </w:t>
      </w:r>
      <w:r w:rsidRPr="003B01B7">
        <w:rPr>
          <w:i/>
          <w:iCs/>
        </w:rPr>
        <w:t>The Lancet</w:t>
      </w:r>
      <w:r w:rsidRPr="003B01B7">
        <w:t xml:space="preserve">, </w:t>
      </w:r>
      <w:r w:rsidRPr="003B01B7">
        <w:rPr>
          <w:i/>
          <w:iCs/>
        </w:rPr>
        <w:t>389</w:t>
      </w:r>
      <w:r w:rsidRPr="003B01B7">
        <w:t>(10078), 1528–1538. https://doi.org/10.1016/S0140-6736(17)30067-3</w:t>
      </w:r>
    </w:p>
    <w:p w14:paraId="35116ABD" w14:textId="77777777" w:rsidR="003B01B7" w:rsidRPr="003B01B7" w:rsidRDefault="003B01B7" w:rsidP="003B01B7">
      <w:pPr>
        <w:pStyle w:val="Bibliography"/>
      </w:pPr>
      <w:r w:rsidRPr="003B01B7">
        <w:t xml:space="preserve">Cohen, P., Cohen, J., Aiken, L. S., &amp; West, S. G. (1999). The problem of units and the circumstance for POMP. </w:t>
      </w:r>
      <w:r w:rsidRPr="003B01B7">
        <w:rPr>
          <w:i/>
          <w:iCs/>
        </w:rPr>
        <w:t>Multivariate Behavioral Research</w:t>
      </w:r>
      <w:r w:rsidRPr="003B01B7">
        <w:t xml:space="preserve">, </w:t>
      </w:r>
      <w:r w:rsidRPr="003B01B7">
        <w:rPr>
          <w:i/>
          <w:iCs/>
        </w:rPr>
        <w:t>34</w:t>
      </w:r>
      <w:r w:rsidRPr="003B01B7">
        <w:t>(3), 315–346. https://doi.org/10.1207/S15327906MBR3403_2</w:t>
      </w:r>
    </w:p>
    <w:p w14:paraId="7838ACD9" w14:textId="77777777" w:rsidR="003B01B7" w:rsidRPr="003B01B7" w:rsidRDefault="003B01B7" w:rsidP="003B01B7">
      <w:pPr>
        <w:pStyle w:val="Bibliography"/>
      </w:pPr>
      <w:r w:rsidRPr="003B01B7">
        <w:t xml:space="preserve">Doppelbauer, L., Mohr, B., Dreyer, F. R., Stahl, B., Büscher, V., &amp; Pulvermüller, F. (2021). Long-Term Stability of Short-Term Intensive Language-Action Therapy in Chronic Aphasia: A 1-2 year Follow-Up Study. </w:t>
      </w:r>
      <w:r w:rsidRPr="003B01B7">
        <w:rPr>
          <w:i/>
          <w:iCs/>
        </w:rPr>
        <w:t>Neurorehabilitation and Neural Repair</w:t>
      </w:r>
      <w:r w:rsidRPr="003B01B7">
        <w:t>, 15459683211029236. https://doi.org/10.1177/15459683211029235</w:t>
      </w:r>
    </w:p>
    <w:p w14:paraId="314BF905" w14:textId="77777777" w:rsidR="003B01B7" w:rsidRPr="003B01B7" w:rsidRDefault="003B01B7" w:rsidP="003B01B7">
      <w:pPr>
        <w:pStyle w:val="Bibliography"/>
      </w:pPr>
      <w:r w:rsidRPr="003B01B7">
        <w:t xml:space="preserve">Engelter, S. T., Gostynski, M., Papa, S., Frei, M., Born, C., Ajdacic-Gross, V., Gutzwiller, F., &amp; Lyrer, P. A. (2006). Epidemiology of aphasia attributable to first ischemic stroke: Incidence, severity, fluency, etiology, and thrombolysis. </w:t>
      </w:r>
      <w:r w:rsidRPr="003B01B7">
        <w:rPr>
          <w:i/>
          <w:iCs/>
        </w:rPr>
        <w:t>Stroke</w:t>
      </w:r>
      <w:r w:rsidRPr="003B01B7">
        <w:t xml:space="preserve">, </w:t>
      </w:r>
      <w:r w:rsidRPr="003B01B7">
        <w:rPr>
          <w:i/>
          <w:iCs/>
        </w:rPr>
        <w:t>37</w:t>
      </w:r>
      <w:r w:rsidRPr="003B01B7">
        <w:t>(6), 1379–1384. https://doi.org/10.1161/01.STR.0000221815.64093.8c</w:t>
      </w:r>
    </w:p>
    <w:p w14:paraId="4A9CF5C7" w14:textId="77777777" w:rsidR="003B01B7" w:rsidRPr="003B01B7" w:rsidRDefault="003B01B7" w:rsidP="003B01B7">
      <w:pPr>
        <w:pStyle w:val="Bibliography"/>
      </w:pPr>
      <w:r w:rsidRPr="003B01B7">
        <w:lastRenderedPageBreak/>
        <w:t xml:space="preserve">Gerstman, H. L. (1964). A case of aphasia. </w:t>
      </w:r>
      <w:r w:rsidRPr="003B01B7">
        <w:rPr>
          <w:i/>
          <w:iCs/>
        </w:rPr>
        <w:t>The Journal of Speech and Hearing Disorders</w:t>
      </w:r>
      <w:r w:rsidRPr="003B01B7">
        <w:t xml:space="preserve">, </w:t>
      </w:r>
      <w:r w:rsidRPr="003B01B7">
        <w:rPr>
          <w:i/>
          <w:iCs/>
        </w:rPr>
        <w:t>29</w:t>
      </w:r>
      <w:r w:rsidRPr="003B01B7">
        <w:t>, 89–91. https://doi.org/10.1044/jshd.2901.89</w:t>
      </w:r>
    </w:p>
    <w:p w14:paraId="028DBFA5" w14:textId="77777777" w:rsidR="003B01B7" w:rsidRPr="003B01B7" w:rsidRDefault="003B01B7" w:rsidP="003B01B7">
      <w:pPr>
        <w:pStyle w:val="Bibliography"/>
      </w:pPr>
      <w:r w:rsidRPr="003B01B7">
        <w:t xml:space="preserve">Helm-Estabrooks, N., Morgan, A. R., &amp; Nicholas, M. (1989). </w:t>
      </w:r>
      <w:r w:rsidRPr="003B01B7">
        <w:rPr>
          <w:i/>
          <w:iCs/>
        </w:rPr>
        <w:t>Melodic intonation therapy</w:t>
      </w:r>
      <w:r w:rsidRPr="003B01B7">
        <w:t>. Pro-Ed.</w:t>
      </w:r>
    </w:p>
    <w:p w14:paraId="12FDC315" w14:textId="77777777" w:rsidR="003B01B7" w:rsidRPr="003B01B7" w:rsidRDefault="003B01B7" w:rsidP="003B01B7">
      <w:pPr>
        <w:pStyle w:val="Bibliography"/>
      </w:pPr>
      <w:r w:rsidRPr="003B01B7">
        <w:t xml:space="preserve">Higgins, J., Thomas, J., Chandler, J., Cumpston, M., Li, T., Page, M., &amp; Welch, V. (Eds.). (2021). </w:t>
      </w:r>
      <w:r w:rsidRPr="003B01B7">
        <w:rPr>
          <w:i/>
          <w:iCs/>
        </w:rPr>
        <w:t>Cochrane Handbook for Systematic Reviews of Interventions</w:t>
      </w:r>
      <w:r w:rsidRPr="003B01B7">
        <w:t>. Cochrane. www.training.cochrane.org/handbook</w:t>
      </w:r>
    </w:p>
    <w:p w14:paraId="2C31C191" w14:textId="77777777" w:rsidR="003B01B7" w:rsidRPr="003B01B7" w:rsidRDefault="003B01B7" w:rsidP="003B01B7">
      <w:pPr>
        <w:pStyle w:val="Bibliography"/>
      </w:pPr>
      <w:r w:rsidRPr="003B01B7">
        <w:t xml:space="preserve">Hurkmans, J., Bruijn, M. de, Boonstra, A. M., Jonkers, R., Bastiaanse, R., Arendzen, H., &amp; Reinders-Messelink, H. A. (2012). Music in the treatment of neurological language and speech disorders: A systematic review. </w:t>
      </w:r>
      <w:r w:rsidRPr="003B01B7">
        <w:rPr>
          <w:i/>
          <w:iCs/>
        </w:rPr>
        <w:t>Aphasiology</w:t>
      </w:r>
      <w:r w:rsidRPr="003B01B7">
        <w:t xml:space="preserve">, </w:t>
      </w:r>
      <w:r w:rsidRPr="003B01B7">
        <w:rPr>
          <w:i/>
          <w:iCs/>
        </w:rPr>
        <w:t>26</w:t>
      </w:r>
      <w:r w:rsidRPr="003B01B7">
        <w:t>(1), 1–19. https://doi.org/10.1080/02687038.2011.602514</w:t>
      </w:r>
    </w:p>
    <w:p w14:paraId="0BDBA65B" w14:textId="77777777" w:rsidR="003B01B7" w:rsidRPr="003B01B7" w:rsidRDefault="003B01B7" w:rsidP="003B01B7">
      <w:pPr>
        <w:pStyle w:val="Bibliography"/>
      </w:pPr>
      <w:r w:rsidRPr="003B01B7">
        <w:t xml:space="preserve">IntHout, J., Ioannidis, J. P. A., Rovers, M. M., &amp; Goeman, J. J. (2016). Plea for routinely presenting prediction intervals in meta-analysis. </w:t>
      </w:r>
      <w:r w:rsidRPr="003B01B7">
        <w:rPr>
          <w:i/>
          <w:iCs/>
        </w:rPr>
        <w:t>BMJ Open</w:t>
      </w:r>
      <w:r w:rsidRPr="003B01B7">
        <w:t xml:space="preserve">, </w:t>
      </w:r>
      <w:r w:rsidRPr="003B01B7">
        <w:rPr>
          <w:i/>
          <w:iCs/>
        </w:rPr>
        <w:t>6</w:t>
      </w:r>
      <w:r w:rsidRPr="003B01B7">
        <w:t>(7), e010247. https://doi.org/10.1136/bmjopen-2015-010247</w:t>
      </w:r>
    </w:p>
    <w:p w14:paraId="048999E6" w14:textId="77777777" w:rsidR="003B01B7" w:rsidRPr="003B01B7" w:rsidRDefault="003B01B7" w:rsidP="003B01B7">
      <w:pPr>
        <w:pStyle w:val="Bibliography"/>
      </w:pPr>
      <w:r w:rsidRPr="003B01B7">
        <w:t xml:space="preserve">Ivanova, M. V., &amp; Hallowell, B. (2013). A tutorial on aphasia test development in any language: Key substantive and psychometric considerations. </w:t>
      </w:r>
      <w:r w:rsidRPr="003B01B7">
        <w:rPr>
          <w:i/>
          <w:iCs/>
        </w:rPr>
        <w:t>Aphasiology</w:t>
      </w:r>
      <w:r w:rsidRPr="003B01B7">
        <w:t xml:space="preserve">, </w:t>
      </w:r>
      <w:r w:rsidRPr="003B01B7">
        <w:rPr>
          <w:i/>
          <w:iCs/>
        </w:rPr>
        <w:t>27</w:t>
      </w:r>
      <w:r w:rsidRPr="003B01B7">
        <w:t>(8), 891–920. https://doi.org/10.1080/02687038.2013.805728</w:t>
      </w:r>
    </w:p>
    <w:p w14:paraId="2DE1BFCF" w14:textId="77777777" w:rsidR="003B01B7" w:rsidRPr="003B01B7" w:rsidRDefault="003B01B7" w:rsidP="003B01B7">
      <w:pPr>
        <w:pStyle w:val="Bibliography"/>
      </w:pPr>
      <w:r w:rsidRPr="003B01B7">
        <w:t xml:space="preserve">Kershenbaum, A., Nicholas, M. L., Hunsaker, E., &amp; Zipse, L. (2019). Speak along without the song: What promotes fluency in people with aphasia? </w:t>
      </w:r>
      <w:r w:rsidRPr="003B01B7">
        <w:rPr>
          <w:i/>
          <w:iCs/>
        </w:rPr>
        <w:t>Aphasiology</w:t>
      </w:r>
      <w:r w:rsidRPr="003B01B7">
        <w:t xml:space="preserve">, </w:t>
      </w:r>
      <w:r w:rsidRPr="003B01B7">
        <w:rPr>
          <w:i/>
          <w:iCs/>
        </w:rPr>
        <w:t>33</w:t>
      </w:r>
      <w:r w:rsidRPr="003B01B7">
        <w:t>(4), 405–428. https://doi.org/10.1080/02687038.2017.1413487</w:t>
      </w:r>
    </w:p>
    <w:p w14:paraId="488824F7" w14:textId="77777777" w:rsidR="003B01B7" w:rsidRPr="003B01B7" w:rsidRDefault="003B01B7" w:rsidP="003B01B7">
      <w:pPr>
        <w:pStyle w:val="Bibliography"/>
      </w:pPr>
      <w:r w:rsidRPr="003B01B7">
        <w:t xml:space="preserve">Knapp, G., &amp; Hartung, J. (2003). Improved tests for a random effects meta-regression with a single covariate. </w:t>
      </w:r>
      <w:r w:rsidRPr="003B01B7">
        <w:rPr>
          <w:i/>
          <w:iCs/>
        </w:rPr>
        <w:t>Statistics in Medicine</w:t>
      </w:r>
      <w:r w:rsidRPr="003B01B7">
        <w:t xml:space="preserve">, </w:t>
      </w:r>
      <w:r w:rsidRPr="003B01B7">
        <w:rPr>
          <w:i/>
          <w:iCs/>
        </w:rPr>
        <w:t>22</w:t>
      </w:r>
      <w:r w:rsidRPr="003B01B7">
        <w:t>(17), 2693–2710. https://doi.org/10.1002/sim.1482</w:t>
      </w:r>
    </w:p>
    <w:p w14:paraId="29FEFD7C" w14:textId="77777777" w:rsidR="003B01B7" w:rsidRPr="003B01B7" w:rsidRDefault="003B01B7" w:rsidP="003B01B7">
      <w:pPr>
        <w:pStyle w:val="Bibliography"/>
      </w:pPr>
      <w:r w:rsidRPr="003B01B7">
        <w:t xml:space="preserve">Konstantopoulos, S. (2011). Fixed effects and variance components estimation in three-level meta-analysis: Three-level meta-analysis. </w:t>
      </w:r>
      <w:r w:rsidRPr="003B01B7">
        <w:rPr>
          <w:i/>
          <w:iCs/>
        </w:rPr>
        <w:t>Research Synthesis Methods</w:t>
      </w:r>
      <w:r w:rsidRPr="003B01B7">
        <w:t xml:space="preserve">, </w:t>
      </w:r>
      <w:r w:rsidRPr="003B01B7">
        <w:rPr>
          <w:i/>
          <w:iCs/>
        </w:rPr>
        <w:t>2</w:t>
      </w:r>
      <w:r w:rsidRPr="003B01B7">
        <w:t>(1), 61–76. https://doi.org/10.1002/jrsm.35</w:t>
      </w:r>
    </w:p>
    <w:p w14:paraId="364F4B26" w14:textId="77777777" w:rsidR="003B01B7" w:rsidRPr="003B01B7" w:rsidRDefault="003B01B7" w:rsidP="003B01B7">
      <w:pPr>
        <w:pStyle w:val="Bibliography"/>
      </w:pPr>
      <w:r w:rsidRPr="003B01B7">
        <w:lastRenderedPageBreak/>
        <w:t xml:space="preserve">Mills, C. K. (1904). Treatment of aphasia by training. </w:t>
      </w:r>
      <w:r w:rsidRPr="003B01B7">
        <w:rPr>
          <w:i/>
          <w:iCs/>
        </w:rPr>
        <w:t>Journal of the American Medical Association</w:t>
      </w:r>
      <w:r w:rsidRPr="003B01B7">
        <w:t xml:space="preserve">, </w:t>
      </w:r>
      <w:r w:rsidRPr="003B01B7">
        <w:rPr>
          <w:i/>
          <w:iCs/>
        </w:rPr>
        <w:t>43</w:t>
      </w:r>
      <w:r w:rsidRPr="003B01B7">
        <w:t>(26), 1940–1949.</w:t>
      </w:r>
    </w:p>
    <w:p w14:paraId="1B02C720" w14:textId="77777777" w:rsidR="003B01B7" w:rsidRPr="003B01B7" w:rsidRDefault="003B01B7" w:rsidP="003B01B7">
      <w:pPr>
        <w:pStyle w:val="Bibliography"/>
      </w:pPr>
      <w:r w:rsidRPr="003B01B7">
        <w:t xml:space="preserve">Morris, S. B. (2008). Estimating effect sizes from pretest-posttest-control group designs. </w:t>
      </w:r>
      <w:r w:rsidRPr="003B01B7">
        <w:rPr>
          <w:i/>
          <w:iCs/>
        </w:rPr>
        <w:t>Organizational Research Methods</w:t>
      </w:r>
      <w:r w:rsidRPr="003B01B7">
        <w:t xml:space="preserve">, </w:t>
      </w:r>
      <w:r w:rsidRPr="003B01B7">
        <w:rPr>
          <w:i/>
          <w:iCs/>
        </w:rPr>
        <w:t>11</w:t>
      </w:r>
      <w:r w:rsidRPr="003B01B7">
        <w:t>(2), 364–386. https://doi.org/10.1177/1094428106291059</w:t>
      </w:r>
    </w:p>
    <w:p w14:paraId="549DD3B1" w14:textId="77777777" w:rsidR="003B01B7" w:rsidRPr="003B01B7" w:rsidRDefault="003B01B7" w:rsidP="003B01B7">
      <w:pPr>
        <w:pStyle w:val="Bibliography"/>
      </w:pPr>
      <w:r w:rsidRPr="003B01B7">
        <w:t xml:space="preserve">R Core Team. (2021). </w:t>
      </w:r>
      <w:r w:rsidRPr="003B01B7">
        <w:rPr>
          <w:i/>
          <w:iCs/>
        </w:rPr>
        <w:t>R: A language and environment for statistical computing</w:t>
      </w:r>
      <w:r w:rsidRPr="003B01B7">
        <w:t xml:space="preserve"> (4.1.0) [Computer software]. R Foundation for Statistical Computing. http://www.r-project.org/</w:t>
      </w:r>
    </w:p>
    <w:p w14:paraId="45CF0890" w14:textId="77777777" w:rsidR="003B01B7" w:rsidRPr="003B01B7" w:rsidRDefault="003B01B7" w:rsidP="003B01B7">
      <w:pPr>
        <w:pStyle w:val="Bibliography"/>
      </w:pPr>
      <w:r w:rsidRPr="003B01B7">
        <w:t xml:space="preserve">Racette, A., Bard, C., &amp; Peretz, I. (2006). Making non-fluent aphasics speak: Sing along! </w:t>
      </w:r>
      <w:r w:rsidRPr="003B01B7">
        <w:rPr>
          <w:i/>
          <w:iCs/>
        </w:rPr>
        <w:t>Brain</w:t>
      </w:r>
      <w:r w:rsidRPr="003B01B7">
        <w:t xml:space="preserve">, </w:t>
      </w:r>
      <w:r w:rsidRPr="003B01B7">
        <w:rPr>
          <w:i/>
          <w:iCs/>
        </w:rPr>
        <w:t>129</w:t>
      </w:r>
      <w:r w:rsidRPr="003B01B7">
        <w:t>(10), 2571–2584. https://doi.org/10.1093/brain/awl250</w:t>
      </w:r>
    </w:p>
    <w:p w14:paraId="32885F4B" w14:textId="77777777" w:rsidR="003B01B7" w:rsidRPr="003B01B7" w:rsidRDefault="003B01B7" w:rsidP="003B01B7">
      <w:pPr>
        <w:pStyle w:val="Bibliography"/>
      </w:pPr>
      <w:r w:rsidRPr="003B01B7">
        <w:t xml:space="preserve">RELEASE Collaborators. (2021). Predictors of Poststroke Aphasia Recovery: A Systematic Review-Informed Individual Participant Data Meta-Analysis. </w:t>
      </w:r>
      <w:r w:rsidRPr="003B01B7">
        <w:rPr>
          <w:i/>
          <w:iCs/>
        </w:rPr>
        <w:t>Stroke</w:t>
      </w:r>
      <w:r w:rsidRPr="003B01B7">
        <w:t xml:space="preserve">, </w:t>
      </w:r>
      <w:r w:rsidRPr="003B01B7">
        <w:rPr>
          <w:i/>
          <w:iCs/>
        </w:rPr>
        <w:t>52</w:t>
      </w:r>
      <w:r w:rsidRPr="003B01B7">
        <w:t>(5), 1778–1787. https://doi.org/10.1161/STROKEAHA.120.031162</w:t>
      </w:r>
    </w:p>
    <w:p w14:paraId="34BC9810" w14:textId="77777777" w:rsidR="003B01B7" w:rsidRPr="003B01B7" w:rsidRDefault="003B01B7" w:rsidP="003B01B7">
      <w:pPr>
        <w:pStyle w:val="Bibliography"/>
      </w:pPr>
      <w:r w:rsidRPr="003B01B7">
        <w:t xml:space="preserve">Revicki, D., Hays, R. D., Cella, D., &amp; Sloan, J. (2008). Recommended methods for determining responsiveness and minimally important differences for patient-reported outcomes. </w:t>
      </w:r>
      <w:r w:rsidRPr="003B01B7">
        <w:rPr>
          <w:i/>
          <w:iCs/>
        </w:rPr>
        <w:t>Journal of Clinical Epidemiology</w:t>
      </w:r>
      <w:r w:rsidRPr="003B01B7">
        <w:t xml:space="preserve">, </w:t>
      </w:r>
      <w:r w:rsidRPr="003B01B7">
        <w:rPr>
          <w:i/>
          <w:iCs/>
        </w:rPr>
        <w:t>61</w:t>
      </w:r>
      <w:r w:rsidRPr="003B01B7">
        <w:t>(2), 102–109. https://doi.org/10.1016/j.jclinepi.2007.03.012</w:t>
      </w:r>
    </w:p>
    <w:p w14:paraId="42227328" w14:textId="77777777" w:rsidR="003B01B7" w:rsidRPr="003B01B7" w:rsidRDefault="003B01B7" w:rsidP="003B01B7">
      <w:pPr>
        <w:pStyle w:val="Bibliography"/>
      </w:pPr>
      <w:r w:rsidRPr="003B01B7">
        <w:t xml:space="preserve">Riley, R. D., Lambert, P. C., &amp; Abo-Zaid, G. (2010). Meta-analysis of individual participant data: Rationale, conduct, and reporting. </w:t>
      </w:r>
      <w:r w:rsidRPr="003B01B7">
        <w:rPr>
          <w:i/>
          <w:iCs/>
        </w:rPr>
        <w:t>BMJ</w:t>
      </w:r>
      <w:r w:rsidRPr="003B01B7">
        <w:t xml:space="preserve">, </w:t>
      </w:r>
      <w:r w:rsidRPr="003B01B7">
        <w:rPr>
          <w:i/>
          <w:iCs/>
        </w:rPr>
        <w:t>340</w:t>
      </w:r>
      <w:r w:rsidRPr="003B01B7">
        <w:t>, c221. https://doi.org/10.1136/bmj.c221</w:t>
      </w:r>
    </w:p>
    <w:p w14:paraId="3EA89B1A" w14:textId="77777777" w:rsidR="003B01B7" w:rsidRPr="003B01B7" w:rsidRDefault="003B01B7" w:rsidP="003B01B7">
      <w:pPr>
        <w:pStyle w:val="Bibliography"/>
      </w:pPr>
      <w:r w:rsidRPr="003B01B7">
        <w:t xml:space="preserve">Stahl, B., Gawron, B., Regenbrecht, F., Flöel, A., &amp; Kotz, S. A. (2020). Formulaic Language Resources May Help Overcome Difficulties in Speech-Motor Planning after Stroke. </w:t>
      </w:r>
      <w:r w:rsidRPr="003B01B7">
        <w:rPr>
          <w:i/>
          <w:iCs/>
        </w:rPr>
        <w:t>PloS One</w:t>
      </w:r>
      <w:r w:rsidRPr="003B01B7">
        <w:t xml:space="preserve">, </w:t>
      </w:r>
      <w:r w:rsidRPr="003B01B7">
        <w:rPr>
          <w:i/>
          <w:iCs/>
        </w:rPr>
        <w:t>15</w:t>
      </w:r>
      <w:r w:rsidRPr="003B01B7">
        <w:t>(6), e0233608. https://doi.org/10.1371/journal.pone.0233608</w:t>
      </w:r>
    </w:p>
    <w:p w14:paraId="6552F88E" w14:textId="77777777" w:rsidR="003B01B7" w:rsidRPr="003B01B7" w:rsidRDefault="003B01B7" w:rsidP="003B01B7">
      <w:pPr>
        <w:pStyle w:val="Bibliography"/>
      </w:pPr>
      <w:r w:rsidRPr="003B01B7">
        <w:t xml:space="preserve">Stahl, B., &amp; Kotz, S. A. (2014). Facing the music: Three issues in current research on singing and aphasia. </w:t>
      </w:r>
      <w:r w:rsidRPr="003B01B7">
        <w:rPr>
          <w:i/>
          <w:iCs/>
        </w:rPr>
        <w:t>Frontiers in Psychology</w:t>
      </w:r>
      <w:r w:rsidRPr="003B01B7">
        <w:t xml:space="preserve">, </w:t>
      </w:r>
      <w:r w:rsidRPr="003B01B7">
        <w:rPr>
          <w:i/>
          <w:iCs/>
        </w:rPr>
        <w:t>5</w:t>
      </w:r>
      <w:r w:rsidRPr="003B01B7">
        <w:t>, 1033. https://doi.org/10.3389/fpsyg.2014.01033</w:t>
      </w:r>
    </w:p>
    <w:p w14:paraId="3B163DB2" w14:textId="77777777" w:rsidR="003B01B7" w:rsidRPr="003B01B7" w:rsidRDefault="003B01B7" w:rsidP="003B01B7">
      <w:pPr>
        <w:pStyle w:val="Bibliography"/>
      </w:pPr>
      <w:r w:rsidRPr="003B01B7">
        <w:t xml:space="preserve">Stahl, B., Kotz, S. A., Henseler, I., Turner, R., &amp; Geyer, S. (2011). Rhythm in disguise: Why singing may not hold the key to recovery from aphasia. </w:t>
      </w:r>
      <w:r w:rsidRPr="003B01B7">
        <w:rPr>
          <w:i/>
          <w:iCs/>
        </w:rPr>
        <w:t>Brain</w:t>
      </w:r>
      <w:r w:rsidRPr="003B01B7">
        <w:t xml:space="preserve">, </w:t>
      </w:r>
      <w:r w:rsidRPr="003B01B7">
        <w:rPr>
          <w:i/>
          <w:iCs/>
        </w:rPr>
        <w:t>134</w:t>
      </w:r>
      <w:r w:rsidRPr="003B01B7">
        <w:t>(10), 3083–3093. https://doi.org/10.1093/brain/awr240</w:t>
      </w:r>
    </w:p>
    <w:p w14:paraId="5F49B4E5" w14:textId="77777777" w:rsidR="003B01B7" w:rsidRPr="003B01B7" w:rsidRDefault="003B01B7" w:rsidP="003B01B7">
      <w:pPr>
        <w:pStyle w:val="Bibliography"/>
      </w:pPr>
      <w:r w:rsidRPr="003B01B7">
        <w:lastRenderedPageBreak/>
        <w:t xml:space="preserve">Stahl, B., Mohr, B., Dreyer, F. R., Lucchese, G., &amp; Pulvermüller, F. (2017). Communicative-Pragmatic Assessment Is Sensitive and Time-Effective in Measuring the Outcome of Aphasia Therapy. </w:t>
      </w:r>
      <w:r w:rsidRPr="003B01B7">
        <w:rPr>
          <w:i/>
          <w:iCs/>
        </w:rPr>
        <w:t>Frontiers in Human Neuroscience</w:t>
      </w:r>
      <w:r w:rsidRPr="003B01B7">
        <w:t xml:space="preserve">, </w:t>
      </w:r>
      <w:r w:rsidRPr="003B01B7">
        <w:rPr>
          <w:i/>
          <w:iCs/>
        </w:rPr>
        <w:t>11</w:t>
      </w:r>
      <w:r w:rsidRPr="003B01B7">
        <w:t>. https://doi.org/10.3389/fnhum.2017.00223</w:t>
      </w:r>
    </w:p>
    <w:p w14:paraId="29ADB03A" w14:textId="77777777" w:rsidR="003B01B7" w:rsidRPr="003B01B7" w:rsidRDefault="003B01B7" w:rsidP="003B01B7">
      <w:pPr>
        <w:pStyle w:val="Bibliography"/>
      </w:pPr>
      <w:r w:rsidRPr="003B01B7">
        <w:t xml:space="preserve">van der Meulen, I., van de Sandt-Koenderman, M. E., &amp; Ribbers, G. M. (2012). Melodic Intonation Therapy: Present Controversies and Future Opportunities. </w:t>
      </w:r>
      <w:r w:rsidRPr="003B01B7">
        <w:rPr>
          <w:i/>
          <w:iCs/>
        </w:rPr>
        <w:t>Archives of Physical Medicine and Rehabilitation</w:t>
      </w:r>
      <w:r w:rsidRPr="003B01B7">
        <w:t xml:space="preserve">, </w:t>
      </w:r>
      <w:r w:rsidRPr="003B01B7">
        <w:rPr>
          <w:i/>
          <w:iCs/>
        </w:rPr>
        <w:t>93</w:t>
      </w:r>
      <w:r w:rsidRPr="003B01B7">
        <w:t>(1, Supplement), S46–S52. https://doi.org/10.1016/j.apmr.2011.05.029</w:t>
      </w:r>
    </w:p>
    <w:p w14:paraId="074E5E4A" w14:textId="77777777" w:rsidR="003B01B7" w:rsidRPr="003B01B7" w:rsidRDefault="003B01B7" w:rsidP="003B01B7">
      <w:pPr>
        <w:pStyle w:val="Bibliography"/>
      </w:pPr>
      <w:r w:rsidRPr="003B01B7">
        <w:t xml:space="preserve">Van Der Meulen, I., Van De Sandt-Koenderman, M. W. M. E., Heijenbrok, M. H., Visch-Brink, E., &amp; Ribbers, G. M. (2016). Melodic Intonation Therapy in Chronic Aphasia: Evidence from a Pilot Randomized Controlled Trial. </w:t>
      </w:r>
      <w:r w:rsidRPr="003B01B7">
        <w:rPr>
          <w:i/>
          <w:iCs/>
        </w:rPr>
        <w:t>Frontiers in Human Neuroscience</w:t>
      </w:r>
      <w:r w:rsidRPr="003B01B7">
        <w:t xml:space="preserve">, </w:t>
      </w:r>
      <w:r w:rsidRPr="003B01B7">
        <w:rPr>
          <w:i/>
          <w:iCs/>
        </w:rPr>
        <w:t>10</w:t>
      </w:r>
      <w:r w:rsidRPr="003B01B7">
        <w:t>. https://doi.org/10.3389/fnhum.2016.00533</w:t>
      </w:r>
    </w:p>
    <w:p w14:paraId="6483FFB8" w14:textId="77777777" w:rsidR="003B01B7" w:rsidRPr="003B01B7" w:rsidRDefault="003B01B7" w:rsidP="003B01B7">
      <w:pPr>
        <w:pStyle w:val="Bibliography"/>
      </w:pPr>
      <w:r w:rsidRPr="003B01B7">
        <w:t xml:space="preserve">van der Meulen, I., van de Sandt-Koenderman, W. Mieke. E., Heijenbrok-Kal, M. H., Visch-Brink, E. G., &amp; Ribbers, G. M. (2014). The Efficacy and Timing of Melodic Intonation Therapy in Subacute Aphasia. </w:t>
      </w:r>
      <w:r w:rsidRPr="003B01B7">
        <w:rPr>
          <w:i/>
          <w:iCs/>
        </w:rPr>
        <w:t>Neurorehabilitation and Neural Repair</w:t>
      </w:r>
      <w:r w:rsidRPr="003B01B7">
        <w:t xml:space="preserve">, </w:t>
      </w:r>
      <w:r w:rsidRPr="003B01B7">
        <w:rPr>
          <w:i/>
          <w:iCs/>
        </w:rPr>
        <w:t>28</w:t>
      </w:r>
      <w:r w:rsidRPr="003B01B7">
        <w:t>(6), 536–544. https://doi.org/10.1177/1545968313517753</w:t>
      </w:r>
    </w:p>
    <w:p w14:paraId="36F61095" w14:textId="77777777" w:rsidR="003B01B7" w:rsidRPr="003B01B7" w:rsidRDefault="003B01B7" w:rsidP="003B01B7">
      <w:pPr>
        <w:pStyle w:val="Bibliography"/>
      </w:pPr>
      <w:r w:rsidRPr="003B01B7">
        <w:t xml:space="preserve">Van Lancker Sidtis, D. (2021). </w:t>
      </w:r>
      <w:r w:rsidRPr="003B01B7">
        <w:rPr>
          <w:i/>
          <w:iCs/>
        </w:rPr>
        <w:t>Foundations of Familiar Language: Formulaic Expressions, Lexical Bundles, and Collocations at Work and Play</w:t>
      </w:r>
      <w:r w:rsidRPr="003B01B7">
        <w:t xml:space="preserve"> (1st edition). Wiley-Blackwell.</w:t>
      </w:r>
    </w:p>
    <w:p w14:paraId="18E6FCB2" w14:textId="77777777" w:rsidR="003B01B7" w:rsidRPr="003B01B7" w:rsidRDefault="003B01B7" w:rsidP="003B01B7">
      <w:pPr>
        <w:pStyle w:val="Bibliography"/>
      </w:pPr>
      <w:r w:rsidRPr="003B01B7">
        <w:t xml:space="preserve">Viechtbauer, W. (2005). Bias and efficiency of meta-analytic variance estimators in the random-effects model. </w:t>
      </w:r>
      <w:r w:rsidRPr="003B01B7">
        <w:rPr>
          <w:i/>
          <w:iCs/>
        </w:rPr>
        <w:t>Journal of Educational and Behavioral Statistics</w:t>
      </w:r>
      <w:r w:rsidRPr="003B01B7">
        <w:t xml:space="preserve">, </w:t>
      </w:r>
      <w:r w:rsidRPr="003B01B7">
        <w:rPr>
          <w:i/>
          <w:iCs/>
        </w:rPr>
        <w:t>30</w:t>
      </w:r>
      <w:r w:rsidRPr="003B01B7">
        <w:t>(3), 261–293. https://doi.org/10.3102/10769986030003261</w:t>
      </w:r>
    </w:p>
    <w:p w14:paraId="707906F6" w14:textId="77777777" w:rsidR="003B01B7" w:rsidRPr="003B01B7" w:rsidRDefault="003B01B7" w:rsidP="003B01B7">
      <w:pPr>
        <w:pStyle w:val="Bibliography"/>
      </w:pPr>
      <w:r w:rsidRPr="003B01B7">
        <w:t xml:space="preserve">Viechtbauer, W. (2010). Conducting meta-analyses in </w:t>
      </w:r>
      <w:r w:rsidRPr="003B01B7">
        <w:rPr>
          <w:i/>
          <w:iCs/>
        </w:rPr>
        <w:t>R</w:t>
      </w:r>
      <w:r w:rsidRPr="003B01B7">
        <w:t xml:space="preserve"> with the </w:t>
      </w:r>
      <w:r w:rsidRPr="003B01B7">
        <w:rPr>
          <w:i/>
          <w:iCs/>
        </w:rPr>
        <w:t>metafor</w:t>
      </w:r>
      <w:r w:rsidRPr="003B01B7">
        <w:t xml:space="preserve"> package. </w:t>
      </w:r>
      <w:r w:rsidRPr="003B01B7">
        <w:rPr>
          <w:i/>
          <w:iCs/>
        </w:rPr>
        <w:t>Journal of Statistical Software</w:t>
      </w:r>
      <w:r w:rsidRPr="003B01B7">
        <w:t xml:space="preserve">, </w:t>
      </w:r>
      <w:r w:rsidRPr="003B01B7">
        <w:rPr>
          <w:i/>
          <w:iCs/>
        </w:rPr>
        <w:t>36</w:t>
      </w:r>
      <w:r w:rsidRPr="003B01B7">
        <w:t>(3). https://doi.org/10.18637/jss.v036.i03</w:t>
      </w:r>
    </w:p>
    <w:p w14:paraId="6E0D0473" w14:textId="77777777" w:rsidR="003B01B7" w:rsidRPr="003B01B7" w:rsidRDefault="003B01B7" w:rsidP="003B01B7">
      <w:pPr>
        <w:pStyle w:val="Bibliography"/>
      </w:pPr>
      <w:r w:rsidRPr="003B01B7">
        <w:t xml:space="preserve">Yamadori, A., Osumi, Y., Masuhara, S., &amp; Okubo, M. (1977). Preservation of singing in Broca’s aphasia. </w:t>
      </w:r>
      <w:r w:rsidRPr="003B01B7">
        <w:rPr>
          <w:i/>
          <w:iCs/>
        </w:rPr>
        <w:t>Journal of Neurology, Neurosurgery, and Psychiatry</w:t>
      </w:r>
      <w:r w:rsidRPr="003B01B7">
        <w:t xml:space="preserve">, </w:t>
      </w:r>
      <w:r w:rsidRPr="003B01B7">
        <w:rPr>
          <w:i/>
          <w:iCs/>
        </w:rPr>
        <w:t>40</w:t>
      </w:r>
      <w:r w:rsidRPr="003B01B7">
        <w:t>(3), 221–224. https://doi.org/10.1136/jnnp.40.3.221</w:t>
      </w:r>
    </w:p>
    <w:p w14:paraId="04709E00" w14:textId="77777777" w:rsidR="003B01B7" w:rsidRPr="003B01B7" w:rsidRDefault="003B01B7" w:rsidP="003B01B7">
      <w:pPr>
        <w:pStyle w:val="Bibliography"/>
      </w:pPr>
      <w:r w:rsidRPr="003B01B7">
        <w:lastRenderedPageBreak/>
        <w:t xml:space="preserve">Zipse, L., Worek, A., Guarino, A. J., &amp; Shattuck-Hufnagel, S. (2014). Tapped out: Do people with aphasia have rhythm processing deficits? </w:t>
      </w:r>
      <w:r w:rsidRPr="003B01B7">
        <w:rPr>
          <w:i/>
          <w:iCs/>
        </w:rPr>
        <w:t>Journal of Speech, Language, and Hearing Research: JSLHR</w:t>
      </w:r>
      <w:r w:rsidRPr="003B01B7">
        <w:t xml:space="preserve">, </w:t>
      </w:r>
      <w:r w:rsidRPr="003B01B7">
        <w:rPr>
          <w:i/>
          <w:iCs/>
        </w:rPr>
        <w:t>57</w:t>
      </w:r>
      <w:r w:rsidRPr="003B01B7">
        <w:t>(6), 2234–2245. https://doi.org/10.1044/2014_JSLHR-L-13-0309</w:t>
      </w:r>
    </w:p>
    <w:p w14:paraId="6F6A20F7" w14:textId="77777777" w:rsidR="003B01B7" w:rsidRPr="003B01B7" w:rsidRDefault="003B01B7" w:rsidP="003B01B7">
      <w:pPr>
        <w:pStyle w:val="Bibliography"/>
      </w:pPr>
      <w:r w:rsidRPr="003B01B7">
        <w:t xml:space="preserve">Zumbansen, A., Peretz, I., &amp; Hébert, S. (2014). Melodic Intonation Therapy: Back to Basics for Future Research. </w:t>
      </w:r>
      <w:r w:rsidRPr="003B01B7">
        <w:rPr>
          <w:i/>
          <w:iCs/>
        </w:rPr>
        <w:t>Frontiers in Neurology</w:t>
      </w:r>
      <w:r w:rsidRPr="003B01B7">
        <w:t xml:space="preserve">, </w:t>
      </w:r>
      <w:r w:rsidRPr="003B01B7">
        <w:rPr>
          <w:i/>
          <w:iCs/>
        </w:rPr>
        <w:t>5</w:t>
      </w:r>
      <w:r w:rsidRPr="003B01B7">
        <w:t>. https://doi.org/10.3389/fneur.2014.00007</w:t>
      </w:r>
    </w:p>
    <w:p w14:paraId="557FA20F" w14:textId="77777777" w:rsidR="003B01B7" w:rsidRPr="003B01B7" w:rsidRDefault="003B01B7" w:rsidP="003B01B7">
      <w:pPr>
        <w:pStyle w:val="Bibliography"/>
      </w:pPr>
      <w:r w:rsidRPr="003B01B7">
        <w:t xml:space="preserve">Zumbansen, A., &amp; Tremblay, P. (2018). Music-based interventions for aphasia could act through a motor-speech mechanism: A systematic review and case–control analysis of published individual participant data. </w:t>
      </w:r>
      <w:r w:rsidRPr="003B01B7">
        <w:rPr>
          <w:i/>
          <w:iCs/>
        </w:rPr>
        <w:t>Aphasiology</w:t>
      </w:r>
      <w:r w:rsidRPr="003B01B7">
        <w:t xml:space="preserve">, </w:t>
      </w:r>
      <w:r w:rsidRPr="003B01B7">
        <w:rPr>
          <w:i/>
          <w:iCs/>
        </w:rPr>
        <w:t>33</w:t>
      </w:r>
      <w:r w:rsidRPr="003B01B7">
        <w:t>(4), 466–497. https://doi.org/10.1080/02687038.2018.1506089</w:t>
      </w:r>
    </w:p>
    <w:p w14:paraId="488E59FD" w14:textId="688A1F00" w:rsidR="00CB1637" w:rsidRPr="00DA3672" w:rsidRDefault="00CB1637" w:rsidP="000F3D0D">
      <w:pPr>
        <w:rPr>
          <w:sz w:val="40"/>
          <w:szCs w:val="40"/>
        </w:rPr>
      </w:pPr>
      <w:r>
        <w:fldChar w:fldCharType="end"/>
      </w:r>
      <w:r w:rsidRPr="00DA3672">
        <w:br w:type="page"/>
      </w:r>
    </w:p>
    <w:p w14:paraId="181F1BE6" w14:textId="77777777" w:rsidR="00CB1637" w:rsidRPr="00DA3672" w:rsidRDefault="00CB1637" w:rsidP="0096096E">
      <w:pPr>
        <w:pStyle w:val="Heading1"/>
      </w:pPr>
      <w:bookmarkStart w:id="264" w:name="_wk9y7xi2k26g" w:colFirst="0" w:colLast="0"/>
      <w:bookmarkStart w:id="265" w:name="_Ref75116894"/>
      <w:bookmarkEnd w:id="264"/>
      <w:commentRangeStart w:id="266"/>
      <w:commentRangeStart w:id="267"/>
      <w:r w:rsidRPr="00DA3672">
        <w:lastRenderedPageBreak/>
        <w:t xml:space="preserve">Appendix </w:t>
      </w:r>
      <w:commentRangeEnd w:id="266"/>
      <w:r>
        <w:rPr>
          <w:rStyle w:val="CommentReference"/>
          <w:rFonts w:ascii="Cambria" w:hAnsi="Cambria"/>
          <w:b w:val="0"/>
          <w:smallCaps w:val="0"/>
          <w:color w:val="A6A6A6"/>
          <w:spacing w:val="0"/>
          <w:u w:val="none"/>
        </w:rPr>
        <w:commentReference w:id="266"/>
      </w:r>
      <w:commentRangeEnd w:id="267"/>
      <w:r w:rsidR="00EA16B3">
        <w:rPr>
          <w:rStyle w:val="CommentReference"/>
          <w:rFonts w:ascii="Cambria" w:hAnsi="Cambria"/>
          <w:b w:val="0"/>
          <w:smallCaps w:val="0"/>
          <w:spacing w:val="0"/>
          <w:u w:val="none"/>
        </w:rPr>
        <w:commentReference w:id="267"/>
      </w:r>
      <w:r w:rsidRPr="00DA3672">
        <w:t>1: Search terms</w:t>
      </w:r>
      <w:bookmarkEnd w:id="265"/>
    </w:p>
    <w:p w14:paraId="7C7E09FD" w14:textId="77777777" w:rsidR="00CB1637" w:rsidRPr="00DA3672" w:rsidRDefault="00CB1637">
      <w:pPr>
        <w:widowControl w:val="0"/>
        <w:spacing w:before="240" w:after="120"/>
        <w:rPr>
          <w:b/>
        </w:rPr>
      </w:pPr>
      <w:r w:rsidRPr="00DA3672">
        <w:rPr>
          <w:b/>
        </w:rPr>
        <w:t xml:space="preserve"> </w:t>
      </w:r>
    </w:p>
    <w:p w14:paraId="0A521B09" w14:textId="77777777" w:rsidR="00CB1637" w:rsidRPr="00DA3672" w:rsidRDefault="00CB1637">
      <w:pPr>
        <w:widowControl w:val="0"/>
        <w:spacing w:before="240" w:after="120"/>
        <w:rPr>
          <w:i/>
        </w:rPr>
      </w:pPr>
      <w:commentRangeStart w:id="268"/>
      <w:r w:rsidRPr="00DA3672">
        <w:rPr>
          <w:i/>
        </w:rPr>
        <w:t>CINAHL</w:t>
      </w:r>
      <w:commentRangeEnd w:id="268"/>
      <w:r>
        <w:rPr>
          <w:rStyle w:val="CommentReference"/>
        </w:rPr>
        <w:commentReference w:id="268"/>
      </w:r>
      <w:r w:rsidRPr="00DA3672">
        <w:rPr>
          <w:i/>
        </w:rPr>
        <w:t>:</w:t>
      </w:r>
    </w:p>
    <w:p w14:paraId="0AE3DFF2" w14:textId="77777777" w:rsidR="00CB1637" w:rsidRPr="00DA3672" w:rsidRDefault="00CB1637">
      <w:pPr>
        <w:widowControl w:val="0"/>
        <w:spacing w:before="240" w:after="240" w:line="480" w:lineRule="auto"/>
      </w:pPr>
      <w:r w:rsidRPr="00DA3672">
        <w:t>((MM "Aphasia+") OR "aphasia" OR (MH "Aphasia, Broca") OR (MH "Aphasia, Transcortical Sensory") OR (MH "Aphasia, Wernicke")) AND (((MH singing or singing ) AND ("speech therapy" or (MH "Speech Therapy+")) OR "melodic intonation therapy")))</w:t>
      </w:r>
    </w:p>
    <w:p w14:paraId="6312F8D1" w14:textId="77777777" w:rsidR="00CB1637" w:rsidRPr="00DA3672" w:rsidRDefault="00CB1637">
      <w:pPr>
        <w:widowControl w:val="0"/>
        <w:spacing w:before="240" w:after="120"/>
      </w:pPr>
      <w:r w:rsidRPr="00DA3672">
        <w:t xml:space="preserve"> </w:t>
      </w:r>
    </w:p>
    <w:p w14:paraId="69E042B7" w14:textId="77777777" w:rsidR="00CB1637" w:rsidRPr="00DA3672" w:rsidRDefault="00CB1637">
      <w:pPr>
        <w:widowControl w:val="0"/>
        <w:spacing w:before="240" w:after="120"/>
      </w:pPr>
      <w:r w:rsidRPr="00DA3672">
        <w:t>ClinicalTrials.gov</w:t>
      </w:r>
    </w:p>
    <w:p w14:paraId="5B6C49AF" w14:textId="77777777" w:rsidR="00CB1637" w:rsidRPr="00DA3672" w:rsidRDefault="00CB1637">
      <w:pPr>
        <w:widowControl w:val="0"/>
        <w:spacing w:before="240" w:after="120"/>
      </w:pPr>
      <w:r w:rsidRPr="00DA3672">
        <w:t>"melodic intonation therapy"</w:t>
      </w:r>
    </w:p>
    <w:p w14:paraId="6453AB4B" w14:textId="77777777" w:rsidR="00CB1637" w:rsidRPr="00DA3672" w:rsidRDefault="00CB1637">
      <w:pPr>
        <w:widowControl w:val="0"/>
        <w:spacing w:before="240" w:after="120"/>
      </w:pPr>
      <w:r w:rsidRPr="00DA3672">
        <w:t xml:space="preserve"> </w:t>
      </w:r>
    </w:p>
    <w:p w14:paraId="78DF4B96" w14:textId="77777777" w:rsidR="00CB1637" w:rsidRPr="00DA3672" w:rsidRDefault="00CB1637">
      <w:pPr>
        <w:widowControl w:val="0"/>
        <w:spacing w:before="240" w:after="120"/>
        <w:rPr>
          <w:i/>
        </w:rPr>
      </w:pPr>
      <w:r w:rsidRPr="00DA3672">
        <w:rPr>
          <w:i/>
        </w:rPr>
        <w:t>Cochrane Library</w:t>
      </w:r>
    </w:p>
    <w:p w14:paraId="2963B68D" w14:textId="77777777" w:rsidR="00CB1637" w:rsidRPr="00DA3672" w:rsidRDefault="00CB1637">
      <w:pPr>
        <w:widowControl w:val="0"/>
        <w:spacing w:before="240" w:after="120"/>
      </w:pPr>
      <w:r w:rsidRPr="00DA3672">
        <w:t>"melodic intonation therapy" AND aphasia</w:t>
      </w:r>
    </w:p>
    <w:p w14:paraId="715EF8D7" w14:textId="77777777" w:rsidR="00CB1637" w:rsidRPr="00DA3672" w:rsidRDefault="00CB1637">
      <w:pPr>
        <w:widowControl w:val="0"/>
        <w:spacing w:before="240" w:after="120"/>
      </w:pPr>
      <w:r w:rsidRPr="00DA3672">
        <w:t>("speech therapy“ in Ti Abstr Key OR MeSH descriptor [speech therapy] explode all trees) AND singing* in Ti Abstr Key</w:t>
      </w:r>
    </w:p>
    <w:p w14:paraId="637D4418" w14:textId="77777777" w:rsidR="00CB1637" w:rsidRPr="00DA3672" w:rsidRDefault="00CB1637">
      <w:pPr>
        <w:widowControl w:val="0"/>
        <w:spacing w:before="240" w:after="120"/>
      </w:pPr>
      <w:r w:rsidRPr="00DA3672">
        <w:t xml:space="preserve"> </w:t>
      </w:r>
    </w:p>
    <w:p w14:paraId="57AA2D73" w14:textId="77777777" w:rsidR="00CB1637" w:rsidRPr="00DA3672" w:rsidRDefault="00CB1637">
      <w:pPr>
        <w:widowControl w:val="0"/>
        <w:spacing w:before="240" w:after="120"/>
        <w:rPr>
          <w:u w:val="single"/>
        </w:rPr>
      </w:pPr>
      <w:r w:rsidRPr="00DA3672">
        <w:rPr>
          <w:i/>
        </w:rPr>
        <w:t>Deutsches Register klinischer Studien (DRKS)/German clinical trials register</w:t>
      </w:r>
      <w:hyperlink r:id="rId27">
        <w:r w:rsidRPr="00DA3672">
          <w:rPr>
            <w:i/>
          </w:rPr>
          <w:t xml:space="preserve"> </w:t>
        </w:r>
      </w:hyperlink>
      <w:hyperlink r:id="rId28">
        <w:r w:rsidRPr="00DA3672">
          <w:rPr>
            <w:u w:val="single"/>
          </w:rPr>
          <w:t>https://www.drks.de/drks_web/</w:t>
        </w:r>
      </w:hyperlink>
    </w:p>
    <w:p w14:paraId="369E81B9" w14:textId="77777777" w:rsidR="00CB1637" w:rsidRPr="00DA3672" w:rsidRDefault="00CB1637">
      <w:pPr>
        <w:widowControl w:val="0"/>
        <w:spacing w:before="240" w:after="120"/>
      </w:pPr>
      <w:r w:rsidRPr="00DA3672">
        <w:t>melodic intonation therapy</w:t>
      </w:r>
    </w:p>
    <w:p w14:paraId="79E37417" w14:textId="77777777" w:rsidR="00CB1637" w:rsidRPr="00DA3672" w:rsidRDefault="00CB1637">
      <w:pPr>
        <w:widowControl w:val="0"/>
        <w:spacing w:before="240" w:after="120"/>
      </w:pPr>
      <w:r w:rsidRPr="00DA3672">
        <w:t>melodische intonationstherapie</w:t>
      </w:r>
    </w:p>
    <w:p w14:paraId="25E9870D" w14:textId="77777777" w:rsidR="00CB1637" w:rsidRPr="00DA3672" w:rsidRDefault="00CB1637">
      <w:pPr>
        <w:widowControl w:val="0"/>
        <w:spacing w:before="240" w:after="120"/>
      </w:pPr>
      <w:r w:rsidRPr="00DA3672">
        <w:t xml:space="preserve"> </w:t>
      </w:r>
    </w:p>
    <w:p w14:paraId="0AEEB865" w14:textId="77777777" w:rsidR="00CB1637" w:rsidRPr="00DA3672" w:rsidRDefault="00CB1637">
      <w:pPr>
        <w:widowControl w:val="0"/>
        <w:spacing w:before="240" w:after="120"/>
        <w:rPr>
          <w:i/>
        </w:rPr>
      </w:pPr>
      <w:r w:rsidRPr="00DA3672">
        <w:rPr>
          <w:i/>
        </w:rPr>
        <w:t>Google Scholar</w:t>
      </w:r>
    </w:p>
    <w:p w14:paraId="0324B6CA" w14:textId="77777777" w:rsidR="00CB1637" w:rsidRPr="00DA3672" w:rsidRDefault="00CB1637">
      <w:pPr>
        <w:widowControl w:val="0"/>
        <w:spacing w:before="240" w:after="120"/>
      </w:pPr>
      <w:r w:rsidRPr="00DA3672">
        <w:t>„melodic intonation therapy“</w:t>
      </w:r>
    </w:p>
    <w:p w14:paraId="32850A6C" w14:textId="77777777" w:rsidR="00CB1637" w:rsidRPr="00DA3672" w:rsidRDefault="00CB1637">
      <w:pPr>
        <w:widowControl w:val="0"/>
        <w:spacing w:before="240" w:after="120"/>
      </w:pPr>
      <w:r w:rsidRPr="00DA3672">
        <w:t>„melodische intonationstherapie“</w:t>
      </w:r>
    </w:p>
    <w:p w14:paraId="34ED9D11" w14:textId="77777777" w:rsidR="00CB1637" w:rsidRPr="00DA3672" w:rsidRDefault="00CB1637">
      <w:pPr>
        <w:widowControl w:val="0"/>
        <w:spacing w:before="240" w:after="120"/>
      </w:pPr>
      <w:r w:rsidRPr="00DA3672">
        <w:t xml:space="preserve"> </w:t>
      </w:r>
    </w:p>
    <w:p w14:paraId="1AAF58C4" w14:textId="77777777" w:rsidR="00CB1637" w:rsidRPr="00DA3672" w:rsidRDefault="00CB1637">
      <w:pPr>
        <w:widowControl w:val="0"/>
        <w:spacing w:before="240" w:after="120"/>
        <w:rPr>
          <w:i/>
        </w:rPr>
      </w:pPr>
      <w:r w:rsidRPr="00DA3672">
        <w:rPr>
          <w:i/>
        </w:rPr>
        <w:t>ICTRP (International Clinical Trials Registry Platform)</w:t>
      </w:r>
    </w:p>
    <w:p w14:paraId="53ED0489" w14:textId="77777777" w:rsidR="00CB1637" w:rsidRPr="00DA3672" w:rsidRDefault="00CB1637">
      <w:pPr>
        <w:widowControl w:val="0"/>
        <w:spacing w:before="240" w:after="120"/>
      </w:pPr>
      <w:r w:rsidRPr="00DA3672">
        <w:lastRenderedPageBreak/>
        <w:t>"melodic intonation therapy"</w:t>
      </w:r>
    </w:p>
    <w:p w14:paraId="46D3D17D" w14:textId="77777777" w:rsidR="00CB1637" w:rsidRPr="00DA3672" w:rsidRDefault="00CB1637">
      <w:pPr>
        <w:widowControl w:val="0"/>
        <w:spacing w:before="240" w:after="120"/>
      </w:pPr>
      <w:r w:rsidRPr="00DA3672">
        <w:t xml:space="preserve"> </w:t>
      </w:r>
    </w:p>
    <w:p w14:paraId="47187A75" w14:textId="77777777" w:rsidR="00CB1637" w:rsidRPr="00DA3672" w:rsidRDefault="00CB1637">
      <w:pPr>
        <w:widowControl w:val="0"/>
        <w:spacing w:before="240" w:after="120"/>
        <w:rPr>
          <w:i/>
        </w:rPr>
      </w:pPr>
      <w:r w:rsidRPr="00DA3672">
        <w:rPr>
          <w:i/>
        </w:rPr>
        <w:t>Medline OVID</w:t>
      </w:r>
    </w:p>
    <w:p w14:paraId="111EB060" w14:textId="77777777" w:rsidR="00CB1637" w:rsidRPr="00DA3672" w:rsidRDefault="00CB1637">
      <w:pPr>
        <w:widowControl w:val="0"/>
        <w:spacing w:before="240" w:after="120"/>
      </w:pPr>
      <w:r w:rsidRPr="00DA3672">
        <w:t>("melodic intonation therapy".ab. or "melodic intonation therapy".ti. or "melodic intonation therapy".id. or ((singing.ab. or singing.id. or singing.ti. or singing/) AND (speech therapy/ or "speech therapy".ab. or "speech therapy".id. or "speech therapy".ti.))) AND (aphasia.ab. or aphasia.id. or aphasia.ti. or exp aphasia)</w:t>
      </w:r>
    </w:p>
    <w:p w14:paraId="61610C7E" w14:textId="77777777" w:rsidR="00CB1637" w:rsidRPr="00DA3672" w:rsidRDefault="00CB1637">
      <w:pPr>
        <w:widowControl w:val="0"/>
        <w:spacing w:before="240" w:after="120"/>
      </w:pPr>
      <w:r w:rsidRPr="00DA3672">
        <w:t xml:space="preserve"> </w:t>
      </w:r>
    </w:p>
    <w:p w14:paraId="632931C3" w14:textId="77777777" w:rsidR="00CB1637" w:rsidRPr="00DA3672" w:rsidRDefault="00CB1637">
      <w:pPr>
        <w:widowControl w:val="0"/>
        <w:spacing w:before="240" w:after="120"/>
        <w:rPr>
          <w:i/>
        </w:rPr>
      </w:pPr>
      <w:r w:rsidRPr="00DA3672">
        <w:rPr>
          <w:i/>
        </w:rPr>
        <w:t>Music Periodicals Database</w:t>
      </w:r>
    </w:p>
    <w:p w14:paraId="3E66E693" w14:textId="77777777" w:rsidR="00CB1637" w:rsidRPr="00DA3672" w:rsidRDefault="00CB1637">
      <w:pPr>
        <w:widowControl w:val="0"/>
        <w:spacing w:before="240" w:after="120"/>
      </w:pPr>
      <w:r w:rsidRPr="00DA3672">
        <w:t>"melodic intonation therapy" and aphasia</w:t>
      </w:r>
    </w:p>
    <w:p w14:paraId="0CA85BFD" w14:textId="77777777" w:rsidR="00CB1637" w:rsidRPr="00DA3672" w:rsidRDefault="00CB1637">
      <w:pPr>
        <w:widowControl w:val="0"/>
        <w:spacing w:before="240" w:after="120"/>
      </w:pPr>
      <w:r w:rsidRPr="00DA3672">
        <w:t xml:space="preserve"> </w:t>
      </w:r>
    </w:p>
    <w:p w14:paraId="31DDB06F" w14:textId="77777777" w:rsidR="00CB1637" w:rsidRPr="00DA3672" w:rsidRDefault="00CB1637">
      <w:pPr>
        <w:widowControl w:val="0"/>
        <w:spacing w:before="240" w:after="120"/>
        <w:rPr>
          <w:i/>
          <w:u w:val="single"/>
        </w:rPr>
      </w:pPr>
      <w:r w:rsidRPr="00DA3672">
        <w:rPr>
          <w:i/>
        </w:rPr>
        <w:t>National Research Register (UK):</w:t>
      </w:r>
      <w:hyperlink r:id="rId29">
        <w:r w:rsidRPr="00DA3672">
          <w:rPr>
            <w:i/>
          </w:rPr>
          <w:t xml:space="preserve"> </w:t>
        </w:r>
      </w:hyperlink>
      <w:hyperlink r:id="rId30">
        <w:r w:rsidRPr="00DA3672">
          <w:rPr>
            <w:i/>
            <w:u w:val="single"/>
          </w:rPr>
          <w:t>http://www.nihr.ac.uk/</w:t>
        </w:r>
      </w:hyperlink>
    </w:p>
    <w:p w14:paraId="20C65CA8" w14:textId="77777777" w:rsidR="00CB1637" w:rsidRPr="00DA3672" w:rsidRDefault="00CB1637">
      <w:pPr>
        <w:widowControl w:val="0"/>
        <w:spacing w:before="240" w:after="120"/>
      </w:pPr>
      <w:r w:rsidRPr="00DA3672">
        <w:t>"melodic intonation therapy"</w:t>
      </w:r>
    </w:p>
    <w:p w14:paraId="74DD53B2" w14:textId="77777777" w:rsidR="00CB1637" w:rsidRPr="00DA3672" w:rsidRDefault="00CB1637">
      <w:pPr>
        <w:widowControl w:val="0"/>
        <w:spacing w:before="240" w:after="120"/>
      </w:pPr>
      <w:r w:rsidRPr="00DA3672">
        <w:t xml:space="preserve"> </w:t>
      </w:r>
    </w:p>
    <w:p w14:paraId="69E0DC7B" w14:textId="77777777" w:rsidR="00CB1637" w:rsidRPr="00DA3672" w:rsidRDefault="00CB1637">
      <w:pPr>
        <w:widowControl w:val="0"/>
        <w:spacing w:before="240" w:after="120"/>
        <w:rPr>
          <w:i/>
        </w:rPr>
      </w:pPr>
      <w:r w:rsidRPr="00DA3672">
        <w:rPr>
          <w:i/>
        </w:rPr>
        <w:t>Netherlands Trials Register www.trialregister.nl</w:t>
      </w:r>
    </w:p>
    <w:p w14:paraId="72774E98" w14:textId="77777777" w:rsidR="00CB1637" w:rsidRPr="00DA3672" w:rsidRDefault="00CB1637">
      <w:pPr>
        <w:widowControl w:val="0"/>
        <w:spacing w:before="240" w:after="120"/>
      </w:pPr>
      <w:r w:rsidRPr="00DA3672">
        <w:t>Melodic intonation</w:t>
      </w:r>
    </w:p>
    <w:p w14:paraId="660F1D58" w14:textId="77777777" w:rsidR="00CB1637" w:rsidRPr="00DA3672" w:rsidRDefault="00CB1637">
      <w:pPr>
        <w:widowControl w:val="0"/>
        <w:spacing w:before="240" w:after="120"/>
      </w:pPr>
      <w:r w:rsidRPr="00DA3672">
        <w:t xml:space="preserve"> </w:t>
      </w:r>
    </w:p>
    <w:p w14:paraId="6CE5AA2F" w14:textId="77777777" w:rsidR="00CB1637" w:rsidRPr="00DA3672" w:rsidRDefault="00CB1637">
      <w:pPr>
        <w:widowControl w:val="0"/>
        <w:spacing w:before="240" w:after="120"/>
        <w:rPr>
          <w:i/>
        </w:rPr>
      </w:pPr>
      <w:r w:rsidRPr="00DA3672">
        <w:rPr>
          <w:i/>
        </w:rPr>
        <w:t>OpenGrey.eu http://www.opengrey.eu/</w:t>
      </w:r>
    </w:p>
    <w:p w14:paraId="41BEB886" w14:textId="77777777" w:rsidR="00CB1637" w:rsidRPr="00DA3672" w:rsidRDefault="00CB1637">
      <w:pPr>
        <w:widowControl w:val="0"/>
        <w:spacing w:before="240" w:after="120"/>
      </w:pPr>
      <w:r w:rsidRPr="00DA3672">
        <w:t>„melodic intonation therapy“</w:t>
      </w:r>
    </w:p>
    <w:p w14:paraId="4CB9B270" w14:textId="77777777" w:rsidR="00CB1637" w:rsidRPr="00DA3672" w:rsidRDefault="00CB1637">
      <w:pPr>
        <w:widowControl w:val="0"/>
        <w:spacing w:before="240" w:after="120"/>
      </w:pPr>
      <w:r w:rsidRPr="00DA3672">
        <w:t xml:space="preserve"> </w:t>
      </w:r>
    </w:p>
    <w:p w14:paraId="0AFF50A7" w14:textId="77777777" w:rsidR="00CB1637" w:rsidRPr="00DA3672" w:rsidRDefault="00CB1637">
      <w:pPr>
        <w:widowControl w:val="0"/>
        <w:spacing w:before="240" w:after="120"/>
        <w:rPr>
          <w:i/>
        </w:rPr>
      </w:pPr>
      <w:r w:rsidRPr="00DA3672">
        <w:rPr>
          <w:i/>
        </w:rPr>
        <w:t>ProQuest Dissertations &amp; Theses Global</w:t>
      </w:r>
    </w:p>
    <w:p w14:paraId="7FC5C199" w14:textId="77777777" w:rsidR="00CB1637" w:rsidRPr="00DA3672" w:rsidRDefault="00CB1637">
      <w:pPr>
        <w:widowControl w:val="0"/>
        <w:spacing w:before="240" w:after="120"/>
      </w:pPr>
      <w:r w:rsidRPr="00DA3672">
        <w:t>„melodic intonation therapy“</w:t>
      </w:r>
    </w:p>
    <w:p w14:paraId="60A10DDB" w14:textId="77777777" w:rsidR="00CB1637" w:rsidRPr="00DA3672" w:rsidRDefault="00CB1637">
      <w:pPr>
        <w:widowControl w:val="0"/>
        <w:spacing w:before="240" w:after="120"/>
      </w:pPr>
      <w:r w:rsidRPr="00DA3672">
        <w:t xml:space="preserve"> </w:t>
      </w:r>
    </w:p>
    <w:p w14:paraId="1D9D6D64" w14:textId="77777777" w:rsidR="00CB1637" w:rsidRPr="00DA3672" w:rsidRDefault="00CB1637">
      <w:pPr>
        <w:widowControl w:val="0"/>
        <w:spacing w:before="240" w:after="120"/>
        <w:rPr>
          <w:i/>
        </w:rPr>
      </w:pPr>
      <w:r w:rsidRPr="00DA3672">
        <w:rPr>
          <w:i/>
        </w:rPr>
        <w:t>PsycINFO OVID</w:t>
      </w:r>
    </w:p>
    <w:p w14:paraId="3B7A5F35" w14:textId="77777777" w:rsidR="00CB1637" w:rsidRPr="00DA3672" w:rsidRDefault="00CB1637">
      <w:pPr>
        <w:widowControl w:val="0"/>
        <w:spacing w:before="240" w:after="120"/>
      </w:pPr>
      <w:r w:rsidRPr="00DA3672">
        <w:t>("melodic intonation therapy".ab. or "melodic intonation therapy".ti. or "melodic intonation therapy".id. or ((singing.ab. or singing.id. or singing.ti. or singing/) AND (speech therapy/ or "speech therapy".ab. or "speech therapy".id. or "speech therapy".ti.))) AND (aphasia.ab. or aphasia.id. or aphasia.ti. or exp aphasia)</w:t>
      </w:r>
    </w:p>
    <w:p w14:paraId="60A351D6" w14:textId="77777777" w:rsidR="00CB1637" w:rsidRPr="00DA3672" w:rsidRDefault="00CB1637">
      <w:pPr>
        <w:widowControl w:val="0"/>
        <w:spacing w:before="240" w:after="120"/>
      </w:pPr>
      <w:r w:rsidRPr="00DA3672">
        <w:lastRenderedPageBreak/>
        <w:t xml:space="preserve"> </w:t>
      </w:r>
    </w:p>
    <w:p w14:paraId="748779EC" w14:textId="77777777" w:rsidR="00CB1637" w:rsidRPr="00DA3672" w:rsidRDefault="00CB1637">
      <w:pPr>
        <w:widowControl w:val="0"/>
        <w:spacing w:before="240" w:after="120"/>
        <w:rPr>
          <w:i/>
        </w:rPr>
      </w:pPr>
      <w:r w:rsidRPr="00DA3672">
        <w:rPr>
          <w:i/>
        </w:rPr>
        <w:t>PSYNDEX OVID</w:t>
      </w:r>
    </w:p>
    <w:p w14:paraId="0C5D4441" w14:textId="77777777" w:rsidR="00CB1637" w:rsidRPr="00DA3672" w:rsidRDefault="00CB1637">
      <w:pPr>
        <w:widowControl w:val="0"/>
        <w:spacing w:before="240" w:after="120"/>
      </w:pPr>
      <w:r w:rsidRPr="00DA3672">
        <w:t>("melodic intonation therapy".ab. or "melodic intonation therapy".ti. or "melodic intonation therapy".id. or ((singing.ab. or singing.id. or singing.ti. or singing/) AND (speech therapy/ or "speech therapy".ab. or "speech therapy".id. or "speech therapy".ti.))) AND (aphasia.ab. or aphasia.id. or aphasia.ti. or exp aphasia)</w:t>
      </w:r>
    </w:p>
    <w:p w14:paraId="71102C48" w14:textId="77777777" w:rsidR="00CB1637" w:rsidRPr="00DA3672" w:rsidRDefault="00CB1637">
      <w:pPr>
        <w:widowControl w:val="0"/>
        <w:spacing w:before="240" w:after="120"/>
      </w:pPr>
      <w:r w:rsidRPr="00DA3672">
        <w:t xml:space="preserve"> </w:t>
      </w:r>
    </w:p>
    <w:p w14:paraId="147FA89D" w14:textId="77777777" w:rsidR="00CB1637" w:rsidRPr="00DA3672" w:rsidRDefault="00CB1637">
      <w:pPr>
        <w:widowControl w:val="0"/>
        <w:spacing w:before="240" w:after="120"/>
        <w:rPr>
          <w:i/>
        </w:rPr>
      </w:pPr>
      <w:r w:rsidRPr="00DA3672">
        <w:rPr>
          <w:i/>
        </w:rPr>
        <w:t>PubMed</w:t>
      </w:r>
    </w:p>
    <w:p w14:paraId="00745C97" w14:textId="77777777" w:rsidR="00CB1637" w:rsidRPr="00DA3672" w:rsidRDefault="00CB1637">
      <w:pPr>
        <w:widowControl w:val="0"/>
        <w:spacing w:before="240" w:after="120"/>
      </w:pPr>
      <w:r w:rsidRPr="00DA3672">
        <w:t>(„melodic intonation therapy“ OR ((singing [MeSH Terms] OR singing) AND ("speech therapy"[MeSH Terms] OR "speech therapy")) AND (aphasia[MeSH Terms] OR aphasia)</w:t>
      </w:r>
    </w:p>
    <w:p w14:paraId="0B10C043" w14:textId="77777777" w:rsidR="00CB1637" w:rsidRPr="00DA3672" w:rsidRDefault="00CB1637">
      <w:pPr>
        <w:widowControl w:val="0"/>
        <w:spacing w:before="240" w:after="120"/>
      </w:pPr>
      <w:r w:rsidRPr="00DA3672">
        <w:t xml:space="preserve"> </w:t>
      </w:r>
    </w:p>
    <w:p w14:paraId="1CAC6EAF" w14:textId="77777777" w:rsidR="00CB1637" w:rsidRPr="00DA3672" w:rsidRDefault="00CB1637">
      <w:pPr>
        <w:widowControl w:val="0"/>
        <w:spacing w:before="240" w:after="120"/>
        <w:rPr>
          <w:i/>
        </w:rPr>
      </w:pPr>
      <w:r w:rsidRPr="00DA3672">
        <w:rPr>
          <w:i/>
        </w:rPr>
        <w:t>Scopus</w:t>
      </w:r>
    </w:p>
    <w:p w14:paraId="1E1EF23A" w14:textId="77777777" w:rsidR="00CB1637" w:rsidRPr="00DA3672" w:rsidRDefault="00CB1637">
      <w:pPr>
        <w:widowControl w:val="0"/>
        <w:spacing w:before="240" w:after="120"/>
      </w:pPr>
      <w:r w:rsidRPr="00DA3672">
        <w:t>((( TITLE-ABS-KEY ( singing )</w:t>
      </w:r>
      <w:r>
        <w:t xml:space="preserve"> </w:t>
      </w:r>
      <w:r w:rsidRPr="00DA3672">
        <w:t>AND</w:t>
      </w:r>
      <w:r>
        <w:t xml:space="preserve"> </w:t>
      </w:r>
      <w:r w:rsidRPr="00DA3672">
        <w:t>(TITLE-ABS-KEY ( "speech therapy"</w:t>
      </w:r>
      <w:r>
        <w:t xml:space="preserve"> </w:t>
      </w:r>
      <w:r w:rsidRPr="00DA3672">
        <w:t>OR</w:t>
      </w:r>
      <w:r>
        <w:t xml:space="preserve"> </w:t>
      </w:r>
      <w:r w:rsidRPr="00DA3672">
        <w:t>"language therapy" )))</w:t>
      </w:r>
      <w:r>
        <w:t xml:space="preserve"> </w:t>
      </w:r>
      <w:r w:rsidRPr="00DA3672">
        <w:t>OR</w:t>
      </w:r>
      <w:r>
        <w:t xml:space="preserve"> </w:t>
      </w:r>
      <w:r w:rsidRPr="00DA3672">
        <w:t>( TITLE-ABS-KEY ( "melodic intonation therapy" )))</w:t>
      </w:r>
      <w:r>
        <w:t xml:space="preserve"> </w:t>
      </w:r>
      <w:r w:rsidRPr="00DA3672">
        <w:t>AND</w:t>
      </w:r>
      <w:r>
        <w:t xml:space="preserve"> </w:t>
      </w:r>
      <w:r w:rsidRPr="00DA3672">
        <w:t xml:space="preserve">( TITLE-ABS-KEY ( aphasia)) </w:t>
      </w:r>
    </w:p>
    <w:p w14:paraId="243F5135" w14:textId="77777777" w:rsidR="00CB1637" w:rsidRPr="00DA3672" w:rsidRDefault="00CB1637">
      <w:pPr>
        <w:widowControl w:val="0"/>
        <w:spacing w:before="240" w:after="120"/>
      </w:pPr>
      <w:r w:rsidRPr="00DA3672">
        <w:t xml:space="preserve"> </w:t>
      </w:r>
    </w:p>
    <w:p w14:paraId="2C1B2DF1" w14:textId="77777777" w:rsidR="00CB1637" w:rsidRPr="00DA3672" w:rsidRDefault="00CB1637">
      <w:pPr>
        <w:widowControl w:val="0"/>
        <w:spacing w:before="240" w:after="120"/>
        <w:rPr>
          <w:i/>
        </w:rPr>
      </w:pPr>
      <w:r w:rsidRPr="00DA3672">
        <w:rPr>
          <w:i/>
        </w:rPr>
        <w:t>Web of Science</w:t>
      </w:r>
    </w:p>
    <w:p w14:paraId="29BE43EA" w14:textId="77777777" w:rsidR="00CB1637" w:rsidRPr="00DA3672" w:rsidRDefault="00CB1637">
      <w:pPr>
        <w:widowControl w:val="0"/>
        <w:spacing w:before="240" w:after="120"/>
      </w:pPr>
      <w:r w:rsidRPr="00DA3672">
        <w:t>TOPIC:</w:t>
      </w:r>
      <w:r>
        <w:t xml:space="preserve"> </w:t>
      </w:r>
      <w:r w:rsidRPr="00DA3672">
        <w:t>(("melodic intonation therapy")</w:t>
      </w:r>
      <w:r>
        <w:t xml:space="preserve"> </w:t>
      </w:r>
      <w:r w:rsidRPr="00DA3672">
        <w:t>OR</w:t>
      </w:r>
      <w:r>
        <w:t xml:space="preserve"> </w:t>
      </w:r>
      <w:r w:rsidRPr="00DA3672">
        <w:t>TOPIC:</w:t>
      </w:r>
      <w:r>
        <w:t xml:space="preserve"> </w:t>
      </w:r>
      <w:r w:rsidRPr="00DA3672">
        <w:t>("singing" AND ("speech therapy" OR "language therapy")) AND TOPIC: aphasia</w:t>
      </w:r>
    </w:p>
    <w:p w14:paraId="03404389" w14:textId="77777777" w:rsidR="00CB1637" w:rsidRPr="00DA3672" w:rsidRDefault="00CB1637" w:rsidP="0096096E">
      <w:pPr>
        <w:pStyle w:val="Heading1"/>
      </w:pPr>
      <w:bookmarkStart w:id="269" w:name="_owhnv0fwzeba" w:colFirst="0" w:colLast="0"/>
      <w:bookmarkStart w:id="270" w:name="_Ref75116915"/>
      <w:bookmarkEnd w:id="269"/>
      <w:r w:rsidRPr="00DA3672">
        <w:t>Appendix 2: Dealing with duplicate findings</w:t>
      </w:r>
      <w:bookmarkEnd w:id="270"/>
    </w:p>
    <w:p w14:paraId="536BA098" w14:textId="77777777" w:rsidR="00CB1637" w:rsidRPr="00DA3672" w:rsidRDefault="00CB1637" w:rsidP="00EA3128">
      <w:r w:rsidRPr="00DA3672">
        <w:t xml:space="preserve">The systematic literature search in literature databases yielded 606 hits; through searching the trials registers 7 </w:t>
      </w:r>
      <w:r>
        <w:t xml:space="preserve">additional </w:t>
      </w:r>
      <w:r w:rsidRPr="00DA3672">
        <w:t xml:space="preserve">trials were found. These 613 items have been subjected to a duplicate check for identical publications found through the different search tools combined. They were checked with </w:t>
      </w:r>
      <w:r>
        <w:t xml:space="preserve">the </w:t>
      </w:r>
      <w:r w:rsidRPr="00DA3672">
        <w:t xml:space="preserve">“duplicate detection” </w:t>
      </w:r>
      <w:r>
        <w:t xml:space="preserve">feature </w:t>
      </w:r>
      <w:r w:rsidRPr="00DA3672">
        <w:t xml:space="preserve">of the </w:t>
      </w:r>
      <w:r>
        <w:t>reference</w:t>
      </w:r>
      <w:r w:rsidRPr="00DA3672">
        <w:t xml:space="preserve"> management </w:t>
      </w:r>
      <w:r>
        <w:t xml:space="preserve">software </w:t>
      </w:r>
      <w:r w:rsidRPr="00DA3672">
        <w:t>Zotero</w:t>
      </w:r>
      <w:r>
        <w:t>,</w:t>
      </w:r>
      <w:r w:rsidRPr="00DA3672">
        <w:t xml:space="preserve"> with the following procedure: When all of the duplicate items had the same publication form and all of the duplicates had an abstract, we kept the first one in the list (by order of importing into </w:t>
      </w:r>
      <w:r>
        <w:t>Zotero</w:t>
      </w:r>
      <w:r w:rsidRPr="00DA3672">
        <w:t xml:space="preserve">); if not, we kept the first item of the duplicates having an abstract. With different publication </w:t>
      </w:r>
      <w:r>
        <w:t>entries from</w:t>
      </w:r>
      <w:r w:rsidRPr="00DA3672">
        <w:t xml:space="preserve"> the same study we followed the </w:t>
      </w:r>
      <w:r>
        <w:t xml:space="preserve">preference </w:t>
      </w:r>
      <w:r w:rsidRPr="00DA3672">
        <w:t>hierarchy</w:t>
      </w:r>
      <w:r>
        <w:t>:</w:t>
      </w:r>
      <w:r w:rsidRPr="00DA3672">
        <w:t xml:space="preserve"> journal article &gt; book chapter &gt; conference proceedings. When a journal article was based on a dissertation</w:t>
      </w:r>
      <w:r>
        <w:t>,</w:t>
      </w:r>
      <w:r w:rsidRPr="00DA3672">
        <w:t xml:space="preserve"> we kept the journal article and </w:t>
      </w:r>
      <w:commentRangeStart w:id="271"/>
      <w:r w:rsidRPr="00DA3672">
        <w:t>referred to the dissertation in the notes</w:t>
      </w:r>
      <w:commentRangeEnd w:id="271"/>
      <w:r>
        <w:rPr>
          <w:rStyle w:val="CommentReference"/>
        </w:rPr>
        <w:commentReference w:id="271"/>
      </w:r>
      <w:r w:rsidRPr="00DA3672">
        <w:t xml:space="preserve">. After this </w:t>
      </w:r>
      <w:r>
        <w:t xml:space="preserve">procedure, </w:t>
      </w:r>
      <w:commentRangeStart w:id="272"/>
      <w:r w:rsidRPr="00DA3672">
        <w:t>357 items remained. More duplicates were deleted manually (313 remaining)</w:t>
      </w:r>
      <w:commentRangeEnd w:id="272"/>
      <w:r>
        <w:rPr>
          <w:rStyle w:val="CommentReference"/>
        </w:rPr>
        <w:commentReference w:id="272"/>
      </w:r>
      <w:r w:rsidRPr="00DA3672">
        <w:rPr>
          <w:sz w:val="24"/>
          <w:szCs w:val="24"/>
        </w:rPr>
        <w:t>.</w:t>
      </w:r>
      <w:del w:id="273" w:author="Benjamin.Stahl" w:date="2021-07-20T15:02:00Z">
        <w:r w:rsidRPr="00DA3672" w:rsidDel="00CC6F2A">
          <w:rPr>
            <w:sz w:val="24"/>
            <w:szCs w:val="24"/>
          </w:rPr>
          <w:delText xml:space="preserve"> </w:delText>
        </w:r>
      </w:del>
    </w:p>
    <w:p w14:paraId="62FCC3CB" w14:textId="77777777" w:rsidR="00CB1637" w:rsidRPr="00DA3672" w:rsidRDefault="00CB1637" w:rsidP="0096096E">
      <w:pPr>
        <w:pStyle w:val="Heading2"/>
      </w:pPr>
      <w:bookmarkStart w:id="274" w:name="_jtgp0j6fh7ug" w:colFirst="0" w:colLast="0"/>
      <w:bookmarkEnd w:id="274"/>
      <w:r w:rsidRPr="00DA3672">
        <w:t xml:space="preserve">Appendix 2a: Detecting </w:t>
      </w:r>
      <w:commentRangeStart w:id="275"/>
      <w:r w:rsidRPr="00DA3672">
        <w:t xml:space="preserve">further duplicates </w:t>
      </w:r>
      <w:commentRangeEnd w:id="275"/>
      <w:r>
        <w:rPr>
          <w:rStyle w:val="CommentReference"/>
          <w:b w:val="0"/>
          <w:spacing w:val="0"/>
          <w:u w:val="none"/>
        </w:rPr>
        <w:commentReference w:id="275"/>
      </w:r>
      <w:r w:rsidRPr="00DA3672">
        <w:t xml:space="preserve">and </w:t>
      </w:r>
      <w:r>
        <w:t xml:space="preserve">initial </w:t>
      </w:r>
      <w:r w:rsidRPr="00DA3672">
        <w:t xml:space="preserve">checking </w:t>
      </w:r>
      <w:r>
        <w:t>of the exclusion criteria</w:t>
      </w:r>
      <w:r w:rsidRPr="00DA3672">
        <w:t xml:space="preserve"> </w:t>
      </w:r>
    </w:p>
    <w:p w14:paraId="15F0305E" w14:textId="77777777" w:rsidR="00CB1637" w:rsidRPr="00DA3672" w:rsidRDefault="00CB1637" w:rsidP="00EA3128">
      <w:r w:rsidRPr="00DA3672">
        <w:lastRenderedPageBreak/>
        <w:t xml:space="preserve">To continue our search of duplicates we </w:t>
      </w:r>
      <w:r>
        <w:t xml:space="preserve">manually checked the </w:t>
      </w:r>
      <w:commentRangeStart w:id="276"/>
      <w:r>
        <w:t xml:space="preserve">156 studies remaining </w:t>
      </w:r>
      <w:commentRangeEnd w:id="276"/>
      <w:r>
        <w:rPr>
          <w:rStyle w:val="CommentReference"/>
        </w:rPr>
        <w:commentReference w:id="276"/>
      </w:r>
      <w:r>
        <w:t>at this stage</w:t>
      </w:r>
      <w:r w:rsidRPr="00DA3672">
        <w:t xml:space="preserve">. </w:t>
      </w:r>
      <w:r>
        <w:t xml:space="preserve">These were sorted </w:t>
      </w:r>
      <w:r w:rsidRPr="00DA3672">
        <w:t>by title and compar</w:t>
      </w:r>
      <w:r>
        <w:t>ed in terms of</w:t>
      </w:r>
      <w:r w:rsidRPr="00DA3672">
        <w:t xml:space="preserve"> dates, authors and types of article in order to detect duplicates </w:t>
      </w:r>
      <w:r>
        <w:t>that had trivial differences in those fields that prevented automated duplicate detection</w:t>
      </w:r>
      <w:r w:rsidRPr="00DA3672">
        <w:t xml:space="preserve">. </w:t>
      </w:r>
      <w:commentRangeStart w:id="277"/>
      <w:r w:rsidRPr="00DA3672">
        <w:t>From this step</w:t>
      </w:r>
      <w:r>
        <w:t>,</w:t>
      </w:r>
      <w:r w:rsidRPr="00DA3672">
        <w:t xml:space="preserve"> the 143 abstracts</w:t>
      </w:r>
      <w:commentRangeEnd w:id="277"/>
      <w:r>
        <w:rPr>
          <w:rStyle w:val="CommentReference"/>
        </w:rPr>
        <w:commentReference w:id="277"/>
      </w:r>
      <w:r w:rsidRPr="00DA3672">
        <w:t xml:space="preserve"> were read and checked </w:t>
      </w:r>
      <w:r>
        <w:t xml:space="preserve">against the </w:t>
      </w:r>
      <w:del w:id="278" w:author="TP" w:date="2021-07-16T16:30:00Z">
        <w:r w:rsidRPr="00DA3672" w:rsidDel="00C37043">
          <w:delText xml:space="preserve">inclusion </w:delText>
        </w:r>
      </w:del>
      <w:ins w:id="279" w:author="TP" w:date="2021-07-16T16:30:00Z">
        <w:r>
          <w:t>ex</w:t>
        </w:r>
        <w:r w:rsidRPr="00DA3672">
          <w:t xml:space="preserve">clusion </w:t>
        </w:r>
      </w:ins>
      <w:r w:rsidRPr="00DA3672">
        <w:t xml:space="preserve">criteria. </w:t>
      </w:r>
    </w:p>
    <w:p w14:paraId="3A7C5606" w14:textId="5C38EDB4" w:rsidR="00CB1637" w:rsidRPr="00DA3672" w:rsidRDefault="00CB1637" w:rsidP="00EA3128">
      <w:r w:rsidRPr="00DA3672">
        <w:t>After this step</w:t>
      </w:r>
      <w:del w:id="280" w:author="TP" w:date="2021-07-16T16:31:00Z">
        <w:r w:rsidRPr="00DA3672" w:rsidDel="00502613">
          <w:delText xml:space="preserve"> of further refining the literature at hand</w:delText>
        </w:r>
      </w:del>
      <w:r w:rsidRPr="00DA3672">
        <w:t xml:space="preserve">, 99 articles remained that checked </w:t>
      </w:r>
      <w:commentRangeStart w:id="281"/>
      <w:ins w:id="282" w:author="TP" w:date="2021-07-16T16:31:00Z">
        <w:r>
          <w:t xml:space="preserve">all eligibility </w:t>
        </w:r>
      </w:ins>
      <w:del w:id="283" w:author="TP" w:date="2021-07-16T16:31:00Z">
        <w:r w:rsidRPr="00DA3672" w:rsidDel="00CE7C76">
          <w:delText xml:space="preserve">the suitability </w:delText>
        </w:r>
      </w:del>
      <w:r w:rsidRPr="00DA3672">
        <w:t>criteria</w:t>
      </w:r>
      <w:commentRangeEnd w:id="281"/>
      <w:r>
        <w:rPr>
          <w:rStyle w:val="CommentReference"/>
        </w:rPr>
        <w:commentReference w:id="281"/>
      </w:r>
      <w:r w:rsidRPr="00DA3672">
        <w:t>. As a final</w:t>
      </w:r>
      <w:r>
        <w:t xml:space="preserve"> step</w:t>
      </w:r>
      <w:r w:rsidRPr="00DA3672">
        <w:t>, the full</w:t>
      </w:r>
      <w:r>
        <w:t xml:space="preserve"> </w:t>
      </w:r>
      <w:r w:rsidRPr="00DA3672">
        <w:t xml:space="preserve">texts of </w:t>
      </w:r>
      <w:r>
        <w:t xml:space="preserve">all </w:t>
      </w:r>
      <w:r w:rsidRPr="00DA3672">
        <w:t>remaining articles were reviewed</w:t>
      </w:r>
      <w:r>
        <w:t>,</w:t>
      </w:r>
      <w:r w:rsidRPr="00DA3672">
        <w:t xml:space="preserve"> in order to make sure the </w:t>
      </w:r>
      <w:r>
        <w:t xml:space="preserve">studies </w:t>
      </w:r>
      <w:r w:rsidRPr="00DA3672">
        <w:t>contained all the information needed</w:t>
      </w:r>
      <w:r>
        <w:t xml:space="preserve"> </w:t>
      </w:r>
      <w:r w:rsidRPr="00DA3672">
        <w:t>to be included in this meta-analysis</w:t>
      </w:r>
      <w:r>
        <w:t xml:space="preserve"> (</w:t>
      </w:r>
      <w:del w:id="284" w:author="Brenton Wiernik" w:date="2021-07-27T10:34:00Z">
        <w:r w:rsidDel="002520E2">
          <w:delText xml:space="preserve">cf </w:delText>
        </w:r>
      </w:del>
      <w:ins w:id="285" w:author="Brenton Wiernik" w:date="2021-07-27T10:34:00Z">
        <w:r w:rsidR="002520E2">
          <w:t xml:space="preserve">cf. </w:t>
        </w:r>
      </w:ins>
      <w:r>
        <w:t xml:space="preserve">exclusion criterion </w:t>
      </w:r>
      <w:r w:rsidRPr="00BC6BE0">
        <w:rPr>
          <w:highlight w:val="darkGreen"/>
        </w:rPr>
        <w:t>#N</w:t>
      </w:r>
      <w:r>
        <w:t>)</w:t>
      </w:r>
      <w:r w:rsidRPr="00DA3672">
        <w:t xml:space="preserve">. </w:t>
      </w:r>
      <w:commentRangeStart w:id="286"/>
      <w:r w:rsidRPr="00DA3672">
        <w:t>During a first round</w:t>
      </w:r>
      <w:r>
        <w:t>,</w:t>
      </w:r>
      <w:r w:rsidRPr="00DA3672">
        <w:t xml:space="preserve"> 13 articles were excluded and in the second round further 32 articles</w:t>
      </w:r>
      <w:commentRangeEnd w:id="286"/>
      <w:r>
        <w:rPr>
          <w:rStyle w:val="CommentReference"/>
        </w:rPr>
        <w:commentReference w:id="286"/>
      </w:r>
      <w:r w:rsidRPr="00DA3672">
        <w:t>. This left 54 articles that fit our inclusion criteria.</w:t>
      </w:r>
    </w:p>
    <w:p w14:paraId="4EFCEFC8" w14:textId="77777777" w:rsidR="00CB1637" w:rsidRPr="00DA3672" w:rsidRDefault="00CB1637" w:rsidP="00EA3128">
      <w:r w:rsidRPr="00DA3672">
        <w:t xml:space="preserve">See also the </w:t>
      </w:r>
      <w:commentRangeStart w:id="287"/>
      <w:r w:rsidRPr="00DA3672">
        <w:t>Prisma flow chart</w:t>
      </w:r>
      <w:r>
        <w:t xml:space="preserve"> </w:t>
      </w:r>
      <w:commentRangeEnd w:id="287"/>
      <w:r>
        <w:rPr>
          <w:rStyle w:val="CommentReference"/>
        </w:rPr>
        <w:commentReference w:id="287"/>
      </w:r>
      <w:r>
        <w:t xml:space="preserve">in Appendix </w:t>
      </w:r>
      <w:r w:rsidRPr="006C5B36">
        <w:rPr>
          <w:highlight w:val="darkGreen"/>
        </w:rPr>
        <w:t>N</w:t>
      </w:r>
      <w:r>
        <w:t>, which summarises the study counts above</w:t>
      </w:r>
      <w:r w:rsidRPr="00DA3672">
        <w:t>.</w:t>
      </w:r>
    </w:p>
    <w:p w14:paraId="5887B00F" w14:textId="77777777" w:rsidR="00CB1637" w:rsidRPr="00DA3672" w:rsidRDefault="00CB1637" w:rsidP="0096096E">
      <w:pPr>
        <w:pStyle w:val="Heading2"/>
      </w:pPr>
      <w:bookmarkStart w:id="288" w:name="_64dxpuhmkql0" w:colFirst="0" w:colLast="0"/>
      <w:bookmarkEnd w:id="288"/>
      <w:r w:rsidRPr="00DA3672">
        <w:t xml:space="preserve">Appendix 2b: Post hoc examination of articles and further exclusion </w:t>
      </w:r>
    </w:p>
    <w:p w14:paraId="687A1892" w14:textId="77777777" w:rsidR="00CB1637" w:rsidRPr="00DA3672" w:rsidRDefault="00CB1637" w:rsidP="00EA3128">
      <w:r w:rsidRPr="00DA3672">
        <w:t xml:space="preserve">For those 54 articles </w:t>
      </w:r>
      <w:commentRangeStart w:id="289"/>
      <w:r w:rsidRPr="00DA3672">
        <w:t xml:space="preserve">found suitable </w:t>
      </w:r>
      <w:commentRangeEnd w:id="289"/>
      <w:r>
        <w:rPr>
          <w:rStyle w:val="CommentReference"/>
        </w:rPr>
        <w:commentReference w:id="289"/>
      </w:r>
      <w:r w:rsidRPr="00DA3672">
        <w:t xml:space="preserve">we introduced </w:t>
      </w:r>
      <w:commentRangeStart w:id="290"/>
      <w:r w:rsidRPr="00DA3672">
        <w:t>an added post hoc scan using our exclusion criteria</w:t>
      </w:r>
      <w:commentRangeEnd w:id="290"/>
      <w:r>
        <w:rPr>
          <w:rStyle w:val="CommentReference"/>
        </w:rPr>
        <w:commentReference w:id="290"/>
      </w:r>
      <w:r w:rsidRPr="00DA3672">
        <w:t>. 33 articles were excluded, leaving a total of 21 articles</w:t>
      </w:r>
      <w:r>
        <w:t xml:space="preserve"> finally</w:t>
      </w:r>
      <w:r w:rsidRPr="00DA3672">
        <w:t xml:space="preserve"> selected </w:t>
      </w:r>
      <w:r>
        <w:t>for inclusion in the meta-analysis</w:t>
      </w:r>
      <w:r w:rsidRPr="00DA3672">
        <w:t>.</w:t>
      </w:r>
    </w:p>
    <w:p w14:paraId="2F0D932C" w14:textId="77777777" w:rsidR="00CB1637" w:rsidRPr="00DA3672" w:rsidRDefault="00CB1637" w:rsidP="0096096E">
      <w:pPr>
        <w:pStyle w:val="Heading1"/>
      </w:pPr>
      <w:bookmarkStart w:id="291" w:name="_979tks5qr39y" w:colFirst="0" w:colLast="0"/>
      <w:bookmarkEnd w:id="291"/>
      <w:r w:rsidRPr="00DA3672">
        <w:t xml:space="preserve">Appendix </w:t>
      </w:r>
      <w:r>
        <w:t>3</w:t>
      </w:r>
      <w:r w:rsidRPr="00DA3672">
        <w:t>: PRISMA statement (checklist/flow diagram)</w:t>
      </w:r>
    </w:p>
    <w:p w14:paraId="36D3DBAC" w14:textId="77777777" w:rsidR="00CB1637" w:rsidRPr="00DA3672" w:rsidRDefault="00CB1637">
      <w:r w:rsidRPr="00DA3672">
        <w:t>We used the PRISMA statement as found at http://prisma-statement.org/prismastatement/Checklist.aspx.</w:t>
      </w:r>
    </w:p>
    <w:p w14:paraId="789F2368" w14:textId="77777777" w:rsidR="00CB1637" w:rsidRPr="00DA3672" w:rsidRDefault="00CB1637"/>
    <w:p w14:paraId="0C1E4964" w14:textId="77777777" w:rsidR="00CB1637" w:rsidRPr="00DA3672" w:rsidRDefault="00CB1637" w:rsidP="00EA3128">
      <w:r w:rsidRPr="00DA3672">
        <w:t>[[ bring latest version of that diagram</w:t>
      </w:r>
      <w:r>
        <w:t xml:space="preserve"> below</w:t>
      </w:r>
      <w:r w:rsidRPr="00DA3672">
        <w:t xml:space="preserve">, from the local </w:t>
      </w:r>
      <w:r>
        <w:t>PDF</w:t>
      </w:r>
      <w:r w:rsidRPr="00DA3672">
        <w:t xml:space="preserve"> ]]</w:t>
      </w:r>
    </w:p>
    <w:p w14:paraId="00F23781" w14:textId="77777777" w:rsidR="00CB1637" w:rsidRDefault="00CB1637" w:rsidP="00F0496D">
      <w:pPr>
        <w:pStyle w:val="Heading1"/>
      </w:pPr>
      <w:bookmarkStart w:id="292" w:name="_cln0bub84tkk" w:colFirst="0" w:colLast="0"/>
      <w:bookmarkStart w:id="293" w:name="_m91w911pbvhf" w:colFirst="0" w:colLast="0"/>
      <w:bookmarkStart w:id="294" w:name="_Ref77260820"/>
      <w:bookmarkEnd w:id="292"/>
      <w:bookmarkEnd w:id="293"/>
      <w:r w:rsidRPr="00DA3672">
        <w:t xml:space="preserve">Appendix </w:t>
      </w:r>
      <w:r>
        <w:t>4</w:t>
      </w:r>
      <w:r w:rsidRPr="00DA3672">
        <w:t xml:space="preserve">: </w:t>
      </w:r>
      <w:r>
        <w:t>List of excluded studies</w:t>
      </w:r>
      <w:bookmarkEnd w:id="294"/>
    </w:p>
    <w:p w14:paraId="67480FDA" w14:textId="77777777" w:rsidR="00CB1637" w:rsidRPr="00780059" w:rsidRDefault="00CB1637" w:rsidP="00F0496D">
      <w:pPr>
        <w:rPr>
          <w:i/>
        </w:rPr>
      </w:pPr>
      <w:r>
        <w:rPr>
          <w:i/>
        </w:rPr>
        <w:t xml:space="preserve">((paste here the </w:t>
      </w:r>
      <w:r w:rsidRPr="00D76BD9">
        <w:rPr>
          <w:i/>
        </w:rPr>
        <w:t>@</w:t>
      </w:r>
      <w:r w:rsidRPr="00D76BD9">
        <w:rPr>
          <w:b/>
          <w:i/>
        </w:rPr>
        <w:t>excludedStudies</w:t>
      </w:r>
      <w:r>
        <w:rPr>
          <w:i/>
        </w:rPr>
        <w:t xml:space="preserve"> tab))</w:t>
      </w:r>
    </w:p>
    <w:p w14:paraId="2820FECF" w14:textId="77777777" w:rsidR="005E001F" w:rsidRPr="00DA3672" w:rsidRDefault="005E001F" w:rsidP="005E001F">
      <w:pPr>
        <w:widowControl w:val="0"/>
      </w:pPr>
    </w:p>
    <w:p w14:paraId="14DC1708" w14:textId="77777777" w:rsidR="005E001F" w:rsidRDefault="005E001F" w:rsidP="005E001F">
      <w:pPr>
        <w:pStyle w:val="Heading1"/>
      </w:pPr>
      <w:bookmarkStart w:id="295" w:name="_Ref77345336"/>
      <w:r>
        <w:t>Supplementary Materials [[to be made into separate doc for submission]]</w:t>
      </w:r>
    </w:p>
    <w:p w14:paraId="5A6C3A7D" w14:textId="77777777" w:rsidR="005E001F" w:rsidRDefault="005E001F" w:rsidP="005E001F">
      <w:pPr>
        <w:pStyle w:val="Heading2"/>
        <w:sectPr w:rsidR="005E001F">
          <w:pgSz w:w="12240" w:h="15840"/>
          <w:pgMar w:top="1440" w:right="1440" w:bottom="1440" w:left="1440" w:header="720" w:footer="720" w:gutter="0"/>
          <w:cols w:space="720"/>
        </w:sectPr>
      </w:pPr>
      <w:bookmarkStart w:id="296" w:name="supplemental-tables"/>
    </w:p>
    <w:p w14:paraId="050CAA2D" w14:textId="77777777" w:rsidR="005E001F" w:rsidRDefault="005E001F" w:rsidP="005E001F">
      <w:pPr>
        <w:pStyle w:val="Heading2"/>
      </w:pPr>
      <w:r>
        <w:lastRenderedPageBreak/>
        <w:t>Supplementary Results</w:t>
      </w:r>
    </w:p>
    <w:p w14:paraId="51E92EE1" w14:textId="77777777" w:rsidR="005E001F" w:rsidRDefault="005E001F" w:rsidP="005E001F">
      <w:pPr>
        <w:pStyle w:val="Heading3"/>
      </w:pPr>
      <w:bookmarkStart w:id="297" w:name="table-1.-overall-rct-meta-analyses"/>
      <w:r>
        <w:t>Table 1. Overall RCT meta-analyses</w:t>
      </w:r>
    </w:p>
    <w:tbl>
      <w:tblPr>
        <w:tblStyle w:val="Table"/>
        <w:tblW w:w="3502" w:type="pct"/>
        <w:tblLook w:val="0020" w:firstRow="1" w:lastRow="0" w:firstColumn="0" w:lastColumn="0" w:noHBand="0" w:noVBand="0"/>
      </w:tblPr>
      <w:tblGrid>
        <w:gridCol w:w="863"/>
        <w:gridCol w:w="1266"/>
        <w:gridCol w:w="760"/>
        <w:gridCol w:w="1169"/>
        <w:gridCol w:w="544"/>
        <w:gridCol w:w="1109"/>
        <w:gridCol w:w="1834"/>
      </w:tblGrid>
      <w:tr w:rsidR="005E001F" w14:paraId="473C6873" w14:textId="77777777" w:rsidTr="000A6503">
        <w:trPr>
          <w:cnfStyle w:val="100000000000" w:firstRow="1" w:lastRow="0" w:firstColumn="0" w:lastColumn="0" w:oddVBand="0" w:evenVBand="0" w:oddHBand="0" w:evenHBand="0" w:firstRowFirstColumn="0" w:firstRowLastColumn="0" w:lastRowFirstColumn="0" w:lastRowLastColumn="0"/>
        </w:trPr>
        <w:tc>
          <w:tcPr>
            <w:tcW w:w="0" w:type="auto"/>
          </w:tcPr>
          <w:p w14:paraId="79B83FDB" w14:textId="77777777" w:rsidR="005E001F" w:rsidRDefault="005E001F" w:rsidP="000A6503">
            <w:pPr>
              <w:pStyle w:val="Compact"/>
            </w:pPr>
            <w:r>
              <w:t>Term</w:t>
            </w:r>
          </w:p>
        </w:tc>
        <w:tc>
          <w:tcPr>
            <w:tcW w:w="0" w:type="auto"/>
          </w:tcPr>
          <w:p w14:paraId="2C76B7C2" w14:textId="77777777" w:rsidR="005E001F" w:rsidRDefault="005E001F" w:rsidP="000A6503">
            <w:pPr>
              <w:pStyle w:val="Compact"/>
              <w:jc w:val="right"/>
            </w:pPr>
            <w:r>
              <w:t>Estimate</w:t>
            </w:r>
          </w:p>
        </w:tc>
        <w:tc>
          <w:tcPr>
            <w:tcW w:w="0" w:type="auto"/>
          </w:tcPr>
          <w:p w14:paraId="61746969" w14:textId="77777777" w:rsidR="005E001F" w:rsidRPr="00A674C5" w:rsidRDefault="005E001F" w:rsidP="000A6503">
            <w:pPr>
              <w:pStyle w:val="Compact"/>
              <w:jc w:val="right"/>
              <w:rPr>
                <w:i/>
                <w:iCs/>
              </w:rPr>
            </w:pPr>
            <w:r w:rsidRPr="00A674C5">
              <w:rPr>
                <w:i/>
                <w:iCs/>
              </w:rPr>
              <w:t>SE</w:t>
            </w:r>
          </w:p>
        </w:tc>
        <w:tc>
          <w:tcPr>
            <w:tcW w:w="0" w:type="auto"/>
          </w:tcPr>
          <w:p w14:paraId="49FCDC7A" w14:textId="77777777" w:rsidR="005E001F" w:rsidRDefault="005E001F" w:rsidP="000A6503">
            <w:pPr>
              <w:pStyle w:val="Compact"/>
              <w:jc w:val="right"/>
            </w:pPr>
            <w:r>
              <w:t>Statistic</w:t>
            </w:r>
          </w:p>
        </w:tc>
        <w:tc>
          <w:tcPr>
            <w:tcW w:w="0" w:type="auto"/>
          </w:tcPr>
          <w:p w14:paraId="04A30D6A" w14:textId="77777777" w:rsidR="005E001F" w:rsidRPr="00A674C5" w:rsidRDefault="005E001F" w:rsidP="000A6503">
            <w:pPr>
              <w:pStyle w:val="Compact"/>
              <w:jc w:val="right"/>
              <w:rPr>
                <w:i/>
                <w:iCs/>
              </w:rPr>
            </w:pPr>
            <w:r w:rsidRPr="00A674C5">
              <w:rPr>
                <w:i/>
                <w:iCs/>
              </w:rPr>
              <w:t>df</w:t>
            </w:r>
          </w:p>
        </w:tc>
        <w:tc>
          <w:tcPr>
            <w:tcW w:w="0" w:type="auto"/>
          </w:tcPr>
          <w:p w14:paraId="7E464DDB" w14:textId="77777777" w:rsidR="005E001F" w:rsidRPr="00A674C5" w:rsidRDefault="005E001F" w:rsidP="000A6503">
            <w:pPr>
              <w:pStyle w:val="Compact"/>
              <w:jc w:val="right"/>
              <w:rPr>
                <w:i/>
                <w:iCs/>
              </w:rPr>
            </w:pPr>
            <w:r w:rsidRPr="00A674C5">
              <w:rPr>
                <w:i/>
                <w:iCs/>
              </w:rPr>
              <w:t>p</w:t>
            </w:r>
          </w:p>
        </w:tc>
        <w:tc>
          <w:tcPr>
            <w:tcW w:w="0" w:type="auto"/>
          </w:tcPr>
          <w:p w14:paraId="6A25CD28" w14:textId="77777777" w:rsidR="005E001F" w:rsidRDefault="005E001F" w:rsidP="000A6503">
            <w:pPr>
              <w:pStyle w:val="Compact"/>
              <w:jc w:val="right"/>
            </w:pPr>
            <w:r>
              <w:t>95% conf. int.</w:t>
            </w:r>
          </w:p>
        </w:tc>
      </w:tr>
      <w:tr w:rsidR="005E001F" w14:paraId="02D3D5D0" w14:textId="77777777" w:rsidTr="000A6503">
        <w:tc>
          <w:tcPr>
            <w:tcW w:w="0" w:type="auto"/>
          </w:tcPr>
          <w:p w14:paraId="737FD359" w14:textId="77777777" w:rsidR="005E001F" w:rsidRDefault="005E001F" w:rsidP="000A6503">
            <w:pPr>
              <w:pStyle w:val="Compact"/>
            </w:pPr>
            <w:r w:rsidRPr="0017487F">
              <w:rPr>
                <w:i/>
                <w:iCs/>
              </w:rPr>
              <w:t>g</w:t>
            </w:r>
            <w:r>
              <w:rPr>
                <w:i/>
                <w:iCs/>
              </w:rPr>
              <w:t>̅</w:t>
            </w:r>
          </w:p>
        </w:tc>
        <w:tc>
          <w:tcPr>
            <w:tcW w:w="0" w:type="auto"/>
          </w:tcPr>
          <w:p w14:paraId="09DBF9CB" w14:textId="77777777" w:rsidR="005E001F" w:rsidRDefault="005E001F" w:rsidP="000A6503">
            <w:pPr>
              <w:pStyle w:val="Compact"/>
              <w:jc w:val="right"/>
            </w:pPr>
            <w:r>
              <w:t>0.31</w:t>
            </w:r>
          </w:p>
        </w:tc>
        <w:tc>
          <w:tcPr>
            <w:tcW w:w="0" w:type="auto"/>
          </w:tcPr>
          <w:p w14:paraId="570A88FB" w14:textId="77777777" w:rsidR="005E001F" w:rsidRDefault="005E001F" w:rsidP="000A6503">
            <w:pPr>
              <w:pStyle w:val="Compact"/>
              <w:jc w:val="right"/>
            </w:pPr>
            <w:r>
              <w:t>0.16</w:t>
            </w:r>
          </w:p>
        </w:tc>
        <w:tc>
          <w:tcPr>
            <w:tcW w:w="0" w:type="auto"/>
          </w:tcPr>
          <w:p w14:paraId="4A35F3C7" w14:textId="77777777" w:rsidR="005E001F" w:rsidRDefault="005E001F" w:rsidP="000A6503">
            <w:pPr>
              <w:pStyle w:val="Compact"/>
              <w:jc w:val="right"/>
            </w:pPr>
            <w:r>
              <w:t>2.00</w:t>
            </w:r>
          </w:p>
        </w:tc>
        <w:tc>
          <w:tcPr>
            <w:tcW w:w="0" w:type="auto"/>
          </w:tcPr>
          <w:p w14:paraId="12D5F708" w14:textId="77777777" w:rsidR="005E001F" w:rsidRDefault="005E001F" w:rsidP="000A6503">
            <w:pPr>
              <w:pStyle w:val="Compact"/>
              <w:jc w:val="right"/>
            </w:pPr>
            <w:r>
              <w:t>25</w:t>
            </w:r>
          </w:p>
        </w:tc>
        <w:tc>
          <w:tcPr>
            <w:tcW w:w="0" w:type="auto"/>
          </w:tcPr>
          <w:p w14:paraId="3572AA4D" w14:textId="77777777" w:rsidR="005E001F" w:rsidRDefault="005E001F" w:rsidP="000A6503">
            <w:pPr>
              <w:pStyle w:val="Compact"/>
              <w:jc w:val="right"/>
            </w:pPr>
            <w:r>
              <w:t>0.057</w:t>
            </w:r>
          </w:p>
        </w:tc>
        <w:tc>
          <w:tcPr>
            <w:tcW w:w="0" w:type="auto"/>
          </w:tcPr>
          <w:p w14:paraId="0AFC0EE3" w14:textId="77777777" w:rsidR="005E001F" w:rsidRDefault="005E001F" w:rsidP="000A6503">
            <w:pPr>
              <w:pStyle w:val="Compact"/>
              <w:jc w:val="right"/>
            </w:pPr>
            <w:r>
              <w:t>[−0.01, 0.63]</w:t>
            </w:r>
          </w:p>
        </w:tc>
      </w:tr>
      <w:tr w:rsidR="005E001F" w14:paraId="03881E0B" w14:textId="77777777" w:rsidTr="000A6503">
        <w:tc>
          <w:tcPr>
            <w:tcW w:w="0" w:type="auto"/>
          </w:tcPr>
          <w:p w14:paraId="13BE3AA5" w14:textId="77777777" w:rsidR="005E001F" w:rsidRDefault="005E001F" w:rsidP="000A6503">
            <w:pPr>
              <w:pStyle w:val="Compact"/>
            </w:pPr>
            <w:r>
              <w:t>τ</w:t>
            </w:r>
          </w:p>
        </w:tc>
        <w:tc>
          <w:tcPr>
            <w:tcW w:w="0" w:type="auto"/>
          </w:tcPr>
          <w:p w14:paraId="03DC9A9F" w14:textId="77777777" w:rsidR="005E001F" w:rsidRDefault="005E001F" w:rsidP="000A6503">
            <w:pPr>
              <w:pStyle w:val="Compact"/>
              <w:jc w:val="right"/>
            </w:pPr>
            <w:r>
              <w:t>0.25</w:t>
            </w:r>
          </w:p>
        </w:tc>
        <w:tc>
          <w:tcPr>
            <w:tcW w:w="0" w:type="auto"/>
          </w:tcPr>
          <w:p w14:paraId="4124859A" w14:textId="77777777" w:rsidR="005E001F" w:rsidRDefault="005E001F" w:rsidP="000A6503">
            <w:pPr>
              <w:pStyle w:val="Compact"/>
              <w:jc w:val="right"/>
            </w:pPr>
          </w:p>
        </w:tc>
        <w:tc>
          <w:tcPr>
            <w:tcW w:w="0" w:type="auto"/>
          </w:tcPr>
          <w:p w14:paraId="3126357F" w14:textId="77777777" w:rsidR="005E001F" w:rsidRDefault="005E001F" w:rsidP="000A6503">
            <w:pPr>
              <w:pStyle w:val="Compact"/>
              <w:jc w:val="right"/>
            </w:pPr>
            <w:r>
              <w:t>212.08</w:t>
            </w:r>
          </w:p>
        </w:tc>
        <w:tc>
          <w:tcPr>
            <w:tcW w:w="0" w:type="auto"/>
          </w:tcPr>
          <w:p w14:paraId="21DF06BB" w14:textId="77777777" w:rsidR="005E001F" w:rsidRDefault="005E001F" w:rsidP="000A6503">
            <w:pPr>
              <w:pStyle w:val="Compact"/>
              <w:jc w:val="right"/>
            </w:pPr>
            <w:r>
              <w:t>25</w:t>
            </w:r>
          </w:p>
        </w:tc>
        <w:tc>
          <w:tcPr>
            <w:tcW w:w="0" w:type="auto"/>
          </w:tcPr>
          <w:p w14:paraId="0411F341" w14:textId="77777777" w:rsidR="005E001F" w:rsidRDefault="005E001F" w:rsidP="000A6503">
            <w:pPr>
              <w:pStyle w:val="Compact"/>
              <w:jc w:val="right"/>
            </w:pPr>
            <w:r>
              <w:t>&lt; 0.001</w:t>
            </w:r>
          </w:p>
        </w:tc>
        <w:tc>
          <w:tcPr>
            <w:tcW w:w="0" w:type="auto"/>
          </w:tcPr>
          <w:p w14:paraId="3FADA462" w14:textId="77777777" w:rsidR="005E001F" w:rsidRDefault="005E001F" w:rsidP="000A6503">
            <w:pPr>
              <w:pStyle w:val="Compact"/>
              <w:jc w:val="right"/>
            </w:pPr>
            <w:r>
              <w:t>[ 0.10, 1.11]</w:t>
            </w:r>
          </w:p>
        </w:tc>
      </w:tr>
    </w:tbl>
    <w:p w14:paraId="17F548B1" w14:textId="77777777" w:rsidR="005E001F" w:rsidRDefault="005E001F" w:rsidP="005E001F">
      <w:pPr>
        <w:pStyle w:val="BodyText"/>
      </w:pPr>
      <w:r>
        <w:rPr>
          <w:i/>
          <w:iCs/>
        </w:rPr>
        <w:t>Note.</w:t>
      </w:r>
      <w:r>
        <w:t xml:space="preserve"> </w:t>
      </w:r>
      <w:r>
        <w:rPr>
          <w:i/>
          <w:iCs/>
        </w:rPr>
        <w:t>g̅</w:t>
      </w:r>
      <w:r>
        <w:t xml:space="preserve"> = mean pretest-posttest difference (</w:t>
      </w:r>
      <w:r>
        <w:rPr>
          <w:i/>
          <w:iCs/>
        </w:rPr>
        <w:t>g</w:t>
      </w:r>
      <w:r>
        <w:rPr>
          <w:i/>
          <w:iCs/>
          <w:vertAlign w:val="subscript"/>
        </w:rPr>
        <w:t>ppc</w:t>
      </w:r>
      <w:r>
        <w:t xml:space="preserve">; accounting for control group); τ = estimated random effects standard deviation across studies; Statistic = </w:t>
      </w:r>
      <w:r>
        <w:rPr>
          <w:i/>
          <w:iCs/>
        </w:rPr>
        <w:t>t</w:t>
      </w:r>
      <w:r>
        <w:t xml:space="preserve"> value for </w:t>
      </w:r>
      <w:r>
        <w:rPr>
          <w:i/>
          <w:iCs/>
        </w:rPr>
        <w:t>g̅</w:t>
      </w:r>
      <w:r>
        <w:t xml:space="preserve"> and </w:t>
      </w:r>
      <w:r>
        <w:rPr>
          <w:i/>
          <w:iCs/>
        </w:rPr>
        <w:t>Q</w:t>
      </w:r>
      <w:r>
        <w:rPr>
          <w:i/>
          <w:iCs/>
          <w:vertAlign w:val="subscript"/>
        </w:rPr>
        <w:t>E</w:t>
      </w:r>
      <w:r>
        <w:t xml:space="preserve"> value for τ; confidence intervals computed using </w:t>
      </w:r>
      <w:r>
        <w:rPr>
          <w:i/>
          <w:iCs/>
        </w:rPr>
        <w:t>t</w:t>
      </w:r>
      <w:r>
        <w:t xml:space="preserve"> distributions for </w:t>
      </w:r>
      <w:r>
        <w:rPr>
          <w:i/>
          <w:iCs/>
        </w:rPr>
        <w:t>g̅</w:t>
      </w:r>
      <w:r>
        <w:t xml:space="preserve"> and profile likelihood for τ and ρ.</w:t>
      </w:r>
    </w:p>
    <w:p w14:paraId="37F266B9" w14:textId="77777777" w:rsidR="005E001F" w:rsidRDefault="005E001F" w:rsidP="005E001F">
      <w:pPr>
        <w:pStyle w:val="Heading3"/>
      </w:pPr>
      <w:bookmarkStart w:id="298" w:name="X103e3e6584fa778a2fc11001fd2dc03ef5e2d6c"/>
      <w:bookmarkEnd w:id="297"/>
      <w:r>
        <w:t>Table 2. RCT meta-analyses of broad ability categories</w:t>
      </w:r>
    </w:p>
    <w:tbl>
      <w:tblPr>
        <w:tblStyle w:val="Table"/>
        <w:tblW w:w="4903" w:type="pct"/>
        <w:tblLook w:val="0020" w:firstRow="1" w:lastRow="0" w:firstColumn="0" w:lastColumn="0" w:noHBand="0" w:noVBand="0"/>
      </w:tblPr>
      <w:tblGrid>
        <w:gridCol w:w="4743"/>
        <w:gridCol w:w="1103"/>
        <w:gridCol w:w="662"/>
        <w:gridCol w:w="1018"/>
        <w:gridCol w:w="474"/>
        <w:gridCol w:w="966"/>
        <w:gridCol w:w="1598"/>
      </w:tblGrid>
      <w:tr w:rsidR="005E001F" w14:paraId="0C5E17FA" w14:textId="77777777" w:rsidTr="000A6503">
        <w:trPr>
          <w:cnfStyle w:val="100000000000" w:firstRow="1" w:lastRow="0" w:firstColumn="0" w:lastColumn="0" w:oddVBand="0" w:evenVBand="0" w:oddHBand="0" w:evenHBand="0" w:firstRowFirstColumn="0" w:firstRowLastColumn="0" w:lastRowFirstColumn="0" w:lastRowLastColumn="0"/>
        </w:trPr>
        <w:tc>
          <w:tcPr>
            <w:tcW w:w="0" w:type="auto"/>
          </w:tcPr>
          <w:p w14:paraId="695B986D" w14:textId="77777777" w:rsidR="005E001F" w:rsidRDefault="005E001F" w:rsidP="000A6503">
            <w:pPr>
              <w:pStyle w:val="Compact"/>
            </w:pPr>
            <w:r>
              <w:t>Term</w:t>
            </w:r>
          </w:p>
        </w:tc>
        <w:tc>
          <w:tcPr>
            <w:tcW w:w="0" w:type="auto"/>
          </w:tcPr>
          <w:p w14:paraId="79F389E7" w14:textId="77777777" w:rsidR="005E001F" w:rsidRDefault="005E001F" w:rsidP="000A6503">
            <w:pPr>
              <w:pStyle w:val="Compact"/>
              <w:jc w:val="right"/>
            </w:pPr>
            <w:r>
              <w:t>Estimate</w:t>
            </w:r>
          </w:p>
        </w:tc>
        <w:tc>
          <w:tcPr>
            <w:tcW w:w="0" w:type="auto"/>
          </w:tcPr>
          <w:p w14:paraId="0EFE49DF" w14:textId="77777777" w:rsidR="005E001F" w:rsidRDefault="005E001F" w:rsidP="000A6503">
            <w:pPr>
              <w:pStyle w:val="Compact"/>
              <w:jc w:val="right"/>
            </w:pPr>
            <w:r w:rsidRPr="00A674C5">
              <w:rPr>
                <w:i/>
                <w:iCs/>
              </w:rPr>
              <w:t>SE</w:t>
            </w:r>
          </w:p>
        </w:tc>
        <w:tc>
          <w:tcPr>
            <w:tcW w:w="0" w:type="auto"/>
          </w:tcPr>
          <w:p w14:paraId="4C64B9AA" w14:textId="77777777" w:rsidR="005E001F" w:rsidRDefault="005E001F" w:rsidP="000A6503">
            <w:pPr>
              <w:pStyle w:val="Compact"/>
              <w:jc w:val="right"/>
            </w:pPr>
            <w:r>
              <w:t>Statistic</w:t>
            </w:r>
          </w:p>
        </w:tc>
        <w:tc>
          <w:tcPr>
            <w:tcW w:w="0" w:type="auto"/>
          </w:tcPr>
          <w:p w14:paraId="4F339DCD" w14:textId="77777777" w:rsidR="005E001F" w:rsidRDefault="005E001F" w:rsidP="000A6503">
            <w:pPr>
              <w:pStyle w:val="Compact"/>
              <w:jc w:val="right"/>
            </w:pPr>
            <w:r w:rsidRPr="00A674C5">
              <w:rPr>
                <w:i/>
                <w:iCs/>
              </w:rPr>
              <w:t>df</w:t>
            </w:r>
          </w:p>
        </w:tc>
        <w:tc>
          <w:tcPr>
            <w:tcW w:w="0" w:type="auto"/>
          </w:tcPr>
          <w:p w14:paraId="0A39A2A9" w14:textId="77777777" w:rsidR="005E001F" w:rsidRDefault="005E001F" w:rsidP="000A6503">
            <w:pPr>
              <w:pStyle w:val="Compact"/>
              <w:jc w:val="right"/>
            </w:pPr>
            <w:r w:rsidRPr="00A674C5">
              <w:rPr>
                <w:i/>
                <w:iCs/>
              </w:rPr>
              <w:t>p</w:t>
            </w:r>
          </w:p>
        </w:tc>
        <w:tc>
          <w:tcPr>
            <w:tcW w:w="0" w:type="auto"/>
          </w:tcPr>
          <w:p w14:paraId="6021D10F" w14:textId="77777777" w:rsidR="005E001F" w:rsidRDefault="005E001F" w:rsidP="000A6503">
            <w:pPr>
              <w:pStyle w:val="Compact"/>
              <w:jc w:val="right"/>
            </w:pPr>
            <w:r>
              <w:t>95% conf. int.</w:t>
            </w:r>
          </w:p>
        </w:tc>
      </w:tr>
      <w:tr w:rsidR="005E001F" w14:paraId="25D90141" w14:textId="77777777" w:rsidTr="000A6503">
        <w:tc>
          <w:tcPr>
            <w:tcW w:w="0" w:type="auto"/>
          </w:tcPr>
          <w:p w14:paraId="10CA7809" w14:textId="77777777" w:rsidR="005E001F" w:rsidRDefault="005E001F" w:rsidP="000A6503">
            <w:pPr>
              <w:pStyle w:val="Compact"/>
            </w:pPr>
            <w:r w:rsidRPr="0017487F">
              <w:rPr>
                <w:i/>
                <w:iCs/>
              </w:rPr>
              <w:t>g̅</w:t>
            </w:r>
            <w:r>
              <w:t xml:space="preserve"> (Non-communicative Language Expression)</w:t>
            </w:r>
          </w:p>
        </w:tc>
        <w:tc>
          <w:tcPr>
            <w:tcW w:w="0" w:type="auto"/>
          </w:tcPr>
          <w:p w14:paraId="426BBD2C" w14:textId="77777777" w:rsidR="005E001F" w:rsidRDefault="005E001F" w:rsidP="000A6503">
            <w:pPr>
              <w:pStyle w:val="Compact"/>
              <w:jc w:val="right"/>
            </w:pPr>
            <w:r>
              <w:t>0.34</w:t>
            </w:r>
          </w:p>
        </w:tc>
        <w:tc>
          <w:tcPr>
            <w:tcW w:w="0" w:type="auto"/>
          </w:tcPr>
          <w:p w14:paraId="3A451AE6" w14:textId="77777777" w:rsidR="005E001F" w:rsidRDefault="005E001F" w:rsidP="000A6503">
            <w:pPr>
              <w:pStyle w:val="Compact"/>
              <w:jc w:val="right"/>
            </w:pPr>
            <w:r>
              <w:t>0.19</w:t>
            </w:r>
          </w:p>
        </w:tc>
        <w:tc>
          <w:tcPr>
            <w:tcW w:w="0" w:type="auto"/>
          </w:tcPr>
          <w:p w14:paraId="0825C233" w14:textId="77777777" w:rsidR="005E001F" w:rsidRDefault="005E001F" w:rsidP="000A6503">
            <w:pPr>
              <w:pStyle w:val="Compact"/>
              <w:jc w:val="right"/>
            </w:pPr>
            <w:r>
              <w:t>1.78</w:t>
            </w:r>
          </w:p>
        </w:tc>
        <w:tc>
          <w:tcPr>
            <w:tcW w:w="0" w:type="auto"/>
          </w:tcPr>
          <w:p w14:paraId="2B97CD6F" w14:textId="77777777" w:rsidR="005E001F" w:rsidRDefault="005E001F" w:rsidP="000A6503">
            <w:pPr>
              <w:pStyle w:val="Compact"/>
              <w:jc w:val="right"/>
            </w:pPr>
            <w:r>
              <w:t>22</w:t>
            </w:r>
          </w:p>
        </w:tc>
        <w:tc>
          <w:tcPr>
            <w:tcW w:w="0" w:type="auto"/>
          </w:tcPr>
          <w:p w14:paraId="79B0E9EC" w14:textId="77777777" w:rsidR="005E001F" w:rsidRDefault="005E001F" w:rsidP="000A6503">
            <w:pPr>
              <w:pStyle w:val="Compact"/>
              <w:jc w:val="right"/>
            </w:pPr>
            <w:r>
              <w:t>0.089</w:t>
            </w:r>
          </w:p>
        </w:tc>
        <w:tc>
          <w:tcPr>
            <w:tcW w:w="0" w:type="auto"/>
          </w:tcPr>
          <w:p w14:paraId="130AF155" w14:textId="77777777" w:rsidR="005E001F" w:rsidRDefault="005E001F" w:rsidP="000A6503">
            <w:pPr>
              <w:pStyle w:val="Compact"/>
              <w:jc w:val="right"/>
            </w:pPr>
            <w:r>
              <w:t>[−0.06, 0.75]</w:t>
            </w:r>
          </w:p>
        </w:tc>
      </w:tr>
      <w:tr w:rsidR="005E001F" w14:paraId="5DC89024" w14:textId="77777777" w:rsidTr="000A6503">
        <w:tc>
          <w:tcPr>
            <w:tcW w:w="0" w:type="auto"/>
          </w:tcPr>
          <w:p w14:paraId="1111D702" w14:textId="77777777" w:rsidR="005E001F" w:rsidRDefault="005E001F" w:rsidP="000A6503">
            <w:pPr>
              <w:pStyle w:val="Compact"/>
            </w:pPr>
            <w:r w:rsidRPr="0017487F">
              <w:rPr>
                <w:i/>
                <w:iCs/>
              </w:rPr>
              <w:t>g̅</w:t>
            </w:r>
            <w:r>
              <w:t xml:space="preserve"> (Communication)</w:t>
            </w:r>
          </w:p>
        </w:tc>
        <w:tc>
          <w:tcPr>
            <w:tcW w:w="0" w:type="auto"/>
          </w:tcPr>
          <w:p w14:paraId="74722AA2" w14:textId="77777777" w:rsidR="005E001F" w:rsidRDefault="005E001F" w:rsidP="000A6503">
            <w:pPr>
              <w:pStyle w:val="Compact"/>
              <w:jc w:val="right"/>
            </w:pPr>
            <w:r>
              <w:t>−0.04</w:t>
            </w:r>
          </w:p>
        </w:tc>
        <w:tc>
          <w:tcPr>
            <w:tcW w:w="0" w:type="auto"/>
          </w:tcPr>
          <w:p w14:paraId="5ADA90EC" w14:textId="77777777" w:rsidR="005E001F" w:rsidRDefault="005E001F" w:rsidP="000A6503">
            <w:pPr>
              <w:pStyle w:val="Compact"/>
              <w:jc w:val="right"/>
            </w:pPr>
            <w:r>
              <w:t>0.25</w:t>
            </w:r>
          </w:p>
        </w:tc>
        <w:tc>
          <w:tcPr>
            <w:tcW w:w="0" w:type="auto"/>
          </w:tcPr>
          <w:p w14:paraId="0DF6822F" w14:textId="77777777" w:rsidR="005E001F" w:rsidRDefault="005E001F" w:rsidP="000A6503">
            <w:pPr>
              <w:pStyle w:val="Compact"/>
              <w:jc w:val="right"/>
            </w:pPr>
            <w:r>
              <w:t>−0.16</w:t>
            </w:r>
          </w:p>
        </w:tc>
        <w:tc>
          <w:tcPr>
            <w:tcW w:w="0" w:type="auto"/>
          </w:tcPr>
          <w:p w14:paraId="44ECED63" w14:textId="77777777" w:rsidR="005E001F" w:rsidRDefault="005E001F" w:rsidP="000A6503">
            <w:pPr>
              <w:pStyle w:val="Compact"/>
              <w:jc w:val="right"/>
            </w:pPr>
            <w:r>
              <w:t>22</w:t>
            </w:r>
          </w:p>
        </w:tc>
        <w:tc>
          <w:tcPr>
            <w:tcW w:w="0" w:type="auto"/>
          </w:tcPr>
          <w:p w14:paraId="505BBE2A" w14:textId="77777777" w:rsidR="005E001F" w:rsidRDefault="005E001F" w:rsidP="000A6503">
            <w:pPr>
              <w:pStyle w:val="Compact"/>
              <w:jc w:val="right"/>
            </w:pPr>
            <w:r>
              <w:t>0.872</w:t>
            </w:r>
          </w:p>
        </w:tc>
        <w:tc>
          <w:tcPr>
            <w:tcW w:w="0" w:type="auto"/>
          </w:tcPr>
          <w:p w14:paraId="6A9B2ADF" w14:textId="77777777" w:rsidR="005E001F" w:rsidRDefault="005E001F" w:rsidP="000A6503">
            <w:pPr>
              <w:pStyle w:val="Compact"/>
              <w:jc w:val="right"/>
            </w:pPr>
            <w:r>
              <w:t>[−0.57, 0.48]</w:t>
            </w:r>
          </w:p>
        </w:tc>
      </w:tr>
      <w:tr w:rsidR="005E001F" w14:paraId="7824D51A" w14:textId="77777777" w:rsidTr="000A6503">
        <w:tc>
          <w:tcPr>
            <w:tcW w:w="0" w:type="auto"/>
          </w:tcPr>
          <w:p w14:paraId="724E9AD4" w14:textId="77777777" w:rsidR="005E001F" w:rsidRDefault="005E001F" w:rsidP="000A6503">
            <w:pPr>
              <w:pStyle w:val="Compact"/>
            </w:pPr>
            <w:r w:rsidRPr="0017487F">
              <w:rPr>
                <w:i/>
                <w:iCs/>
              </w:rPr>
              <w:t>g̅</w:t>
            </w:r>
            <w:r>
              <w:t xml:space="preserve"> (Language Comprehension)</w:t>
            </w:r>
          </w:p>
        </w:tc>
        <w:tc>
          <w:tcPr>
            <w:tcW w:w="0" w:type="auto"/>
          </w:tcPr>
          <w:p w14:paraId="4C96AA7B" w14:textId="77777777" w:rsidR="005E001F" w:rsidRDefault="005E001F" w:rsidP="000A6503">
            <w:pPr>
              <w:pStyle w:val="Compact"/>
              <w:jc w:val="right"/>
            </w:pPr>
            <w:r>
              <w:t>−0.13</w:t>
            </w:r>
          </w:p>
        </w:tc>
        <w:tc>
          <w:tcPr>
            <w:tcW w:w="0" w:type="auto"/>
          </w:tcPr>
          <w:p w14:paraId="4B170713" w14:textId="77777777" w:rsidR="005E001F" w:rsidRDefault="005E001F" w:rsidP="000A6503">
            <w:pPr>
              <w:pStyle w:val="Compact"/>
              <w:jc w:val="right"/>
            </w:pPr>
            <w:r>
              <w:t>0.25</w:t>
            </w:r>
          </w:p>
        </w:tc>
        <w:tc>
          <w:tcPr>
            <w:tcW w:w="0" w:type="auto"/>
          </w:tcPr>
          <w:p w14:paraId="4D774E4D" w14:textId="77777777" w:rsidR="005E001F" w:rsidRDefault="005E001F" w:rsidP="000A6503">
            <w:pPr>
              <w:pStyle w:val="Compact"/>
              <w:jc w:val="right"/>
            </w:pPr>
            <w:r>
              <w:t>−0.52</w:t>
            </w:r>
          </w:p>
        </w:tc>
        <w:tc>
          <w:tcPr>
            <w:tcW w:w="0" w:type="auto"/>
          </w:tcPr>
          <w:p w14:paraId="7503B71D" w14:textId="77777777" w:rsidR="005E001F" w:rsidRDefault="005E001F" w:rsidP="000A6503">
            <w:pPr>
              <w:pStyle w:val="Compact"/>
              <w:jc w:val="right"/>
            </w:pPr>
            <w:r>
              <w:t>22</w:t>
            </w:r>
          </w:p>
        </w:tc>
        <w:tc>
          <w:tcPr>
            <w:tcW w:w="0" w:type="auto"/>
          </w:tcPr>
          <w:p w14:paraId="2A94B6E4" w14:textId="77777777" w:rsidR="005E001F" w:rsidRDefault="005E001F" w:rsidP="000A6503">
            <w:pPr>
              <w:pStyle w:val="Compact"/>
              <w:jc w:val="right"/>
            </w:pPr>
            <w:r>
              <w:t>0.611</w:t>
            </w:r>
          </w:p>
        </w:tc>
        <w:tc>
          <w:tcPr>
            <w:tcW w:w="0" w:type="auto"/>
          </w:tcPr>
          <w:p w14:paraId="26391D46" w14:textId="77777777" w:rsidR="005E001F" w:rsidRDefault="005E001F" w:rsidP="000A6503">
            <w:pPr>
              <w:pStyle w:val="Compact"/>
              <w:jc w:val="right"/>
            </w:pPr>
            <w:r>
              <w:t>[−0.64, 0.39]</w:t>
            </w:r>
          </w:p>
        </w:tc>
      </w:tr>
      <w:tr w:rsidR="005E001F" w14:paraId="3A78E7F8" w14:textId="77777777" w:rsidTr="000A6503">
        <w:tc>
          <w:tcPr>
            <w:tcW w:w="0" w:type="auto"/>
          </w:tcPr>
          <w:p w14:paraId="38103C02" w14:textId="77777777" w:rsidR="005E001F" w:rsidRDefault="005E001F" w:rsidP="000A6503">
            <w:pPr>
              <w:pStyle w:val="Compact"/>
            </w:pPr>
            <w:r>
              <w:t>∆</w:t>
            </w:r>
            <w:r w:rsidRPr="0017487F">
              <w:rPr>
                <w:i/>
                <w:iCs/>
              </w:rPr>
              <w:t>g̅</w:t>
            </w:r>
            <w:r>
              <w:t xml:space="preserve"> (ad hoc test)</w:t>
            </w:r>
          </w:p>
        </w:tc>
        <w:tc>
          <w:tcPr>
            <w:tcW w:w="0" w:type="auto"/>
          </w:tcPr>
          <w:p w14:paraId="61DAF26A" w14:textId="77777777" w:rsidR="005E001F" w:rsidRDefault="005E001F" w:rsidP="000A6503">
            <w:pPr>
              <w:pStyle w:val="Compact"/>
              <w:jc w:val="right"/>
            </w:pPr>
            <w:r>
              <w:t>0.23</w:t>
            </w:r>
          </w:p>
        </w:tc>
        <w:tc>
          <w:tcPr>
            <w:tcW w:w="0" w:type="auto"/>
          </w:tcPr>
          <w:p w14:paraId="2792B69C" w14:textId="77777777" w:rsidR="005E001F" w:rsidRDefault="005E001F" w:rsidP="000A6503">
            <w:pPr>
              <w:pStyle w:val="Compact"/>
              <w:jc w:val="right"/>
            </w:pPr>
            <w:r>
              <w:t>0.13</w:t>
            </w:r>
          </w:p>
        </w:tc>
        <w:tc>
          <w:tcPr>
            <w:tcW w:w="0" w:type="auto"/>
          </w:tcPr>
          <w:p w14:paraId="427439F1" w14:textId="77777777" w:rsidR="005E001F" w:rsidRDefault="005E001F" w:rsidP="000A6503">
            <w:pPr>
              <w:pStyle w:val="Compact"/>
              <w:jc w:val="right"/>
            </w:pPr>
            <w:r>
              <w:t>1.76</w:t>
            </w:r>
          </w:p>
        </w:tc>
        <w:tc>
          <w:tcPr>
            <w:tcW w:w="0" w:type="auto"/>
          </w:tcPr>
          <w:p w14:paraId="7FDFA006" w14:textId="77777777" w:rsidR="005E001F" w:rsidRDefault="005E001F" w:rsidP="000A6503">
            <w:pPr>
              <w:pStyle w:val="Compact"/>
              <w:jc w:val="right"/>
            </w:pPr>
            <w:r>
              <w:t>22</w:t>
            </w:r>
          </w:p>
        </w:tc>
        <w:tc>
          <w:tcPr>
            <w:tcW w:w="0" w:type="auto"/>
          </w:tcPr>
          <w:p w14:paraId="410AFF57" w14:textId="77777777" w:rsidR="005E001F" w:rsidRDefault="005E001F" w:rsidP="000A6503">
            <w:pPr>
              <w:pStyle w:val="Compact"/>
              <w:jc w:val="right"/>
            </w:pPr>
            <w:r>
              <w:t>0.092</w:t>
            </w:r>
          </w:p>
        </w:tc>
        <w:tc>
          <w:tcPr>
            <w:tcW w:w="0" w:type="auto"/>
          </w:tcPr>
          <w:p w14:paraId="5DF27B81" w14:textId="77777777" w:rsidR="005E001F" w:rsidRDefault="005E001F" w:rsidP="000A6503">
            <w:pPr>
              <w:pStyle w:val="Compact"/>
              <w:jc w:val="right"/>
            </w:pPr>
            <w:r>
              <w:t>[−0.04, 0.49]</w:t>
            </w:r>
          </w:p>
        </w:tc>
      </w:tr>
      <w:tr w:rsidR="005E001F" w14:paraId="1F09E44D" w14:textId="77777777" w:rsidTr="000A6503">
        <w:tc>
          <w:tcPr>
            <w:tcW w:w="0" w:type="auto"/>
          </w:tcPr>
          <w:p w14:paraId="4B67E258" w14:textId="77777777" w:rsidR="005E001F" w:rsidRDefault="005E001F" w:rsidP="000A6503">
            <w:pPr>
              <w:pStyle w:val="Compact"/>
            </w:pPr>
            <w:r>
              <w:t>τ</w:t>
            </w:r>
          </w:p>
        </w:tc>
        <w:tc>
          <w:tcPr>
            <w:tcW w:w="0" w:type="auto"/>
          </w:tcPr>
          <w:p w14:paraId="6B632E38" w14:textId="77777777" w:rsidR="005E001F" w:rsidRDefault="005E001F" w:rsidP="000A6503">
            <w:pPr>
              <w:pStyle w:val="Compact"/>
              <w:jc w:val="right"/>
            </w:pPr>
            <w:r>
              <w:t>0.31</w:t>
            </w:r>
          </w:p>
        </w:tc>
        <w:tc>
          <w:tcPr>
            <w:tcW w:w="0" w:type="auto"/>
          </w:tcPr>
          <w:p w14:paraId="56F11BE5" w14:textId="77777777" w:rsidR="005E001F" w:rsidRDefault="005E001F" w:rsidP="000A6503">
            <w:pPr>
              <w:pStyle w:val="Compact"/>
              <w:jc w:val="right"/>
            </w:pPr>
          </w:p>
        </w:tc>
        <w:tc>
          <w:tcPr>
            <w:tcW w:w="0" w:type="auto"/>
          </w:tcPr>
          <w:p w14:paraId="7AC7FC46" w14:textId="77777777" w:rsidR="005E001F" w:rsidRDefault="005E001F" w:rsidP="000A6503">
            <w:pPr>
              <w:pStyle w:val="Compact"/>
              <w:jc w:val="right"/>
            </w:pPr>
            <w:r>
              <w:t>183.68</w:t>
            </w:r>
          </w:p>
        </w:tc>
        <w:tc>
          <w:tcPr>
            <w:tcW w:w="0" w:type="auto"/>
          </w:tcPr>
          <w:p w14:paraId="652612B2" w14:textId="77777777" w:rsidR="005E001F" w:rsidRDefault="005E001F" w:rsidP="000A6503">
            <w:pPr>
              <w:pStyle w:val="Compact"/>
              <w:jc w:val="right"/>
            </w:pPr>
            <w:r>
              <w:t>22</w:t>
            </w:r>
          </w:p>
        </w:tc>
        <w:tc>
          <w:tcPr>
            <w:tcW w:w="0" w:type="auto"/>
          </w:tcPr>
          <w:p w14:paraId="00A82DE1" w14:textId="77777777" w:rsidR="005E001F" w:rsidRDefault="005E001F" w:rsidP="000A6503">
            <w:pPr>
              <w:pStyle w:val="Compact"/>
              <w:jc w:val="right"/>
            </w:pPr>
            <w:r>
              <w:t>&lt; 0.001</w:t>
            </w:r>
          </w:p>
        </w:tc>
        <w:tc>
          <w:tcPr>
            <w:tcW w:w="0" w:type="auto"/>
          </w:tcPr>
          <w:p w14:paraId="4EF4C3D7" w14:textId="77777777" w:rsidR="005E001F" w:rsidRDefault="005E001F" w:rsidP="000A6503">
            <w:pPr>
              <w:pStyle w:val="Compact"/>
              <w:jc w:val="right"/>
            </w:pPr>
            <w:r>
              <w:t>[ 0.13, 0.93]</w:t>
            </w:r>
          </w:p>
        </w:tc>
      </w:tr>
      <w:tr w:rsidR="005E001F" w14:paraId="0FD32664" w14:textId="77777777" w:rsidTr="000A6503">
        <w:tc>
          <w:tcPr>
            <w:tcW w:w="0" w:type="auto"/>
          </w:tcPr>
          <w:p w14:paraId="59883111" w14:textId="77777777" w:rsidR="005E001F" w:rsidRDefault="005E001F" w:rsidP="000A6503">
            <w:pPr>
              <w:pStyle w:val="Compact"/>
            </w:pPr>
            <w:r>
              <w:t>ρ</w:t>
            </w:r>
          </w:p>
        </w:tc>
        <w:tc>
          <w:tcPr>
            <w:tcW w:w="0" w:type="auto"/>
          </w:tcPr>
          <w:p w14:paraId="58CF43DF" w14:textId="77777777" w:rsidR="005E001F" w:rsidRDefault="005E001F" w:rsidP="000A6503">
            <w:pPr>
              <w:pStyle w:val="Compact"/>
              <w:jc w:val="right"/>
            </w:pPr>
            <w:r>
              <w:t>−0.09</w:t>
            </w:r>
          </w:p>
        </w:tc>
        <w:tc>
          <w:tcPr>
            <w:tcW w:w="0" w:type="auto"/>
          </w:tcPr>
          <w:p w14:paraId="226BB507" w14:textId="77777777" w:rsidR="005E001F" w:rsidRDefault="005E001F" w:rsidP="000A6503">
            <w:pPr>
              <w:pStyle w:val="Compact"/>
              <w:jc w:val="right"/>
            </w:pPr>
          </w:p>
        </w:tc>
        <w:tc>
          <w:tcPr>
            <w:tcW w:w="0" w:type="auto"/>
          </w:tcPr>
          <w:p w14:paraId="190CA06B" w14:textId="77777777" w:rsidR="005E001F" w:rsidRDefault="005E001F" w:rsidP="000A6503">
            <w:pPr>
              <w:pStyle w:val="Compact"/>
              <w:jc w:val="right"/>
            </w:pPr>
          </w:p>
        </w:tc>
        <w:tc>
          <w:tcPr>
            <w:tcW w:w="0" w:type="auto"/>
          </w:tcPr>
          <w:p w14:paraId="1472D84E" w14:textId="77777777" w:rsidR="005E001F" w:rsidRDefault="005E001F" w:rsidP="000A6503">
            <w:pPr>
              <w:pStyle w:val="Compact"/>
              <w:jc w:val="right"/>
            </w:pPr>
            <w:r>
              <w:t>22</w:t>
            </w:r>
          </w:p>
        </w:tc>
        <w:tc>
          <w:tcPr>
            <w:tcW w:w="0" w:type="auto"/>
          </w:tcPr>
          <w:p w14:paraId="14E0DAFE" w14:textId="77777777" w:rsidR="005E001F" w:rsidRDefault="005E001F" w:rsidP="000A6503">
            <w:pPr>
              <w:pStyle w:val="Compact"/>
              <w:jc w:val="right"/>
            </w:pPr>
          </w:p>
        </w:tc>
        <w:tc>
          <w:tcPr>
            <w:tcW w:w="0" w:type="auto"/>
          </w:tcPr>
          <w:p w14:paraId="113DEDA9" w14:textId="77777777" w:rsidR="005E001F" w:rsidRDefault="005E001F" w:rsidP="000A6503">
            <w:pPr>
              <w:pStyle w:val="Compact"/>
              <w:jc w:val="right"/>
            </w:pPr>
            <w:r>
              <w:t>[−0.45, 0.92]</w:t>
            </w:r>
          </w:p>
        </w:tc>
      </w:tr>
    </w:tbl>
    <w:p w14:paraId="3274946F" w14:textId="77777777" w:rsidR="005E001F" w:rsidRDefault="005E001F" w:rsidP="005E001F">
      <w:pPr>
        <w:pStyle w:val="BodyText"/>
      </w:pPr>
      <w:r>
        <w:rPr>
          <w:i/>
          <w:iCs/>
        </w:rPr>
        <w:t>Note.</w:t>
      </w:r>
      <w:r>
        <w:t xml:space="preserve"> </w:t>
      </w:r>
      <w:r>
        <w:rPr>
          <w:i/>
          <w:iCs/>
        </w:rPr>
        <w:t>g̅</w:t>
      </w:r>
      <w:r>
        <w:t xml:space="preserve"> = mean pretest-posttest difference (</w:t>
      </w:r>
      <w:r>
        <w:rPr>
          <w:i/>
          <w:iCs/>
        </w:rPr>
        <w:t>g</w:t>
      </w:r>
      <w:r>
        <w:rPr>
          <w:i/>
          <w:iCs/>
          <w:vertAlign w:val="subscript"/>
        </w:rPr>
        <w:t>ppc</w:t>
      </w:r>
      <w:r>
        <w:t xml:space="preserve">; accounting for control group); τ = estimated random effects standard deviation across studies; ρ = estimated correlation among </w:t>
      </w:r>
      <w:r>
        <w:rPr>
          <w:i/>
          <w:iCs/>
        </w:rPr>
        <w:t>g</w:t>
      </w:r>
      <w:r>
        <w:t xml:space="preserve"> treatment effects between measures of different ability domains across studies; Statistic = </w:t>
      </w:r>
      <w:r>
        <w:rPr>
          <w:i/>
          <w:iCs/>
        </w:rPr>
        <w:t>t</w:t>
      </w:r>
      <w:r>
        <w:t xml:space="preserve"> value for </w:t>
      </w:r>
      <w:r>
        <w:rPr>
          <w:i/>
          <w:iCs/>
        </w:rPr>
        <w:t>g̅</w:t>
      </w:r>
      <w:r>
        <w:t xml:space="preserve"> and </w:t>
      </w:r>
      <w:r>
        <w:rPr>
          <w:i/>
          <w:iCs/>
        </w:rPr>
        <w:t>Q</w:t>
      </w:r>
      <w:r>
        <w:rPr>
          <w:i/>
          <w:iCs/>
          <w:vertAlign w:val="subscript"/>
        </w:rPr>
        <w:t>E</w:t>
      </w:r>
      <w:r>
        <w:t xml:space="preserve"> value for τ; confidence intervals computed using </w:t>
      </w:r>
      <w:r>
        <w:rPr>
          <w:i/>
          <w:iCs/>
        </w:rPr>
        <w:t>t</w:t>
      </w:r>
      <w:r>
        <w:t xml:space="preserve"> distributions for </w:t>
      </w:r>
      <w:r>
        <w:rPr>
          <w:i/>
          <w:iCs/>
        </w:rPr>
        <w:t>g̅</w:t>
      </w:r>
      <w:r>
        <w:t xml:space="preserve"> and profile likelihood for τ.</w:t>
      </w:r>
    </w:p>
    <w:p w14:paraId="3D6F3274" w14:textId="77777777" w:rsidR="005E001F" w:rsidRDefault="005E001F" w:rsidP="005E001F">
      <w:pPr>
        <w:pStyle w:val="Heading3"/>
      </w:pPr>
      <w:bookmarkStart w:id="299" w:name="table-3.-overall-ipd-meta-analyses"/>
      <w:bookmarkEnd w:id="298"/>
      <w:r>
        <w:t>Table 3. Overall IPD meta-analyses</w:t>
      </w:r>
    </w:p>
    <w:tbl>
      <w:tblPr>
        <w:tblStyle w:val="Table"/>
        <w:tblW w:w="3214" w:type="pct"/>
        <w:tblLook w:val="0020" w:firstRow="1" w:lastRow="0" w:firstColumn="0" w:lastColumn="0" w:noHBand="0" w:noVBand="0"/>
      </w:tblPr>
      <w:tblGrid>
        <w:gridCol w:w="1822"/>
        <w:gridCol w:w="1399"/>
        <w:gridCol w:w="839"/>
        <w:gridCol w:w="839"/>
        <w:gridCol w:w="2026"/>
      </w:tblGrid>
      <w:tr w:rsidR="005E001F" w14:paraId="686D703A" w14:textId="77777777" w:rsidTr="000A6503">
        <w:trPr>
          <w:cnfStyle w:val="100000000000" w:firstRow="1" w:lastRow="0" w:firstColumn="0" w:lastColumn="0" w:oddVBand="0" w:evenVBand="0" w:oddHBand="0" w:evenHBand="0" w:firstRowFirstColumn="0" w:firstRowLastColumn="0" w:lastRowFirstColumn="0" w:lastRowLastColumn="0"/>
        </w:trPr>
        <w:tc>
          <w:tcPr>
            <w:tcW w:w="0" w:type="auto"/>
          </w:tcPr>
          <w:p w14:paraId="6DEF5498" w14:textId="77777777" w:rsidR="005E001F" w:rsidRDefault="005E001F" w:rsidP="000A6503">
            <w:pPr>
              <w:pStyle w:val="Compact"/>
            </w:pPr>
            <w:r>
              <w:t>Term</w:t>
            </w:r>
          </w:p>
        </w:tc>
        <w:tc>
          <w:tcPr>
            <w:tcW w:w="0" w:type="auto"/>
          </w:tcPr>
          <w:p w14:paraId="118D3DDD" w14:textId="77777777" w:rsidR="005E001F" w:rsidRDefault="005E001F" w:rsidP="000A6503">
            <w:pPr>
              <w:pStyle w:val="Compact"/>
              <w:jc w:val="right"/>
            </w:pPr>
            <w:r>
              <w:t>Estimate</w:t>
            </w:r>
          </w:p>
        </w:tc>
        <w:tc>
          <w:tcPr>
            <w:tcW w:w="0" w:type="auto"/>
          </w:tcPr>
          <w:p w14:paraId="728AF776" w14:textId="77777777" w:rsidR="005E001F" w:rsidRPr="00A674C5" w:rsidRDefault="005E001F" w:rsidP="000A6503">
            <w:pPr>
              <w:pStyle w:val="Compact"/>
              <w:jc w:val="right"/>
              <w:rPr>
                <w:i/>
                <w:iCs/>
              </w:rPr>
            </w:pPr>
            <w:r w:rsidRPr="00A674C5">
              <w:rPr>
                <w:i/>
                <w:iCs/>
              </w:rPr>
              <w:t>SE</w:t>
            </w:r>
          </w:p>
        </w:tc>
        <w:tc>
          <w:tcPr>
            <w:tcW w:w="0" w:type="auto"/>
          </w:tcPr>
          <w:p w14:paraId="58446233" w14:textId="77777777" w:rsidR="005E001F" w:rsidRPr="00A674C5" w:rsidRDefault="005E001F" w:rsidP="000A6503">
            <w:pPr>
              <w:pStyle w:val="Compact"/>
              <w:jc w:val="right"/>
              <w:rPr>
                <w:i/>
                <w:iCs/>
              </w:rPr>
            </w:pPr>
            <w:r>
              <w:rPr>
                <w:i/>
                <w:iCs/>
              </w:rPr>
              <w:t>t</w:t>
            </w:r>
          </w:p>
        </w:tc>
        <w:tc>
          <w:tcPr>
            <w:tcW w:w="0" w:type="auto"/>
          </w:tcPr>
          <w:p w14:paraId="527833F0" w14:textId="77777777" w:rsidR="005E001F" w:rsidRDefault="005E001F" w:rsidP="000A6503">
            <w:pPr>
              <w:pStyle w:val="Compact"/>
              <w:jc w:val="right"/>
            </w:pPr>
            <w:r>
              <w:t>95% conf. int.</w:t>
            </w:r>
          </w:p>
        </w:tc>
      </w:tr>
      <w:tr w:rsidR="005E001F" w14:paraId="528F8F08" w14:textId="77777777" w:rsidTr="000A6503">
        <w:tc>
          <w:tcPr>
            <w:tcW w:w="0" w:type="auto"/>
          </w:tcPr>
          <w:p w14:paraId="49774C71" w14:textId="77777777" w:rsidR="005E001F" w:rsidRDefault="005E001F" w:rsidP="000A6503">
            <w:pPr>
              <w:pStyle w:val="Compact"/>
            </w:pPr>
            <w:r w:rsidRPr="0017487F">
              <w:rPr>
                <w:i/>
                <w:iCs/>
              </w:rPr>
              <w:t>g</w:t>
            </w:r>
            <w:r>
              <w:rPr>
                <w:i/>
                <w:iCs/>
              </w:rPr>
              <w:t>̅</w:t>
            </w:r>
          </w:p>
        </w:tc>
        <w:tc>
          <w:tcPr>
            <w:tcW w:w="0" w:type="auto"/>
          </w:tcPr>
          <w:p w14:paraId="00BC700F" w14:textId="77777777" w:rsidR="005E001F" w:rsidRDefault="005E001F" w:rsidP="000A6503">
            <w:pPr>
              <w:pStyle w:val="Compact"/>
              <w:jc w:val="right"/>
            </w:pPr>
            <w:r>
              <w:t>1.43</w:t>
            </w:r>
          </w:p>
        </w:tc>
        <w:tc>
          <w:tcPr>
            <w:tcW w:w="0" w:type="auto"/>
          </w:tcPr>
          <w:p w14:paraId="58239D3B" w14:textId="77777777" w:rsidR="005E001F" w:rsidRDefault="005E001F" w:rsidP="000A6503">
            <w:pPr>
              <w:pStyle w:val="Compact"/>
              <w:jc w:val="right"/>
            </w:pPr>
            <w:r>
              <w:t>0.30</w:t>
            </w:r>
          </w:p>
        </w:tc>
        <w:tc>
          <w:tcPr>
            <w:tcW w:w="0" w:type="auto"/>
          </w:tcPr>
          <w:p w14:paraId="6953B999" w14:textId="77777777" w:rsidR="005E001F" w:rsidRDefault="005E001F" w:rsidP="000A6503">
            <w:pPr>
              <w:pStyle w:val="Compact"/>
              <w:jc w:val="right"/>
            </w:pPr>
            <w:r>
              <w:t>4.84</w:t>
            </w:r>
          </w:p>
        </w:tc>
        <w:tc>
          <w:tcPr>
            <w:tcW w:w="0" w:type="auto"/>
          </w:tcPr>
          <w:p w14:paraId="4C040DBB" w14:textId="77777777" w:rsidR="005E001F" w:rsidRDefault="005E001F" w:rsidP="000A6503">
            <w:pPr>
              <w:pStyle w:val="Compact"/>
              <w:jc w:val="right"/>
            </w:pPr>
            <w:r>
              <w:t>[0.82, 2.02]</w:t>
            </w:r>
          </w:p>
        </w:tc>
      </w:tr>
      <w:tr w:rsidR="005E001F" w14:paraId="0E4E3F81" w14:textId="77777777" w:rsidTr="000A6503">
        <w:tc>
          <w:tcPr>
            <w:tcW w:w="0" w:type="auto"/>
          </w:tcPr>
          <w:p w14:paraId="686F0669" w14:textId="77777777" w:rsidR="005E001F" w:rsidRDefault="005E001F" w:rsidP="000A6503">
            <w:pPr>
              <w:pStyle w:val="Compact"/>
            </w:pPr>
            <w:r>
              <w:t>τ</w:t>
            </w:r>
          </w:p>
        </w:tc>
        <w:tc>
          <w:tcPr>
            <w:tcW w:w="0" w:type="auto"/>
          </w:tcPr>
          <w:p w14:paraId="0655E88D" w14:textId="77777777" w:rsidR="005E001F" w:rsidRDefault="005E001F" w:rsidP="000A6503">
            <w:pPr>
              <w:pStyle w:val="Compact"/>
              <w:jc w:val="right"/>
            </w:pPr>
            <w:r>
              <w:t>1.00</w:t>
            </w:r>
          </w:p>
        </w:tc>
        <w:tc>
          <w:tcPr>
            <w:tcW w:w="0" w:type="auto"/>
          </w:tcPr>
          <w:p w14:paraId="28C72D1C" w14:textId="77777777" w:rsidR="005E001F" w:rsidRDefault="005E001F" w:rsidP="000A6503">
            <w:pPr>
              <w:pStyle w:val="Compact"/>
              <w:jc w:val="right"/>
            </w:pPr>
          </w:p>
        </w:tc>
        <w:tc>
          <w:tcPr>
            <w:tcW w:w="0" w:type="auto"/>
          </w:tcPr>
          <w:p w14:paraId="7C1A5460" w14:textId="77777777" w:rsidR="005E001F" w:rsidRDefault="005E001F" w:rsidP="000A6503">
            <w:pPr>
              <w:pStyle w:val="Compact"/>
              <w:jc w:val="right"/>
            </w:pPr>
          </w:p>
        </w:tc>
        <w:tc>
          <w:tcPr>
            <w:tcW w:w="0" w:type="auto"/>
          </w:tcPr>
          <w:p w14:paraId="1923D27A" w14:textId="77777777" w:rsidR="005E001F" w:rsidRDefault="005E001F" w:rsidP="000A6503">
            <w:pPr>
              <w:pStyle w:val="Compact"/>
              <w:jc w:val="right"/>
            </w:pPr>
            <w:r>
              <w:t>[0.59, 1.55]</w:t>
            </w:r>
          </w:p>
        </w:tc>
      </w:tr>
      <w:tr w:rsidR="005E001F" w14:paraId="1DA6DC66" w14:textId="77777777" w:rsidTr="000A6503">
        <w:tc>
          <w:tcPr>
            <w:tcW w:w="0" w:type="auto"/>
          </w:tcPr>
          <w:p w14:paraId="6AE6FFA4" w14:textId="77777777" w:rsidR="005E001F" w:rsidRDefault="005E001F" w:rsidP="000A6503">
            <w:pPr>
              <w:pStyle w:val="Compact"/>
            </w:pPr>
            <w:r>
              <w:t>σ (person)</w:t>
            </w:r>
          </w:p>
        </w:tc>
        <w:tc>
          <w:tcPr>
            <w:tcW w:w="0" w:type="auto"/>
          </w:tcPr>
          <w:p w14:paraId="3AEA373B" w14:textId="77777777" w:rsidR="005E001F" w:rsidRDefault="005E001F" w:rsidP="000A6503">
            <w:pPr>
              <w:pStyle w:val="Compact"/>
              <w:jc w:val="right"/>
            </w:pPr>
            <w:r>
              <w:t>0.93</w:t>
            </w:r>
          </w:p>
        </w:tc>
        <w:tc>
          <w:tcPr>
            <w:tcW w:w="0" w:type="auto"/>
          </w:tcPr>
          <w:p w14:paraId="4655A7A1" w14:textId="77777777" w:rsidR="005E001F" w:rsidRDefault="005E001F" w:rsidP="000A6503">
            <w:pPr>
              <w:pStyle w:val="Compact"/>
              <w:jc w:val="right"/>
            </w:pPr>
          </w:p>
        </w:tc>
        <w:tc>
          <w:tcPr>
            <w:tcW w:w="0" w:type="auto"/>
          </w:tcPr>
          <w:p w14:paraId="5F0C931E" w14:textId="77777777" w:rsidR="005E001F" w:rsidRDefault="005E001F" w:rsidP="000A6503">
            <w:pPr>
              <w:pStyle w:val="Compact"/>
              <w:jc w:val="right"/>
            </w:pPr>
          </w:p>
        </w:tc>
        <w:tc>
          <w:tcPr>
            <w:tcW w:w="0" w:type="auto"/>
          </w:tcPr>
          <w:p w14:paraId="0074D89E" w14:textId="77777777" w:rsidR="005E001F" w:rsidRDefault="005E001F" w:rsidP="000A6503">
            <w:pPr>
              <w:pStyle w:val="Compact"/>
              <w:jc w:val="right"/>
            </w:pPr>
            <w:r>
              <w:t>[0.73, 1.20]</w:t>
            </w:r>
          </w:p>
        </w:tc>
      </w:tr>
      <w:tr w:rsidR="005E001F" w14:paraId="1717D578" w14:textId="77777777" w:rsidTr="000A6503">
        <w:tc>
          <w:tcPr>
            <w:tcW w:w="0" w:type="auto"/>
          </w:tcPr>
          <w:p w14:paraId="2561F4F9" w14:textId="77777777" w:rsidR="005E001F" w:rsidRDefault="005E001F" w:rsidP="000A6503">
            <w:pPr>
              <w:pStyle w:val="Compact"/>
            </w:pPr>
            <w:r>
              <w:t>σ (measure)</w:t>
            </w:r>
          </w:p>
        </w:tc>
        <w:tc>
          <w:tcPr>
            <w:tcW w:w="0" w:type="auto"/>
          </w:tcPr>
          <w:p w14:paraId="39FFB11D" w14:textId="77777777" w:rsidR="005E001F" w:rsidRDefault="005E001F" w:rsidP="000A6503">
            <w:pPr>
              <w:pStyle w:val="Compact"/>
              <w:jc w:val="right"/>
            </w:pPr>
            <w:r>
              <w:t>1.45</w:t>
            </w:r>
          </w:p>
        </w:tc>
        <w:tc>
          <w:tcPr>
            <w:tcW w:w="0" w:type="auto"/>
          </w:tcPr>
          <w:p w14:paraId="213A6DA8" w14:textId="77777777" w:rsidR="005E001F" w:rsidRDefault="005E001F" w:rsidP="000A6503">
            <w:pPr>
              <w:pStyle w:val="Compact"/>
              <w:jc w:val="right"/>
            </w:pPr>
          </w:p>
        </w:tc>
        <w:tc>
          <w:tcPr>
            <w:tcW w:w="0" w:type="auto"/>
          </w:tcPr>
          <w:p w14:paraId="598D862B" w14:textId="77777777" w:rsidR="005E001F" w:rsidRDefault="005E001F" w:rsidP="000A6503">
            <w:pPr>
              <w:pStyle w:val="Compact"/>
              <w:jc w:val="right"/>
            </w:pPr>
          </w:p>
        </w:tc>
        <w:tc>
          <w:tcPr>
            <w:tcW w:w="0" w:type="auto"/>
          </w:tcPr>
          <w:p w14:paraId="25610C0B" w14:textId="77777777" w:rsidR="005E001F" w:rsidRDefault="005E001F" w:rsidP="000A6503">
            <w:pPr>
              <w:pStyle w:val="Compact"/>
              <w:jc w:val="right"/>
            </w:pPr>
            <w:r>
              <w:t>[1.38, 1.52]</w:t>
            </w:r>
          </w:p>
        </w:tc>
      </w:tr>
    </w:tbl>
    <w:p w14:paraId="08651D69" w14:textId="4765A3D7" w:rsidR="005E001F" w:rsidRDefault="005E001F" w:rsidP="005E001F">
      <w:pPr>
        <w:pStyle w:val="BodyText"/>
      </w:pPr>
      <w:r>
        <w:rPr>
          <w:i/>
          <w:iCs/>
        </w:rPr>
        <w:t>Note.</w:t>
      </w:r>
      <w:r>
        <w:t xml:space="preserve"> </w:t>
      </w:r>
      <w:r>
        <w:rPr>
          <w:i/>
          <w:iCs/>
        </w:rPr>
        <w:t>g̅</w:t>
      </w:r>
      <w:r>
        <w:t xml:space="preserve"> = mean pretest-posttest difference (</w:t>
      </w:r>
      <w:r>
        <w:rPr>
          <w:i/>
          <w:iCs/>
        </w:rPr>
        <w:t>g</w:t>
      </w:r>
      <w:r>
        <w:rPr>
          <w:i/>
          <w:iCs/>
          <w:vertAlign w:val="subscript"/>
        </w:rPr>
        <w:t>pc</w:t>
      </w:r>
      <w:r>
        <w:t xml:space="preserve">; not accounting for any control group); τ = estimated random effects standard deviation across studies; σ (person) = estimated random effects standard deviation across persons (within study); σ (measure) = estimated random effects standard deviation across measures (within person); confidence intervals computed using profile likelihood; </w:t>
      </w:r>
      <w:r>
        <w:rPr>
          <w:i/>
          <w:iCs/>
        </w:rPr>
        <w:t>p</w:t>
      </w:r>
      <w:r>
        <w:t xml:space="preserve"> values omitted as the appropriate denominator degrees of freedom for linear mixed effects models is ill-defined </w:t>
      </w:r>
      <w:r>
        <w:fldChar w:fldCharType="begin"/>
      </w:r>
      <w:r w:rsidR="003B01B7">
        <w:instrText xml:space="preserve"> ADDIN ZOTERO_ITEM CSL_CITATION {"citationID":"ogiVcTZc","properties":{"formattedCitation":"(Bates, 2006; Bates et al., 2015b, pp. 34\\uc0\\u8211{}35)","plainCitation":"(Bates, 2006; Bates et al., 2015b, pp. 34–35)","noteIndex":0},"citationItems":[{"id":"nFN7BwCC/E0ttFfCG","uris":["http://zotero.org/users/7270/items/5KWHSHSC"],"uri":["http://zotero.org/users/7270/items/5KWHSHSC"],"itemData":{"id":13493,"type":"post","note":"13707","title":"[R] lmer, p-values and all that","URL":"https://stat.ethz.ch/pipermail/r-help/2006-May/094765.html","author":[{"family":"Bates","given":"Douglas"}],"accessed":{"date-parts":[["2021",7,20]]},"issued":{"date-parts":[["2006",5,19]]}}},{"id":"nFN7BwCC/EFmgmZ3N","uris":["http://zotero.org/users/7270/items/4G9V9347"],"uri":["http://zotero.org/users/7270/items/4G9V9347"],"itemData":{"id":12962,"type":"article-journal","container-title":"Journal of Statistical Software","DOI":"10.18637/jss.v067.i01","ISSN":"1548-7660","issue":"1","language":"en","note":"31719 \nnumber: 1","page":"1-48","source":"www.jstatsoft.org","title":"Fitting Linear Mixed-Effects Models Using lme4","volume":"67","author":[{"family":"Bates","given":"Douglas"},{"family":"Mächler","given":"Martin"},{"family":"Bolker","given":"Ben"},{"family":"Walker","given":"Steve"}],"issued":{"date-parts":[["2015",10,7]]}},"locator":"34-35"}],"schema":"https://github.com/citation-style-language/schema/raw/master/csl-citation.json"} </w:instrText>
      </w:r>
      <w:r>
        <w:fldChar w:fldCharType="separate"/>
      </w:r>
      <w:r w:rsidR="00EA5707" w:rsidRPr="00EA5707">
        <w:t>(Bates, 2006; Bates et al., 2015b, pp. 34–35)</w:t>
      </w:r>
      <w:r>
        <w:fldChar w:fldCharType="end"/>
      </w:r>
      <w:r>
        <w:t>; inference should be based on the profile likelihood confidence intervals.</w:t>
      </w:r>
    </w:p>
    <w:p w14:paraId="2A25FD31" w14:textId="77777777" w:rsidR="005E001F" w:rsidRDefault="005E001F" w:rsidP="005E001F">
      <w:pPr>
        <w:pStyle w:val="Heading3"/>
      </w:pPr>
      <w:bookmarkStart w:id="300" w:name="X4053aa276677d10d9a176dcdeb37d1a646e0884"/>
      <w:bookmarkEnd w:id="299"/>
      <w:r>
        <w:t>Table 4. IPD meta-analyses of broad ability categories</w:t>
      </w:r>
    </w:p>
    <w:tbl>
      <w:tblPr>
        <w:tblStyle w:val="Table"/>
        <w:tblW w:w="4207" w:type="pct"/>
        <w:tblLook w:val="0020" w:firstRow="1" w:lastRow="0" w:firstColumn="0" w:lastColumn="0" w:noHBand="0" w:noVBand="0"/>
      </w:tblPr>
      <w:tblGrid>
        <w:gridCol w:w="4904"/>
        <w:gridCol w:w="1140"/>
        <w:gridCol w:w="684"/>
        <w:gridCol w:w="684"/>
        <w:gridCol w:w="1652"/>
      </w:tblGrid>
      <w:tr w:rsidR="005E001F" w14:paraId="56164932" w14:textId="77777777" w:rsidTr="000A6503">
        <w:trPr>
          <w:cnfStyle w:val="100000000000" w:firstRow="1" w:lastRow="0" w:firstColumn="0" w:lastColumn="0" w:oddVBand="0" w:evenVBand="0" w:oddHBand="0" w:evenHBand="0" w:firstRowFirstColumn="0" w:firstRowLastColumn="0" w:lastRowFirstColumn="0" w:lastRowLastColumn="0"/>
        </w:trPr>
        <w:tc>
          <w:tcPr>
            <w:tcW w:w="0" w:type="auto"/>
          </w:tcPr>
          <w:p w14:paraId="0E6F158C" w14:textId="77777777" w:rsidR="005E001F" w:rsidRDefault="005E001F" w:rsidP="000A6503">
            <w:pPr>
              <w:pStyle w:val="Compact"/>
            </w:pPr>
            <w:r>
              <w:t>Term</w:t>
            </w:r>
          </w:p>
        </w:tc>
        <w:tc>
          <w:tcPr>
            <w:tcW w:w="0" w:type="auto"/>
          </w:tcPr>
          <w:p w14:paraId="569A600B" w14:textId="77777777" w:rsidR="005E001F" w:rsidRDefault="005E001F" w:rsidP="000A6503">
            <w:pPr>
              <w:pStyle w:val="Compact"/>
              <w:jc w:val="right"/>
            </w:pPr>
            <w:r>
              <w:t>Estimate</w:t>
            </w:r>
          </w:p>
        </w:tc>
        <w:tc>
          <w:tcPr>
            <w:tcW w:w="0" w:type="auto"/>
          </w:tcPr>
          <w:p w14:paraId="7B636B12" w14:textId="77777777" w:rsidR="005E001F" w:rsidRPr="00A674C5" w:rsidRDefault="005E001F" w:rsidP="000A6503">
            <w:pPr>
              <w:pStyle w:val="Compact"/>
              <w:jc w:val="right"/>
              <w:rPr>
                <w:i/>
                <w:iCs/>
              </w:rPr>
            </w:pPr>
            <w:r w:rsidRPr="00A674C5">
              <w:rPr>
                <w:i/>
                <w:iCs/>
              </w:rPr>
              <w:t>SE</w:t>
            </w:r>
          </w:p>
        </w:tc>
        <w:tc>
          <w:tcPr>
            <w:tcW w:w="0" w:type="auto"/>
          </w:tcPr>
          <w:p w14:paraId="300F9304" w14:textId="77777777" w:rsidR="005E001F" w:rsidRDefault="005E001F" w:rsidP="000A6503">
            <w:pPr>
              <w:pStyle w:val="Compact"/>
              <w:jc w:val="right"/>
            </w:pPr>
            <w:r>
              <w:rPr>
                <w:i/>
                <w:iCs/>
              </w:rPr>
              <w:t>t</w:t>
            </w:r>
          </w:p>
        </w:tc>
        <w:tc>
          <w:tcPr>
            <w:tcW w:w="0" w:type="auto"/>
          </w:tcPr>
          <w:p w14:paraId="6087D57F" w14:textId="77777777" w:rsidR="005E001F" w:rsidRDefault="005E001F" w:rsidP="000A6503">
            <w:pPr>
              <w:pStyle w:val="Compact"/>
              <w:jc w:val="right"/>
            </w:pPr>
            <w:r>
              <w:t>95% conf. int.</w:t>
            </w:r>
          </w:p>
        </w:tc>
      </w:tr>
      <w:tr w:rsidR="005E001F" w14:paraId="044D6960" w14:textId="77777777" w:rsidTr="000A6503">
        <w:tc>
          <w:tcPr>
            <w:tcW w:w="0" w:type="auto"/>
          </w:tcPr>
          <w:p w14:paraId="3002D7C2" w14:textId="77777777" w:rsidR="005E001F" w:rsidRDefault="005E001F" w:rsidP="000A6503">
            <w:pPr>
              <w:pStyle w:val="Compact"/>
            </w:pPr>
            <w:r w:rsidRPr="0017487F">
              <w:rPr>
                <w:i/>
                <w:iCs/>
              </w:rPr>
              <w:t>g̅</w:t>
            </w:r>
            <w:r>
              <w:t xml:space="preserve"> (Non-communicative Language Expression)</w:t>
            </w:r>
          </w:p>
        </w:tc>
        <w:tc>
          <w:tcPr>
            <w:tcW w:w="0" w:type="auto"/>
          </w:tcPr>
          <w:p w14:paraId="781C0A16" w14:textId="77777777" w:rsidR="005E001F" w:rsidRDefault="005E001F" w:rsidP="000A6503">
            <w:pPr>
              <w:pStyle w:val="Compact"/>
              <w:jc w:val="right"/>
            </w:pPr>
            <w:r>
              <w:t>1.45</w:t>
            </w:r>
          </w:p>
        </w:tc>
        <w:tc>
          <w:tcPr>
            <w:tcW w:w="0" w:type="auto"/>
          </w:tcPr>
          <w:p w14:paraId="66BBDB4F" w14:textId="77777777" w:rsidR="005E001F" w:rsidRDefault="005E001F" w:rsidP="000A6503">
            <w:pPr>
              <w:pStyle w:val="Compact"/>
              <w:jc w:val="right"/>
            </w:pPr>
            <w:r>
              <w:t>0.35</w:t>
            </w:r>
          </w:p>
        </w:tc>
        <w:tc>
          <w:tcPr>
            <w:tcW w:w="0" w:type="auto"/>
          </w:tcPr>
          <w:p w14:paraId="4FD96680" w14:textId="77777777" w:rsidR="005E001F" w:rsidRDefault="005E001F" w:rsidP="000A6503">
            <w:pPr>
              <w:pStyle w:val="Compact"/>
              <w:jc w:val="right"/>
            </w:pPr>
            <w:r>
              <w:t>4.12</w:t>
            </w:r>
          </w:p>
        </w:tc>
        <w:tc>
          <w:tcPr>
            <w:tcW w:w="0" w:type="auto"/>
          </w:tcPr>
          <w:p w14:paraId="623E1F8E" w14:textId="77777777" w:rsidR="005E001F" w:rsidRDefault="005E001F" w:rsidP="000A6503">
            <w:pPr>
              <w:pStyle w:val="Compact"/>
              <w:jc w:val="right"/>
            </w:pPr>
            <w:r>
              <w:t>[ 0.74, 2.14]</w:t>
            </w:r>
          </w:p>
        </w:tc>
      </w:tr>
      <w:tr w:rsidR="005E001F" w14:paraId="3CF4F116" w14:textId="77777777" w:rsidTr="000A6503">
        <w:tc>
          <w:tcPr>
            <w:tcW w:w="0" w:type="auto"/>
          </w:tcPr>
          <w:p w14:paraId="28D032BC" w14:textId="77777777" w:rsidR="005E001F" w:rsidRDefault="005E001F" w:rsidP="000A6503">
            <w:pPr>
              <w:pStyle w:val="Compact"/>
            </w:pPr>
            <w:r w:rsidRPr="0017487F">
              <w:rPr>
                <w:i/>
                <w:iCs/>
              </w:rPr>
              <w:t>g̅</w:t>
            </w:r>
            <w:r>
              <w:t xml:space="preserve"> (Aphasia Severity)</w:t>
            </w:r>
          </w:p>
        </w:tc>
        <w:tc>
          <w:tcPr>
            <w:tcW w:w="0" w:type="auto"/>
          </w:tcPr>
          <w:p w14:paraId="56372C3D" w14:textId="77777777" w:rsidR="005E001F" w:rsidRDefault="005E001F" w:rsidP="000A6503">
            <w:pPr>
              <w:pStyle w:val="Compact"/>
              <w:jc w:val="right"/>
            </w:pPr>
            <w:r>
              <w:t>0.52</w:t>
            </w:r>
          </w:p>
        </w:tc>
        <w:tc>
          <w:tcPr>
            <w:tcW w:w="0" w:type="auto"/>
          </w:tcPr>
          <w:p w14:paraId="1DA9071D" w14:textId="77777777" w:rsidR="005E001F" w:rsidRDefault="005E001F" w:rsidP="000A6503">
            <w:pPr>
              <w:pStyle w:val="Compact"/>
              <w:jc w:val="right"/>
            </w:pPr>
            <w:r>
              <w:t>0.44</w:t>
            </w:r>
          </w:p>
        </w:tc>
        <w:tc>
          <w:tcPr>
            <w:tcW w:w="0" w:type="auto"/>
          </w:tcPr>
          <w:p w14:paraId="7882AD09" w14:textId="77777777" w:rsidR="005E001F" w:rsidRDefault="005E001F" w:rsidP="000A6503">
            <w:pPr>
              <w:pStyle w:val="Compact"/>
              <w:jc w:val="right"/>
            </w:pPr>
            <w:r>
              <w:t>1.16</w:t>
            </w:r>
          </w:p>
        </w:tc>
        <w:tc>
          <w:tcPr>
            <w:tcW w:w="0" w:type="auto"/>
          </w:tcPr>
          <w:p w14:paraId="483539BD" w14:textId="77777777" w:rsidR="005E001F" w:rsidRDefault="005E001F" w:rsidP="000A6503">
            <w:pPr>
              <w:pStyle w:val="Compact"/>
              <w:jc w:val="right"/>
            </w:pPr>
            <w:r>
              <w:t>[−0.37, 1.38]</w:t>
            </w:r>
          </w:p>
        </w:tc>
      </w:tr>
      <w:tr w:rsidR="005E001F" w14:paraId="3F512DDF" w14:textId="77777777" w:rsidTr="000A6503">
        <w:tc>
          <w:tcPr>
            <w:tcW w:w="0" w:type="auto"/>
          </w:tcPr>
          <w:p w14:paraId="1BD1A246" w14:textId="77777777" w:rsidR="005E001F" w:rsidRDefault="005E001F" w:rsidP="000A6503">
            <w:pPr>
              <w:pStyle w:val="Compact"/>
            </w:pPr>
            <w:r w:rsidRPr="0017487F">
              <w:rPr>
                <w:i/>
                <w:iCs/>
              </w:rPr>
              <w:t>g̅</w:t>
            </w:r>
            <w:r>
              <w:t xml:space="preserve"> (Communication)</w:t>
            </w:r>
          </w:p>
        </w:tc>
        <w:tc>
          <w:tcPr>
            <w:tcW w:w="0" w:type="auto"/>
          </w:tcPr>
          <w:p w14:paraId="544B23A1" w14:textId="77777777" w:rsidR="005E001F" w:rsidRDefault="005E001F" w:rsidP="000A6503">
            <w:pPr>
              <w:pStyle w:val="Compact"/>
              <w:jc w:val="right"/>
            </w:pPr>
            <w:r>
              <w:t>1.59</w:t>
            </w:r>
          </w:p>
        </w:tc>
        <w:tc>
          <w:tcPr>
            <w:tcW w:w="0" w:type="auto"/>
          </w:tcPr>
          <w:p w14:paraId="61A2CD46" w14:textId="77777777" w:rsidR="005E001F" w:rsidRDefault="005E001F" w:rsidP="000A6503">
            <w:pPr>
              <w:pStyle w:val="Compact"/>
              <w:jc w:val="right"/>
            </w:pPr>
            <w:r>
              <w:t>0.39</w:t>
            </w:r>
          </w:p>
        </w:tc>
        <w:tc>
          <w:tcPr>
            <w:tcW w:w="0" w:type="auto"/>
          </w:tcPr>
          <w:p w14:paraId="3DA9E4F3" w14:textId="77777777" w:rsidR="005E001F" w:rsidRDefault="005E001F" w:rsidP="000A6503">
            <w:pPr>
              <w:pStyle w:val="Compact"/>
              <w:jc w:val="right"/>
            </w:pPr>
            <w:r>
              <w:t>4.08</w:t>
            </w:r>
          </w:p>
        </w:tc>
        <w:tc>
          <w:tcPr>
            <w:tcW w:w="0" w:type="auto"/>
          </w:tcPr>
          <w:p w14:paraId="39C1150C" w14:textId="77777777" w:rsidR="005E001F" w:rsidRDefault="005E001F" w:rsidP="000A6503">
            <w:pPr>
              <w:pStyle w:val="Compact"/>
              <w:jc w:val="right"/>
            </w:pPr>
            <w:r>
              <w:t>[ 0.81, 2.35]</w:t>
            </w:r>
          </w:p>
        </w:tc>
      </w:tr>
      <w:tr w:rsidR="005E001F" w14:paraId="04B5B806" w14:textId="77777777" w:rsidTr="000A6503">
        <w:tc>
          <w:tcPr>
            <w:tcW w:w="0" w:type="auto"/>
          </w:tcPr>
          <w:p w14:paraId="2859ACEA" w14:textId="77777777" w:rsidR="005E001F" w:rsidRDefault="005E001F" w:rsidP="000A6503">
            <w:pPr>
              <w:pStyle w:val="Compact"/>
            </w:pPr>
            <w:r w:rsidRPr="0017487F">
              <w:rPr>
                <w:i/>
                <w:iCs/>
              </w:rPr>
              <w:t>g̅</w:t>
            </w:r>
            <w:r>
              <w:t xml:space="preserve"> (Domain-General Function)</w:t>
            </w:r>
          </w:p>
        </w:tc>
        <w:tc>
          <w:tcPr>
            <w:tcW w:w="0" w:type="auto"/>
          </w:tcPr>
          <w:p w14:paraId="134B4BE0" w14:textId="77777777" w:rsidR="005E001F" w:rsidRDefault="005E001F" w:rsidP="000A6503">
            <w:pPr>
              <w:pStyle w:val="Compact"/>
              <w:jc w:val="right"/>
            </w:pPr>
            <w:r>
              <w:t>1.19</w:t>
            </w:r>
          </w:p>
        </w:tc>
        <w:tc>
          <w:tcPr>
            <w:tcW w:w="0" w:type="auto"/>
          </w:tcPr>
          <w:p w14:paraId="4AAA9310" w14:textId="77777777" w:rsidR="005E001F" w:rsidRDefault="005E001F" w:rsidP="000A6503">
            <w:pPr>
              <w:pStyle w:val="Compact"/>
              <w:jc w:val="right"/>
            </w:pPr>
            <w:r>
              <w:t>0.40</w:t>
            </w:r>
          </w:p>
        </w:tc>
        <w:tc>
          <w:tcPr>
            <w:tcW w:w="0" w:type="auto"/>
          </w:tcPr>
          <w:p w14:paraId="0CD8999E" w14:textId="77777777" w:rsidR="005E001F" w:rsidRDefault="005E001F" w:rsidP="000A6503">
            <w:pPr>
              <w:pStyle w:val="Compact"/>
              <w:jc w:val="right"/>
            </w:pPr>
            <w:r>
              <w:t>2.94</w:t>
            </w:r>
          </w:p>
        </w:tc>
        <w:tc>
          <w:tcPr>
            <w:tcW w:w="0" w:type="auto"/>
          </w:tcPr>
          <w:p w14:paraId="6C89FCD7" w14:textId="77777777" w:rsidR="005E001F" w:rsidRDefault="005E001F" w:rsidP="000A6503">
            <w:pPr>
              <w:pStyle w:val="Compact"/>
              <w:jc w:val="right"/>
            </w:pPr>
            <w:r>
              <w:t>[ 0.38, 1.97]</w:t>
            </w:r>
          </w:p>
        </w:tc>
      </w:tr>
      <w:tr w:rsidR="005E001F" w14:paraId="31398D9D" w14:textId="77777777" w:rsidTr="000A6503">
        <w:tc>
          <w:tcPr>
            <w:tcW w:w="0" w:type="auto"/>
          </w:tcPr>
          <w:p w14:paraId="4A6171A8" w14:textId="77777777" w:rsidR="005E001F" w:rsidRDefault="005E001F" w:rsidP="000A6503">
            <w:pPr>
              <w:pStyle w:val="Compact"/>
            </w:pPr>
            <w:r w:rsidRPr="0017487F">
              <w:rPr>
                <w:i/>
                <w:iCs/>
              </w:rPr>
              <w:t>g̅</w:t>
            </w:r>
            <w:r>
              <w:t xml:space="preserve"> (Language Comprehension)</w:t>
            </w:r>
          </w:p>
        </w:tc>
        <w:tc>
          <w:tcPr>
            <w:tcW w:w="0" w:type="auto"/>
          </w:tcPr>
          <w:p w14:paraId="17520BB5" w14:textId="77777777" w:rsidR="005E001F" w:rsidRDefault="005E001F" w:rsidP="000A6503">
            <w:pPr>
              <w:pStyle w:val="Compact"/>
              <w:jc w:val="right"/>
            </w:pPr>
            <w:r>
              <w:t>0.26</w:t>
            </w:r>
          </w:p>
        </w:tc>
        <w:tc>
          <w:tcPr>
            <w:tcW w:w="0" w:type="auto"/>
          </w:tcPr>
          <w:p w14:paraId="4197D1C8" w14:textId="77777777" w:rsidR="005E001F" w:rsidRDefault="005E001F" w:rsidP="000A6503">
            <w:pPr>
              <w:pStyle w:val="Compact"/>
              <w:jc w:val="right"/>
            </w:pPr>
            <w:r>
              <w:t>0.38</w:t>
            </w:r>
          </w:p>
        </w:tc>
        <w:tc>
          <w:tcPr>
            <w:tcW w:w="0" w:type="auto"/>
          </w:tcPr>
          <w:p w14:paraId="7857B3E1" w14:textId="77777777" w:rsidR="005E001F" w:rsidRDefault="005E001F" w:rsidP="000A6503">
            <w:pPr>
              <w:pStyle w:val="Compact"/>
              <w:jc w:val="right"/>
            </w:pPr>
            <w:r>
              <w:t>0.70</w:t>
            </w:r>
          </w:p>
        </w:tc>
        <w:tc>
          <w:tcPr>
            <w:tcW w:w="0" w:type="auto"/>
          </w:tcPr>
          <w:p w14:paraId="579CB0DA" w14:textId="77777777" w:rsidR="005E001F" w:rsidRDefault="005E001F" w:rsidP="000A6503">
            <w:pPr>
              <w:pStyle w:val="Compact"/>
              <w:jc w:val="right"/>
            </w:pPr>
            <w:r>
              <w:t>[−0.50, 0.99]</w:t>
            </w:r>
          </w:p>
        </w:tc>
      </w:tr>
      <w:tr w:rsidR="005E001F" w14:paraId="55C9F8C9" w14:textId="77777777" w:rsidTr="000A6503">
        <w:tc>
          <w:tcPr>
            <w:tcW w:w="0" w:type="auto"/>
          </w:tcPr>
          <w:p w14:paraId="07FA8187" w14:textId="77777777" w:rsidR="005E001F" w:rsidRDefault="005E001F" w:rsidP="000A6503">
            <w:pPr>
              <w:pStyle w:val="Compact"/>
            </w:pPr>
            <w:r w:rsidRPr="0017487F">
              <w:rPr>
                <w:i/>
                <w:iCs/>
              </w:rPr>
              <w:t>g̅</w:t>
            </w:r>
            <w:r>
              <w:t xml:space="preserve"> (Speech-Motor Planning)</w:t>
            </w:r>
          </w:p>
        </w:tc>
        <w:tc>
          <w:tcPr>
            <w:tcW w:w="0" w:type="auto"/>
          </w:tcPr>
          <w:p w14:paraId="3047C214" w14:textId="77777777" w:rsidR="005E001F" w:rsidRDefault="005E001F" w:rsidP="000A6503">
            <w:pPr>
              <w:pStyle w:val="Compact"/>
              <w:jc w:val="right"/>
            </w:pPr>
            <w:r>
              <w:t>1.41</w:t>
            </w:r>
          </w:p>
        </w:tc>
        <w:tc>
          <w:tcPr>
            <w:tcW w:w="0" w:type="auto"/>
          </w:tcPr>
          <w:p w14:paraId="4BED4F48" w14:textId="77777777" w:rsidR="005E001F" w:rsidRDefault="005E001F" w:rsidP="000A6503">
            <w:pPr>
              <w:pStyle w:val="Compact"/>
              <w:jc w:val="right"/>
            </w:pPr>
            <w:r>
              <w:t>0.38</w:t>
            </w:r>
          </w:p>
        </w:tc>
        <w:tc>
          <w:tcPr>
            <w:tcW w:w="0" w:type="auto"/>
          </w:tcPr>
          <w:p w14:paraId="6A076B13" w14:textId="77777777" w:rsidR="005E001F" w:rsidRDefault="005E001F" w:rsidP="000A6503">
            <w:pPr>
              <w:pStyle w:val="Compact"/>
              <w:jc w:val="right"/>
            </w:pPr>
            <w:r>
              <w:t>3.68</w:t>
            </w:r>
          </w:p>
        </w:tc>
        <w:tc>
          <w:tcPr>
            <w:tcW w:w="0" w:type="auto"/>
          </w:tcPr>
          <w:p w14:paraId="39A3A3A6" w14:textId="77777777" w:rsidR="005E001F" w:rsidRDefault="005E001F" w:rsidP="000A6503">
            <w:pPr>
              <w:pStyle w:val="Compact"/>
              <w:jc w:val="right"/>
            </w:pPr>
            <w:r>
              <w:t>[ 0.64, 2.15]</w:t>
            </w:r>
          </w:p>
        </w:tc>
      </w:tr>
      <w:tr w:rsidR="005E001F" w14:paraId="6EF7349C" w14:textId="77777777" w:rsidTr="000A6503">
        <w:tc>
          <w:tcPr>
            <w:tcW w:w="0" w:type="auto"/>
          </w:tcPr>
          <w:p w14:paraId="405A1CEC" w14:textId="77777777" w:rsidR="005E001F" w:rsidRDefault="005E001F" w:rsidP="000A6503">
            <w:pPr>
              <w:pStyle w:val="Compact"/>
            </w:pPr>
            <w:r>
              <w:t>∆</w:t>
            </w:r>
            <w:r w:rsidRPr="0017487F">
              <w:rPr>
                <w:i/>
                <w:iCs/>
              </w:rPr>
              <w:t>g̅</w:t>
            </w:r>
            <w:r>
              <w:t xml:space="preserve"> (ad hoc test)</w:t>
            </w:r>
          </w:p>
        </w:tc>
        <w:tc>
          <w:tcPr>
            <w:tcW w:w="0" w:type="auto"/>
          </w:tcPr>
          <w:p w14:paraId="5C1464C5" w14:textId="77777777" w:rsidR="005E001F" w:rsidRDefault="005E001F" w:rsidP="000A6503">
            <w:pPr>
              <w:pStyle w:val="Compact"/>
              <w:jc w:val="right"/>
            </w:pPr>
            <w:r>
              <w:t>1.08</w:t>
            </w:r>
          </w:p>
        </w:tc>
        <w:tc>
          <w:tcPr>
            <w:tcW w:w="0" w:type="auto"/>
          </w:tcPr>
          <w:p w14:paraId="156ACE02" w14:textId="77777777" w:rsidR="005E001F" w:rsidRDefault="005E001F" w:rsidP="000A6503">
            <w:pPr>
              <w:pStyle w:val="Compact"/>
              <w:jc w:val="right"/>
            </w:pPr>
            <w:r>
              <w:t>0.71</w:t>
            </w:r>
          </w:p>
        </w:tc>
        <w:tc>
          <w:tcPr>
            <w:tcW w:w="0" w:type="auto"/>
          </w:tcPr>
          <w:p w14:paraId="3D6DE08B" w14:textId="77777777" w:rsidR="005E001F" w:rsidRDefault="005E001F" w:rsidP="000A6503">
            <w:pPr>
              <w:pStyle w:val="Compact"/>
              <w:jc w:val="right"/>
            </w:pPr>
            <w:r>
              <w:t>1.52</w:t>
            </w:r>
          </w:p>
        </w:tc>
        <w:tc>
          <w:tcPr>
            <w:tcW w:w="0" w:type="auto"/>
          </w:tcPr>
          <w:p w14:paraId="3B4C08B7" w14:textId="77777777" w:rsidR="005E001F" w:rsidRDefault="005E001F" w:rsidP="000A6503">
            <w:pPr>
              <w:pStyle w:val="Compact"/>
              <w:jc w:val="right"/>
            </w:pPr>
            <w:r>
              <w:t>[−0.32, 2.51]</w:t>
            </w:r>
          </w:p>
        </w:tc>
      </w:tr>
      <w:tr w:rsidR="005E001F" w14:paraId="3043E9F8" w14:textId="77777777" w:rsidTr="000A6503">
        <w:tc>
          <w:tcPr>
            <w:tcW w:w="0" w:type="auto"/>
          </w:tcPr>
          <w:p w14:paraId="1CAA469A" w14:textId="77777777" w:rsidR="005E001F" w:rsidRDefault="005E001F" w:rsidP="000A6503">
            <w:pPr>
              <w:pStyle w:val="Compact"/>
            </w:pPr>
            <w:r>
              <w:lastRenderedPageBreak/>
              <w:t>τ</w:t>
            </w:r>
          </w:p>
        </w:tc>
        <w:tc>
          <w:tcPr>
            <w:tcW w:w="0" w:type="auto"/>
          </w:tcPr>
          <w:p w14:paraId="4B633439" w14:textId="77777777" w:rsidR="005E001F" w:rsidRDefault="005E001F" w:rsidP="000A6503">
            <w:pPr>
              <w:pStyle w:val="Compact"/>
              <w:jc w:val="right"/>
            </w:pPr>
            <w:r>
              <w:t>1.15</w:t>
            </w:r>
          </w:p>
        </w:tc>
        <w:tc>
          <w:tcPr>
            <w:tcW w:w="0" w:type="auto"/>
          </w:tcPr>
          <w:p w14:paraId="37D743FA" w14:textId="77777777" w:rsidR="005E001F" w:rsidRDefault="005E001F" w:rsidP="000A6503">
            <w:pPr>
              <w:pStyle w:val="Compact"/>
              <w:jc w:val="right"/>
            </w:pPr>
          </w:p>
        </w:tc>
        <w:tc>
          <w:tcPr>
            <w:tcW w:w="0" w:type="auto"/>
          </w:tcPr>
          <w:p w14:paraId="58579C6B" w14:textId="77777777" w:rsidR="005E001F" w:rsidRDefault="005E001F" w:rsidP="000A6503">
            <w:pPr>
              <w:pStyle w:val="Compact"/>
              <w:jc w:val="right"/>
            </w:pPr>
          </w:p>
        </w:tc>
        <w:tc>
          <w:tcPr>
            <w:tcW w:w="0" w:type="auto"/>
          </w:tcPr>
          <w:p w14:paraId="3418A377" w14:textId="77777777" w:rsidR="005E001F" w:rsidRDefault="005E001F" w:rsidP="000A6503">
            <w:pPr>
              <w:pStyle w:val="Compact"/>
              <w:jc w:val="right"/>
            </w:pPr>
            <w:r>
              <w:t>[ 0.70, 1.69]</w:t>
            </w:r>
          </w:p>
        </w:tc>
      </w:tr>
      <w:tr w:rsidR="005E001F" w14:paraId="6CF707E7" w14:textId="77777777" w:rsidTr="000A6503">
        <w:tc>
          <w:tcPr>
            <w:tcW w:w="0" w:type="auto"/>
          </w:tcPr>
          <w:p w14:paraId="38738B7D" w14:textId="77777777" w:rsidR="005E001F" w:rsidRDefault="005E001F" w:rsidP="000A6503">
            <w:pPr>
              <w:pStyle w:val="Compact"/>
            </w:pPr>
            <w:r>
              <w:t>σ (person)</w:t>
            </w:r>
          </w:p>
        </w:tc>
        <w:tc>
          <w:tcPr>
            <w:tcW w:w="0" w:type="auto"/>
          </w:tcPr>
          <w:p w14:paraId="43BAFD52" w14:textId="77777777" w:rsidR="005E001F" w:rsidRDefault="005E001F" w:rsidP="000A6503">
            <w:pPr>
              <w:pStyle w:val="Compact"/>
              <w:jc w:val="right"/>
            </w:pPr>
            <w:r>
              <w:t>0.93</w:t>
            </w:r>
          </w:p>
        </w:tc>
        <w:tc>
          <w:tcPr>
            <w:tcW w:w="0" w:type="auto"/>
          </w:tcPr>
          <w:p w14:paraId="7795147E" w14:textId="77777777" w:rsidR="005E001F" w:rsidRDefault="005E001F" w:rsidP="000A6503">
            <w:pPr>
              <w:pStyle w:val="Compact"/>
              <w:jc w:val="right"/>
            </w:pPr>
          </w:p>
        </w:tc>
        <w:tc>
          <w:tcPr>
            <w:tcW w:w="0" w:type="auto"/>
          </w:tcPr>
          <w:p w14:paraId="2D402095" w14:textId="77777777" w:rsidR="005E001F" w:rsidRDefault="005E001F" w:rsidP="000A6503">
            <w:pPr>
              <w:pStyle w:val="Compact"/>
              <w:jc w:val="right"/>
            </w:pPr>
          </w:p>
        </w:tc>
        <w:tc>
          <w:tcPr>
            <w:tcW w:w="0" w:type="auto"/>
          </w:tcPr>
          <w:p w14:paraId="102EC2E2" w14:textId="77777777" w:rsidR="005E001F" w:rsidRDefault="005E001F" w:rsidP="000A6503">
            <w:pPr>
              <w:pStyle w:val="Compact"/>
              <w:jc w:val="right"/>
            </w:pPr>
            <w:r>
              <w:t>[ 0.73, 1.19]</w:t>
            </w:r>
          </w:p>
        </w:tc>
      </w:tr>
      <w:tr w:rsidR="005E001F" w14:paraId="74E7797F" w14:textId="77777777" w:rsidTr="000A6503">
        <w:tc>
          <w:tcPr>
            <w:tcW w:w="0" w:type="auto"/>
          </w:tcPr>
          <w:p w14:paraId="5BF724C6" w14:textId="77777777" w:rsidR="005E001F" w:rsidRDefault="005E001F" w:rsidP="000A6503">
            <w:pPr>
              <w:pStyle w:val="Compact"/>
            </w:pPr>
            <w:r>
              <w:t>σ (measure)</w:t>
            </w:r>
          </w:p>
        </w:tc>
        <w:tc>
          <w:tcPr>
            <w:tcW w:w="0" w:type="auto"/>
          </w:tcPr>
          <w:p w14:paraId="334AA383" w14:textId="77777777" w:rsidR="005E001F" w:rsidRDefault="005E001F" w:rsidP="000A6503">
            <w:pPr>
              <w:pStyle w:val="Compact"/>
              <w:jc w:val="right"/>
            </w:pPr>
            <w:r>
              <w:t>1.40</w:t>
            </w:r>
          </w:p>
        </w:tc>
        <w:tc>
          <w:tcPr>
            <w:tcW w:w="0" w:type="auto"/>
          </w:tcPr>
          <w:p w14:paraId="516F9B6D" w14:textId="77777777" w:rsidR="005E001F" w:rsidRDefault="005E001F" w:rsidP="000A6503">
            <w:pPr>
              <w:pStyle w:val="Compact"/>
              <w:jc w:val="right"/>
            </w:pPr>
          </w:p>
        </w:tc>
        <w:tc>
          <w:tcPr>
            <w:tcW w:w="0" w:type="auto"/>
          </w:tcPr>
          <w:p w14:paraId="41AA7F56" w14:textId="77777777" w:rsidR="005E001F" w:rsidRDefault="005E001F" w:rsidP="000A6503">
            <w:pPr>
              <w:pStyle w:val="Compact"/>
              <w:jc w:val="right"/>
            </w:pPr>
          </w:p>
        </w:tc>
        <w:tc>
          <w:tcPr>
            <w:tcW w:w="0" w:type="auto"/>
          </w:tcPr>
          <w:p w14:paraId="44E3DECF" w14:textId="77777777" w:rsidR="005E001F" w:rsidRDefault="005E001F" w:rsidP="000A6503">
            <w:pPr>
              <w:pStyle w:val="Compact"/>
              <w:jc w:val="right"/>
            </w:pPr>
            <w:r>
              <w:t>[ 1.33, 1.47]</w:t>
            </w:r>
          </w:p>
        </w:tc>
      </w:tr>
    </w:tbl>
    <w:p w14:paraId="6F2CF638" w14:textId="4219B223" w:rsidR="005E001F" w:rsidRDefault="005E001F" w:rsidP="005E001F">
      <w:pPr>
        <w:pStyle w:val="BodyText"/>
      </w:pPr>
      <w:r>
        <w:rPr>
          <w:i/>
          <w:iCs/>
        </w:rPr>
        <w:t>Note.</w:t>
      </w:r>
      <w:r>
        <w:t xml:space="preserve"> </w:t>
      </w:r>
      <w:r>
        <w:rPr>
          <w:i/>
          <w:iCs/>
        </w:rPr>
        <w:t>g̅</w:t>
      </w:r>
      <w:r>
        <w:t xml:space="preserve"> = mean pretest-posttest difference (</w:t>
      </w:r>
      <w:r>
        <w:rPr>
          <w:i/>
          <w:iCs/>
        </w:rPr>
        <w:t>g</w:t>
      </w:r>
      <w:r>
        <w:rPr>
          <w:i/>
          <w:iCs/>
          <w:vertAlign w:val="subscript"/>
        </w:rPr>
        <w:t>pc</w:t>
      </w:r>
      <w:r>
        <w:t>; not accounting for any control group); ∆</w:t>
      </w:r>
      <w:r>
        <w:rPr>
          <w:i/>
          <w:iCs/>
        </w:rPr>
        <w:t>g̅</w:t>
      </w:r>
      <w:r>
        <w:t xml:space="preserve"> = estimated difference in </w:t>
      </w:r>
      <w:r>
        <w:rPr>
          <w:i/>
          <w:iCs/>
        </w:rPr>
        <w:t>g̅</w:t>
      </w:r>
      <w:r>
        <w:t xml:space="preserve"> between validated and ad hoc measures; note that only language expression included ad hoc measures; τ = estimated random effects standard deviation across studies; σ (person) = estimated random effects standard deviation across persons (within study); σ (measure) = estimated random effects standard deviation across measures (within person); confidence intervals computed using profile likelihood; </w:t>
      </w:r>
      <w:r>
        <w:rPr>
          <w:i/>
          <w:iCs/>
        </w:rPr>
        <w:t>p</w:t>
      </w:r>
      <w:r>
        <w:t xml:space="preserve"> values omitted as the appropriate denominator degrees of freedom for linear mixed effects models is ill-defined </w:t>
      </w:r>
      <w:r>
        <w:fldChar w:fldCharType="begin"/>
      </w:r>
      <w:r w:rsidR="003B01B7">
        <w:instrText xml:space="preserve"> ADDIN ZOTERO_ITEM CSL_CITATION {"citationID":"A4r4G2U3","properties":{"formattedCitation":"(Bates, 2006; Bates et al., 2015b, pp. 34\\uc0\\u8211{}35)","plainCitation":"(Bates, 2006; Bates et al., 2015b, pp. 34–35)","noteIndex":0},"citationItems":[{"id":"nFN7BwCC/E0ttFfCG","uris":["http://zotero.org/users/7270/items/5KWHSHSC"],"uri":["http://zotero.org/users/7270/items/5KWHSHSC"],"itemData":{"id":13493,"type":"post","note":"13707","title":"[R] lmer, p-values and all that","URL":"https://stat.ethz.ch/pipermail/r-help/2006-May/094765.html","author":[{"family":"Bates","given":"Douglas"}],"accessed":{"date-parts":[["2021",7,20]]},"issued":{"date-parts":[["2006",5,19]]}}},{"id":"nFN7BwCC/EFmgmZ3N","uris":["http://zotero.org/users/7270/items/4G9V9347"],"uri":["http://zotero.org/users/7270/items/4G9V9347"],"itemData":{"id":12962,"type":"article-journal","container-title":"Journal of Statistical Software","DOI":"10.18637/jss.v067.i01","ISSN":"1548-7660","issue":"1","language":"en","note":"31719 \nnumber: 1","page":"1-48","source":"www.jstatsoft.org","title":"Fitting Linear Mixed-Effects Models Using lme4","volume":"67","author":[{"family":"Bates","given":"Douglas"},{"family":"Mächler","given":"Martin"},{"family":"Bolker","given":"Ben"},{"family":"Walker","given":"Steve"}],"issued":{"date-parts":[["2015",10,7]]}},"locator":"34-35"}],"schema":"https://github.com/citation-style-language/schema/raw/master/csl-citation.json"} </w:instrText>
      </w:r>
      <w:r>
        <w:fldChar w:fldCharType="separate"/>
      </w:r>
      <w:r w:rsidR="00EA5707" w:rsidRPr="00EA5707">
        <w:t>(Bates, 2006; Bates et al., 2015b, pp. 34–35)</w:t>
      </w:r>
      <w:r>
        <w:fldChar w:fldCharType="end"/>
      </w:r>
      <w:r>
        <w:t>; inference should be based on the profile likelihood confidence intervals.</w:t>
      </w:r>
    </w:p>
    <w:p w14:paraId="2AEEB091" w14:textId="77777777" w:rsidR="005E001F" w:rsidRDefault="005E001F" w:rsidP="005E001F">
      <w:pPr>
        <w:pStyle w:val="Heading3"/>
      </w:pPr>
      <w:bookmarkStart w:id="301" w:name="X267c805dd9f1d6c6e14eb208c192d9b0a8d1007"/>
      <w:bookmarkEnd w:id="300"/>
      <w:r>
        <w:t>Table 5. IPD meta-analyses with aphasia stage (months post-onset, MPO) as a moderator</w:t>
      </w:r>
    </w:p>
    <w:tbl>
      <w:tblPr>
        <w:tblStyle w:val="Table"/>
        <w:tblW w:w="4463" w:type="pct"/>
        <w:tblLook w:val="0020" w:firstRow="1" w:lastRow="0" w:firstColumn="0" w:lastColumn="0" w:noHBand="0" w:noVBand="0"/>
      </w:tblPr>
      <w:tblGrid>
        <w:gridCol w:w="5005"/>
        <w:gridCol w:w="1164"/>
        <w:gridCol w:w="963"/>
        <w:gridCol w:w="778"/>
        <w:gridCol w:w="1706"/>
      </w:tblGrid>
      <w:tr w:rsidR="005E001F" w14:paraId="62E3E5C1" w14:textId="77777777" w:rsidTr="000A6503">
        <w:trPr>
          <w:cnfStyle w:val="100000000000" w:firstRow="1" w:lastRow="0" w:firstColumn="0" w:lastColumn="0" w:oddVBand="0" w:evenVBand="0" w:oddHBand="0" w:evenHBand="0" w:firstRowFirstColumn="0" w:firstRowLastColumn="0" w:lastRowFirstColumn="0" w:lastRowLastColumn="0"/>
        </w:trPr>
        <w:tc>
          <w:tcPr>
            <w:tcW w:w="0" w:type="auto"/>
          </w:tcPr>
          <w:p w14:paraId="21F865A6" w14:textId="77777777" w:rsidR="005E001F" w:rsidRDefault="005E001F" w:rsidP="000A6503">
            <w:pPr>
              <w:pStyle w:val="Compact"/>
              <w:keepNext/>
            </w:pPr>
            <w:r>
              <w:t>Term</w:t>
            </w:r>
          </w:p>
        </w:tc>
        <w:tc>
          <w:tcPr>
            <w:tcW w:w="0" w:type="auto"/>
          </w:tcPr>
          <w:p w14:paraId="516042E8" w14:textId="77777777" w:rsidR="005E001F" w:rsidRDefault="005E001F" w:rsidP="000A6503">
            <w:pPr>
              <w:pStyle w:val="Compact"/>
              <w:keepNext/>
              <w:jc w:val="right"/>
            </w:pPr>
            <w:r>
              <w:t>Estimate</w:t>
            </w:r>
          </w:p>
        </w:tc>
        <w:tc>
          <w:tcPr>
            <w:tcW w:w="0" w:type="auto"/>
          </w:tcPr>
          <w:p w14:paraId="74F3A18F" w14:textId="77777777" w:rsidR="005E001F" w:rsidRPr="00A674C5" w:rsidRDefault="005E001F" w:rsidP="000A6503">
            <w:pPr>
              <w:pStyle w:val="Compact"/>
              <w:keepNext/>
              <w:jc w:val="right"/>
              <w:rPr>
                <w:i/>
                <w:iCs/>
              </w:rPr>
            </w:pPr>
            <w:r w:rsidRPr="00A674C5">
              <w:rPr>
                <w:i/>
                <w:iCs/>
              </w:rPr>
              <w:t>SE</w:t>
            </w:r>
          </w:p>
        </w:tc>
        <w:tc>
          <w:tcPr>
            <w:tcW w:w="0" w:type="auto"/>
          </w:tcPr>
          <w:p w14:paraId="4189DEA4" w14:textId="77777777" w:rsidR="005E001F" w:rsidRDefault="005E001F" w:rsidP="000A6503">
            <w:pPr>
              <w:pStyle w:val="Compact"/>
              <w:keepNext/>
              <w:jc w:val="right"/>
            </w:pPr>
            <w:r>
              <w:rPr>
                <w:i/>
                <w:iCs/>
              </w:rPr>
              <w:t>t</w:t>
            </w:r>
          </w:p>
        </w:tc>
        <w:tc>
          <w:tcPr>
            <w:tcW w:w="0" w:type="auto"/>
          </w:tcPr>
          <w:p w14:paraId="612EFE6F" w14:textId="77777777" w:rsidR="005E001F" w:rsidRDefault="005E001F" w:rsidP="000A6503">
            <w:pPr>
              <w:pStyle w:val="Compact"/>
              <w:keepNext/>
              <w:jc w:val="right"/>
            </w:pPr>
            <w:r>
              <w:t>95% conf. int.</w:t>
            </w:r>
          </w:p>
        </w:tc>
      </w:tr>
      <w:tr w:rsidR="005E001F" w14:paraId="076C119C" w14:textId="77777777" w:rsidTr="000A6503">
        <w:tc>
          <w:tcPr>
            <w:tcW w:w="0" w:type="auto"/>
          </w:tcPr>
          <w:p w14:paraId="5BF1F980" w14:textId="77777777" w:rsidR="005E001F" w:rsidRDefault="005E001F" w:rsidP="000A6503">
            <w:pPr>
              <w:pStyle w:val="Compact"/>
              <w:keepNext/>
            </w:pPr>
            <w:r w:rsidRPr="0017487F">
              <w:rPr>
                <w:i/>
                <w:iCs/>
              </w:rPr>
              <w:t>g̅</w:t>
            </w:r>
            <w:r>
              <w:t xml:space="preserve"> (Non-communicative Language Expression)</w:t>
            </w:r>
          </w:p>
        </w:tc>
        <w:tc>
          <w:tcPr>
            <w:tcW w:w="0" w:type="auto"/>
          </w:tcPr>
          <w:p w14:paraId="6CFD7BEA" w14:textId="77777777" w:rsidR="005E001F" w:rsidRDefault="005E001F" w:rsidP="000A6503">
            <w:pPr>
              <w:pStyle w:val="Compact"/>
              <w:keepNext/>
              <w:jc w:val="right"/>
            </w:pPr>
            <w:r>
              <w:t>1.57</w:t>
            </w:r>
          </w:p>
        </w:tc>
        <w:tc>
          <w:tcPr>
            <w:tcW w:w="0" w:type="auto"/>
          </w:tcPr>
          <w:p w14:paraId="5387A6BC" w14:textId="77777777" w:rsidR="005E001F" w:rsidRDefault="005E001F" w:rsidP="000A6503">
            <w:pPr>
              <w:pStyle w:val="Compact"/>
              <w:keepNext/>
              <w:jc w:val="right"/>
            </w:pPr>
            <w:r>
              <w:t>0.21</w:t>
            </w:r>
          </w:p>
        </w:tc>
        <w:tc>
          <w:tcPr>
            <w:tcW w:w="0" w:type="auto"/>
          </w:tcPr>
          <w:p w14:paraId="16145556" w14:textId="77777777" w:rsidR="005E001F" w:rsidRDefault="005E001F" w:rsidP="000A6503">
            <w:pPr>
              <w:pStyle w:val="Compact"/>
              <w:keepNext/>
              <w:jc w:val="right"/>
            </w:pPr>
            <w:r>
              <w:t>7.33</w:t>
            </w:r>
          </w:p>
        </w:tc>
        <w:tc>
          <w:tcPr>
            <w:tcW w:w="0" w:type="auto"/>
          </w:tcPr>
          <w:p w14:paraId="251A9252" w14:textId="77777777" w:rsidR="005E001F" w:rsidRDefault="005E001F" w:rsidP="000A6503">
            <w:pPr>
              <w:pStyle w:val="Compact"/>
              <w:keepNext/>
              <w:jc w:val="right"/>
            </w:pPr>
            <w:r>
              <w:t>[ 1.16, 1.99]</w:t>
            </w:r>
          </w:p>
        </w:tc>
      </w:tr>
      <w:tr w:rsidR="005E001F" w14:paraId="7ACA9333" w14:textId="77777777" w:rsidTr="000A6503">
        <w:tc>
          <w:tcPr>
            <w:tcW w:w="0" w:type="auto"/>
          </w:tcPr>
          <w:p w14:paraId="57EC3B87" w14:textId="77777777" w:rsidR="005E001F" w:rsidRDefault="005E001F" w:rsidP="000A6503">
            <w:pPr>
              <w:pStyle w:val="Compact"/>
              <w:keepNext/>
            </w:pPr>
            <w:r w:rsidRPr="0017487F">
              <w:rPr>
                <w:i/>
                <w:iCs/>
              </w:rPr>
              <w:t>g̅</w:t>
            </w:r>
            <w:r>
              <w:t xml:space="preserve"> (Aphasia Severity)</w:t>
            </w:r>
          </w:p>
        </w:tc>
        <w:tc>
          <w:tcPr>
            <w:tcW w:w="0" w:type="auto"/>
          </w:tcPr>
          <w:p w14:paraId="1CB48A2E" w14:textId="77777777" w:rsidR="005E001F" w:rsidRDefault="005E001F" w:rsidP="000A6503">
            <w:pPr>
              <w:pStyle w:val="Compact"/>
              <w:keepNext/>
              <w:jc w:val="right"/>
            </w:pPr>
            <w:r>
              <w:t>0.87</w:t>
            </w:r>
          </w:p>
        </w:tc>
        <w:tc>
          <w:tcPr>
            <w:tcW w:w="0" w:type="auto"/>
          </w:tcPr>
          <w:p w14:paraId="5525BBE9" w14:textId="77777777" w:rsidR="005E001F" w:rsidRDefault="005E001F" w:rsidP="000A6503">
            <w:pPr>
              <w:pStyle w:val="Compact"/>
              <w:keepNext/>
              <w:jc w:val="right"/>
            </w:pPr>
            <w:r>
              <w:t>0.43</w:t>
            </w:r>
          </w:p>
        </w:tc>
        <w:tc>
          <w:tcPr>
            <w:tcW w:w="0" w:type="auto"/>
          </w:tcPr>
          <w:p w14:paraId="23A6B223" w14:textId="77777777" w:rsidR="005E001F" w:rsidRDefault="005E001F" w:rsidP="000A6503">
            <w:pPr>
              <w:pStyle w:val="Compact"/>
              <w:keepNext/>
              <w:jc w:val="right"/>
            </w:pPr>
            <w:r>
              <w:t>2.05</w:t>
            </w:r>
          </w:p>
        </w:tc>
        <w:tc>
          <w:tcPr>
            <w:tcW w:w="0" w:type="auto"/>
          </w:tcPr>
          <w:p w14:paraId="4D0CB00C" w14:textId="77777777" w:rsidR="005E001F" w:rsidRDefault="005E001F" w:rsidP="000A6503">
            <w:pPr>
              <w:pStyle w:val="Compact"/>
              <w:keepNext/>
              <w:jc w:val="right"/>
            </w:pPr>
            <w:r>
              <w:t>[ 0.04, 1.70]</w:t>
            </w:r>
          </w:p>
        </w:tc>
      </w:tr>
      <w:tr w:rsidR="005E001F" w14:paraId="4227CBC9" w14:textId="77777777" w:rsidTr="000A6503">
        <w:tc>
          <w:tcPr>
            <w:tcW w:w="0" w:type="auto"/>
          </w:tcPr>
          <w:p w14:paraId="487DF95F" w14:textId="77777777" w:rsidR="005E001F" w:rsidRDefault="005E001F" w:rsidP="000A6503">
            <w:pPr>
              <w:pStyle w:val="Compact"/>
              <w:keepNext/>
            </w:pPr>
            <w:r w:rsidRPr="0017487F">
              <w:rPr>
                <w:i/>
                <w:iCs/>
              </w:rPr>
              <w:t>g̅</w:t>
            </w:r>
            <w:r>
              <w:t xml:space="preserve"> (Communication)</w:t>
            </w:r>
          </w:p>
        </w:tc>
        <w:tc>
          <w:tcPr>
            <w:tcW w:w="0" w:type="auto"/>
          </w:tcPr>
          <w:p w14:paraId="23D49671" w14:textId="77777777" w:rsidR="005E001F" w:rsidRDefault="005E001F" w:rsidP="000A6503">
            <w:pPr>
              <w:pStyle w:val="Compact"/>
              <w:keepNext/>
              <w:jc w:val="right"/>
            </w:pPr>
            <w:r>
              <w:t>2.08</w:t>
            </w:r>
          </w:p>
        </w:tc>
        <w:tc>
          <w:tcPr>
            <w:tcW w:w="0" w:type="auto"/>
          </w:tcPr>
          <w:p w14:paraId="2D9C3A3A" w14:textId="77777777" w:rsidR="005E001F" w:rsidRDefault="005E001F" w:rsidP="000A6503">
            <w:pPr>
              <w:pStyle w:val="Compact"/>
              <w:keepNext/>
              <w:jc w:val="right"/>
            </w:pPr>
            <w:r>
              <w:t>0.26</w:t>
            </w:r>
          </w:p>
        </w:tc>
        <w:tc>
          <w:tcPr>
            <w:tcW w:w="0" w:type="auto"/>
          </w:tcPr>
          <w:p w14:paraId="5D72A05B" w14:textId="77777777" w:rsidR="005E001F" w:rsidRDefault="005E001F" w:rsidP="000A6503">
            <w:pPr>
              <w:pStyle w:val="Compact"/>
              <w:keepNext/>
              <w:jc w:val="right"/>
            </w:pPr>
            <w:r>
              <w:t>8.04</w:t>
            </w:r>
          </w:p>
        </w:tc>
        <w:tc>
          <w:tcPr>
            <w:tcW w:w="0" w:type="auto"/>
          </w:tcPr>
          <w:p w14:paraId="117EA25F" w14:textId="77777777" w:rsidR="005E001F" w:rsidRDefault="005E001F" w:rsidP="000A6503">
            <w:pPr>
              <w:pStyle w:val="Compact"/>
              <w:keepNext/>
              <w:jc w:val="right"/>
            </w:pPr>
            <w:r>
              <w:t>[ 1.57, 2.58]</w:t>
            </w:r>
          </w:p>
        </w:tc>
      </w:tr>
      <w:tr w:rsidR="005E001F" w14:paraId="0C3655AA" w14:textId="77777777" w:rsidTr="000A6503">
        <w:tc>
          <w:tcPr>
            <w:tcW w:w="0" w:type="auto"/>
          </w:tcPr>
          <w:p w14:paraId="0BC1BD7B" w14:textId="77777777" w:rsidR="005E001F" w:rsidRDefault="005E001F" w:rsidP="000A6503">
            <w:pPr>
              <w:pStyle w:val="Compact"/>
              <w:keepNext/>
            </w:pPr>
            <w:r w:rsidRPr="0017487F">
              <w:rPr>
                <w:i/>
                <w:iCs/>
              </w:rPr>
              <w:t>g̅</w:t>
            </w:r>
            <w:r>
              <w:t xml:space="preserve"> (Domain-General Function)</w:t>
            </w:r>
          </w:p>
        </w:tc>
        <w:tc>
          <w:tcPr>
            <w:tcW w:w="0" w:type="auto"/>
          </w:tcPr>
          <w:p w14:paraId="228EDAE5" w14:textId="77777777" w:rsidR="005E001F" w:rsidRDefault="005E001F" w:rsidP="000A6503">
            <w:pPr>
              <w:pStyle w:val="Compact"/>
              <w:keepNext/>
              <w:jc w:val="right"/>
            </w:pPr>
            <w:r>
              <w:t>2.07</w:t>
            </w:r>
          </w:p>
        </w:tc>
        <w:tc>
          <w:tcPr>
            <w:tcW w:w="0" w:type="auto"/>
          </w:tcPr>
          <w:p w14:paraId="5D705A68" w14:textId="77777777" w:rsidR="005E001F" w:rsidRDefault="005E001F" w:rsidP="000A6503">
            <w:pPr>
              <w:pStyle w:val="Compact"/>
              <w:keepNext/>
              <w:jc w:val="right"/>
            </w:pPr>
            <w:r>
              <w:t>0.29</w:t>
            </w:r>
          </w:p>
        </w:tc>
        <w:tc>
          <w:tcPr>
            <w:tcW w:w="0" w:type="auto"/>
          </w:tcPr>
          <w:p w14:paraId="3A49321B" w14:textId="77777777" w:rsidR="005E001F" w:rsidRDefault="005E001F" w:rsidP="000A6503">
            <w:pPr>
              <w:pStyle w:val="Compact"/>
              <w:keepNext/>
              <w:jc w:val="right"/>
            </w:pPr>
            <w:r>
              <w:t>7.09</w:t>
            </w:r>
          </w:p>
        </w:tc>
        <w:tc>
          <w:tcPr>
            <w:tcW w:w="0" w:type="auto"/>
          </w:tcPr>
          <w:p w14:paraId="251405FC" w14:textId="77777777" w:rsidR="005E001F" w:rsidRDefault="005E001F" w:rsidP="000A6503">
            <w:pPr>
              <w:pStyle w:val="Compact"/>
              <w:keepNext/>
              <w:jc w:val="right"/>
            </w:pPr>
            <w:r>
              <w:t>[ 1.50, 2.64]</w:t>
            </w:r>
          </w:p>
        </w:tc>
      </w:tr>
      <w:tr w:rsidR="005E001F" w14:paraId="2B866CD1" w14:textId="77777777" w:rsidTr="000A6503">
        <w:tc>
          <w:tcPr>
            <w:tcW w:w="0" w:type="auto"/>
          </w:tcPr>
          <w:p w14:paraId="1B810851" w14:textId="77777777" w:rsidR="005E001F" w:rsidRDefault="005E001F" w:rsidP="000A6503">
            <w:pPr>
              <w:pStyle w:val="Compact"/>
              <w:keepNext/>
            </w:pPr>
            <w:r w:rsidRPr="0017487F">
              <w:rPr>
                <w:i/>
                <w:iCs/>
              </w:rPr>
              <w:t>g̅</w:t>
            </w:r>
            <w:r>
              <w:t xml:space="preserve"> (Language Comprehension)</w:t>
            </w:r>
          </w:p>
        </w:tc>
        <w:tc>
          <w:tcPr>
            <w:tcW w:w="0" w:type="auto"/>
          </w:tcPr>
          <w:p w14:paraId="4028CFB0" w14:textId="77777777" w:rsidR="005E001F" w:rsidRDefault="005E001F" w:rsidP="000A6503">
            <w:pPr>
              <w:pStyle w:val="Compact"/>
              <w:keepNext/>
              <w:jc w:val="right"/>
            </w:pPr>
            <w:r>
              <w:t>0.59</w:t>
            </w:r>
          </w:p>
        </w:tc>
        <w:tc>
          <w:tcPr>
            <w:tcW w:w="0" w:type="auto"/>
          </w:tcPr>
          <w:p w14:paraId="78B4589E" w14:textId="77777777" w:rsidR="005E001F" w:rsidRDefault="005E001F" w:rsidP="000A6503">
            <w:pPr>
              <w:pStyle w:val="Compact"/>
              <w:keepNext/>
              <w:jc w:val="right"/>
            </w:pPr>
            <w:r>
              <w:t>0.26</w:t>
            </w:r>
          </w:p>
        </w:tc>
        <w:tc>
          <w:tcPr>
            <w:tcW w:w="0" w:type="auto"/>
          </w:tcPr>
          <w:p w14:paraId="39B8A2C1" w14:textId="77777777" w:rsidR="005E001F" w:rsidRDefault="005E001F" w:rsidP="000A6503">
            <w:pPr>
              <w:pStyle w:val="Compact"/>
              <w:keepNext/>
              <w:jc w:val="right"/>
            </w:pPr>
            <w:r>
              <w:t>2.25</w:t>
            </w:r>
          </w:p>
        </w:tc>
        <w:tc>
          <w:tcPr>
            <w:tcW w:w="0" w:type="auto"/>
          </w:tcPr>
          <w:p w14:paraId="7B489B9A" w14:textId="77777777" w:rsidR="005E001F" w:rsidRDefault="005E001F" w:rsidP="000A6503">
            <w:pPr>
              <w:pStyle w:val="Compact"/>
              <w:keepNext/>
              <w:jc w:val="right"/>
            </w:pPr>
            <w:r>
              <w:t>[ 0.08, 1.11]</w:t>
            </w:r>
          </w:p>
        </w:tc>
      </w:tr>
      <w:tr w:rsidR="005E001F" w14:paraId="7026E32D" w14:textId="77777777" w:rsidTr="000A6503">
        <w:tc>
          <w:tcPr>
            <w:tcW w:w="0" w:type="auto"/>
          </w:tcPr>
          <w:p w14:paraId="5F0949CB" w14:textId="77777777" w:rsidR="005E001F" w:rsidRDefault="005E001F" w:rsidP="000A6503">
            <w:pPr>
              <w:pStyle w:val="Compact"/>
              <w:keepNext/>
            </w:pPr>
            <w:r w:rsidRPr="0017487F">
              <w:rPr>
                <w:i/>
                <w:iCs/>
              </w:rPr>
              <w:t>g̅</w:t>
            </w:r>
            <w:r>
              <w:t xml:space="preserve"> (Speech-Motor Planning)</w:t>
            </w:r>
          </w:p>
        </w:tc>
        <w:tc>
          <w:tcPr>
            <w:tcW w:w="0" w:type="auto"/>
          </w:tcPr>
          <w:p w14:paraId="0260CF9C" w14:textId="77777777" w:rsidR="005E001F" w:rsidRDefault="005E001F" w:rsidP="000A6503">
            <w:pPr>
              <w:pStyle w:val="Compact"/>
              <w:keepNext/>
              <w:jc w:val="right"/>
            </w:pPr>
            <w:r>
              <w:t>1.86</w:t>
            </w:r>
          </w:p>
        </w:tc>
        <w:tc>
          <w:tcPr>
            <w:tcW w:w="0" w:type="auto"/>
          </w:tcPr>
          <w:p w14:paraId="57094580" w14:textId="77777777" w:rsidR="005E001F" w:rsidRDefault="005E001F" w:rsidP="000A6503">
            <w:pPr>
              <w:pStyle w:val="Compact"/>
              <w:keepNext/>
              <w:jc w:val="right"/>
            </w:pPr>
            <w:r>
              <w:t>0.25</w:t>
            </w:r>
          </w:p>
        </w:tc>
        <w:tc>
          <w:tcPr>
            <w:tcW w:w="0" w:type="auto"/>
          </w:tcPr>
          <w:p w14:paraId="19BC1154" w14:textId="77777777" w:rsidR="005E001F" w:rsidRDefault="005E001F" w:rsidP="000A6503">
            <w:pPr>
              <w:pStyle w:val="Compact"/>
              <w:keepNext/>
              <w:jc w:val="right"/>
            </w:pPr>
            <w:r>
              <w:t>7.49</w:t>
            </w:r>
          </w:p>
        </w:tc>
        <w:tc>
          <w:tcPr>
            <w:tcW w:w="0" w:type="auto"/>
          </w:tcPr>
          <w:p w14:paraId="5EF1751E" w14:textId="77777777" w:rsidR="005E001F" w:rsidRDefault="005E001F" w:rsidP="000A6503">
            <w:pPr>
              <w:pStyle w:val="Compact"/>
              <w:keepNext/>
              <w:jc w:val="right"/>
            </w:pPr>
            <w:r>
              <w:t>[ 1.38, 2.35]</w:t>
            </w:r>
          </w:p>
        </w:tc>
      </w:tr>
      <w:tr w:rsidR="005E001F" w14:paraId="5C7C42F2" w14:textId="77777777" w:rsidTr="000A6503">
        <w:tc>
          <w:tcPr>
            <w:tcW w:w="0" w:type="auto"/>
          </w:tcPr>
          <w:p w14:paraId="1EE6290A" w14:textId="77777777" w:rsidR="005E001F" w:rsidRDefault="005E001F" w:rsidP="000A6503">
            <w:pPr>
              <w:pStyle w:val="Compact"/>
              <w:keepNext/>
            </w:pPr>
            <w:r>
              <w:t>∆</w:t>
            </w:r>
            <w:r w:rsidRPr="0017487F">
              <w:rPr>
                <w:i/>
                <w:iCs/>
              </w:rPr>
              <w:t>g̅</w:t>
            </w:r>
            <w:r>
              <w:t xml:space="preserve"> (ad hoc test)</w:t>
            </w:r>
          </w:p>
        </w:tc>
        <w:tc>
          <w:tcPr>
            <w:tcW w:w="0" w:type="auto"/>
          </w:tcPr>
          <w:p w14:paraId="7EC1297D" w14:textId="77777777" w:rsidR="005E001F" w:rsidRDefault="005E001F" w:rsidP="000A6503">
            <w:pPr>
              <w:pStyle w:val="Compact"/>
              <w:keepNext/>
              <w:jc w:val="right"/>
            </w:pPr>
            <w:r>
              <w:t>1.09</w:t>
            </w:r>
          </w:p>
        </w:tc>
        <w:tc>
          <w:tcPr>
            <w:tcW w:w="0" w:type="auto"/>
          </w:tcPr>
          <w:p w14:paraId="53619DD7" w14:textId="77777777" w:rsidR="005E001F" w:rsidRDefault="005E001F" w:rsidP="000A6503">
            <w:pPr>
              <w:pStyle w:val="Compact"/>
              <w:keepNext/>
              <w:jc w:val="right"/>
            </w:pPr>
            <w:r>
              <w:t>0.42</w:t>
            </w:r>
          </w:p>
        </w:tc>
        <w:tc>
          <w:tcPr>
            <w:tcW w:w="0" w:type="auto"/>
          </w:tcPr>
          <w:p w14:paraId="62F11DA4" w14:textId="77777777" w:rsidR="005E001F" w:rsidRDefault="005E001F" w:rsidP="000A6503">
            <w:pPr>
              <w:pStyle w:val="Compact"/>
              <w:keepNext/>
              <w:jc w:val="right"/>
            </w:pPr>
            <w:r>
              <w:t>2.59</w:t>
            </w:r>
          </w:p>
        </w:tc>
        <w:tc>
          <w:tcPr>
            <w:tcW w:w="0" w:type="auto"/>
          </w:tcPr>
          <w:p w14:paraId="570B02EE" w14:textId="77777777" w:rsidR="005E001F" w:rsidRDefault="005E001F" w:rsidP="000A6503">
            <w:pPr>
              <w:pStyle w:val="Compact"/>
              <w:keepNext/>
              <w:jc w:val="right"/>
            </w:pPr>
            <w:r>
              <w:t>[ 0.27, 1.92]</w:t>
            </w:r>
          </w:p>
        </w:tc>
      </w:tr>
      <w:tr w:rsidR="005E001F" w14:paraId="2F9E1737" w14:textId="77777777" w:rsidTr="000A6503">
        <w:tc>
          <w:tcPr>
            <w:tcW w:w="0" w:type="auto"/>
          </w:tcPr>
          <w:p w14:paraId="262119A1" w14:textId="77777777" w:rsidR="005E001F" w:rsidRDefault="005E001F" w:rsidP="000A6503">
            <w:pPr>
              <w:pStyle w:val="Compact"/>
              <w:keepNext/>
            </w:pPr>
            <w:r>
              <w:t>∆</w:t>
            </w:r>
            <w:r w:rsidRPr="0017487F">
              <w:rPr>
                <w:i/>
                <w:iCs/>
              </w:rPr>
              <w:t>g̅</w:t>
            </w:r>
            <w:r>
              <w:t xml:space="preserve"> (per month post-onset)</w:t>
            </w:r>
          </w:p>
        </w:tc>
        <w:tc>
          <w:tcPr>
            <w:tcW w:w="0" w:type="auto"/>
          </w:tcPr>
          <w:p w14:paraId="5EE0F58D" w14:textId="77777777" w:rsidR="005E001F" w:rsidRDefault="005E001F" w:rsidP="000A6503">
            <w:pPr>
              <w:pStyle w:val="Compact"/>
              <w:keepNext/>
              <w:jc w:val="right"/>
            </w:pPr>
            <w:r>
              <w:t>−0.02</w:t>
            </w:r>
          </w:p>
        </w:tc>
        <w:tc>
          <w:tcPr>
            <w:tcW w:w="0" w:type="auto"/>
          </w:tcPr>
          <w:p w14:paraId="773907AC" w14:textId="77777777" w:rsidR="005E001F" w:rsidRDefault="005E001F" w:rsidP="000A6503">
            <w:pPr>
              <w:pStyle w:val="Compact"/>
              <w:keepNext/>
              <w:jc w:val="right"/>
            </w:pPr>
            <w:r>
              <w:t>0.0038</w:t>
            </w:r>
          </w:p>
        </w:tc>
        <w:tc>
          <w:tcPr>
            <w:tcW w:w="0" w:type="auto"/>
          </w:tcPr>
          <w:p w14:paraId="61E84F70" w14:textId="77777777" w:rsidR="005E001F" w:rsidRDefault="005E001F" w:rsidP="000A6503">
            <w:pPr>
              <w:pStyle w:val="Compact"/>
              <w:keepNext/>
              <w:jc w:val="right"/>
            </w:pPr>
            <w:r>
              <w:t>-4.16</w:t>
            </w:r>
          </w:p>
        </w:tc>
        <w:tc>
          <w:tcPr>
            <w:tcW w:w="0" w:type="auto"/>
          </w:tcPr>
          <w:p w14:paraId="283C6291" w14:textId="77777777" w:rsidR="005E001F" w:rsidRDefault="005E001F" w:rsidP="000A6503">
            <w:pPr>
              <w:pStyle w:val="Compact"/>
              <w:keepNext/>
              <w:jc w:val="right"/>
            </w:pPr>
            <w:r>
              <w:t>[−0.02, −0.01]</w:t>
            </w:r>
          </w:p>
        </w:tc>
      </w:tr>
      <w:tr w:rsidR="005E001F" w14:paraId="2C6F631A" w14:textId="77777777" w:rsidTr="000A6503">
        <w:tc>
          <w:tcPr>
            <w:tcW w:w="0" w:type="auto"/>
          </w:tcPr>
          <w:p w14:paraId="5EED57D8" w14:textId="77777777" w:rsidR="005E001F" w:rsidRDefault="005E001F" w:rsidP="000A6503">
            <w:pPr>
              <w:pStyle w:val="Compact"/>
              <w:keepNext/>
            </w:pPr>
            <w:r>
              <w:t>τ</w:t>
            </w:r>
          </w:p>
        </w:tc>
        <w:tc>
          <w:tcPr>
            <w:tcW w:w="0" w:type="auto"/>
          </w:tcPr>
          <w:p w14:paraId="524FE284" w14:textId="77777777" w:rsidR="005E001F" w:rsidRDefault="005E001F" w:rsidP="000A6503">
            <w:pPr>
              <w:pStyle w:val="Compact"/>
              <w:keepNext/>
              <w:jc w:val="right"/>
            </w:pPr>
            <w:r>
              <w:t>0.00</w:t>
            </w:r>
          </w:p>
        </w:tc>
        <w:tc>
          <w:tcPr>
            <w:tcW w:w="0" w:type="auto"/>
          </w:tcPr>
          <w:p w14:paraId="5DB1D51E" w14:textId="77777777" w:rsidR="005E001F" w:rsidRDefault="005E001F" w:rsidP="000A6503">
            <w:pPr>
              <w:pStyle w:val="Compact"/>
              <w:keepNext/>
              <w:jc w:val="right"/>
            </w:pPr>
          </w:p>
        </w:tc>
        <w:tc>
          <w:tcPr>
            <w:tcW w:w="0" w:type="auto"/>
          </w:tcPr>
          <w:p w14:paraId="0A49C0B6" w14:textId="77777777" w:rsidR="005E001F" w:rsidRDefault="005E001F" w:rsidP="000A6503">
            <w:pPr>
              <w:pStyle w:val="Compact"/>
              <w:keepNext/>
              <w:jc w:val="right"/>
            </w:pPr>
          </w:p>
        </w:tc>
        <w:tc>
          <w:tcPr>
            <w:tcW w:w="0" w:type="auto"/>
          </w:tcPr>
          <w:p w14:paraId="4A72AD4E" w14:textId="77777777" w:rsidR="005E001F" w:rsidRDefault="005E001F" w:rsidP="000A6503">
            <w:pPr>
              <w:pStyle w:val="Compact"/>
              <w:keepNext/>
              <w:jc w:val="right"/>
            </w:pPr>
            <w:r>
              <w:t>[ 0.00, 0.51]</w:t>
            </w:r>
          </w:p>
        </w:tc>
      </w:tr>
      <w:tr w:rsidR="005E001F" w14:paraId="6A94877C" w14:textId="77777777" w:rsidTr="000A6503">
        <w:tc>
          <w:tcPr>
            <w:tcW w:w="0" w:type="auto"/>
          </w:tcPr>
          <w:p w14:paraId="4839A726" w14:textId="77777777" w:rsidR="005E001F" w:rsidRDefault="005E001F" w:rsidP="000A6503">
            <w:pPr>
              <w:pStyle w:val="Compact"/>
              <w:keepNext/>
            </w:pPr>
            <w:r>
              <w:t>σ (person)</w:t>
            </w:r>
          </w:p>
        </w:tc>
        <w:tc>
          <w:tcPr>
            <w:tcW w:w="0" w:type="auto"/>
          </w:tcPr>
          <w:p w14:paraId="66CE3A50" w14:textId="77777777" w:rsidR="005E001F" w:rsidRDefault="005E001F" w:rsidP="000A6503">
            <w:pPr>
              <w:pStyle w:val="Compact"/>
              <w:keepNext/>
              <w:jc w:val="right"/>
            </w:pPr>
            <w:r>
              <w:t>0.98</w:t>
            </w:r>
          </w:p>
        </w:tc>
        <w:tc>
          <w:tcPr>
            <w:tcW w:w="0" w:type="auto"/>
          </w:tcPr>
          <w:p w14:paraId="10A00348" w14:textId="77777777" w:rsidR="005E001F" w:rsidRDefault="005E001F" w:rsidP="000A6503">
            <w:pPr>
              <w:pStyle w:val="Compact"/>
              <w:keepNext/>
              <w:jc w:val="right"/>
            </w:pPr>
          </w:p>
        </w:tc>
        <w:tc>
          <w:tcPr>
            <w:tcW w:w="0" w:type="auto"/>
          </w:tcPr>
          <w:p w14:paraId="65AA8A11" w14:textId="77777777" w:rsidR="005E001F" w:rsidRDefault="005E001F" w:rsidP="000A6503">
            <w:pPr>
              <w:pStyle w:val="Compact"/>
              <w:keepNext/>
              <w:jc w:val="right"/>
            </w:pPr>
          </w:p>
        </w:tc>
        <w:tc>
          <w:tcPr>
            <w:tcW w:w="0" w:type="auto"/>
          </w:tcPr>
          <w:p w14:paraId="5A7F8EC2" w14:textId="77777777" w:rsidR="005E001F" w:rsidRDefault="005E001F" w:rsidP="000A6503">
            <w:pPr>
              <w:pStyle w:val="Compact"/>
              <w:keepNext/>
              <w:jc w:val="right"/>
            </w:pPr>
            <w:r>
              <w:t>[ 0.75, 1.24]</w:t>
            </w:r>
          </w:p>
        </w:tc>
      </w:tr>
      <w:tr w:rsidR="005E001F" w14:paraId="2AE25CD1" w14:textId="77777777" w:rsidTr="000A6503">
        <w:tc>
          <w:tcPr>
            <w:tcW w:w="0" w:type="auto"/>
          </w:tcPr>
          <w:p w14:paraId="5F1E862C" w14:textId="77777777" w:rsidR="005E001F" w:rsidRDefault="005E001F" w:rsidP="000A6503">
            <w:pPr>
              <w:pStyle w:val="Compact"/>
              <w:keepNext/>
            </w:pPr>
            <w:r>
              <w:t>σ (measure)</w:t>
            </w:r>
          </w:p>
        </w:tc>
        <w:tc>
          <w:tcPr>
            <w:tcW w:w="0" w:type="auto"/>
          </w:tcPr>
          <w:p w14:paraId="310E35EE" w14:textId="77777777" w:rsidR="005E001F" w:rsidRDefault="005E001F" w:rsidP="000A6503">
            <w:pPr>
              <w:pStyle w:val="Compact"/>
              <w:keepNext/>
              <w:jc w:val="right"/>
            </w:pPr>
            <w:r>
              <w:t>1.31</w:t>
            </w:r>
          </w:p>
        </w:tc>
        <w:tc>
          <w:tcPr>
            <w:tcW w:w="0" w:type="auto"/>
          </w:tcPr>
          <w:p w14:paraId="0937AD2D" w14:textId="77777777" w:rsidR="005E001F" w:rsidRDefault="005E001F" w:rsidP="000A6503">
            <w:pPr>
              <w:pStyle w:val="Compact"/>
              <w:keepNext/>
              <w:jc w:val="right"/>
            </w:pPr>
          </w:p>
        </w:tc>
        <w:tc>
          <w:tcPr>
            <w:tcW w:w="0" w:type="auto"/>
          </w:tcPr>
          <w:p w14:paraId="37FB564A" w14:textId="77777777" w:rsidR="005E001F" w:rsidRDefault="005E001F" w:rsidP="000A6503">
            <w:pPr>
              <w:pStyle w:val="Compact"/>
              <w:keepNext/>
              <w:jc w:val="right"/>
            </w:pPr>
          </w:p>
        </w:tc>
        <w:tc>
          <w:tcPr>
            <w:tcW w:w="0" w:type="auto"/>
          </w:tcPr>
          <w:p w14:paraId="402A1E8A" w14:textId="77777777" w:rsidR="005E001F" w:rsidRDefault="005E001F" w:rsidP="000A6503">
            <w:pPr>
              <w:pStyle w:val="Compact"/>
              <w:keepNext/>
              <w:jc w:val="right"/>
            </w:pPr>
            <w:r>
              <w:t>[ 1.24, 1.38]</w:t>
            </w:r>
          </w:p>
        </w:tc>
      </w:tr>
    </w:tbl>
    <w:p w14:paraId="490F78BF" w14:textId="05EBD733" w:rsidR="005E001F" w:rsidRDefault="005E001F" w:rsidP="005E001F">
      <w:pPr>
        <w:pStyle w:val="BodyText"/>
        <w:keepLines/>
      </w:pPr>
      <w:r>
        <w:rPr>
          <w:i/>
          <w:iCs/>
        </w:rPr>
        <w:t>Note.</w:t>
      </w:r>
      <w:r>
        <w:t xml:space="preserve"> </w:t>
      </w:r>
      <w:r>
        <w:rPr>
          <w:i/>
          <w:iCs/>
        </w:rPr>
        <w:t>g̅</w:t>
      </w:r>
      <w:r>
        <w:t xml:space="preserve"> = mean pretest-posttest difference (</w:t>
      </w:r>
      <w:r>
        <w:rPr>
          <w:i/>
          <w:iCs/>
        </w:rPr>
        <w:t>g</w:t>
      </w:r>
      <w:r>
        <w:rPr>
          <w:i/>
          <w:iCs/>
          <w:vertAlign w:val="subscript"/>
        </w:rPr>
        <w:t>pc</w:t>
      </w:r>
      <w:r>
        <w:t>; not accounting for any control group); ∆</w:t>
      </w:r>
      <w:r>
        <w:rPr>
          <w:i/>
          <w:iCs/>
        </w:rPr>
        <w:t>g̅</w:t>
      </w:r>
      <w:r>
        <w:t xml:space="preserve"> = estimated difference in </w:t>
      </w:r>
      <w:r>
        <w:rPr>
          <w:i/>
          <w:iCs/>
        </w:rPr>
        <w:t>g̅</w:t>
      </w:r>
      <w:r>
        <w:t xml:space="preserve">; note that only language expression included ad hoc measures; τ = estimated random effects standard deviation across studies; σ (person) = estimated random effects standard deviation across persons (within study); σ (measure) = estimated random effects standard deviation across measures (within person); confidence intervals computed using profile likelihood; </w:t>
      </w:r>
      <w:r>
        <w:rPr>
          <w:i/>
          <w:iCs/>
        </w:rPr>
        <w:t>p</w:t>
      </w:r>
      <w:r>
        <w:t xml:space="preserve"> values omitted as the appropriate denominator degrees of freedom for linear mixed effects models is ill-defined </w:t>
      </w:r>
      <w:r>
        <w:fldChar w:fldCharType="begin"/>
      </w:r>
      <w:r w:rsidR="003B01B7">
        <w:instrText xml:space="preserve"> ADDIN ZOTERO_ITEM CSL_CITATION {"citationID":"AzZUOPjQ","properties":{"formattedCitation":"(Bates, 2006; Bates et al., 2015b, pp. 34\\uc0\\u8211{}35)","plainCitation":"(Bates, 2006; Bates et al., 2015b, pp. 34–35)","noteIndex":0},"citationItems":[{"id":"nFN7BwCC/E0ttFfCG","uris":["http://zotero.org/users/7270/items/5KWHSHSC"],"uri":["http://zotero.org/users/7270/items/5KWHSHSC"],"itemData":{"id":13493,"type":"post","note":"13707","title":"[R] lmer, p-values and all that","URL":"https://stat.ethz.ch/pipermail/r-help/2006-May/094765.html","author":[{"family":"Bates","given":"Douglas"}],"accessed":{"date-parts":[["2021",7,20]]},"issued":{"date-parts":[["2006",5,19]]}}},{"id":"nFN7BwCC/EFmgmZ3N","uris":["http://zotero.org/users/7270/items/4G9V9347"],"uri":["http://zotero.org/users/7270/items/4G9V9347"],"itemData":{"id":12962,"type":"article-journal","container-title":"Journal of Statistical Software","DOI":"10.18637/jss.v067.i01","ISSN":"1548-7660","issue":"1","language":"en","note":"31719 \nnumber: 1","page":"1-48","source":"www.jstatsoft.org","title":"Fitting Linear Mixed-Effects Models Using lme4","volume":"67","author":[{"family":"Bates","given":"Douglas"},{"family":"Mächler","given":"Martin"},{"family":"Bolker","given":"Ben"},{"family":"Walker","given":"Steve"}],"issued":{"date-parts":[["2015",10,7]]}},"locator":"34-35"}],"schema":"https://github.com/citation-style-language/schema/raw/master/csl-citation.json"} </w:instrText>
      </w:r>
      <w:r>
        <w:fldChar w:fldCharType="separate"/>
      </w:r>
      <w:r w:rsidR="00EA5707" w:rsidRPr="00EA5707">
        <w:t>(Bates, 2006; Bates et al., 2015b, pp. 34–35)</w:t>
      </w:r>
      <w:r>
        <w:fldChar w:fldCharType="end"/>
      </w:r>
      <w:r>
        <w:t>; inference should be based on the profile likelihood confidence intervals.</w:t>
      </w:r>
    </w:p>
    <w:p w14:paraId="7198016A" w14:textId="77777777" w:rsidR="005E001F" w:rsidRDefault="005E001F" w:rsidP="005E001F">
      <w:pPr>
        <w:pStyle w:val="Heading3"/>
      </w:pPr>
      <w:bookmarkStart w:id="302" w:name="X5b68db4aa3cd1edbaebf43c82470b0feffa994d"/>
      <w:bookmarkEnd w:id="301"/>
      <w:r>
        <w:lastRenderedPageBreak/>
        <w:t>Table 6. IPD meta-analyses with MIT protocol as a moderator</w:t>
      </w:r>
    </w:p>
    <w:tbl>
      <w:tblPr>
        <w:tblStyle w:val="Table"/>
        <w:tblW w:w="4207" w:type="pct"/>
        <w:tblLook w:val="0020" w:firstRow="1" w:lastRow="0" w:firstColumn="0" w:lastColumn="0" w:noHBand="0" w:noVBand="0"/>
      </w:tblPr>
      <w:tblGrid>
        <w:gridCol w:w="4904"/>
        <w:gridCol w:w="1140"/>
        <w:gridCol w:w="684"/>
        <w:gridCol w:w="684"/>
        <w:gridCol w:w="1652"/>
      </w:tblGrid>
      <w:tr w:rsidR="005E001F" w14:paraId="14A09DE5" w14:textId="77777777" w:rsidTr="000A6503">
        <w:trPr>
          <w:cnfStyle w:val="100000000000" w:firstRow="1" w:lastRow="0" w:firstColumn="0" w:lastColumn="0" w:oddVBand="0" w:evenVBand="0" w:oddHBand="0" w:evenHBand="0" w:firstRowFirstColumn="0" w:firstRowLastColumn="0" w:lastRowFirstColumn="0" w:lastRowLastColumn="0"/>
        </w:trPr>
        <w:tc>
          <w:tcPr>
            <w:tcW w:w="0" w:type="auto"/>
          </w:tcPr>
          <w:p w14:paraId="6F7B2B07" w14:textId="77777777" w:rsidR="005E001F" w:rsidRDefault="005E001F" w:rsidP="000A6503">
            <w:pPr>
              <w:pStyle w:val="Compact"/>
              <w:keepNext/>
            </w:pPr>
            <w:r>
              <w:t>Term</w:t>
            </w:r>
          </w:p>
        </w:tc>
        <w:tc>
          <w:tcPr>
            <w:tcW w:w="0" w:type="auto"/>
          </w:tcPr>
          <w:p w14:paraId="632E9E8E" w14:textId="77777777" w:rsidR="005E001F" w:rsidRDefault="005E001F" w:rsidP="000A6503">
            <w:pPr>
              <w:pStyle w:val="Compact"/>
              <w:keepNext/>
              <w:jc w:val="right"/>
            </w:pPr>
            <w:r>
              <w:t>Estimate</w:t>
            </w:r>
          </w:p>
        </w:tc>
        <w:tc>
          <w:tcPr>
            <w:tcW w:w="0" w:type="auto"/>
          </w:tcPr>
          <w:p w14:paraId="0E85A6E6" w14:textId="77777777" w:rsidR="005E001F" w:rsidRPr="00A674C5" w:rsidRDefault="005E001F" w:rsidP="000A6503">
            <w:pPr>
              <w:pStyle w:val="Compact"/>
              <w:keepNext/>
              <w:jc w:val="right"/>
              <w:rPr>
                <w:i/>
                <w:iCs/>
              </w:rPr>
            </w:pPr>
            <w:r w:rsidRPr="00A674C5">
              <w:rPr>
                <w:i/>
                <w:iCs/>
              </w:rPr>
              <w:t>SE</w:t>
            </w:r>
          </w:p>
        </w:tc>
        <w:tc>
          <w:tcPr>
            <w:tcW w:w="0" w:type="auto"/>
          </w:tcPr>
          <w:p w14:paraId="38607BF4" w14:textId="77777777" w:rsidR="005E001F" w:rsidRDefault="005E001F" w:rsidP="000A6503">
            <w:pPr>
              <w:pStyle w:val="Compact"/>
              <w:keepNext/>
              <w:jc w:val="right"/>
            </w:pPr>
            <w:r>
              <w:rPr>
                <w:i/>
                <w:iCs/>
              </w:rPr>
              <w:t>t</w:t>
            </w:r>
          </w:p>
        </w:tc>
        <w:tc>
          <w:tcPr>
            <w:tcW w:w="0" w:type="auto"/>
          </w:tcPr>
          <w:p w14:paraId="68801488" w14:textId="77777777" w:rsidR="005E001F" w:rsidRDefault="005E001F" w:rsidP="000A6503">
            <w:pPr>
              <w:pStyle w:val="Compact"/>
              <w:keepNext/>
              <w:jc w:val="right"/>
            </w:pPr>
            <w:r>
              <w:t>95% conf. int.</w:t>
            </w:r>
          </w:p>
        </w:tc>
      </w:tr>
      <w:tr w:rsidR="005E001F" w14:paraId="115D44FB" w14:textId="77777777" w:rsidTr="000A6503">
        <w:tc>
          <w:tcPr>
            <w:tcW w:w="0" w:type="auto"/>
          </w:tcPr>
          <w:p w14:paraId="70D610A9" w14:textId="77777777" w:rsidR="005E001F" w:rsidRDefault="005E001F" w:rsidP="000A6503">
            <w:pPr>
              <w:pStyle w:val="Compact"/>
              <w:keepNext/>
            </w:pPr>
            <w:r w:rsidRPr="0017487F">
              <w:rPr>
                <w:i/>
                <w:iCs/>
              </w:rPr>
              <w:t>g̅</w:t>
            </w:r>
            <w:r>
              <w:t xml:space="preserve"> (</w:t>
            </w:r>
            <w:bookmarkStart w:id="303" w:name="_Hlk77763448"/>
            <w:r>
              <w:t>Non-communicative Language Expression</w:t>
            </w:r>
            <w:bookmarkEnd w:id="303"/>
            <w:r>
              <w:t>)</w:t>
            </w:r>
          </w:p>
        </w:tc>
        <w:tc>
          <w:tcPr>
            <w:tcW w:w="0" w:type="auto"/>
          </w:tcPr>
          <w:p w14:paraId="5F4A259E" w14:textId="77777777" w:rsidR="005E001F" w:rsidRDefault="005E001F" w:rsidP="000A6503">
            <w:pPr>
              <w:pStyle w:val="Compact"/>
              <w:keepNext/>
              <w:jc w:val="right"/>
            </w:pPr>
            <w:r>
              <w:t>1.35</w:t>
            </w:r>
          </w:p>
        </w:tc>
        <w:tc>
          <w:tcPr>
            <w:tcW w:w="0" w:type="auto"/>
          </w:tcPr>
          <w:p w14:paraId="3A9212EA" w14:textId="77777777" w:rsidR="005E001F" w:rsidRDefault="005E001F" w:rsidP="000A6503">
            <w:pPr>
              <w:pStyle w:val="Compact"/>
              <w:keepNext/>
              <w:jc w:val="right"/>
            </w:pPr>
            <w:r>
              <w:t>0.82</w:t>
            </w:r>
          </w:p>
        </w:tc>
        <w:tc>
          <w:tcPr>
            <w:tcW w:w="0" w:type="auto"/>
          </w:tcPr>
          <w:p w14:paraId="10EC5FCC" w14:textId="77777777" w:rsidR="005E001F" w:rsidRDefault="005E001F" w:rsidP="000A6503">
            <w:pPr>
              <w:pStyle w:val="Compact"/>
              <w:keepNext/>
              <w:jc w:val="right"/>
            </w:pPr>
            <w:r>
              <w:t>1.64</w:t>
            </w:r>
          </w:p>
        </w:tc>
        <w:tc>
          <w:tcPr>
            <w:tcW w:w="0" w:type="auto"/>
          </w:tcPr>
          <w:p w14:paraId="5723BED8" w14:textId="77777777" w:rsidR="005E001F" w:rsidRDefault="005E001F" w:rsidP="000A6503">
            <w:pPr>
              <w:pStyle w:val="Compact"/>
              <w:keepNext/>
              <w:jc w:val="right"/>
            </w:pPr>
            <w:r>
              <w:t>[−0.17, 2.86]</w:t>
            </w:r>
          </w:p>
        </w:tc>
      </w:tr>
      <w:tr w:rsidR="005E001F" w14:paraId="3DD01BC8" w14:textId="77777777" w:rsidTr="000A6503">
        <w:tc>
          <w:tcPr>
            <w:tcW w:w="0" w:type="auto"/>
          </w:tcPr>
          <w:p w14:paraId="422C02DC" w14:textId="77777777" w:rsidR="005E001F" w:rsidRDefault="005E001F" w:rsidP="000A6503">
            <w:pPr>
              <w:pStyle w:val="Compact"/>
              <w:keepNext/>
            </w:pPr>
            <w:r w:rsidRPr="0017487F">
              <w:rPr>
                <w:i/>
                <w:iCs/>
              </w:rPr>
              <w:t>g̅</w:t>
            </w:r>
            <w:r>
              <w:t xml:space="preserve"> (Aphasia Severity)</w:t>
            </w:r>
          </w:p>
        </w:tc>
        <w:tc>
          <w:tcPr>
            <w:tcW w:w="0" w:type="auto"/>
          </w:tcPr>
          <w:p w14:paraId="2D769C2C" w14:textId="77777777" w:rsidR="005E001F" w:rsidRDefault="005E001F" w:rsidP="000A6503">
            <w:pPr>
              <w:pStyle w:val="Compact"/>
              <w:keepNext/>
              <w:jc w:val="right"/>
            </w:pPr>
            <w:r>
              <w:t>0.21</w:t>
            </w:r>
          </w:p>
        </w:tc>
        <w:tc>
          <w:tcPr>
            <w:tcW w:w="0" w:type="auto"/>
          </w:tcPr>
          <w:p w14:paraId="3A520D31" w14:textId="77777777" w:rsidR="005E001F" w:rsidRDefault="005E001F" w:rsidP="000A6503">
            <w:pPr>
              <w:pStyle w:val="Compact"/>
              <w:keepNext/>
              <w:jc w:val="right"/>
            </w:pPr>
            <w:r>
              <w:t>0.92</w:t>
            </w:r>
          </w:p>
        </w:tc>
        <w:tc>
          <w:tcPr>
            <w:tcW w:w="0" w:type="auto"/>
          </w:tcPr>
          <w:p w14:paraId="78D0D608" w14:textId="77777777" w:rsidR="005E001F" w:rsidRDefault="005E001F" w:rsidP="000A6503">
            <w:pPr>
              <w:pStyle w:val="Compact"/>
              <w:keepNext/>
              <w:jc w:val="right"/>
            </w:pPr>
            <w:r>
              <w:t>0.23</w:t>
            </w:r>
          </w:p>
        </w:tc>
        <w:tc>
          <w:tcPr>
            <w:tcW w:w="0" w:type="auto"/>
          </w:tcPr>
          <w:p w14:paraId="7EAFEAD0" w14:textId="77777777" w:rsidR="005E001F" w:rsidRDefault="005E001F" w:rsidP="000A6503">
            <w:pPr>
              <w:pStyle w:val="Compact"/>
              <w:keepNext/>
              <w:jc w:val="right"/>
            </w:pPr>
            <w:r>
              <w:t>[−1.48, 1.90]</w:t>
            </w:r>
          </w:p>
        </w:tc>
      </w:tr>
      <w:tr w:rsidR="005E001F" w14:paraId="3CBB3E5F" w14:textId="77777777" w:rsidTr="000A6503">
        <w:tc>
          <w:tcPr>
            <w:tcW w:w="0" w:type="auto"/>
          </w:tcPr>
          <w:p w14:paraId="73C6A8FC" w14:textId="77777777" w:rsidR="005E001F" w:rsidRDefault="005E001F" w:rsidP="000A6503">
            <w:pPr>
              <w:pStyle w:val="Compact"/>
              <w:keepNext/>
            </w:pPr>
            <w:r w:rsidRPr="0017487F">
              <w:rPr>
                <w:i/>
                <w:iCs/>
              </w:rPr>
              <w:t>g̅</w:t>
            </w:r>
            <w:r>
              <w:t xml:space="preserve"> (Communication)</w:t>
            </w:r>
          </w:p>
        </w:tc>
        <w:tc>
          <w:tcPr>
            <w:tcW w:w="0" w:type="auto"/>
          </w:tcPr>
          <w:p w14:paraId="274DC9E1" w14:textId="77777777" w:rsidR="005E001F" w:rsidRDefault="005E001F" w:rsidP="000A6503">
            <w:pPr>
              <w:pStyle w:val="Compact"/>
              <w:keepNext/>
              <w:jc w:val="right"/>
            </w:pPr>
            <w:r>
              <w:t>1.57</w:t>
            </w:r>
          </w:p>
        </w:tc>
        <w:tc>
          <w:tcPr>
            <w:tcW w:w="0" w:type="auto"/>
          </w:tcPr>
          <w:p w14:paraId="6E4679CD" w14:textId="77777777" w:rsidR="005E001F" w:rsidRDefault="005E001F" w:rsidP="000A6503">
            <w:pPr>
              <w:pStyle w:val="Compact"/>
              <w:keepNext/>
              <w:jc w:val="right"/>
            </w:pPr>
            <w:r>
              <w:t>0.85</w:t>
            </w:r>
          </w:p>
        </w:tc>
        <w:tc>
          <w:tcPr>
            <w:tcW w:w="0" w:type="auto"/>
          </w:tcPr>
          <w:p w14:paraId="20BBAF1A" w14:textId="77777777" w:rsidR="005E001F" w:rsidRDefault="005E001F" w:rsidP="000A6503">
            <w:pPr>
              <w:pStyle w:val="Compact"/>
              <w:keepNext/>
              <w:jc w:val="right"/>
            </w:pPr>
            <w:r>
              <w:t>1.86</w:t>
            </w:r>
          </w:p>
        </w:tc>
        <w:tc>
          <w:tcPr>
            <w:tcW w:w="0" w:type="auto"/>
          </w:tcPr>
          <w:p w14:paraId="5B393536" w14:textId="77777777" w:rsidR="005E001F" w:rsidRDefault="005E001F" w:rsidP="000A6503">
            <w:pPr>
              <w:pStyle w:val="Compact"/>
              <w:keepNext/>
              <w:jc w:val="right"/>
            </w:pPr>
            <w:r>
              <w:t>[ 0.01, 3.13]</w:t>
            </w:r>
          </w:p>
        </w:tc>
      </w:tr>
      <w:tr w:rsidR="005E001F" w14:paraId="17C65E3C" w14:textId="77777777" w:rsidTr="000A6503">
        <w:tc>
          <w:tcPr>
            <w:tcW w:w="0" w:type="auto"/>
          </w:tcPr>
          <w:p w14:paraId="76548F9C" w14:textId="77777777" w:rsidR="005E001F" w:rsidRDefault="005E001F" w:rsidP="000A6503">
            <w:pPr>
              <w:pStyle w:val="Compact"/>
              <w:keepNext/>
            </w:pPr>
            <w:r w:rsidRPr="0017487F">
              <w:rPr>
                <w:i/>
                <w:iCs/>
              </w:rPr>
              <w:t>g̅</w:t>
            </w:r>
            <w:r>
              <w:t xml:space="preserve"> (Domain-General Function)</w:t>
            </w:r>
          </w:p>
        </w:tc>
        <w:tc>
          <w:tcPr>
            <w:tcW w:w="0" w:type="auto"/>
          </w:tcPr>
          <w:p w14:paraId="2516505B" w14:textId="77777777" w:rsidR="005E001F" w:rsidRDefault="005E001F" w:rsidP="000A6503">
            <w:pPr>
              <w:pStyle w:val="Compact"/>
              <w:keepNext/>
              <w:jc w:val="right"/>
            </w:pPr>
            <w:r>
              <w:t>1.14</w:t>
            </w:r>
          </w:p>
        </w:tc>
        <w:tc>
          <w:tcPr>
            <w:tcW w:w="0" w:type="auto"/>
          </w:tcPr>
          <w:p w14:paraId="64157020" w14:textId="77777777" w:rsidR="005E001F" w:rsidRDefault="005E001F" w:rsidP="000A6503">
            <w:pPr>
              <w:pStyle w:val="Compact"/>
              <w:keepNext/>
              <w:jc w:val="right"/>
            </w:pPr>
            <w:r>
              <w:t>0.85</w:t>
            </w:r>
          </w:p>
        </w:tc>
        <w:tc>
          <w:tcPr>
            <w:tcW w:w="0" w:type="auto"/>
          </w:tcPr>
          <w:p w14:paraId="257B56E4" w14:textId="77777777" w:rsidR="005E001F" w:rsidRDefault="005E001F" w:rsidP="000A6503">
            <w:pPr>
              <w:pStyle w:val="Compact"/>
              <w:keepNext/>
              <w:jc w:val="right"/>
            </w:pPr>
            <w:r>
              <w:t>1.34</w:t>
            </w:r>
          </w:p>
        </w:tc>
        <w:tc>
          <w:tcPr>
            <w:tcW w:w="0" w:type="auto"/>
          </w:tcPr>
          <w:p w14:paraId="07C12573" w14:textId="77777777" w:rsidR="005E001F" w:rsidRDefault="005E001F" w:rsidP="000A6503">
            <w:pPr>
              <w:pStyle w:val="Compact"/>
              <w:keepNext/>
              <w:jc w:val="right"/>
            </w:pPr>
            <w:r>
              <w:t>[−0.43, 2.71]</w:t>
            </w:r>
          </w:p>
        </w:tc>
      </w:tr>
      <w:tr w:rsidR="005E001F" w14:paraId="7EFBFA6B" w14:textId="77777777" w:rsidTr="000A6503">
        <w:tc>
          <w:tcPr>
            <w:tcW w:w="0" w:type="auto"/>
          </w:tcPr>
          <w:p w14:paraId="3019D2C7" w14:textId="77777777" w:rsidR="005E001F" w:rsidRDefault="005E001F" w:rsidP="000A6503">
            <w:pPr>
              <w:pStyle w:val="Compact"/>
              <w:keepNext/>
            </w:pPr>
            <w:r w:rsidRPr="0017487F">
              <w:rPr>
                <w:i/>
                <w:iCs/>
              </w:rPr>
              <w:t>g̅</w:t>
            </w:r>
            <w:r>
              <w:t xml:space="preserve"> (Language Comprehension)</w:t>
            </w:r>
          </w:p>
        </w:tc>
        <w:tc>
          <w:tcPr>
            <w:tcW w:w="0" w:type="auto"/>
          </w:tcPr>
          <w:p w14:paraId="69B7F1DC" w14:textId="77777777" w:rsidR="005E001F" w:rsidRDefault="005E001F" w:rsidP="000A6503">
            <w:pPr>
              <w:pStyle w:val="Compact"/>
              <w:keepNext/>
              <w:jc w:val="right"/>
            </w:pPr>
            <w:r>
              <w:t>0.05</w:t>
            </w:r>
          </w:p>
        </w:tc>
        <w:tc>
          <w:tcPr>
            <w:tcW w:w="0" w:type="auto"/>
          </w:tcPr>
          <w:p w14:paraId="50C66F65" w14:textId="77777777" w:rsidR="005E001F" w:rsidRDefault="005E001F" w:rsidP="000A6503">
            <w:pPr>
              <w:pStyle w:val="Compact"/>
              <w:keepNext/>
              <w:jc w:val="right"/>
            </w:pPr>
            <w:r>
              <w:t>0.84</w:t>
            </w:r>
          </w:p>
        </w:tc>
        <w:tc>
          <w:tcPr>
            <w:tcW w:w="0" w:type="auto"/>
          </w:tcPr>
          <w:p w14:paraId="67AC53CD" w14:textId="77777777" w:rsidR="005E001F" w:rsidRDefault="005E001F" w:rsidP="000A6503">
            <w:pPr>
              <w:pStyle w:val="Compact"/>
              <w:keepNext/>
              <w:jc w:val="right"/>
            </w:pPr>
            <w:r>
              <w:t>0.05</w:t>
            </w:r>
          </w:p>
        </w:tc>
        <w:tc>
          <w:tcPr>
            <w:tcW w:w="0" w:type="auto"/>
          </w:tcPr>
          <w:p w14:paraId="5917BEB5" w14:textId="77777777" w:rsidR="005E001F" w:rsidRDefault="005E001F" w:rsidP="000A6503">
            <w:pPr>
              <w:pStyle w:val="Compact"/>
              <w:keepNext/>
              <w:jc w:val="right"/>
            </w:pPr>
            <w:r>
              <w:t>[−1.50, 1.59]</w:t>
            </w:r>
          </w:p>
        </w:tc>
      </w:tr>
      <w:tr w:rsidR="005E001F" w14:paraId="161B8ACE" w14:textId="77777777" w:rsidTr="000A6503">
        <w:tc>
          <w:tcPr>
            <w:tcW w:w="0" w:type="auto"/>
          </w:tcPr>
          <w:p w14:paraId="23C2E4D1" w14:textId="77777777" w:rsidR="005E001F" w:rsidRDefault="005E001F" w:rsidP="000A6503">
            <w:pPr>
              <w:pStyle w:val="Compact"/>
              <w:keepNext/>
            </w:pPr>
            <w:r w:rsidRPr="0017487F">
              <w:rPr>
                <w:i/>
                <w:iCs/>
              </w:rPr>
              <w:t>g̅</w:t>
            </w:r>
            <w:r>
              <w:t xml:space="preserve"> (Speech-Motor Planning)</w:t>
            </w:r>
          </w:p>
        </w:tc>
        <w:tc>
          <w:tcPr>
            <w:tcW w:w="0" w:type="auto"/>
          </w:tcPr>
          <w:p w14:paraId="06D0E8D7" w14:textId="77777777" w:rsidR="005E001F" w:rsidRDefault="005E001F" w:rsidP="000A6503">
            <w:pPr>
              <w:pStyle w:val="Compact"/>
              <w:keepNext/>
              <w:jc w:val="right"/>
            </w:pPr>
            <w:r>
              <w:t>1.34</w:t>
            </w:r>
          </w:p>
        </w:tc>
        <w:tc>
          <w:tcPr>
            <w:tcW w:w="0" w:type="auto"/>
          </w:tcPr>
          <w:p w14:paraId="17813B74" w14:textId="77777777" w:rsidR="005E001F" w:rsidRDefault="005E001F" w:rsidP="000A6503">
            <w:pPr>
              <w:pStyle w:val="Compact"/>
              <w:keepNext/>
              <w:jc w:val="right"/>
            </w:pPr>
            <w:r>
              <w:t>0.84</w:t>
            </w:r>
          </w:p>
        </w:tc>
        <w:tc>
          <w:tcPr>
            <w:tcW w:w="0" w:type="auto"/>
          </w:tcPr>
          <w:p w14:paraId="53D27F38" w14:textId="77777777" w:rsidR="005E001F" w:rsidRDefault="005E001F" w:rsidP="000A6503">
            <w:pPr>
              <w:pStyle w:val="Compact"/>
              <w:keepNext/>
              <w:jc w:val="right"/>
            </w:pPr>
            <w:r>
              <w:t>1.60</w:t>
            </w:r>
          </w:p>
        </w:tc>
        <w:tc>
          <w:tcPr>
            <w:tcW w:w="0" w:type="auto"/>
          </w:tcPr>
          <w:p w14:paraId="4D677C62" w14:textId="77777777" w:rsidR="005E001F" w:rsidRDefault="005E001F" w:rsidP="000A6503">
            <w:pPr>
              <w:pStyle w:val="Compact"/>
              <w:keepNext/>
              <w:jc w:val="right"/>
            </w:pPr>
            <w:r>
              <w:t>[−0.21, 2.89]</w:t>
            </w:r>
          </w:p>
        </w:tc>
      </w:tr>
      <w:tr w:rsidR="005E001F" w14:paraId="2825BA38" w14:textId="77777777" w:rsidTr="000A6503">
        <w:tc>
          <w:tcPr>
            <w:tcW w:w="0" w:type="auto"/>
          </w:tcPr>
          <w:p w14:paraId="39A8B416" w14:textId="77777777" w:rsidR="005E001F" w:rsidRDefault="005E001F" w:rsidP="000A6503">
            <w:pPr>
              <w:pStyle w:val="Compact"/>
              <w:keepNext/>
            </w:pPr>
            <w:r>
              <w:t>∆</w:t>
            </w:r>
            <w:r w:rsidRPr="0017487F">
              <w:rPr>
                <w:i/>
                <w:iCs/>
              </w:rPr>
              <w:t>g̅</w:t>
            </w:r>
            <w:r>
              <w:t xml:space="preserve"> (ad hoc test)</w:t>
            </w:r>
          </w:p>
        </w:tc>
        <w:tc>
          <w:tcPr>
            <w:tcW w:w="0" w:type="auto"/>
          </w:tcPr>
          <w:p w14:paraId="18119320" w14:textId="77777777" w:rsidR="005E001F" w:rsidRDefault="005E001F" w:rsidP="000A6503">
            <w:pPr>
              <w:pStyle w:val="Compact"/>
              <w:keepNext/>
              <w:jc w:val="right"/>
            </w:pPr>
            <w:r>
              <w:t>0.25</w:t>
            </w:r>
          </w:p>
        </w:tc>
        <w:tc>
          <w:tcPr>
            <w:tcW w:w="0" w:type="auto"/>
          </w:tcPr>
          <w:p w14:paraId="7545F203" w14:textId="77777777" w:rsidR="005E001F" w:rsidRDefault="005E001F" w:rsidP="000A6503">
            <w:pPr>
              <w:pStyle w:val="Compact"/>
              <w:keepNext/>
              <w:jc w:val="right"/>
            </w:pPr>
            <w:r>
              <w:t>1.08</w:t>
            </w:r>
          </w:p>
        </w:tc>
        <w:tc>
          <w:tcPr>
            <w:tcW w:w="0" w:type="auto"/>
          </w:tcPr>
          <w:p w14:paraId="1762508F" w14:textId="77777777" w:rsidR="005E001F" w:rsidRDefault="005E001F" w:rsidP="000A6503">
            <w:pPr>
              <w:pStyle w:val="Compact"/>
              <w:keepNext/>
              <w:jc w:val="right"/>
            </w:pPr>
            <w:r>
              <w:t>0.23</w:t>
            </w:r>
          </w:p>
        </w:tc>
        <w:tc>
          <w:tcPr>
            <w:tcW w:w="0" w:type="auto"/>
          </w:tcPr>
          <w:p w14:paraId="31B92DFB" w14:textId="77777777" w:rsidR="005E001F" w:rsidRDefault="005E001F" w:rsidP="000A6503">
            <w:pPr>
              <w:pStyle w:val="Compact"/>
              <w:keepNext/>
              <w:jc w:val="right"/>
            </w:pPr>
            <w:r>
              <w:t>[−1.75, 2.24]</w:t>
            </w:r>
          </w:p>
        </w:tc>
      </w:tr>
      <w:tr w:rsidR="005E001F" w14:paraId="4310CBE2" w14:textId="77777777" w:rsidTr="000A6503">
        <w:tc>
          <w:tcPr>
            <w:tcW w:w="0" w:type="auto"/>
          </w:tcPr>
          <w:p w14:paraId="4A65CD7C" w14:textId="77777777" w:rsidR="005E001F" w:rsidRDefault="005E001F" w:rsidP="000A6503">
            <w:pPr>
              <w:pStyle w:val="Compact"/>
              <w:keepNext/>
            </w:pPr>
            <w:r>
              <w:t>∆</w:t>
            </w:r>
            <w:r w:rsidRPr="0017487F">
              <w:rPr>
                <w:i/>
                <w:iCs/>
              </w:rPr>
              <w:t>g̅</w:t>
            </w:r>
            <w:r>
              <w:t xml:space="preserve"> (modified MIT protocol)</w:t>
            </w:r>
          </w:p>
        </w:tc>
        <w:tc>
          <w:tcPr>
            <w:tcW w:w="0" w:type="auto"/>
          </w:tcPr>
          <w:p w14:paraId="3E88F167" w14:textId="77777777" w:rsidR="005E001F" w:rsidRDefault="005E001F" w:rsidP="000A6503">
            <w:pPr>
              <w:pStyle w:val="Compact"/>
              <w:keepNext/>
              <w:jc w:val="right"/>
            </w:pPr>
            <w:r>
              <w:t>0.79</w:t>
            </w:r>
          </w:p>
        </w:tc>
        <w:tc>
          <w:tcPr>
            <w:tcW w:w="0" w:type="auto"/>
          </w:tcPr>
          <w:p w14:paraId="26A1D0B7" w14:textId="77777777" w:rsidR="005E001F" w:rsidRDefault="005E001F" w:rsidP="000A6503">
            <w:pPr>
              <w:pStyle w:val="Compact"/>
              <w:keepNext/>
              <w:jc w:val="right"/>
            </w:pPr>
            <w:r>
              <w:t>0.96</w:t>
            </w:r>
          </w:p>
        </w:tc>
        <w:tc>
          <w:tcPr>
            <w:tcW w:w="0" w:type="auto"/>
          </w:tcPr>
          <w:p w14:paraId="28D0BD38" w14:textId="77777777" w:rsidR="005E001F" w:rsidRDefault="005E001F" w:rsidP="000A6503">
            <w:pPr>
              <w:pStyle w:val="Compact"/>
              <w:keepNext/>
              <w:jc w:val="right"/>
            </w:pPr>
            <w:r>
              <w:t>0.82</w:t>
            </w:r>
          </w:p>
        </w:tc>
        <w:tc>
          <w:tcPr>
            <w:tcW w:w="0" w:type="auto"/>
          </w:tcPr>
          <w:p w14:paraId="6AF7E4C8" w14:textId="77777777" w:rsidR="005E001F" w:rsidRDefault="005E001F" w:rsidP="000A6503">
            <w:pPr>
              <w:pStyle w:val="Compact"/>
              <w:keepNext/>
              <w:jc w:val="right"/>
            </w:pPr>
            <w:r>
              <w:t>[−0.99, 2.57]</w:t>
            </w:r>
          </w:p>
        </w:tc>
      </w:tr>
      <w:tr w:rsidR="005E001F" w14:paraId="62D397FB" w14:textId="77777777" w:rsidTr="000A6503">
        <w:tc>
          <w:tcPr>
            <w:tcW w:w="0" w:type="auto"/>
          </w:tcPr>
          <w:p w14:paraId="766A876C" w14:textId="77777777" w:rsidR="005E001F" w:rsidRDefault="005E001F" w:rsidP="000A6503">
            <w:pPr>
              <w:pStyle w:val="Compact"/>
              <w:keepNext/>
            </w:pPr>
            <w:r>
              <w:t>τ</w:t>
            </w:r>
          </w:p>
        </w:tc>
        <w:tc>
          <w:tcPr>
            <w:tcW w:w="0" w:type="auto"/>
          </w:tcPr>
          <w:p w14:paraId="6FDA30C5" w14:textId="77777777" w:rsidR="005E001F" w:rsidRDefault="005E001F" w:rsidP="000A6503">
            <w:pPr>
              <w:pStyle w:val="Compact"/>
              <w:keepNext/>
              <w:jc w:val="right"/>
            </w:pPr>
            <w:r>
              <w:t>1.38</w:t>
            </w:r>
          </w:p>
        </w:tc>
        <w:tc>
          <w:tcPr>
            <w:tcW w:w="0" w:type="auto"/>
          </w:tcPr>
          <w:p w14:paraId="208DDD32" w14:textId="77777777" w:rsidR="005E001F" w:rsidRDefault="005E001F" w:rsidP="000A6503">
            <w:pPr>
              <w:pStyle w:val="Compact"/>
              <w:keepNext/>
              <w:jc w:val="right"/>
            </w:pPr>
          </w:p>
        </w:tc>
        <w:tc>
          <w:tcPr>
            <w:tcW w:w="0" w:type="auto"/>
          </w:tcPr>
          <w:p w14:paraId="7D6B82BB" w14:textId="77777777" w:rsidR="005E001F" w:rsidRDefault="005E001F" w:rsidP="000A6503">
            <w:pPr>
              <w:pStyle w:val="Compact"/>
              <w:keepNext/>
              <w:jc w:val="right"/>
            </w:pPr>
          </w:p>
        </w:tc>
        <w:tc>
          <w:tcPr>
            <w:tcW w:w="0" w:type="auto"/>
          </w:tcPr>
          <w:p w14:paraId="20832949" w14:textId="77777777" w:rsidR="005E001F" w:rsidRDefault="005E001F" w:rsidP="000A6503">
            <w:pPr>
              <w:pStyle w:val="Compact"/>
              <w:keepNext/>
              <w:jc w:val="right"/>
            </w:pPr>
            <w:r>
              <w:t>[ 0.70, 2.01]</w:t>
            </w:r>
          </w:p>
        </w:tc>
      </w:tr>
      <w:tr w:rsidR="005E001F" w14:paraId="3A7E97E9" w14:textId="77777777" w:rsidTr="000A6503">
        <w:tc>
          <w:tcPr>
            <w:tcW w:w="0" w:type="auto"/>
          </w:tcPr>
          <w:p w14:paraId="6A7A5671" w14:textId="77777777" w:rsidR="005E001F" w:rsidRDefault="005E001F" w:rsidP="000A6503">
            <w:pPr>
              <w:pStyle w:val="Compact"/>
              <w:keepNext/>
            </w:pPr>
            <w:r>
              <w:t>σ (person)</w:t>
            </w:r>
          </w:p>
        </w:tc>
        <w:tc>
          <w:tcPr>
            <w:tcW w:w="0" w:type="auto"/>
          </w:tcPr>
          <w:p w14:paraId="72531A38" w14:textId="77777777" w:rsidR="005E001F" w:rsidRDefault="005E001F" w:rsidP="000A6503">
            <w:pPr>
              <w:pStyle w:val="Compact"/>
              <w:keepNext/>
              <w:jc w:val="right"/>
            </w:pPr>
            <w:r>
              <w:t>0.98</w:t>
            </w:r>
          </w:p>
        </w:tc>
        <w:tc>
          <w:tcPr>
            <w:tcW w:w="0" w:type="auto"/>
          </w:tcPr>
          <w:p w14:paraId="7921C921" w14:textId="77777777" w:rsidR="005E001F" w:rsidRDefault="005E001F" w:rsidP="000A6503">
            <w:pPr>
              <w:pStyle w:val="Compact"/>
              <w:keepNext/>
              <w:jc w:val="right"/>
            </w:pPr>
          </w:p>
        </w:tc>
        <w:tc>
          <w:tcPr>
            <w:tcW w:w="0" w:type="auto"/>
          </w:tcPr>
          <w:p w14:paraId="202E01AF" w14:textId="77777777" w:rsidR="005E001F" w:rsidRDefault="005E001F" w:rsidP="000A6503">
            <w:pPr>
              <w:pStyle w:val="Compact"/>
              <w:keepNext/>
              <w:jc w:val="right"/>
            </w:pPr>
          </w:p>
        </w:tc>
        <w:tc>
          <w:tcPr>
            <w:tcW w:w="0" w:type="auto"/>
          </w:tcPr>
          <w:p w14:paraId="20035272" w14:textId="77777777" w:rsidR="005E001F" w:rsidRDefault="005E001F" w:rsidP="000A6503">
            <w:pPr>
              <w:pStyle w:val="Compact"/>
              <w:keepNext/>
              <w:jc w:val="right"/>
            </w:pPr>
            <w:r>
              <w:t>[ 0.75, 1.30]</w:t>
            </w:r>
          </w:p>
        </w:tc>
      </w:tr>
      <w:tr w:rsidR="005E001F" w14:paraId="7070AA99" w14:textId="77777777" w:rsidTr="000A6503">
        <w:tc>
          <w:tcPr>
            <w:tcW w:w="0" w:type="auto"/>
          </w:tcPr>
          <w:p w14:paraId="25969DD6" w14:textId="77777777" w:rsidR="005E001F" w:rsidRDefault="005E001F" w:rsidP="000A6503">
            <w:pPr>
              <w:pStyle w:val="Compact"/>
              <w:keepNext/>
            </w:pPr>
            <w:r>
              <w:t>σ (measure)</w:t>
            </w:r>
          </w:p>
        </w:tc>
        <w:tc>
          <w:tcPr>
            <w:tcW w:w="0" w:type="auto"/>
          </w:tcPr>
          <w:p w14:paraId="1E31EC91" w14:textId="77777777" w:rsidR="005E001F" w:rsidRDefault="005E001F" w:rsidP="000A6503">
            <w:pPr>
              <w:pStyle w:val="Compact"/>
              <w:keepNext/>
              <w:jc w:val="right"/>
            </w:pPr>
            <w:r>
              <w:t>1.42</w:t>
            </w:r>
          </w:p>
        </w:tc>
        <w:tc>
          <w:tcPr>
            <w:tcW w:w="0" w:type="auto"/>
          </w:tcPr>
          <w:p w14:paraId="7C4D37A3" w14:textId="77777777" w:rsidR="005E001F" w:rsidRDefault="005E001F" w:rsidP="000A6503">
            <w:pPr>
              <w:pStyle w:val="Compact"/>
              <w:keepNext/>
              <w:jc w:val="right"/>
            </w:pPr>
          </w:p>
        </w:tc>
        <w:tc>
          <w:tcPr>
            <w:tcW w:w="0" w:type="auto"/>
          </w:tcPr>
          <w:p w14:paraId="395C5490" w14:textId="77777777" w:rsidR="005E001F" w:rsidRDefault="005E001F" w:rsidP="000A6503">
            <w:pPr>
              <w:pStyle w:val="Compact"/>
              <w:keepNext/>
              <w:jc w:val="right"/>
            </w:pPr>
          </w:p>
        </w:tc>
        <w:tc>
          <w:tcPr>
            <w:tcW w:w="0" w:type="auto"/>
          </w:tcPr>
          <w:p w14:paraId="2624E4F7" w14:textId="77777777" w:rsidR="005E001F" w:rsidRDefault="005E001F" w:rsidP="000A6503">
            <w:pPr>
              <w:pStyle w:val="Compact"/>
              <w:keepNext/>
              <w:jc w:val="right"/>
            </w:pPr>
            <w:r>
              <w:t>[ 1.35, 1.49]</w:t>
            </w:r>
          </w:p>
        </w:tc>
      </w:tr>
    </w:tbl>
    <w:p w14:paraId="2D4DABBD" w14:textId="0292BDC4" w:rsidR="005E001F" w:rsidRDefault="005E001F" w:rsidP="005E001F">
      <w:pPr>
        <w:pStyle w:val="BodyText"/>
        <w:keepLines/>
      </w:pPr>
      <w:r>
        <w:rPr>
          <w:i/>
          <w:iCs/>
        </w:rPr>
        <w:t>Note.</w:t>
      </w:r>
      <w:r>
        <w:t xml:space="preserve"> </w:t>
      </w:r>
      <w:r>
        <w:rPr>
          <w:i/>
          <w:iCs/>
        </w:rPr>
        <w:t>g̅</w:t>
      </w:r>
      <w:r>
        <w:t xml:space="preserve"> = mean pretest-posttest difference (</w:t>
      </w:r>
      <w:r>
        <w:rPr>
          <w:i/>
          <w:iCs/>
        </w:rPr>
        <w:t>g</w:t>
      </w:r>
      <w:r>
        <w:rPr>
          <w:i/>
          <w:iCs/>
          <w:vertAlign w:val="subscript"/>
        </w:rPr>
        <w:t>pc</w:t>
      </w:r>
      <w:r>
        <w:t>; not accounting for any control group); ∆</w:t>
      </w:r>
      <w:r>
        <w:rPr>
          <w:i/>
          <w:iCs/>
        </w:rPr>
        <w:t>g̅</w:t>
      </w:r>
      <w:r>
        <w:t xml:space="preserve"> = estimated difference in </w:t>
      </w:r>
      <w:r>
        <w:rPr>
          <w:i/>
          <w:iCs/>
        </w:rPr>
        <w:t>g̅</w:t>
      </w:r>
      <w:r>
        <w:t xml:space="preserve">; note that only language expression included ad hoc measures; τ = estimated random effects standard deviation across studies; σ (person) = estimated random effects standard deviation across persons (within study); σ (measure) = estimated random effects standard deviation across measures (within person); confidence intervals computed using profile likelihood; </w:t>
      </w:r>
      <w:r>
        <w:rPr>
          <w:i/>
          <w:iCs/>
        </w:rPr>
        <w:t>p</w:t>
      </w:r>
      <w:r>
        <w:t xml:space="preserve"> values omitted as the appropriate denominator degrees of freedom for linear mixed effects models is ill-defined </w:t>
      </w:r>
      <w:r>
        <w:fldChar w:fldCharType="begin"/>
      </w:r>
      <w:r w:rsidR="003B01B7">
        <w:instrText xml:space="preserve"> ADDIN ZOTERO_ITEM CSL_CITATION {"citationID":"CPQdco35","properties":{"formattedCitation":"(Bates, 2006; Bates et al., 2015b, pp. 34\\uc0\\u8211{}35)","plainCitation":"(Bates, 2006; Bates et al., 2015b, pp. 34–35)","noteIndex":0},"citationItems":[{"id":"nFN7BwCC/E0ttFfCG","uris":["http://zotero.org/users/7270/items/5KWHSHSC"],"uri":["http://zotero.org/users/7270/items/5KWHSHSC"],"itemData":{"id":13493,"type":"post","note":"13707","title":"[R] lmer, p-values and all that","URL":"https://stat.ethz.ch/pipermail/r-help/2006-May/094765.html","author":[{"family":"Bates","given":"Douglas"}],"accessed":{"date-parts":[["2021",7,20]]},"issued":{"date-parts":[["2006",5,19]]}}},{"id":"nFN7BwCC/EFmgmZ3N","uris":["http://zotero.org/users/7270/items/4G9V9347"],"uri":["http://zotero.org/users/7270/items/4G9V9347"],"itemData":{"id":12962,"type":"article-journal","container-title":"Journal of Statistical Software","DOI":"10.18637/jss.v067.i01","ISSN":"1548-7660","issue":"1","language":"en","note":"31719 \nnumber: 1","page":"1-48","source":"www.jstatsoft.org","title":"Fitting Linear Mixed-Effects Models Using lme4","volume":"67","author":[{"family":"Bates","given":"Douglas"},{"family":"Mächler","given":"Martin"},{"family":"Bolker","given":"Ben"},{"family":"Walker","given":"Steve"}],"issued":{"date-parts":[["2015",10,7]]}},"locator":"34-35"}],"schema":"https://github.com/citation-style-language/schema/raw/master/csl-citation.json"} </w:instrText>
      </w:r>
      <w:r>
        <w:fldChar w:fldCharType="separate"/>
      </w:r>
      <w:r w:rsidR="00EA5707" w:rsidRPr="00EA5707">
        <w:t>(Bates, 2006; Bates et al., 2015b, pp. 34–35)</w:t>
      </w:r>
      <w:r>
        <w:fldChar w:fldCharType="end"/>
      </w:r>
      <w:r>
        <w:t>; inference should be based on the profile likelihood confidence intervals.</w:t>
      </w:r>
    </w:p>
    <w:p w14:paraId="17C24AC1" w14:textId="77777777" w:rsidR="005E001F" w:rsidRDefault="005E001F" w:rsidP="005E001F">
      <w:pPr>
        <w:pStyle w:val="Heading3"/>
      </w:pPr>
      <w:bookmarkStart w:id="304" w:name="Xac5b6b225870b4a79971366f73a96a69962fb43"/>
      <w:bookmarkEnd w:id="302"/>
      <w:r>
        <w:t>Table 7. IPD meta-analyses of studies using ad hoc language expression measures: Comparing trained vs untrained stimuli</w:t>
      </w:r>
    </w:p>
    <w:tbl>
      <w:tblPr>
        <w:tblStyle w:val="Table"/>
        <w:tblW w:w="3474" w:type="pct"/>
        <w:tblLook w:val="0020" w:firstRow="1" w:lastRow="0" w:firstColumn="0" w:lastColumn="0" w:noHBand="0" w:noVBand="0"/>
      </w:tblPr>
      <w:tblGrid>
        <w:gridCol w:w="2705"/>
        <w:gridCol w:w="1310"/>
        <w:gridCol w:w="786"/>
        <w:gridCol w:w="786"/>
        <w:gridCol w:w="1898"/>
      </w:tblGrid>
      <w:tr w:rsidR="005E001F" w14:paraId="2261B9FC" w14:textId="77777777" w:rsidTr="000A6503">
        <w:trPr>
          <w:cnfStyle w:val="100000000000" w:firstRow="1" w:lastRow="0" w:firstColumn="0" w:lastColumn="0" w:oddVBand="0" w:evenVBand="0" w:oddHBand="0" w:evenHBand="0" w:firstRowFirstColumn="0" w:firstRowLastColumn="0" w:lastRowFirstColumn="0" w:lastRowLastColumn="0"/>
        </w:trPr>
        <w:tc>
          <w:tcPr>
            <w:tcW w:w="0" w:type="auto"/>
          </w:tcPr>
          <w:p w14:paraId="13BA8078" w14:textId="77777777" w:rsidR="005E001F" w:rsidRDefault="005E001F" w:rsidP="000A6503">
            <w:pPr>
              <w:pStyle w:val="Compact"/>
            </w:pPr>
            <w:r>
              <w:t>Term</w:t>
            </w:r>
          </w:p>
        </w:tc>
        <w:tc>
          <w:tcPr>
            <w:tcW w:w="0" w:type="auto"/>
          </w:tcPr>
          <w:p w14:paraId="74DF3177" w14:textId="77777777" w:rsidR="005E001F" w:rsidRDefault="005E001F" w:rsidP="000A6503">
            <w:pPr>
              <w:pStyle w:val="Compact"/>
              <w:jc w:val="right"/>
            </w:pPr>
            <w:r>
              <w:t>Estimate</w:t>
            </w:r>
          </w:p>
        </w:tc>
        <w:tc>
          <w:tcPr>
            <w:tcW w:w="0" w:type="auto"/>
          </w:tcPr>
          <w:p w14:paraId="31799313" w14:textId="77777777" w:rsidR="005E001F" w:rsidRPr="00A674C5" w:rsidRDefault="005E001F" w:rsidP="000A6503">
            <w:pPr>
              <w:pStyle w:val="Compact"/>
              <w:jc w:val="right"/>
              <w:rPr>
                <w:i/>
                <w:iCs/>
              </w:rPr>
            </w:pPr>
            <w:r w:rsidRPr="00A674C5">
              <w:rPr>
                <w:i/>
                <w:iCs/>
              </w:rPr>
              <w:t>SE</w:t>
            </w:r>
          </w:p>
        </w:tc>
        <w:tc>
          <w:tcPr>
            <w:tcW w:w="0" w:type="auto"/>
          </w:tcPr>
          <w:p w14:paraId="200C08A9" w14:textId="77777777" w:rsidR="005E001F" w:rsidRDefault="005E001F" w:rsidP="000A6503">
            <w:pPr>
              <w:pStyle w:val="Compact"/>
              <w:jc w:val="right"/>
            </w:pPr>
            <w:r>
              <w:rPr>
                <w:i/>
                <w:iCs/>
              </w:rPr>
              <w:t>t</w:t>
            </w:r>
          </w:p>
        </w:tc>
        <w:tc>
          <w:tcPr>
            <w:tcW w:w="0" w:type="auto"/>
          </w:tcPr>
          <w:p w14:paraId="08B4FD2F" w14:textId="77777777" w:rsidR="005E001F" w:rsidRDefault="005E001F" w:rsidP="000A6503">
            <w:pPr>
              <w:pStyle w:val="Compact"/>
              <w:jc w:val="right"/>
            </w:pPr>
            <w:r>
              <w:t>95% conf. int.</w:t>
            </w:r>
          </w:p>
        </w:tc>
      </w:tr>
      <w:tr w:rsidR="005E001F" w14:paraId="0DB09B04" w14:textId="77777777" w:rsidTr="000A6503">
        <w:tc>
          <w:tcPr>
            <w:tcW w:w="0" w:type="auto"/>
          </w:tcPr>
          <w:p w14:paraId="1A28BE15" w14:textId="77777777" w:rsidR="005E001F" w:rsidRDefault="005E001F" w:rsidP="000A6503">
            <w:pPr>
              <w:pStyle w:val="Compact"/>
            </w:pPr>
            <w:r w:rsidRPr="0017487F">
              <w:rPr>
                <w:i/>
                <w:iCs/>
              </w:rPr>
              <w:t>g̅</w:t>
            </w:r>
            <w:r>
              <w:t xml:space="preserve"> (untrained stimuli)</w:t>
            </w:r>
          </w:p>
        </w:tc>
        <w:tc>
          <w:tcPr>
            <w:tcW w:w="0" w:type="auto"/>
          </w:tcPr>
          <w:p w14:paraId="2810F4B0" w14:textId="77777777" w:rsidR="005E001F" w:rsidRDefault="005E001F" w:rsidP="000A6503">
            <w:pPr>
              <w:pStyle w:val="Compact"/>
              <w:jc w:val="right"/>
            </w:pPr>
            <w:r>
              <w:t>1.40</w:t>
            </w:r>
          </w:p>
        </w:tc>
        <w:tc>
          <w:tcPr>
            <w:tcW w:w="0" w:type="auto"/>
          </w:tcPr>
          <w:p w14:paraId="2D87BB3C" w14:textId="77777777" w:rsidR="005E001F" w:rsidRDefault="005E001F" w:rsidP="000A6503">
            <w:pPr>
              <w:pStyle w:val="Compact"/>
              <w:jc w:val="right"/>
            </w:pPr>
            <w:r>
              <w:t>0.37</w:t>
            </w:r>
          </w:p>
        </w:tc>
        <w:tc>
          <w:tcPr>
            <w:tcW w:w="0" w:type="auto"/>
          </w:tcPr>
          <w:p w14:paraId="4B26C895" w14:textId="77777777" w:rsidR="005E001F" w:rsidRDefault="005E001F" w:rsidP="000A6503">
            <w:pPr>
              <w:pStyle w:val="Compact"/>
              <w:jc w:val="right"/>
            </w:pPr>
            <w:r>
              <w:t>3.76</w:t>
            </w:r>
          </w:p>
        </w:tc>
        <w:tc>
          <w:tcPr>
            <w:tcW w:w="0" w:type="auto"/>
          </w:tcPr>
          <w:p w14:paraId="29E9E987" w14:textId="77777777" w:rsidR="005E001F" w:rsidRDefault="005E001F" w:rsidP="000A6503">
            <w:pPr>
              <w:pStyle w:val="Compact"/>
              <w:jc w:val="right"/>
            </w:pPr>
            <w:r>
              <w:t>[0.67, 2.31]</w:t>
            </w:r>
          </w:p>
        </w:tc>
      </w:tr>
      <w:tr w:rsidR="005E001F" w14:paraId="2E218FAE" w14:textId="77777777" w:rsidTr="000A6503">
        <w:tc>
          <w:tcPr>
            <w:tcW w:w="0" w:type="auto"/>
          </w:tcPr>
          <w:p w14:paraId="4B379A0E" w14:textId="77777777" w:rsidR="005E001F" w:rsidRDefault="005E001F" w:rsidP="000A6503">
            <w:pPr>
              <w:pStyle w:val="Compact"/>
            </w:pPr>
            <w:r>
              <w:t>∆</w:t>
            </w:r>
            <w:r w:rsidRPr="0017487F">
              <w:rPr>
                <w:i/>
                <w:iCs/>
              </w:rPr>
              <w:t>g̅</w:t>
            </w:r>
            <w:r>
              <w:t xml:space="preserve"> (trained stimuli)</w:t>
            </w:r>
          </w:p>
        </w:tc>
        <w:tc>
          <w:tcPr>
            <w:tcW w:w="0" w:type="auto"/>
          </w:tcPr>
          <w:p w14:paraId="2F1DEE5E" w14:textId="77777777" w:rsidR="005E001F" w:rsidRDefault="005E001F" w:rsidP="000A6503">
            <w:pPr>
              <w:pStyle w:val="Compact"/>
              <w:jc w:val="right"/>
            </w:pPr>
            <w:r>
              <w:t>1.56</w:t>
            </w:r>
          </w:p>
        </w:tc>
        <w:tc>
          <w:tcPr>
            <w:tcW w:w="0" w:type="auto"/>
          </w:tcPr>
          <w:p w14:paraId="2A4E597A" w14:textId="77777777" w:rsidR="005E001F" w:rsidRDefault="005E001F" w:rsidP="000A6503">
            <w:pPr>
              <w:pStyle w:val="Compact"/>
              <w:jc w:val="right"/>
            </w:pPr>
            <w:r>
              <w:t>0.24</w:t>
            </w:r>
          </w:p>
        </w:tc>
        <w:tc>
          <w:tcPr>
            <w:tcW w:w="0" w:type="auto"/>
          </w:tcPr>
          <w:p w14:paraId="1ACB622F" w14:textId="77777777" w:rsidR="005E001F" w:rsidRDefault="005E001F" w:rsidP="000A6503">
            <w:pPr>
              <w:pStyle w:val="Compact"/>
              <w:jc w:val="right"/>
            </w:pPr>
            <w:r>
              <w:t>6.58</w:t>
            </w:r>
          </w:p>
        </w:tc>
        <w:tc>
          <w:tcPr>
            <w:tcW w:w="0" w:type="auto"/>
          </w:tcPr>
          <w:p w14:paraId="078255C8" w14:textId="77777777" w:rsidR="005E001F" w:rsidRDefault="005E001F" w:rsidP="000A6503">
            <w:pPr>
              <w:pStyle w:val="Compact"/>
              <w:jc w:val="right"/>
            </w:pPr>
            <w:r>
              <w:t>[1.08, 2.03]</w:t>
            </w:r>
          </w:p>
        </w:tc>
      </w:tr>
      <w:tr w:rsidR="005E001F" w14:paraId="0FBDC99A" w14:textId="77777777" w:rsidTr="000A6503">
        <w:tc>
          <w:tcPr>
            <w:tcW w:w="0" w:type="auto"/>
          </w:tcPr>
          <w:p w14:paraId="5891DEA0" w14:textId="77777777" w:rsidR="005E001F" w:rsidRDefault="005E001F" w:rsidP="000A6503">
            <w:pPr>
              <w:pStyle w:val="Compact"/>
            </w:pPr>
            <w:r>
              <w:t>τ</w:t>
            </w:r>
          </w:p>
        </w:tc>
        <w:tc>
          <w:tcPr>
            <w:tcW w:w="0" w:type="auto"/>
          </w:tcPr>
          <w:p w14:paraId="6F1686D9" w14:textId="77777777" w:rsidR="005E001F" w:rsidRDefault="005E001F" w:rsidP="000A6503">
            <w:pPr>
              <w:pStyle w:val="Compact"/>
              <w:jc w:val="right"/>
            </w:pPr>
            <w:r>
              <w:t>0.47</w:t>
            </w:r>
          </w:p>
        </w:tc>
        <w:tc>
          <w:tcPr>
            <w:tcW w:w="0" w:type="auto"/>
          </w:tcPr>
          <w:p w14:paraId="4E403428" w14:textId="77777777" w:rsidR="005E001F" w:rsidRDefault="005E001F" w:rsidP="000A6503">
            <w:pPr>
              <w:pStyle w:val="Compact"/>
              <w:jc w:val="right"/>
            </w:pPr>
          </w:p>
        </w:tc>
        <w:tc>
          <w:tcPr>
            <w:tcW w:w="0" w:type="auto"/>
          </w:tcPr>
          <w:p w14:paraId="101DD028" w14:textId="77777777" w:rsidR="005E001F" w:rsidRDefault="005E001F" w:rsidP="000A6503">
            <w:pPr>
              <w:pStyle w:val="Compact"/>
              <w:jc w:val="right"/>
            </w:pPr>
          </w:p>
        </w:tc>
        <w:tc>
          <w:tcPr>
            <w:tcW w:w="0" w:type="auto"/>
          </w:tcPr>
          <w:p w14:paraId="62C7380A" w14:textId="77777777" w:rsidR="005E001F" w:rsidRDefault="005E001F" w:rsidP="000A6503">
            <w:pPr>
              <w:pStyle w:val="Compact"/>
              <w:jc w:val="right"/>
            </w:pPr>
            <w:r>
              <w:t>[0.00, 1.40]</w:t>
            </w:r>
          </w:p>
        </w:tc>
      </w:tr>
      <w:tr w:rsidR="005E001F" w14:paraId="48D46EBE" w14:textId="77777777" w:rsidTr="000A6503">
        <w:tc>
          <w:tcPr>
            <w:tcW w:w="0" w:type="auto"/>
          </w:tcPr>
          <w:p w14:paraId="7EEBD6FC" w14:textId="77777777" w:rsidR="005E001F" w:rsidRDefault="005E001F" w:rsidP="000A6503">
            <w:pPr>
              <w:pStyle w:val="Compact"/>
            </w:pPr>
            <w:r>
              <w:t>σ (person)</w:t>
            </w:r>
          </w:p>
        </w:tc>
        <w:tc>
          <w:tcPr>
            <w:tcW w:w="0" w:type="auto"/>
          </w:tcPr>
          <w:p w14:paraId="38A36AAC" w14:textId="77777777" w:rsidR="005E001F" w:rsidRDefault="005E001F" w:rsidP="000A6503">
            <w:pPr>
              <w:pStyle w:val="Compact"/>
              <w:jc w:val="right"/>
            </w:pPr>
            <w:r>
              <w:t>0.61</w:t>
            </w:r>
          </w:p>
        </w:tc>
        <w:tc>
          <w:tcPr>
            <w:tcW w:w="0" w:type="auto"/>
          </w:tcPr>
          <w:p w14:paraId="70401C54" w14:textId="77777777" w:rsidR="005E001F" w:rsidRDefault="005E001F" w:rsidP="000A6503">
            <w:pPr>
              <w:pStyle w:val="Compact"/>
              <w:jc w:val="right"/>
            </w:pPr>
          </w:p>
        </w:tc>
        <w:tc>
          <w:tcPr>
            <w:tcW w:w="0" w:type="auto"/>
          </w:tcPr>
          <w:p w14:paraId="668BA62B" w14:textId="77777777" w:rsidR="005E001F" w:rsidRDefault="005E001F" w:rsidP="000A6503">
            <w:pPr>
              <w:pStyle w:val="Compact"/>
              <w:jc w:val="right"/>
            </w:pPr>
          </w:p>
        </w:tc>
        <w:tc>
          <w:tcPr>
            <w:tcW w:w="0" w:type="auto"/>
          </w:tcPr>
          <w:p w14:paraId="1672AFF1" w14:textId="77777777" w:rsidR="005E001F" w:rsidRDefault="005E001F" w:rsidP="000A6503">
            <w:pPr>
              <w:pStyle w:val="Compact"/>
              <w:jc w:val="right"/>
            </w:pPr>
            <w:r>
              <w:t>[0.27, 1.23]</w:t>
            </w:r>
          </w:p>
        </w:tc>
      </w:tr>
      <w:tr w:rsidR="005E001F" w14:paraId="2610D305" w14:textId="77777777" w:rsidTr="000A6503">
        <w:tc>
          <w:tcPr>
            <w:tcW w:w="0" w:type="auto"/>
          </w:tcPr>
          <w:p w14:paraId="18A93FB9" w14:textId="77777777" w:rsidR="005E001F" w:rsidRDefault="005E001F" w:rsidP="000A6503">
            <w:pPr>
              <w:pStyle w:val="Compact"/>
            </w:pPr>
            <w:r>
              <w:t>σ (measure)</w:t>
            </w:r>
          </w:p>
        </w:tc>
        <w:tc>
          <w:tcPr>
            <w:tcW w:w="0" w:type="auto"/>
          </w:tcPr>
          <w:p w14:paraId="2FFE67BC" w14:textId="77777777" w:rsidR="005E001F" w:rsidRDefault="005E001F" w:rsidP="000A6503">
            <w:pPr>
              <w:pStyle w:val="Compact"/>
              <w:jc w:val="right"/>
            </w:pPr>
            <w:r>
              <w:t>0.73</w:t>
            </w:r>
          </w:p>
        </w:tc>
        <w:tc>
          <w:tcPr>
            <w:tcW w:w="0" w:type="auto"/>
          </w:tcPr>
          <w:p w14:paraId="4DDE74BB" w14:textId="77777777" w:rsidR="005E001F" w:rsidRDefault="005E001F" w:rsidP="000A6503">
            <w:pPr>
              <w:pStyle w:val="Compact"/>
              <w:jc w:val="right"/>
            </w:pPr>
          </w:p>
        </w:tc>
        <w:tc>
          <w:tcPr>
            <w:tcW w:w="0" w:type="auto"/>
          </w:tcPr>
          <w:p w14:paraId="6A31172D" w14:textId="77777777" w:rsidR="005E001F" w:rsidRDefault="005E001F" w:rsidP="000A6503">
            <w:pPr>
              <w:pStyle w:val="Compact"/>
              <w:jc w:val="right"/>
            </w:pPr>
          </w:p>
        </w:tc>
        <w:tc>
          <w:tcPr>
            <w:tcW w:w="0" w:type="auto"/>
          </w:tcPr>
          <w:p w14:paraId="7853131A" w14:textId="77777777" w:rsidR="005E001F" w:rsidRDefault="005E001F" w:rsidP="000A6503">
            <w:pPr>
              <w:pStyle w:val="Compact"/>
              <w:jc w:val="right"/>
            </w:pPr>
            <w:r>
              <w:t>[0.56, 0.95]</w:t>
            </w:r>
          </w:p>
        </w:tc>
      </w:tr>
    </w:tbl>
    <w:p w14:paraId="6E7C22FB" w14:textId="03869949" w:rsidR="005E001F" w:rsidRDefault="005E001F" w:rsidP="005E001F">
      <w:pPr>
        <w:pStyle w:val="BodyText"/>
      </w:pPr>
      <w:r>
        <w:rPr>
          <w:i/>
          <w:iCs/>
        </w:rPr>
        <w:t>Note.</w:t>
      </w:r>
      <w:r>
        <w:t xml:space="preserve"> </w:t>
      </w:r>
      <w:r>
        <w:rPr>
          <w:i/>
          <w:iCs/>
        </w:rPr>
        <w:t>g̅</w:t>
      </w:r>
      <w:r>
        <w:t xml:space="preserve"> = mean pretest-posttest difference (</w:t>
      </w:r>
      <w:r>
        <w:rPr>
          <w:i/>
          <w:iCs/>
        </w:rPr>
        <w:t>g</w:t>
      </w:r>
      <w:r>
        <w:rPr>
          <w:i/>
          <w:iCs/>
          <w:vertAlign w:val="subscript"/>
        </w:rPr>
        <w:t>pc</w:t>
      </w:r>
      <w:r>
        <w:t>; not accounting for any control group); ∆</w:t>
      </w:r>
      <w:r>
        <w:rPr>
          <w:i/>
          <w:iCs/>
        </w:rPr>
        <w:t>g̅</w:t>
      </w:r>
      <w:r>
        <w:t xml:space="preserve"> = estimated difference in </w:t>
      </w:r>
      <w:r>
        <w:rPr>
          <w:i/>
          <w:iCs/>
        </w:rPr>
        <w:t>g̅</w:t>
      </w:r>
      <w:r>
        <w:t xml:space="preserve">; note that only language expression included ad hoc measures; τ = estimated random effects standard deviation across studies; σ (person) = estimated random effects standard deviation across persons (within study); σ (measure) = estimated random effects standard deviation across measures (within person); confidence intervals computed using profile likelihood; </w:t>
      </w:r>
      <w:r>
        <w:rPr>
          <w:i/>
          <w:iCs/>
        </w:rPr>
        <w:t>p</w:t>
      </w:r>
      <w:r>
        <w:t xml:space="preserve"> values omitted as the appropriate denominator degrees of freedom for linear mixed effects models is ill-defined </w:t>
      </w:r>
      <w:r>
        <w:fldChar w:fldCharType="begin"/>
      </w:r>
      <w:r w:rsidR="003B01B7">
        <w:instrText xml:space="preserve"> ADDIN ZOTERO_ITEM CSL_CITATION {"citationID":"eiSx7j5c","properties":{"formattedCitation":"(Bates, 2006; Bates et al., 2015b, pp. 34\\uc0\\u8211{}35)","plainCitation":"(Bates, 2006; Bates et al., 2015b, pp. 34–35)","noteIndex":0},"citationItems":[{"id":"nFN7BwCC/E0ttFfCG","uris":["http://zotero.org/users/7270/items/5KWHSHSC"],"uri":["http://zotero.org/users/7270/items/5KWHSHSC"],"itemData":{"id":13493,"type":"post","note":"13707","title":"[R] lmer, p-values and all that","URL":"https://stat.ethz.ch/pipermail/r-help/2006-May/094765.html","author":[{"family":"Bates","given":"Douglas"}],"accessed":{"date-parts":[["2021",7,20]]},"issued":{"date-parts":[["2006",5,19]]}}},{"id":"nFN7BwCC/EFmgmZ3N","uris":["http://zotero.org/users/7270/items/4G9V9347"],"uri":["http://zotero.org/users/7270/items/4G9V9347"],"itemData":{"id":12962,"type":"article-journal","container-title":"Journal of Statistical Software","DOI":"10.18637/jss.v067.i01","ISSN":"1548-7660","issue":"1","language":"en","note":"31719 \nnumber: 1","page":"1-48","source":"www.jstatsoft.org","title":"Fitting Linear Mixed-Effects Models Using lme4","volume":"67","author":[{"family":"Bates","given":"Douglas"},{"family":"Mächler","given":"Martin"},{"family":"Bolker","given":"Ben"},{"family":"Walker","given":"Steve"}],"issued":{"date-parts":[["2015",10,7]]}},"locator":"34-35"}],"schema":"https://github.com/citation-style-language/schema/raw/master/csl-citation.json"} </w:instrText>
      </w:r>
      <w:r>
        <w:fldChar w:fldCharType="separate"/>
      </w:r>
      <w:r w:rsidR="00EA5707" w:rsidRPr="00EA5707">
        <w:t>(Bates, 2006; Bates et al., 2015b, pp. 34–35)</w:t>
      </w:r>
      <w:r>
        <w:fldChar w:fldCharType="end"/>
      </w:r>
      <w:r>
        <w:t>; inference should be based on the profile likelihood confidence intervals.</w:t>
      </w:r>
      <w:bookmarkEnd w:id="296"/>
      <w:bookmarkEnd w:id="304"/>
    </w:p>
    <w:p w14:paraId="2B56F1EB" w14:textId="77777777" w:rsidR="005E001F" w:rsidRDefault="005E001F" w:rsidP="005E001F">
      <w:pPr>
        <w:pStyle w:val="Heading2"/>
      </w:pPr>
      <w:r>
        <w:t>Supplementary References</w:t>
      </w:r>
    </w:p>
    <w:p w14:paraId="418B8C3A" w14:textId="77777777" w:rsidR="005E001F" w:rsidRPr="0051675F" w:rsidRDefault="005E001F" w:rsidP="005E001F"/>
    <w:p w14:paraId="218F6E54" w14:textId="77777777" w:rsidR="005E001F" w:rsidRDefault="005E001F" w:rsidP="005E001F">
      <w:pPr>
        <w:pStyle w:val="Heading1"/>
      </w:pPr>
      <w:r>
        <w:t>[[To do for this manuscript]]</w:t>
      </w:r>
      <w:bookmarkEnd w:id="295"/>
    </w:p>
    <w:p w14:paraId="16885D84" w14:textId="77777777" w:rsidR="005E001F" w:rsidRDefault="005E001F" w:rsidP="005E001F">
      <w:pPr>
        <w:numPr>
          <w:ilvl w:val="0"/>
          <w:numId w:val="26"/>
        </w:numPr>
      </w:pPr>
      <w:r>
        <w:t xml:space="preserve">check </w:t>
      </w:r>
      <w:r w:rsidRPr="00AB1BCD">
        <w:t xml:space="preserve">that reporting conforms to the guidelines in the </w:t>
      </w:r>
    </w:p>
    <w:p w14:paraId="087851FF" w14:textId="77777777" w:rsidR="005E001F" w:rsidRDefault="005E001F" w:rsidP="005E001F">
      <w:pPr>
        <w:numPr>
          <w:ilvl w:val="1"/>
          <w:numId w:val="26"/>
        </w:numPr>
      </w:pPr>
      <w:r w:rsidRPr="00AB1BCD">
        <w:t>PRISMA statement (Moher, 2009)</w:t>
      </w:r>
    </w:p>
    <w:p w14:paraId="0AEE4A3A" w14:textId="77777777" w:rsidR="005E001F" w:rsidRPr="00AB1BCD" w:rsidRDefault="005E001F" w:rsidP="005E001F">
      <w:pPr>
        <w:numPr>
          <w:ilvl w:val="1"/>
          <w:numId w:val="26"/>
        </w:numPr>
      </w:pPr>
      <w:r w:rsidRPr="0022230E">
        <w:t>cochrane handbook for systematic reviews of interventions, https://training.cochrane.org/handbook/current</w:t>
      </w:r>
    </w:p>
    <w:p w14:paraId="5294FCAE" w14:textId="77777777" w:rsidR="00CB1637" w:rsidRPr="00DA3672" w:rsidRDefault="00CB1637">
      <w:pPr>
        <w:widowControl w:val="0"/>
      </w:pPr>
    </w:p>
    <w:sectPr w:rsidR="00CB1637" w:rsidRPr="00DA3672" w:rsidSect="000F3D0D">
      <w:pgSz w:w="11907" w:h="16840" w:code="9"/>
      <w:pgMar w:top="567" w:right="567" w:bottom="567" w:left="567"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TP" w:date="2021-07-21T16:12:00Z" w:initials="TP">
    <w:p w14:paraId="26FC8813" w14:textId="4B393B05" w:rsidR="00BB3FFC" w:rsidRDefault="00FD35D8" w:rsidP="00FD35D8">
      <w:pPr>
        <w:pStyle w:val="CommentText"/>
      </w:pPr>
      <w:r>
        <w:rPr>
          <w:rStyle w:val="CommentReference"/>
        </w:rPr>
        <w:annotationRef/>
      </w:r>
      <w:r>
        <w:t xml:space="preserve">the difference between inclusion criteria (IC) and exclusion criteria (EC) </w:t>
      </w:r>
      <w:r w:rsidR="001D4F2C">
        <w:t xml:space="preserve">is still </w:t>
      </w:r>
      <w:r>
        <w:t xml:space="preserve">not 100% clear </w:t>
      </w:r>
      <w:r w:rsidR="001D4F2C">
        <w:t xml:space="preserve">to me, </w:t>
      </w:r>
      <w:r>
        <w:t xml:space="preserve">even </w:t>
      </w:r>
      <w:r w:rsidR="001D4F2C">
        <w:t xml:space="preserve">having </w:t>
      </w:r>
      <w:r>
        <w:t xml:space="preserve">checked sysreview/MA guides. </w:t>
      </w:r>
    </w:p>
    <w:p w14:paraId="4691FBDD" w14:textId="1EEB5086" w:rsidR="00FD35D8" w:rsidRDefault="00BB3FFC" w:rsidP="00FD35D8">
      <w:pPr>
        <w:pStyle w:val="CommentText"/>
      </w:pPr>
      <w:r>
        <w:t>F</w:t>
      </w:r>
      <w:r w:rsidR="00FD35D8">
        <w:t>or instance: how are EC different than the mere negation of the IC? In other words, why not have a single list of criteria by phrasing each one either in the negative or in the positive?</w:t>
      </w:r>
    </w:p>
    <w:p w14:paraId="69781909" w14:textId="77777777" w:rsidR="00FD35D8" w:rsidRDefault="00FD35D8" w:rsidP="00FD35D8">
      <w:pPr>
        <w:pStyle w:val="CommentText"/>
      </w:pPr>
    </w:p>
    <w:p w14:paraId="3F65609C" w14:textId="77777777" w:rsidR="00FD35D8" w:rsidRDefault="00FD35D8" w:rsidP="00FD35D8">
      <w:pPr>
        <w:pStyle w:val="CommentText"/>
      </w:pPr>
      <w:r>
        <w:t xml:space="preserve">To the best of my understanding, the answer relates to the phase of the search one finds oneself in when applying the criterion: one performs the search based on the IC, and one then filters from those results using the EC. </w:t>
      </w:r>
    </w:p>
    <w:p w14:paraId="2F38218E" w14:textId="77777777" w:rsidR="00FD35D8" w:rsidRDefault="00FD35D8" w:rsidP="00FD35D8">
      <w:pPr>
        <w:pStyle w:val="CommentText"/>
      </w:pPr>
    </w:p>
    <w:p w14:paraId="176C191C" w14:textId="77777777" w:rsidR="00FD35D8" w:rsidRDefault="00FD35D8" w:rsidP="00FD35D8">
      <w:pPr>
        <w:pStyle w:val="CommentText"/>
      </w:pPr>
      <w:r>
        <w:t>Some corrolaries of this are:</w:t>
      </w:r>
    </w:p>
    <w:p w14:paraId="290BF674" w14:textId="77777777" w:rsidR="00FD35D8" w:rsidRDefault="00FD35D8" w:rsidP="00FD35D8">
      <w:pPr>
        <w:pStyle w:val="CommentText"/>
      </w:pPr>
      <w:r>
        <w:t>- The IC are more conceptual/top-down/apriori/general, whereas the EC are more bottom-up/aposteriori/case-by-case-like, and perhaps even derived on-the-fly, on the basis of observed shortcomings among studies returned by the search.</w:t>
      </w:r>
    </w:p>
    <w:p w14:paraId="4AFA8B38" w14:textId="77777777" w:rsidR="00FD35D8" w:rsidRDefault="00FD35D8" w:rsidP="00FD35D8">
      <w:pPr>
        <w:pStyle w:val="CommentText"/>
      </w:pPr>
      <w:r>
        <w:t>- A given criterion can appear in both lists, such as patient's age (we wanted to include adults, but sometimes a study's use of minor patients only became evident on further inspection, in which case it was the exclusion criterion that eliminated the study)</w:t>
      </w:r>
    </w:p>
    <w:p w14:paraId="08BBBD56" w14:textId="77777777" w:rsidR="00FD35D8" w:rsidRDefault="00FD35D8" w:rsidP="00FD35D8">
      <w:pPr>
        <w:pStyle w:val="CommentText"/>
      </w:pPr>
    </w:p>
    <w:p w14:paraId="571948E0" w14:textId="01E62019" w:rsidR="00FD35D8" w:rsidRDefault="00692E05" w:rsidP="00FD35D8">
      <w:pPr>
        <w:pStyle w:val="CommentText"/>
      </w:pPr>
      <w:r>
        <w:t>Brenton might have something to say, but else, b</w:t>
      </w:r>
      <w:r w:rsidR="00FD35D8">
        <w:t>eyond this</w:t>
      </w:r>
      <w:r w:rsidR="001D4F2C">
        <w:t xml:space="preserve"> rant</w:t>
      </w:r>
      <w:r w:rsidR="00FD35D8">
        <w:t>, the reviewers can hopefully help out ;)</w:t>
      </w:r>
    </w:p>
  </w:comment>
  <w:comment w:id="13" w:author="Brenton Wiernik" w:date="2021-07-26T16:29:00Z" w:initials="BW">
    <w:p w14:paraId="0D06A215" w14:textId="77777777" w:rsidR="002248B1" w:rsidRDefault="002248B1" w:rsidP="004853E1">
      <w:pPr>
        <w:rPr>
          <w:sz w:val="20"/>
          <w:szCs w:val="20"/>
        </w:rPr>
      </w:pPr>
      <w:r>
        <w:rPr>
          <w:rStyle w:val="CommentReference"/>
        </w:rPr>
        <w:annotationRef/>
      </w:r>
      <w:r>
        <w:t xml:space="preserve">It doesn't make much difference so long as exactly how a study came to be included in the review or rejected is clear. </w:t>
      </w:r>
    </w:p>
    <w:p w14:paraId="5284AF35" w14:textId="77777777" w:rsidR="002248B1" w:rsidRDefault="002248B1" w:rsidP="004853E1"/>
    <w:p w14:paraId="47426B35" w14:textId="77777777" w:rsidR="002248B1" w:rsidRDefault="002248B1" w:rsidP="004853E1">
      <w:pPr>
        <w:pStyle w:val="CommentText"/>
      </w:pPr>
      <w:r>
        <w:t>This approach for (1) very basic inclusion criteria and (2) specific exclusion criteria; is good</w:t>
      </w:r>
    </w:p>
  </w:comment>
  <w:comment w:id="18" w:author="TP" w:date="2021-07-21T18:01:00Z" w:initials="TP">
    <w:p w14:paraId="566F8467" w14:textId="5A1799C2" w:rsidR="00692E05" w:rsidRDefault="00692E05" w:rsidP="002248B1">
      <w:pPr>
        <w:pStyle w:val="CommentText"/>
      </w:pPr>
      <w:r>
        <w:rPr>
          <w:rStyle w:val="CommentReference"/>
        </w:rPr>
        <w:annotationRef/>
      </w:r>
      <w:r>
        <w:t>perhaps use this term throughout, to generically encompass both case studies (n=1) and case series (n&gt;1)?</w:t>
      </w:r>
    </w:p>
  </w:comment>
  <w:comment w:id="19" w:author="Brenton Wiernik" w:date="2021-07-26T16:33:00Z" w:initials="BW">
    <w:p w14:paraId="0E25A178" w14:textId="77777777" w:rsidR="002248B1" w:rsidRDefault="002248B1" w:rsidP="00E84A18">
      <w:pPr>
        <w:pStyle w:val="CommentText"/>
      </w:pPr>
      <w:r>
        <w:rPr>
          <w:rStyle w:val="CommentReference"/>
        </w:rPr>
        <w:annotationRef/>
      </w:r>
      <w:r>
        <w:t>agreed</w:t>
      </w:r>
    </w:p>
  </w:comment>
  <w:comment w:id="50" w:author="TP" w:date="1963-14-21T23:28:00Z" w:initials="TP">
    <w:p w14:paraId="040B2DA6" w14:textId="54B02BEB" w:rsidR="000A6503" w:rsidRDefault="000A6503" w:rsidP="002248B1">
      <w:pPr>
        <w:pStyle w:val="CommentText"/>
      </w:pPr>
      <w:r>
        <w:rPr>
          <w:rStyle w:val="CommentReference"/>
        </w:rPr>
        <w:annotationRef/>
      </w:r>
      <w:r>
        <w:t>this seems redundant, since an RCT will by definition always have at least two groups, and the data will be analysed at group level (regardless of whether or not data happens to also be reported at subject-level)</w:t>
      </w:r>
    </w:p>
  </w:comment>
  <w:comment w:id="100" w:author="TP" w:date="2021-07-21T17:14:00Z" w:initials="TP">
    <w:p w14:paraId="196FDBCB" w14:textId="60675FA9" w:rsidR="00EB2CE7" w:rsidRDefault="00EB2CE7" w:rsidP="00EB2CE7">
      <w:pPr>
        <w:pStyle w:val="CommentText"/>
      </w:pPr>
      <w:r>
        <w:rPr>
          <w:rStyle w:val="CommentReference"/>
        </w:rPr>
        <w:annotationRef/>
      </w:r>
      <w:r w:rsidR="00B30DB1">
        <w:t>just to highlight here again</w:t>
      </w:r>
      <w:r>
        <w:t xml:space="preserve"> that IPD studies and case series are not interchangeable terms: the former </w:t>
      </w:r>
      <w:r w:rsidR="00B30DB1">
        <w:t xml:space="preserve">I understand to </w:t>
      </w:r>
      <w:r>
        <w:t xml:space="preserve">simply mean a study that provides its data at the patient level, which can be the case for any study design (including for case series, case studies, and even for RCTs).  Vice-versa, a case study (n=1) is automatically also an IPD, thus the two terms </w:t>
      </w:r>
      <w:r w:rsidR="00B30DB1">
        <w:t xml:space="preserve">seem </w:t>
      </w:r>
      <w:r>
        <w:t>by no means coterminous</w:t>
      </w:r>
      <w:r w:rsidR="00B30DB1">
        <w:t xml:space="preserve"> to me</w:t>
      </w:r>
      <w:r>
        <w:t>.</w:t>
      </w:r>
    </w:p>
    <w:p w14:paraId="734FB94F" w14:textId="77777777" w:rsidR="00EB2CE7" w:rsidRDefault="00EB2CE7" w:rsidP="00EB2CE7">
      <w:pPr>
        <w:pStyle w:val="CommentText"/>
      </w:pPr>
    </w:p>
    <w:p w14:paraId="6FC834B0" w14:textId="5484FF3D" w:rsidR="00EB2CE7" w:rsidRDefault="00EB2CE7" w:rsidP="00EB2CE7">
      <w:pPr>
        <w:pStyle w:val="CommentText"/>
      </w:pPr>
      <w:r>
        <w:t>It is just by coincidence that our non-RCT studies (with the exception of Lim et al. 2013) happen to all also be IPD, which is why I wasn't too vigilent to correct this terminology inconsistency.</w:t>
      </w:r>
    </w:p>
  </w:comment>
  <w:comment w:id="186" w:author="TP" w:date="2021-07-21T17:40:00Z" w:initials="TP">
    <w:p w14:paraId="7179D46E" w14:textId="2B922380" w:rsidR="00741E2B" w:rsidRDefault="00741E2B" w:rsidP="002248B1">
      <w:pPr>
        <w:pStyle w:val="CommentText"/>
      </w:pPr>
      <w:r>
        <w:rPr>
          <w:rStyle w:val="CommentReference"/>
        </w:rPr>
        <w:annotationRef/>
      </w:r>
      <w:r>
        <w:t>I think that, to interpret this properly, we'd have to quantitatively take into account the typical shape of that spontaneous recovery (expressed e.g. in some test result, or aphasia severity etc, as a function of time, i.e. of MPO). Is this known? Any intervention would then have to prove itself above&amp;beyond that do-nothing rate, which is probably not a steep slope, but not zero either.</w:t>
      </w:r>
    </w:p>
    <w:p w14:paraId="69D78555" w14:textId="77777777" w:rsidR="00741E2B" w:rsidRDefault="00741E2B" w:rsidP="00741E2B">
      <w:pPr>
        <w:pStyle w:val="CommentText"/>
      </w:pPr>
    </w:p>
    <w:p w14:paraId="0C22F402" w14:textId="77777777" w:rsidR="00741E2B" w:rsidRDefault="00741E2B" w:rsidP="00741E2B">
      <w:pPr>
        <w:pStyle w:val="CommentText"/>
      </w:pPr>
      <w:r>
        <w:t xml:space="preserve">A more subtle point is that, to me, spontaneous recovery is the default comparison term that any pre-post intervention is to be compared to, when a control group is not present (i.e., most of our studies). I'm not sure if our MPO moderator analysis truly expresses this. </w:t>
      </w:r>
    </w:p>
    <w:p w14:paraId="33F7BA4F" w14:textId="77777777" w:rsidR="00741E2B" w:rsidRDefault="00741E2B" w:rsidP="00741E2B">
      <w:pPr>
        <w:pStyle w:val="CommentText"/>
      </w:pPr>
    </w:p>
    <w:p w14:paraId="109B5830" w14:textId="41B32A69" w:rsidR="00741E2B" w:rsidRDefault="00741E2B" w:rsidP="00741E2B">
      <w:pPr>
        <w:pStyle w:val="CommentText"/>
      </w:pPr>
      <w:r>
        <w:t>The other logical comparison to make for the intervention of interest (MIT) is a gold-standard-type intervention (perhaps SLT?), as Brady 2016 do. However, right now we only briefly mention SLT, and we don’t use its summary effect size (as reported in that other meta-analysis) as a benchmark against which to compare MIT. I'm still a bit unclear about this.</w:t>
      </w:r>
    </w:p>
  </w:comment>
  <w:comment w:id="187" w:author="Brenton Wiernik" w:date="2021-07-26T17:17:00Z" w:initials="BW">
    <w:p w14:paraId="40D91609" w14:textId="77777777" w:rsidR="00AE11D6" w:rsidRDefault="00AE11D6" w:rsidP="004E7333">
      <w:pPr>
        <w:rPr>
          <w:sz w:val="20"/>
          <w:szCs w:val="20"/>
        </w:rPr>
      </w:pPr>
      <w:r>
        <w:rPr>
          <w:rStyle w:val="CommentReference"/>
        </w:rPr>
        <w:annotationRef/>
      </w:r>
      <w:r>
        <w:t>Are the RCTs in this meta-analysis no treatment, generally ineffective "treatment as usual", or comparison against a gold standard alternative treatment?</w:t>
      </w:r>
    </w:p>
    <w:p w14:paraId="632F3B5F" w14:textId="77777777" w:rsidR="00AE11D6" w:rsidRDefault="00AE11D6">
      <w:pPr>
        <w:pStyle w:val="CommentText"/>
      </w:pPr>
    </w:p>
    <w:p w14:paraId="26059F21" w14:textId="77777777" w:rsidR="00AE11D6" w:rsidRDefault="00AE11D6">
      <w:pPr>
        <w:pStyle w:val="CommentText"/>
      </w:pPr>
    </w:p>
    <w:p w14:paraId="40B672E1" w14:textId="77777777" w:rsidR="00AE11D6" w:rsidRDefault="00AE11D6">
      <w:pPr>
        <w:pStyle w:val="CommentText"/>
      </w:pPr>
      <w:r>
        <w:t xml:space="preserve">The major confounding factor I would expect any RCT to control for would be spontaneous recovery effects. Those would be best assessed in a control group close to "do nothing" </w:t>
      </w:r>
    </w:p>
    <w:p w14:paraId="3261FCED" w14:textId="77777777" w:rsidR="00AE11D6" w:rsidRDefault="00AE11D6">
      <w:pPr>
        <w:pStyle w:val="CommentText"/>
      </w:pPr>
    </w:p>
    <w:p w14:paraId="7430EC1B" w14:textId="77777777" w:rsidR="00AE11D6" w:rsidRDefault="00AE11D6" w:rsidP="004E7333">
      <w:pPr>
        <w:pStyle w:val="CommentText"/>
      </w:pPr>
      <w:r>
        <w:t>The MPO results here I think support that at least a substantial chunk of the RCT vs case report difference in effect sizes is due to spontaneous recovery effects. We could potentially try to decompose that from other differences based on the study characteristics (mean MPO in RCTs combined with estimated MPO effect in case reports), but that entails some assumptions and might be hard to describe/justify.</w:t>
      </w:r>
    </w:p>
  </w:comment>
  <w:comment w:id="189" w:author="TP" w:date="2021-07-21T17:42:00Z" w:initials="TP">
    <w:p w14:paraId="75CAEDB5" w14:textId="13DECA1D" w:rsidR="006C1C28" w:rsidRDefault="006C1C28" w:rsidP="00AE11D6">
      <w:pPr>
        <w:pStyle w:val="CommentText"/>
      </w:pPr>
      <w:r>
        <w:rPr>
          <w:rStyle w:val="CommentReference"/>
        </w:rPr>
        <w:annotationRef/>
      </w:r>
      <w:r>
        <w:t xml:space="preserve">this is that confusion again. Adhoc tests are to be compared against validates tests, wheres trained/untrained is a separate comparison, to be done only within the former case (the adhoc tests). </w:t>
      </w:r>
    </w:p>
    <w:p w14:paraId="050E3DD5" w14:textId="77777777" w:rsidR="006C1C28" w:rsidRDefault="006C1C28" w:rsidP="006C1C28">
      <w:pPr>
        <w:pStyle w:val="CommentText"/>
      </w:pPr>
    </w:p>
    <w:p w14:paraId="3028B126" w14:textId="0E66B846" w:rsidR="006C1C28" w:rsidRDefault="006C1C28" w:rsidP="006C1C28">
      <w:pPr>
        <w:pStyle w:val="CommentText"/>
      </w:pPr>
      <w:r>
        <w:t>Why can we not say, effects for unvalidated were larger than for validated?</w:t>
      </w:r>
    </w:p>
  </w:comment>
  <w:comment w:id="190" w:author="Brenton Wiernik" w:date="2021-07-26T18:01:00Z" w:initials="BW">
    <w:p w14:paraId="18734653" w14:textId="77777777" w:rsidR="00A261E2" w:rsidRDefault="00367582" w:rsidP="00F72366">
      <w:pPr>
        <w:pStyle w:val="CommentText"/>
      </w:pPr>
      <w:r>
        <w:rPr>
          <w:rStyle w:val="CommentReference"/>
        </w:rPr>
        <w:annotationRef/>
      </w:r>
      <w:r w:rsidR="00A261E2">
        <w:t xml:space="preserve">I made that change I mentioned in my previous email to refit the models to make unvalidated__untrained and unvalidated__trained completely separate categories. This makes it clearer that the apparent "unvalidated effect" is only for "trained" stimuli. </w:t>
      </w:r>
    </w:p>
  </w:comment>
  <w:comment w:id="202" w:author="TP" w:date="2021-07-21T17:45:00Z" w:initials="TP">
    <w:p w14:paraId="7EBC1A72" w14:textId="195D95AD" w:rsidR="00122697" w:rsidRDefault="00122697" w:rsidP="00A261E2">
      <w:pPr>
        <w:pStyle w:val="CommentText"/>
      </w:pPr>
      <w:r>
        <w:rPr>
          <w:rStyle w:val="CommentReference"/>
        </w:rPr>
        <w:annotationRef/>
      </w:r>
      <w:r>
        <w:t xml:space="preserve">might </w:t>
      </w:r>
      <w:r w:rsidR="00445C11">
        <w:t xml:space="preserve">it </w:t>
      </w:r>
      <w:r>
        <w:t>be worth making subheadings</w:t>
      </w:r>
      <w:r w:rsidR="003D6B41">
        <w:t xml:space="preserve"> to improve readibility</w:t>
      </w:r>
      <w:r>
        <w:t xml:space="preserve">, as the Discussion </w:t>
      </w:r>
      <w:r w:rsidR="006E74FD">
        <w:t xml:space="preserve">has become (against our best intentions) </w:t>
      </w:r>
      <w:r>
        <w:t>quite chunky</w:t>
      </w:r>
      <w:r w:rsidR="003D6B41">
        <w:t>?</w:t>
      </w:r>
    </w:p>
  </w:comment>
  <w:comment w:id="203" w:author="Brenton Wiernik" w:date="2021-07-26T17:20:00Z" w:initials="BW">
    <w:p w14:paraId="6E705C9F" w14:textId="77777777" w:rsidR="00AE11D6" w:rsidRDefault="00AE11D6" w:rsidP="002E0A76">
      <w:pPr>
        <w:pStyle w:val="CommentText"/>
      </w:pPr>
      <w:r>
        <w:rPr>
          <w:rStyle w:val="CommentReference"/>
        </w:rPr>
        <w:annotationRef/>
      </w:r>
      <w:r>
        <w:t>I'm always in favor of more subheadings. At least Clinical Implications and Research Implications sections would be really good.</w:t>
      </w:r>
    </w:p>
  </w:comment>
  <w:comment w:id="209" w:author="Brenton Wiernik" w:date="2021-07-27T11:46:00Z" w:initials="BW">
    <w:p w14:paraId="492BE445" w14:textId="77777777" w:rsidR="00B50F5D" w:rsidRDefault="00B50F5D" w:rsidP="00942637">
      <w:pPr>
        <w:pStyle w:val="CommentText"/>
      </w:pPr>
      <w:r>
        <w:rPr>
          <w:rStyle w:val="CommentReference"/>
        </w:rPr>
        <w:annotationRef/>
      </w:r>
      <w:r>
        <w:t>for RCT studies of non-communicative language expression</w:t>
      </w:r>
    </w:p>
  </w:comment>
  <w:comment w:id="215" w:author="Brenton Wiernik" w:date="2021-07-27T11:46:00Z" w:initials="BW">
    <w:p w14:paraId="5FCA75EA" w14:textId="33E101D6" w:rsidR="00B50F5D" w:rsidRDefault="00B50F5D" w:rsidP="00B50F5D">
      <w:pPr>
        <w:pStyle w:val="CommentText"/>
      </w:pPr>
      <w:r>
        <w:rPr>
          <w:rStyle w:val="CommentReference"/>
        </w:rPr>
        <w:annotationRef/>
      </w:r>
      <w:r>
        <w:t>for validated measures of non-communicative language expression</w:t>
      </w:r>
    </w:p>
  </w:comment>
  <w:comment w:id="221" w:author="TP" w:date="2021-07-21T17:32:00Z" w:initials="TP">
    <w:p w14:paraId="0E80B609" w14:textId="751A6F5E" w:rsidR="00CA245E" w:rsidRDefault="00CA245E" w:rsidP="00B50F5D">
      <w:pPr>
        <w:pStyle w:val="CommentText"/>
      </w:pPr>
      <w:r>
        <w:rPr>
          <w:rStyle w:val="CommentReference"/>
        </w:rPr>
        <w:annotationRef/>
      </w:r>
      <w:r w:rsidRPr="00CA245E">
        <w:t>not sure about this interpretation. If spontaneous recovery is a confounding factor towards the lower range of the MPO scale, then why is the acute stage not the one flagged here, as opposed to later stages?</w:t>
      </w:r>
    </w:p>
  </w:comment>
  <w:comment w:id="222" w:author="Brenton Wiernik" w:date="2021-07-26T17:06:00Z" w:initials="BW">
    <w:p w14:paraId="02B4E21D" w14:textId="77777777" w:rsidR="0036274B" w:rsidRDefault="0036274B" w:rsidP="001E699E">
      <w:pPr>
        <w:pStyle w:val="CommentText"/>
      </w:pPr>
      <w:r>
        <w:rPr>
          <w:rStyle w:val="CommentReference"/>
        </w:rPr>
        <w:annotationRef/>
      </w:r>
      <w:r>
        <w:t xml:space="preserve">I think this wording is clearer. </w:t>
      </w:r>
    </w:p>
  </w:comment>
  <w:comment w:id="230" w:author="TP" w:date="2021-07-21T17:33:00Z" w:initials="TP">
    <w:p w14:paraId="096DE89A" w14:textId="7053221D" w:rsidR="002F2932" w:rsidRDefault="002F2932" w:rsidP="0036274B">
      <w:pPr>
        <w:pStyle w:val="CommentText"/>
      </w:pPr>
      <w:r>
        <w:rPr>
          <w:rStyle w:val="CommentReference"/>
        </w:rPr>
        <w:annotationRef/>
      </w:r>
      <w:r>
        <w:t xml:space="preserve">This is quite general. I think our recommendations should be clearly divided for (i) clinicians, vs for (ii) experimentalists/analysists (e.g. people devising RCTs, or doing future meta-analyses). </w:t>
      </w:r>
    </w:p>
    <w:p w14:paraId="58810F1F" w14:textId="77777777" w:rsidR="002F2932" w:rsidRDefault="002F2932" w:rsidP="002F2932">
      <w:pPr>
        <w:pStyle w:val="CommentText"/>
      </w:pPr>
    </w:p>
    <w:p w14:paraId="6A2DF46C" w14:textId="77777777" w:rsidR="002F2932" w:rsidRDefault="002F2932" w:rsidP="002F2932">
      <w:pPr>
        <w:pStyle w:val="CommentText"/>
      </w:pPr>
      <w:r>
        <w:t>This is important, as all the (i) people want is to obtain a maximal effect out of MIT, without necessarily wishing to contribute to the MIT literature. Whereas (ii) folk will want to get an (even) more accurate idea of what effect size can, in fact, be hoped for with MIT, probably as pitted against other 'competitor' therapies.</w:t>
      </w:r>
    </w:p>
    <w:p w14:paraId="0006BD1D" w14:textId="77777777" w:rsidR="002F2932" w:rsidRDefault="002F2932" w:rsidP="002F2932">
      <w:pPr>
        <w:pStyle w:val="CommentText"/>
      </w:pPr>
    </w:p>
    <w:p w14:paraId="0FC8D63B" w14:textId="1D91A7E7" w:rsidR="002F2932" w:rsidRDefault="002F2932" w:rsidP="002F2932">
      <w:pPr>
        <w:pStyle w:val="CommentText"/>
      </w:pPr>
      <w:r>
        <w:t>What do you think?</w:t>
      </w:r>
    </w:p>
  </w:comment>
  <w:comment w:id="231" w:author="Brenton Wiernik" w:date="2021-07-26T16:59:00Z" w:initials="BW">
    <w:p w14:paraId="4CB33333" w14:textId="77777777" w:rsidR="00AE11D6" w:rsidRDefault="00E822B3">
      <w:pPr>
        <w:pStyle w:val="CommentText"/>
      </w:pPr>
      <w:r>
        <w:rPr>
          <w:rStyle w:val="CommentReference"/>
        </w:rPr>
        <w:annotationRef/>
      </w:r>
      <w:r w:rsidR="00AE11D6">
        <w:t>Yes, separate headings for clinical implications and research implications would be good. For example, the discussion of deviations in the MIT protocol might best go into research implications because the results don't give clear guidance there one way or the other.</w:t>
      </w:r>
    </w:p>
    <w:p w14:paraId="11C00EF6" w14:textId="77777777" w:rsidR="00AE11D6" w:rsidRDefault="00AE11D6">
      <w:pPr>
        <w:pStyle w:val="CommentText"/>
      </w:pPr>
    </w:p>
    <w:p w14:paraId="100AA845" w14:textId="77777777" w:rsidR="00AE11D6" w:rsidRDefault="00AE11D6" w:rsidP="00A32007">
      <w:pPr>
        <w:pStyle w:val="CommentText"/>
      </w:pPr>
      <w:r>
        <w:t>For this sentence, in the clinical implications section, I would say something like, "Based on the strongest evidence from the RCTs, benefits for MIT appear to modest and not favorable compared to other treatments (e.g., ...)" (That being the impression I got from the rest of the discussion)</w:t>
      </w:r>
    </w:p>
  </w:comment>
  <w:comment w:id="233" w:author="TP" w:date="2021-07-21T17:36:00Z" w:initials="TP">
    <w:p w14:paraId="39ACDB1E" w14:textId="03E61BB0" w:rsidR="00DF68D3" w:rsidRDefault="00DF68D3" w:rsidP="00AE11D6">
      <w:pPr>
        <w:pStyle w:val="CommentText"/>
      </w:pPr>
      <w:r>
        <w:rPr>
          <w:rStyle w:val="CommentReference"/>
        </w:rPr>
        <w:annotationRef/>
      </w:r>
      <w:r>
        <w:t xml:space="preserve">what about the IPD result "Compared to studies that used the original MIT protocol, studies that used a modified variant appeared to show larger treatment effects, though the confidence interval on this difference was very wide (∆g̅ = .79 [95% CI −.99, 2.57])." ? </w:t>
      </w:r>
    </w:p>
    <w:p w14:paraId="375ED4EE" w14:textId="77777777" w:rsidR="00DF68D3" w:rsidRDefault="00DF68D3" w:rsidP="00DF68D3">
      <w:pPr>
        <w:pStyle w:val="CommentText"/>
      </w:pPr>
    </w:p>
    <w:p w14:paraId="19025F08" w14:textId="4C1B8FCB" w:rsidR="00DF68D3" w:rsidRDefault="00DF68D3" w:rsidP="00DF68D3">
      <w:pPr>
        <w:pStyle w:val="CommentText"/>
      </w:pPr>
      <w:r>
        <w:t>Surely in this case the CI including 0 can be taken to mean the result is non-sig? If not, the phrase above loses meaning, and things become more fuzzy, since there is some evidence that variants improve efficacy, although we cannot say more about which modifications exactly (e.g. focus on tapping/rhythm/melody) are the ones driving this effect.</w:t>
      </w:r>
    </w:p>
  </w:comment>
  <w:comment w:id="234" w:author="Brenton Wiernik" w:date="2021-07-26T16:58:00Z" w:initials="BW">
    <w:p w14:paraId="1184C176" w14:textId="77777777" w:rsidR="00E822B3" w:rsidRDefault="00E822B3">
      <w:pPr>
        <w:pStyle w:val="CommentText"/>
      </w:pPr>
      <w:r>
        <w:rPr>
          <w:rStyle w:val="CommentReference"/>
        </w:rPr>
        <w:annotationRef/>
      </w:r>
      <w:r>
        <w:t>The best estimate of the effect is a large difference (.79), but there aren't that many deviating studies, and their individual effects are very heterogeneous, so we have no certainty at all about the impact of these deviations. It could lead to implausibly larger effects (2.57) or to substantially weaker effect sizes (-.99). We just don't know based on these data. If I were to make a prediction, I would guess that minor deviations wouldn't change the results too much. If we were to do an informative Bayesian analysis, my prior would be strongly weighted on zero.</w:t>
      </w:r>
    </w:p>
    <w:p w14:paraId="2CFE9047" w14:textId="77777777" w:rsidR="00E822B3" w:rsidRDefault="00E822B3">
      <w:pPr>
        <w:pStyle w:val="CommentText"/>
      </w:pPr>
    </w:p>
    <w:p w14:paraId="3CF1C76A" w14:textId="77777777" w:rsidR="00E822B3" w:rsidRDefault="00E822B3" w:rsidP="00032CED">
      <w:pPr>
        <w:pStyle w:val="CommentText"/>
      </w:pPr>
      <w:r>
        <w:t>I agree that without being able to dive more into specific deviations, it's hard to say much more. Perhaps you could emphasize there is no _clear_ effect one way or the other and indicate a need for more rigorous research investigating the effects of specific deviations.</w:t>
      </w:r>
    </w:p>
  </w:comment>
  <w:comment w:id="235" w:author="TP" w:date="2021-07-21T17:26:00Z" w:initials="TP">
    <w:p w14:paraId="76B2B1C7" w14:textId="227BFC42" w:rsidR="00AE7B64" w:rsidRDefault="00AE7B64" w:rsidP="00E822B3">
      <w:pPr>
        <w:pStyle w:val="CommentText"/>
      </w:pPr>
      <w:r>
        <w:rPr>
          <w:rStyle w:val="CommentReference"/>
        </w:rPr>
        <w:annotationRef/>
      </w:r>
      <w:r w:rsidRPr="00AE7B64">
        <w:t>don’t get this.. do we refer to the result of variants yielding non-significantly-different effect sizes relative to the original? as I mentioned above, we cannot really unpack in which ways those protocols deviated from the original, so all we can maybe say (perhaps this is what you wanted to say anyway) is that MIT undeniably works with certain dependent variables, and this is robust even in the face of whatever unknown changes were made in those MIT variants.</w:t>
      </w:r>
    </w:p>
  </w:comment>
  <w:comment w:id="236" w:author="Brenton Wiernik" w:date="2021-07-26T16:52:00Z" w:initials="BW">
    <w:p w14:paraId="35884507" w14:textId="77777777" w:rsidR="00E822B3" w:rsidRDefault="00E822B3" w:rsidP="00E204E2">
      <w:pPr>
        <w:pStyle w:val="CommentText"/>
      </w:pPr>
      <w:r>
        <w:rPr>
          <w:rStyle w:val="CommentReference"/>
        </w:rPr>
        <w:annotationRef/>
      </w:r>
      <w:r>
        <w:t>Agreed. How about this?</w:t>
      </w:r>
    </w:p>
  </w:comment>
  <w:comment w:id="237" w:author="TP" w:date="2021-07-21T17:27:00Z" w:initials="TP">
    <w:p w14:paraId="2258ED63" w14:textId="47CCEA45" w:rsidR="00D10EB2" w:rsidRDefault="00D10EB2" w:rsidP="00E822B3">
      <w:pPr>
        <w:pStyle w:val="CommentText"/>
      </w:pPr>
      <w:r>
        <w:rPr>
          <w:rStyle w:val="CommentReference"/>
        </w:rPr>
        <w:annotationRef/>
      </w:r>
      <w:r>
        <w:t xml:space="preserve">I don’t this we can say this without also commenting on how skewed the literature is towards </w:t>
      </w:r>
      <w:r>
        <w:rPr>
          <w:i/>
        </w:rPr>
        <w:t xml:space="preserve">administering </w:t>
      </w:r>
      <w:r>
        <w:t>this kind of test over other (more communication-relevant) ones</w:t>
      </w:r>
      <w:r w:rsidR="00683FDA">
        <w:t>.</w:t>
      </w:r>
    </w:p>
    <w:p w14:paraId="4B891967" w14:textId="77777777" w:rsidR="00683FDA" w:rsidRDefault="00683FDA">
      <w:pPr>
        <w:pStyle w:val="CommentText"/>
      </w:pPr>
    </w:p>
    <w:p w14:paraId="6778FC14" w14:textId="68E00F42" w:rsidR="00683FDA" w:rsidRPr="00D10EB2" w:rsidRDefault="00683FDA">
      <w:pPr>
        <w:pStyle w:val="CommentText"/>
      </w:pPr>
      <w:r>
        <w:t>@Brenton, is there any quantitative way appropriate to report this particular bias in the dataset of primary studies we've had to work with?</w:t>
      </w:r>
    </w:p>
  </w:comment>
  <w:comment w:id="238" w:author="Brenton Wiernik" w:date="2021-07-26T16:49:00Z" w:initials="BW">
    <w:p w14:paraId="7D76A918" w14:textId="77777777" w:rsidR="00E822B3" w:rsidRDefault="00EA16B3" w:rsidP="000109DA">
      <w:pPr>
        <w:pStyle w:val="CommentText"/>
      </w:pPr>
      <w:r>
        <w:rPr>
          <w:rStyle w:val="CommentReference"/>
        </w:rPr>
        <w:annotationRef/>
      </w:r>
      <w:r w:rsidR="00E822B3">
        <w:t>I would comment about the small number of studies and therefore wide uncertainty. Emphasize that we _don't_ have good evidence for MIT benefits here, but do for other treatments.</w:t>
      </w:r>
    </w:p>
  </w:comment>
  <w:comment w:id="241" w:author="TP" w:date="2021-07-21T18:20:00Z" w:initials="TP">
    <w:p w14:paraId="69E546D5" w14:textId="4C41F53B" w:rsidR="001A66F7" w:rsidRPr="00B1382A" w:rsidRDefault="001A66F7" w:rsidP="00E822B3">
      <w:pPr>
        <w:pStyle w:val="CommentText"/>
      </w:pPr>
      <w:r>
        <w:rPr>
          <w:rStyle w:val="CommentReference"/>
        </w:rPr>
        <w:annotationRef/>
      </w:r>
      <w:r w:rsidR="005F69CD">
        <w:t xml:space="preserve"> </w:t>
      </w:r>
      <w:r>
        <w:t xml:space="preserve">this is for </w:t>
      </w:r>
      <w:r w:rsidR="00B1382A">
        <w:t xml:space="preserve">the </w:t>
      </w:r>
      <w:r>
        <w:t>RCTs, and not even modest</w:t>
      </w:r>
      <w:r w:rsidR="00B1382A">
        <w:t xml:space="preserve"> (but &lt;0)! For IPDs, </w:t>
      </w:r>
      <w:r w:rsidR="00B1382A" w:rsidRPr="00DA3672">
        <w:rPr>
          <w:i/>
          <w:iCs/>
        </w:rPr>
        <w:t>g̅</w:t>
      </w:r>
      <w:r w:rsidR="00B1382A">
        <w:rPr>
          <w:i/>
          <w:iCs/>
        </w:rPr>
        <w:t xml:space="preserve"> </w:t>
      </w:r>
      <w:r w:rsidR="00B1382A">
        <w:rPr>
          <w:iCs/>
        </w:rPr>
        <w:t xml:space="preserve">is </w:t>
      </w:r>
      <w:r w:rsidR="005F69CD">
        <w:t>1.59. A bit confused about this sentence.</w:t>
      </w:r>
    </w:p>
  </w:comment>
  <w:comment w:id="242" w:author="Brenton Wiernik" w:date="2021-07-26T16:44:00Z" w:initials="BW">
    <w:p w14:paraId="4E9EA0CC" w14:textId="77777777" w:rsidR="00EA16B3" w:rsidRDefault="00EA16B3" w:rsidP="009D7D43">
      <w:pPr>
        <w:pStyle w:val="CommentText"/>
      </w:pPr>
      <w:r>
        <w:rPr>
          <w:rStyle w:val="CommentReference"/>
        </w:rPr>
        <w:annotationRef/>
      </w:r>
      <w:r>
        <w:t>Yes, I think "negligible" would be more appropriate here.</w:t>
      </w:r>
    </w:p>
  </w:comment>
  <w:comment w:id="266" w:author="TP" w:date="1963-14-21T20:20:00Z" w:initials="TP">
    <w:p w14:paraId="6C6ACE1D" w14:textId="368B8D73" w:rsidR="000A6503" w:rsidRDefault="000A6503" w:rsidP="00EA16B3">
      <w:pPr>
        <w:pStyle w:val="CommentText"/>
      </w:pPr>
      <w:r>
        <w:rPr>
          <w:rStyle w:val="CommentReference"/>
        </w:rPr>
        <w:annotationRef/>
      </w:r>
      <w:r>
        <w:t>we could possibly not have Appendices in the final ms, but instead just have them all as sections in the SupplMat file</w:t>
      </w:r>
    </w:p>
  </w:comment>
  <w:comment w:id="267" w:author="Brenton Wiernik" w:date="2021-07-26T16:44:00Z" w:initials="BW">
    <w:p w14:paraId="13D7C335" w14:textId="77777777" w:rsidR="00EA16B3" w:rsidRDefault="00EA16B3" w:rsidP="00795809">
      <w:pPr>
        <w:pStyle w:val="CommentText"/>
      </w:pPr>
      <w:r>
        <w:rPr>
          <w:rStyle w:val="CommentReference"/>
        </w:rPr>
        <w:annotationRef/>
      </w:r>
      <w:r>
        <w:t>I think these would be best as supplemental material unless journal guidelines say otherwise.</w:t>
      </w:r>
    </w:p>
  </w:comment>
  <w:comment w:id="268" w:author="TP" w:date="2021-07-16T16:10:00Z" w:initials="TP">
    <w:p w14:paraId="5872254C" w14:textId="5768919C" w:rsidR="000A6503" w:rsidRDefault="000A6503" w:rsidP="00EA16B3">
      <w:pPr>
        <w:pStyle w:val="CommentText"/>
      </w:pPr>
      <w:r>
        <w:rPr>
          <w:rStyle w:val="CommentReference"/>
        </w:rPr>
        <w:annotationRef/>
      </w:r>
      <w:r>
        <w:t>@Michaela: could you please provide the URL for each of these? (currently only some items have it)</w:t>
      </w:r>
    </w:p>
  </w:comment>
  <w:comment w:id="271" w:author="TP" w:date="2021-07-16T16:22:00Z" w:initials="TP">
    <w:p w14:paraId="2E0DAAB4" w14:textId="77777777" w:rsidR="000A6503" w:rsidRDefault="000A6503">
      <w:pPr>
        <w:pStyle w:val="CommentText"/>
      </w:pPr>
      <w:r>
        <w:rPr>
          <w:rStyle w:val="CommentReference"/>
        </w:rPr>
        <w:annotationRef/>
      </w:r>
      <w:r>
        <w:t>@Hannah: are there any? don’t recall seeing any of those..</w:t>
      </w:r>
    </w:p>
  </w:comment>
  <w:comment w:id="272" w:author="TP" w:date="2021-07-16T16:23:00Z" w:initials="TP">
    <w:p w14:paraId="5D5A89EA" w14:textId="77777777" w:rsidR="000A6503" w:rsidRDefault="000A6503">
      <w:pPr>
        <w:pStyle w:val="CommentText"/>
      </w:pPr>
      <w:r>
        <w:rPr>
          <w:rStyle w:val="CommentReference"/>
        </w:rPr>
        <w:annotationRef/>
      </w:r>
      <w:r>
        <w:t>@Hannah: could you please clarify how we got from the 357 to the 313, i.e. what other deletion criteria were applied that are not already mentioned above?</w:t>
      </w:r>
    </w:p>
  </w:comment>
  <w:comment w:id="275" w:author="TP" w:date="2021-07-20T15:02:00Z" w:initials="TP">
    <w:p w14:paraId="7569BDA1" w14:textId="77777777" w:rsidR="000A6503" w:rsidRDefault="000A6503">
      <w:pPr>
        <w:pStyle w:val="CommentText"/>
      </w:pPr>
      <w:r>
        <w:rPr>
          <w:rStyle w:val="CommentReference"/>
        </w:rPr>
        <w:annotationRef/>
      </w:r>
      <w:r>
        <w:t>@Hannah: it would be good if all duplicate-related procedures are described in a single section &amp; paragraph. Thus, descriptions should be in compact paragraph, that just form one Appendix (e.g. Appendix 2, without 2a and 2b)</w:t>
      </w:r>
    </w:p>
    <w:p w14:paraId="749CD1B4" w14:textId="77777777" w:rsidR="000A6503" w:rsidRDefault="000A6503">
      <w:pPr>
        <w:pStyle w:val="CommentText"/>
        <w:rPr>
          <w:b/>
        </w:rPr>
      </w:pPr>
    </w:p>
    <w:p w14:paraId="3F25EF49" w14:textId="77777777" w:rsidR="000A6503" w:rsidRDefault="000A6503">
      <w:pPr>
        <w:pStyle w:val="CommentText"/>
      </w:pPr>
      <w:r w:rsidRPr="00346F59">
        <w:rPr>
          <w:b/>
        </w:rPr>
        <w:t>IMPORTANT</w:t>
      </w:r>
      <w:r>
        <w:t xml:space="preserve">: Perhaps you could please identify a few recent relevant meta-analysis papers (e.g. also on aphasia or some clinical intervention), and check &amp; follow their reporting procedures? </w:t>
      </w:r>
    </w:p>
    <w:p w14:paraId="2D5997F7" w14:textId="77777777" w:rsidR="000A6503" w:rsidRDefault="000A6503">
      <w:pPr>
        <w:pStyle w:val="CommentText"/>
      </w:pPr>
    </w:p>
    <w:p w14:paraId="6127AD67" w14:textId="77777777" w:rsidR="000A6503" w:rsidRDefault="000A6503">
      <w:pPr>
        <w:pStyle w:val="CommentText"/>
      </w:pPr>
      <w:r>
        <w:t xml:space="preserve">Please also see the reporting guideliness mentioned in section </w:t>
      </w:r>
      <w:r>
        <w:fldChar w:fldCharType="begin"/>
      </w:r>
      <w:r>
        <w:instrText xml:space="preserve"> REF _Ref77345336 \r \h </w:instrText>
      </w:r>
      <w:r>
        <w:fldChar w:fldCharType="separate"/>
      </w:r>
      <w:r>
        <w:t>13</w:t>
      </w:r>
      <w:r>
        <w:fldChar w:fldCharType="end"/>
      </w:r>
      <w:r>
        <w:t>.</w:t>
      </w:r>
    </w:p>
    <w:p w14:paraId="4A343DFB" w14:textId="77777777" w:rsidR="000A6503" w:rsidRDefault="000A6503">
      <w:pPr>
        <w:pStyle w:val="CommentText"/>
      </w:pPr>
    </w:p>
    <w:p w14:paraId="513A9FCC" w14:textId="77777777" w:rsidR="000A6503" w:rsidRDefault="000A6503">
      <w:pPr>
        <w:pStyle w:val="CommentText"/>
      </w:pPr>
      <w:r>
        <w:t>Thank you! :)</w:t>
      </w:r>
    </w:p>
  </w:comment>
  <w:comment w:id="276" w:author="TP" w:date="2021-07-16T16:24:00Z" w:initials="TP">
    <w:p w14:paraId="5111383D" w14:textId="77777777" w:rsidR="000A6503" w:rsidRDefault="000A6503">
      <w:pPr>
        <w:pStyle w:val="CommentText"/>
      </w:pPr>
      <w:r>
        <w:rPr>
          <w:rStyle w:val="CommentReference"/>
        </w:rPr>
        <w:annotationRef/>
      </w:r>
      <w:r>
        <w:t>@Hannah: this chain should hand-over similar numbers from one step to the next. Could you please edit the text to clarify how we got from 313 to 156?</w:t>
      </w:r>
    </w:p>
  </w:comment>
  <w:comment w:id="277" w:author="TP" w:date="2021-07-16T16:30:00Z" w:initials="TP">
    <w:p w14:paraId="1CA761EA" w14:textId="77777777" w:rsidR="000A6503" w:rsidRDefault="000A6503">
      <w:pPr>
        <w:pStyle w:val="CommentText"/>
      </w:pPr>
      <w:r>
        <w:rPr>
          <w:rStyle w:val="CommentReference"/>
        </w:rPr>
        <w:annotationRef/>
      </w:r>
      <w:r>
        <w:t>@Hannah: unclear whether the 143 is before or after this step?</w:t>
      </w:r>
    </w:p>
  </w:comment>
  <w:comment w:id="281" w:author="TP" w:date="2021-07-16T16:31:00Z" w:initials="TP">
    <w:p w14:paraId="5C641B1C" w14:textId="77777777" w:rsidR="000A6503" w:rsidRDefault="000A6503">
      <w:pPr>
        <w:pStyle w:val="CommentText"/>
      </w:pPr>
      <w:r>
        <w:rPr>
          <w:rStyle w:val="CommentReference"/>
        </w:rPr>
        <w:annotationRef/>
      </w:r>
      <w:r>
        <w:t>i.e. that met all inclusion criteria and survived all exclusion criteria (see my long comment about this at the start of the ms, unless by now deleted)</w:t>
      </w:r>
    </w:p>
  </w:comment>
  <w:comment w:id="286" w:author="TP" w:date="2021-07-16T16:33:00Z" w:initials="TP">
    <w:p w14:paraId="0770D77E" w14:textId="77777777" w:rsidR="000A6503" w:rsidRDefault="000A6503">
      <w:pPr>
        <w:pStyle w:val="CommentText"/>
      </w:pPr>
      <w:r>
        <w:rPr>
          <w:rStyle w:val="CommentReference"/>
        </w:rPr>
        <w:annotationRef/>
      </w:r>
      <w:r>
        <w:t>@Hannah: what is the purpose of describing this as a 2-round process?...</w:t>
      </w:r>
    </w:p>
  </w:comment>
  <w:comment w:id="287" w:author="TP" w:date="2021-07-16T16:39:00Z" w:initials="TP">
    <w:p w14:paraId="0F07B9D8" w14:textId="77777777" w:rsidR="000A6503" w:rsidRDefault="000A6503">
      <w:pPr>
        <w:pStyle w:val="CommentText"/>
      </w:pPr>
      <w:r>
        <w:rPr>
          <w:rStyle w:val="CommentReference"/>
        </w:rPr>
        <w:annotationRef/>
      </w:r>
      <w:r>
        <w:t>@Hannah: pls check once again that the numbers in there match the ones above, at each step along the way</w:t>
      </w:r>
    </w:p>
  </w:comment>
  <w:comment w:id="289" w:author="TP" w:date="2021-07-20T15:02:00Z" w:initials="TP">
    <w:p w14:paraId="3671485E" w14:textId="77777777" w:rsidR="000A6503" w:rsidRDefault="000A6503">
      <w:pPr>
        <w:pStyle w:val="CommentText"/>
      </w:pPr>
      <w:r>
        <w:rPr>
          <w:rStyle w:val="CommentReference"/>
        </w:rPr>
        <w:annotationRef/>
      </w:r>
      <w:r>
        <w:t xml:space="preserve">@Hannah: I know this was a lot to take in, but please (on a final note) note that we gave up on the 'suitability' term, since all eventually needs to be described in terms of exclusion &amp; inclusion criteria (see my long comment earlier on about this, and also the guidelines referenced in section </w:t>
      </w:r>
      <w:r>
        <w:fldChar w:fldCharType="begin"/>
      </w:r>
      <w:r>
        <w:instrText xml:space="preserve"> REF _Ref77345336 \r \h </w:instrText>
      </w:r>
      <w:r>
        <w:fldChar w:fldCharType="separate"/>
      </w:r>
      <w:r>
        <w:t>13</w:t>
      </w:r>
      <w:r>
        <w:fldChar w:fldCharType="end"/>
      </w:r>
      <w:r>
        <w:t>)</w:t>
      </w:r>
    </w:p>
  </w:comment>
  <w:comment w:id="290" w:author="TP" w:date="2021-07-16T16:40:00Z" w:initials="TP">
    <w:p w14:paraId="32F22121" w14:textId="77777777" w:rsidR="000A6503" w:rsidRDefault="000A6503">
      <w:pPr>
        <w:pStyle w:val="CommentText"/>
      </w:pPr>
      <w:r>
        <w:rPr>
          <w:rStyle w:val="CommentReference"/>
        </w:rPr>
        <w:annotationRef/>
      </w:r>
      <w:r>
        <w:t>again, this should all just come down to the list of excl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1948E0" w15:done="0"/>
  <w15:commentEx w15:paraId="47426B35" w15:paraIdParent="571948E0" w15:done="0"/>
  <w15:commentEx w15:paraId="566F8467" w15:done="1"/>
  <w15:commentEx w15:paraId="0E25A178" w15:paraIdParent="566F8467" w15:done="1"/>
  <w15:commentEx w15:paraId="040B2DA6" w15:done="1"/>
  <w15:commentEx w15:paraId="6FC834B0" w15:done="1"/>
  <w15:commentEx w15:paraId="109B5830" w15:done="0"/>
  <w15:commentEx w15:paraId="7430EC1B" w15:paraIdParent="109B5830" w15:done="0"/>
  <w15:commentEx w15:paraId="3028B126" w15:done="0"/>
  <w15:commentEx w15:paraId="18734653" w15:paraIdParent="3028B126" w15:done="0"/>
  <w15:commentEx w15:paraId="7EBC1A72" w15:done="0"/>
  <w15:commentEx w15:paraId="6E705C9F" w15:paraIdParent="7EBC1A72" w15:done="0"/>
  <w15:commentEx w15:paraId="492BE445" w15:done="0"/>
  <w15:commentEx w15:paraId="5FCA75EA" w15:done="0"/>
  <w15:commentEx w15:paraId="0E80B609" w15:done="0"/>
  <w15:commentEx w15:paraId="02B4E21D" w15:paraIdParent="0E80B609" w15:done="0"/>
  <w15:commentEx w15:paraId="0FC8D63B" w15:done="0"/>
  <w15:commentEx w15:paraId="100AA845" w15:paraIdParent="0FC8D63B" w15:done="0"/>
  <w15:commentEx w15:paraId="19025F08" w15:done="0"/>
  <w15:commentEx w15:paraId="3CF1C76A" w15:paraIdParent="19025F08" w15:done="0"/>
  <w15:commentEx w15:paraId="76B2B1C7" w15:done="0"/>
  <w15:commentEx w15:paraId="35884507" w15:paraIdParent="76B2B1C7" w15:done="0"/>
  <w15:commentEx w15:paraId="6778FC14" w15:done="0"/>
  <w15:commentEx w15:paraId="7D76A918" w15:paraIdParent="6778FC14" w15:done="0"/>
  <w15:commentEx w15:paraId="69E546D5" w15:done="0"/>
  <w15:commentEx w15:paraId="4E9EA0CC" w15:paraIdParent="69E546D5" w15:done="0"/>
  <w15:commentEx w15:paraId="6C6ACE1D" w15:done="0"/>
  <w15:commentEx w15:paraId="13D7C335" w15:paraIdParent="6C6ACE1D" w15:done="0"/>
  <w15:commentEx w15:paraId="5872254C" w15:done="0"/>
  <w15:commentEx w15:paraId="2E0DAAB4" w15:done="0"/>
  <w15:commentEx w15:paraId="5D5A89EA" w15:done="0"/>
  <w15:commentEx w15:paraId="513A9FCC" w15:done="0"/>
  <w15:commentEx w15:paraId="5111383D" w15:done="0"/>
  <w15:commentEx w15:paraId="1CA761EA" w15:done="0"/>
  <w15:commentEx w15:paraId="5C641B1C" w15:done="0"/>
  <w15:commentEx w15:paraId="0770D77E" w15:done="0"/>
  <w15:commentEx w15:paraId="0F07B9D8" w15:done="0"/>
  <w15:commentEx w15:paraId="3671485E" w15:done="0"/>
  <w15:commentEx w15:paraId="32F221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96181" w16cex:dateUtc="2021-07-26T20:29:00Z"/>
  <w16cex:commentExtensible w16cex:durableId="24A9623E" w16cex:dateUtc="2021-07-26T20:33:00Z"/>
  <w16cex:commentExtensible w16cex:durableId="24A96C95" w16cex:dateUtc="2021-07-26T21:17:00Z"/>
  <w16cex:commentExtensible w16cex:durableId="24A97712" w16cex:dateUtc="2021-07-26T22:01:00Z"/>
  <w16cex:commentExtensible w16cex:durableId="24A96D5A" w16cex:dateUtc="2021-07-26T21:20:00Z"/>
  <w16cex:commentExtensible w16cex:durableId="24AA70A7" w16cex:dateUtc="2021-07-27T15:46:00Z"/>
  <w16cex:commentExtensible w16cex:durableId="24AA7090" w16cex:dateUtc="2021-07-27T15:46:00Z"/>
  <w16cex:commentExtensible w16cex:durableId="24A96A05" w16cex:dateUtc="2021-07-26T21:06:00Z"/>
  <w16cex:commentExtensible w16cex:durableId="24A9687D" w16cex:dateUtc="2021-07-26T20:59:00Z"/>
  <w16cex:commentExtensible w16cex:durableId="24A9683A" w16cex:dateUtc="2021-07-26T20:58:00Z"/>
  <w16cex:commentExtensible w16cex:durableId="24A966BC" w16cex:dateUtc="2021-07-26T20:52:00Z"/>
  <w16cex:commentExtensible w16cex:durableId="24A96603" w16cex:dateUtc="2021-07-26T20:49:00Z"/>
  <w16cex:commentExtensible w16cex:durableId="24A964E7" w16cex:dateUtc="2021-07-26T20:44:00Z"/>
  <w16cex:commentExtensible w16cex:durableId="24A964F8" w16cex:dateUtc="2021-07-26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1948E0" w16cid:durableId="24A2C5D4"/>
  <w16cid:commentId w16cid:paraId="47426B35" w16cid:durableId="24A96181"/>
  <w16cid:commentId w16cid:paraId="566F8467" w16cid:durableId="24A2DF94"/>
  <w16cid:commentId w16cid:paraId="0E25A178" w16cid:durableId="24A9623E"/>
  <w16cid:commentId w16cid:paraId="040B2DA6" w16cid:durableId="24A29437"/>
  <w16cid:commentId w16cid:paraId="6FC834B0" w16cid:durableId="24A2D47D"/>
  <w16cid:commentId w16cid:paraId="109B5830" w16cid:durableId="24A2DAA1"/>
  <w16cid:commentId w16cid:paraId="7430EC1B" w16cid:durableId="24A96C95"/>
  <w16cid:commentId w16cid:paraId="3028B126" w16cid:durableId="24A2DAF9"/>
  <w16cid:commentId w16cid:paraId="18734653" w16cid:durableId="24A97712"/>
  <w16cid:commentId w16cid:paraId="7EBC1A72" w16cid:durableId="24A2DBB7"/>
  <w16cid:commentId w16cid:paraId="6E705C9F" w16cid:durableId="24A96D5A"/>
  <w16cid:commentId w16cid:paraId="492BE445" w16cid:durableId="24AA70A7"/>
  <w16cid:commentId w16cid:paraId="5FCA75EA" w16cid:durableId="24AA7090"/>
  <w16cid:commentId w16cid:paraId="0E80B609" w16cid:durableId="24A2D899"/>
  <w16cid:commentId w16cid:paraId="02B4E21D" w16cid:durableId="24A96A05"/>
  <w16cid:commentId w16cid:paraId="0FC8D63B" w16cid:durableId="24A2D8D1"/>
  <w16cid:commentId w16cid:paraId="100AA845" w16cid:durableId="24A9687D"/>
  <w16cid:commentId w16cid:paraId="19025F08" w16cid:durableId="24A2D985"/>
  <w16cid:commentId w16cid:paraId="3CF1C76A" w16cid:durableId="24A9683A"/>
  <w16cid:commentId w16cid:paraId="76B2B1C7" w16cid:durableId="24A2D75C"/>
  <w16cid:commentId w16cid:paraId="35884507" w16cid:durableId="24A966BC"/>
  <w16cid:commentId w16cid:paraId="6778FC14" w16cid:durableId="24A2D792"/>
  <w16cid:commentId w16cid:paraId="7D76A918" w16cid:durableId="24A96603"/>
  <w16cid:commentId w16cid:paraId="69E546D5" w16cid:durableId="24A2E3FA"/>
  <w16cid:commentId w16cid:paraId="4E9EA0CC" w16cid:durableId="24A964E7"/>
  <w16cid:commentId w16cid:paraId="6C6ACE1D" w16cid:durableId="24A2943F"/>
  <w16cid:commentId w16cid:paraId="13D7C335" w16cid:durableId="24A964F8"/>
  <w16cid:commentId w16cid:paraId="5872254C" w16cid:durableId="24A29440"/>
  <w16cid:commentId w16cid:paraId="2E0DAAB4" w16cid:durableId="24A29441"/>
  <w16cid:commentId w16cid:paraId="5D5A89EA" w16cid:durableId="24A29442"/>
  <w16cid:commentId w16cid:paraId="513A9FCC" w16cid:durableId="24A29443"/>
  <w16cid:commentId w16cid:paraId="5111383D" w16cid:durableId="24A29444"/>
  <w16cid:commentId w16cid:paraId="1CA761EA" w16cid:durableId="24A29445"/>
  <w16cid:commentId w16cid:paraId="5C641B1C" w16cid:durableId="24A29446"/>
  <w16cid:commentId w16cid:paraId="0770D77E" w16cid:durableId="24A29447"/>
  <w16cid:commentId w16cid:paraId="0F07B9D8" w16cid:durableId="24A29448"/>
  <w16cid:commentId w16cid:paraId="3671485E" w16cid:durableId="24A29449"/>
  <w16cid:commentId w16cid:paraId="32F22121" w16cid:durableId="24A294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85208" w14:textId="77777777" w:rsidR="001E34FF" w:rsidRDefault="001E34FF">
      <w:pPr>
        <w:spacing w:line="240" w:lineRule="auto"/>
      </w:pPr>
      <w:r>
        <w:separator/>
      </w:r>
    </w:p>
  </w:endnote>
  <w:endnote w:type="continuationSeparator" w:id="0">
    <w:p w14:paraId="7C783366" w14:textId="77777777" w:rsidR="001E34FF" w:rsidRDefault="001E34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eSans 4-SemiLight">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C1FB3" w14:textId="77777777" w:rsidR="001E34FF" w:rsidRDefault="001E34FF">
      <w:pPr>
        <w:spacing w:line="240" w:lineRule="auto"/>
      </w:pPr>
      <w:r>
        <w:separator/>
      </w:r>
    </w:p>
  </w:footnote>
  <w:footnote w:type="continuationSeparator" w:id="0">
    <w:p w14:paraId="531B84CB" w14:textId="77777777" w:rsidR="001E34FF" w:rsidRDefault="001E34FF">
      <w:pPr>
        <w:spacing w:line="240" w:lineRule="auto"/>
      </w:pPr>
      <w:r>
        <w:continuationSeparator/>
      </w:r>
    </w:p>
  </w:footnote>
  <w:footnote w:id="1">
    <w:p w14:paraId="1DC602B1" w14:textId="77777777" w:rsidR="000A6503" w:rsidRDefault="000A6503" w:rsidP="003F5AE2">
      <w:pPr>
        <w:pStyle w:val="FootnoteText"/>
      </w:pPr>
      <w:r>
        <w:rPr>
          <w:rStyle w:val="FootnoteReference"/>
        </w:rPr>
        <w:footnoteRef/>
      </w:r>
      <w:r>
        <w:t xml:space="preserve"> For a small number of studies, it was not possible to determine the maximum or minimum possible scores. For these studies, we computed POMP scores using the maximum and minimum </w:t>
      </w:r>
      <w:r>
        <w:rPr>
          <w:i/>
          <w:iCs/>
        </w:rPr>
        <w:t>observed</w:t>
      </w:r>
      <w:r>
        <w:t xml:space="preserve"> scores in the sample. Results did not change meaningfully if we excluded these studies from results.</w:t>
      </w:r>
    </w:p>
  </w:footnote>
  <w:footnote w:id="2">
    <w:p w14:paraId="5061FD11" w14:textId="77777777" w:rsidR="000A6503" w:rsidRDefault="000A6503" w:rsidP="003F5AE2">
      <w:pPr>
        <w:pStyle w:val="FootnoteText"/>
      </w:pPr>
      <w:r>
        <w:rPr>
          <w:rStyle w:val="FootnoteReference"/>
        </w:rPr>
        <w:footnoteRef/>
      </w:r>
      <w:r>
        <w:t xml:space="preserve"> For comparison, we also estimated models with unequal random effects variances across dependent variables. This did not improve model fit based on AICc comparison or likelihood ratio tests.</w:t>
      </w:r>
    </w:p>
  </w:footnote>
  <w:footnote w:id="3">
    <w:p w14:paraId="5A365AED" w14:textId="603C4974" w:rsidR="000A6503" w:rsidRDefault="000A6503" w:rsidP="003F5AE2">
      <w:pPr>
        <w:pStyle w:val="FootnoteText"/>
      </w:pPr>
      <w:r>
        <w:rPr>
          <w:rStyle w:val="FootnoteReference"/>
        </w:rPr>
        <w:footnoteRef/>
      </w:r>
      <w:r>
        <w:t xml:space="preserve"> As only 3 </w:t>
      </w:r>
      <w:del w:id="98" w:author="Brenton Wiernik" w:date="2021-07-26T16:38:00Z">
        <w:r w:rsidDel="002248B1">
          <w:delText xml:space="preserve">group-level </w:delText>
        </w:r>
      </w:del>
      <w:r>
        <w:t>RCT studies were identified, it was not possible to apply methods to detect publication-bias or other small-sample effects (e.g., tests of funnel plot asymmetry).</w:t>
      </w:r>
    </w:p>
  </w:footnote>
  <w:footnote w:id="4">
    <w:p w14:paraId="724B298F" w14:textId="77777777" w:rsidR="000A6503" w:rsidRDefault="000A6503" w:rsidP="003F5AE2">
      <w:pPr>
        <w:pStyle w:val="FootnoteText"/>
      </w:pPr>
      <w:r>
        <w:rPr>
          <w:rStyle w:val="FootnoteReference"/>
        </w:rPr>
        <w:footnoteRef/>
      </w:r>
      <w:r>
        <w:t xml:space="preserve"> Models with random slopes for the </w:t>
      </w:r>
      <w:r w:rsidRPr="00253074">
        <w:rPr>
          <w:i/>
        </w:rPr>
        <w:t>Domain</w:t>
      </w:r>
      <w:r>
        <w:t xml:space="preserve"> variable did not converge, likely due to the limited co-occurrence of specific pairs of those within any one study.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56E29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1923D4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AF24DC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75C4A3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87F667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6289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7817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585F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710AB6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33CF5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8E73E6"/>
    <w:multiLevelType w:val="hybridMultilevel"/>
    <w:tmpl w:val="24CE70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7513FEC"/>
    <w:multiLevelType w:val="hybridMultilevel"/>
    <w:tmpl w:val="0F3822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DE21B28"/>
    <w:multiLevelType w:val="multilevel"/>
    <w:tmpl w:val="1DE21B28"/>
    <w:lvl w:ilvl="0">
      <w:start w:val="1"/>
      <w:numFmt w:val="decimal"/>
      <w:pStyle w:val="Heading1"/>
      <w:lvlText w:val="%1."/>
      <w:lvlJc w:val="left"/>
      <w:pPr>
        <w:tabs>
          <w:tab w:val="left" w:pos="0"/>
        </w:tabs>
        <w:ind w:left="360" w:hanging="360"/>
      </w:pPr>
      <w:rPr>
        <w:rFonts w:cs="Times New Roman" w:hint="default"/>
      </w:rPr>
    </w:lvl>
    <w:lvl w:ilvl="1">
      <w:start w:val="1"/>
      <w:numFmt w:val="decimal"/>
      <w:pStyle w:val="Heading2"/>
      <w:lvlText w:val="%1.%2."/>
      <w:lvlJc w:val="left"/>
      <w:pPr>
        <w:tabs>
          <w:tab w:val="left" w:pos="0"/>
        </w:tabs>
        <w:ind w:left="2098" w:hanging="680"/>
      </w:pPr>
      <w:rPr>
        <w:rFonts w:cs="Times New Roman" w:hint="default"/>
        <w:i w:val="0"/>
      </w:rPr>
    </w:lvl>
    <w:lvl w:ilvl="2">
      <w:start w:val="1"/>
      <w:numFmt w:val="decimal"/>
      <w:pStyle w:val="Heading3"/>
      <w:lvlText w:val="%1.%2.%3"/>
      <w:lvlJc w:val="left"/>
      <w:pPr>
        <w:tabs>
          <w:tab w:val="left" w:pos="217"/>
        </w:tabs>
        <w:ind w:left="1691" w:hanging="754"/>
      </w:pPr>
      <w:rPr>
        <w:rFonts w:cs="Times New Roman" w:hint="default"/>
      </w:rPr>
    </w:lvl>
    <w:lvl w:ilvl="3">
      <w:start w:val="1"/>
      <w:numFmt w:val="decimal"/>
      <w:pStyle w:val="Heading4"/>
      <w:lvlText w:val="%1.%2.%3.%4"/>
      <w:lvlJc w:val="left"/>
      <w:pPr>
        <w:tabs>
          <w:tab w:val="left" w:pos="0"/>
        </w:tabs>
        <w:ind w:left="1440" w:hanging="360"/>
      </w:pPr>
      <w:rPr>
        <w:rFonts w:cs="Times New Roman" w:hint="default"/>
      </w:rPr>
    </w:lvl>
    <w:lvl w:ilvl="4">
      <w:start w:val="1"/>
      <w:numFmt w:val="decimal"/>
      <w:pStyle w:val="Heading5"/>
      <w:lvlText w:val="%1.%2.%3.%4.%5"/>
      <w:lvlJc w:val="left"/>
      <w:pPr>
        <w:tabs>
          <w:tab w:val="left" w:pos="0"/>
        </w:tabs>
        <w:ind w:left="1800" w:hanging="360"/>
      </w:pPr>
      <w:rPr>
        <w:rFonts w:cs="Times New Roman" w:hint="default"/>
      </w:rPr>
    </w:lvl>
    <w:lvl w:ilvl="5">
      <w:start w:val="1"/>
      <w:numFmt w:val="decimal"/>
      <w:pStyle w:val="Heading6"/>
      <w:lvlText w:val="%1.%2.%3.%4.%5.%6"/>
      <w:lvlJc w:val="left"/>
      <w:pPr>
        <w:tabs>
          <w:tab w:val="left" w:pos="0"/>
        </w:tabs>
        <w:ind w:left="2160" w:hanging="360"/>
      </w:pPr>
      <w:rPr>
        <w:rFonts w:cs="Times New Roman" w:hint="default"/>
      </w:rPr>
    </w:lvl>
    <w:lvl w:ilvl="6">
      <w:start w:val="1"/>
      <w:numFmt w:val="decimal"/>
      <w:pStyle w:val="Heading7"/>
      <w:lvlText w:val="%1.%2.%3.%4.%5.%6.%7"/>
      <w:lvlJc w:val="left"/>
      <w:pPr>
        <w:tabs>
          <w:tab w:val="left" w:pos="0"/>
        </w:tabs>
        <w:ind w:left="2520" w:hanging="360"/>
      </w:pPr>
      <w:rPr>
        <w:rFonts w:cs="Times New Roman" w:hint="default"/>
      </w:rPr>
    </w:lvl>
    <w:lvl w:ilvl="7">
      <w:start w:val="1"/>
      <w:numFmt w:val="decimal"/>
      <w:pStyle w:val="Heading8"/>
      <w:lvlText w:val="%1.%2.%3.%4.%5.%6.%7.%8"/>
      <w:lvlJc w:val="left"/>
      <w:pPr>
        <w:tabs>
          <w:tab w:val="left" w:pos="0"/>
        </w:tabs>
        <w:ind w:left="2880" w:hanging="360"/>
      </w:pPr>
      <w:rPr>
        <w:rFonts w:cs="Times New Roman" w:hint="default"/>
      </w:rPr>
    </w:lvl>
    <w:lvl w:ilvl="8">
      <w:start w:val="1"/>
      <w:numFmt w:val="decimal"/>
      <w:lvlText w:val="%1.%2.%3.%4.%5.%6.%7.%8.%9"/>
      <w:lvlJc w:val="left"/>
      <w:pPr>
        <w:tabs>
          <w:tab w:val="left" w:pos="0"/>
        </w:tabs>
        <w:ind w:left="3240" w:hanging="360"/>
      </w:pPr>
      <w:rPr>
        <w:rFonts w:cs="Times New Roman" w:hint="default"/>
      </w:rPr>
    </w:lvl>
  </w:abstractNum>
  <w:abstractNum w:abstractNumId="13" w15:restartNumberingAfterBreak="0">
    <w:nsid w:val="30A56347"/>
    <w:multiLevelType w:val="multilevel"/>
    <w:tmpl w:val="D8BC2880"/>
    <w:lvl w:ilvl="0">
      <w:start w:val="1"/>
      <w:numFmt w:val="decimal"/>
      <w:lvlText w:val="%1."/>
      <w:lvlJc w:val="left"/>
      <w:pPr>
        <w:ind w:left="2160" w:hanging="360"/>
      </w:pPr>
      <w:rPr>
        <w:rFonts w:cs="Times New Roman"/>
        <w:u w:val="none"/>
      </w:rPr>
    </w:lvl>
    <w:lvl w:ilvl="1">
      <w:start w:val="1"/>
      <w:numFmt w:val="lowerLetter"/>
      <w:lvlText w:val="%2."/>
      <w:lvlJc w:val="left"/>
      <w:pPr>
        <w:ind w:left="2880" w:hanging="360"/>
      </w:pPr>
      <w:rPr>
        <w:rFonts w:cs="Times New Roman"/>
        <w:u w:val="none"/>
      </w:rPr>
    </w:lvl>
    <w:lvl w:ilvl="2">
      <w:start w:val="1"/>
      <w:numFmt w:val="lowerRoman"/>
      <w:lvlText w:val="%3."/>
      <w:lvlJc w:val="right"/>
      <w:pPr>
        <w:ind w:left="3600" w:hanging="360"/>
      </w:pPr>
      <w:rPr>
        <w:rFonts w:cs="Times New Roman"/>
        <w:u w:val="none"/>
      </w:rPr>
    </w:lvl>
    <w:lvl w:ilvl="3">
      <w:start w:val="1"/>
      <w:numFmt w:val="decimal"/>
      <w:lvlText w:val="%4."/>
      <w:lvlJc w:val="left"/>
      <w:pPr>
        <w:ind w:left="4320" w:hanging="360"/>
      </w:pPr>
      <w:rPr>
        <w:rFonts w:cs="Times New Roman"/>
        <w:u w:val="none"/>
      </w:rPr>
    </w:lvl>
    <w:lvl w:ilvl="4">
      <w:start w:val="1"/>
      <w:numFmt w:val="lowerLetter"/>
      <w:lvlText w:val="%5."/>
      <w:lvlJc w:val="left"/>
      <w:pPr>
        <w:ind w:left="5040" w:hanging="360"/>
      </w:pPr>
      <w:rPr>
        <w:rFonts w:cs="Times New Roman"/>
        <w:u w:val="none"/>
      </w:rPr>
    </w:lvl>
    <w:lvl w:ilvl="5">
      <w:start w:val="1"/>
      <w:numFmt w:val="lowerRoman"/>
      <w:lvlText w:val="%6."/>
      <w:lvlJc w:val="right"/>
      <w:pPr>
        <w:ind w:left="5760" w:hanging="360"/>
      </w:pPr>
      <w:rPr>
        <w:rFonts w:cs="Times New Roman"/>
        <w:u w:val="none"/>
      </w:rPr>
    </w:lvl>
    <w:lvl w:ilvl="6">
      <w:start w:val="1"/>
      <w:numFmt w:val="decimal"/>
      <w:lvlText w:val="%7."/>
      <w:lvlJc w:val="left"/>
      <w:pPr>
        <w:ind w:left="6480" w:hanging="360"/>
      </w:pPr>
      <w:rPr>
        <w:rFonts w:cs="Times New Roman"/>
        <w:u w:val="none"/>
      </w:rPr>
    </w:lvl>
    <w:lvl w:ilvl="7">
      <w:start w:val="1"/>
      <w:numFmt w:val="lowerLetter"/>
      <w:lvlText w:val="%8."/>
      <w:lvlJc w:val="left"/>
      <w:pPr>
        <w:ind w:left="7200" w:hanging="360"/>
      </w:pPr>
      <w:rPr>
        <w:rFonts w:cs="Times New Roman"/>
        <w:u w:val="none"/>
      </w:rPr>
    </w:lvl>
    <w:lvl w:ilvl="8">
      <w:start w:val="1"/>
      <w:numFmt w:val="lowerRoman"/>
      <w:lvlText w:val="%9."/>
      <w:lvlJc w:val="right"/>
      <w:pPr>
        <w:ind w:left="7920" w:hanging="360"/>
      </w:pPr>
      <w:rPr>
        <w:rFonts w:cs="Times New Roman"/>
        <w:u w:val="none"/>
      </w:rPr>
    </w:lvl>
  </w:abstractNum>
  <w:abstractNum w:abstractNumId="14" w15:restartNumberingAfterBreak="0">
    <w:nsid w:val="337F4FF1"/>
    <w:multiLevelType w:val="multilevel"/>
    <w:tmpl w:val="19BE1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F03F14"/>
    <w:multiLevelType w:val="multilevel"/>
    <w:tmpl w:val="3DB0E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6D733F"/>
    <w:multiLevelType w:val="hybridMultilevel"/>
    <w:tmpl w:val="05A0260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F84304C"/>
    <w:multiLevelType w:val="hybridMultilevel"/>
    <w:tmpl w:val="18D294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EE471BF"/>
    <w:multiLevelType w:val="hybridMultilevel"/>
    <w:tmpl w:val="0046F3B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14"/>
  </w:num>
  <w:num w:numId="2">
    <w:abstractNumId w:val="15"/>
  </w:num>
  <w:num w:numId="3">
    <w:abstractNumId w:val="13"/>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8"/>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10"/>
  </w:num>
  <w:num w:numId="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P">
    <w15:presenceInfo w15:providerId="None" w15:userId="TP"/>
  </w15:person>
  <w15:person w15:author="Brenton Wiernik">
    <w15:presenceInfo w15:providerId="Windows Live" w15:userId="f967d90f2e4e61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6D"/>
    <w:rsid w:val="00004EBC"/>
    <w:rsid w:val="00005A94"/>
    <w:rsid w:val="000076B6"/>
    <w:rsid w:val="00010EA6"/>
    <w:rsid w:val="00016DD6"/>
    <w:rsid w:val="00020387"/>
    <w:rsid w:val="00023778"/>
    <w:rsid w:val="00024EBE"/>
    <w:rsid w:val="00031C9C"/>
    <w:rsid w:val="000412AE"/>
    <w:rsid w:val="00041846"/>
    <w:rsid w:val="00051530"/>
    <w:rsid w:val="00055576"/>
    <w:rsid w:val="00060572"/>
    <w:rsid w:val="000608F1"/>
    <w:rsid w:val="00060A49"/>
    <w:rsid w:val="00061539"/>
    <w:rsid w:val="00067107"/>
    <w:rsid w:val="00071F43"/>
    <w:rsid w:val="00074B9F"/>
    <w:rsid w:val="0007567A"/>
    <w:rsid w:val="0008448D"/>
    <w:rsid w:val="00087020"/>
    <w:rsid w:val="00090348"/>
    <w:rsid w:val="00091D5D"/>
    <w:rsid w:val="00091EFF"/>
    <w:rsid w:val="00093A4A"/>
    <w:rsid w:val="000956E7"/>
    <w:rsid w:val="00096D53"/>
    <w:rsid w:val="00097203"/>
    <w:rsid w:val="000A015E"/>
    <w:rsid w:val="000A0CD3"/>
    <w:rsid w:val="000A0D63"/>
    <w:rsid w:val="000A0DFE"/>
    <w:rsid w:val="000A2110"/>
    <w:rsid w:val="000A5162"/>
    <w:rsid w:val="000A6503"/>
    <w:rsid w:val="000A7CE2"/>
    <w:rsid w:val="000A7E45"/>
    <w:rsid w:val="000A7F2D"/>
    <w:rsid w:val="000B35FC"/>
    <w:rsid w:val="000B7592"/>
    <w:rsid w:val="000C4260"/>
    <w:rsid w:val="000C46F4"/>
    <w:rsid w:val="000C58F8"/>
    <w:rsid w:val="000C773A"/>
    <w:rsid w:val="000D0E0B"/>
    <w:rsid w:val="000D1C7A"/>
    <w:rsid w:val="000D3EC5"/>
    <w:rsid w:val="000D7879"/>
    <w:rsid w:val="000D7BB2"/>
    <w:rsid w:val="000E6430"/>
    <w:rsid w:val="000F17F4"/>
    <w:rsid w:val="000F1926"/>
    <w:rsid w:val="000F1B02"/>
    <w:rsid w:val="000F294F"/>
    <w:rsid w:val="000F2C48"/>
    <w:rsid w:val="000F3D0D"/>
    <w:rsid w:val="0010022E"/>
    <w:rsid w:val="001144E1"/>
    <w:rsid w:val="001208FD"/>
    <w:rsid w:val="00122697"/>
    <w:rsid w:val="00124BD6"/>
    <w:rsid w:val="0012749C"/>
    <w:rsid w:val="00130A78"/>
    <w:rsid w:val="001324D3"/>
    <w:rsid w:val="00132B17"/>
    <w:rsid w:val="001330E7"/>
    <w:rsid w:val="00141290"/>
    <w:rsid w:val="00150A89"/>
    <w:rsid w:val="00155D05"/>
    <w:rsid w:val="00163BC5"/>
    <w:rsid w:val="001640D9"/>
    <w:rsid w:val="00167D74"/>
    <w:rsid w:val="0017021E"/>
    <w:rsid w:val="00171761"/>
    <w:rsid w:val="00172C0A"/>
    <w:rsid w:val="0017422A"/>
    <w:rsid w:val="001747A3"/>
    <w:rsid w:val="00177112"/>
    <w:rsid w:val="001776F7"/>
    <w:rsid w:val="00190D81"/>
    <w:rsid w:val="00192122"/>
    <w:rsid w:val="00194E63"/>
    <w:rsid w:val="00194F6C"/>
    <w:rsid w:val="001A110F"/>
    <w:rsid w:val="001A3D2B"/>
    <w:rsid w:val="001A66F7"/>
    <w:rsid w:val="001A6B06"/>
    <w:rsid w:val="001B1CE4"/>
    <w:rsid w:val="001B4AAD"/>
    <w:rsid w:val="001B688C"/>
    <w:rsid w:val="001C2891"/>
    <w:rsid w:val="001C2895"/>
    <w:rsid w:val="001C577C"/>
    <w:rsid w:val="001D0F60"/>
    <w:rsid w:val="001D27A5"/>
    <w:rsid w:val="001D4F2C"/>
    <w:rsid w:val="001D7B26"/>
    <w:rsid w:val="001E0ACC"/>
    <w:rsid w:val="001E0D49"/>
    <w:rsid w:val="001E2EC4"/>
    <w:rsid w:val="001E34FF"/>
    <w:rsid w:val="001F01EB"/>
    <w:rsid w:val="001F0C33"/>
    <w:rsid w:val="001F1D26"/>
    <w:rsid w:val="001F1EC0"/>
    <w:rsid w:val="001F43E4"/>
    <w:rsid w:val="0020292F"/>
    <w:rsid w:val="00203CE0"/>
    <w:rsid w:val="00206823"/>
    <w:rsid w:val="0021537C"/>
    <w:rsid w:val="00217671"/>
    <w:rsid w:val="0022230E"/>
    <w:rsid w:val="0022286C"/>
    <w:rsid w:val="002248B1"/>
    <w:rsid w:val="00225DC1"/>
    <w:rsid w:val="00226BDE"/>
    <w:rsid w:val="00226F6F"/>
    <w:rsid w:val="00231B83"/>
    <w:rsid w:val="0023247C"/>
    <w:rsid w:val="002345AD"/>
    <w:rsid w:val="002360D7"/>
    <w:rsid w:val="0023760D"/>
    <w:rsid w:val="0023772A"/>
    <w:rsid w:val="00240789"/>
    <w:rsid w:val="00240EE2"/>
    <w:rsid w:val="0024210C"/>
    <w:rsid w:val="00242DDC"/>
    <w:rsid w:val="00243F94"/>
    <w:rsid w:val="00244886"/>
    <w:rsid w:val="002453D6"/>
    <w:rsid w:val="002467D6"/>
    <w:rsid w:val="002471CD"/>
    <w:rsid w:val="00247A41"/>
    <w:rsid w:val="00250D06"/>
    <w:rsid w:val="002520E2"/>
    <w:rsid w:val="00253074"/>
    <w:rsid w:val="002539F1"/>
    <w:rsid w:val="00254565"/>
    <w:rsid w:val="00254782"/>
    <w:rsid w:val="00260104"/>
    <w:rsid w:val="00261C1C"/>
    <w:rsid w:val="00267CD7"/>
    <w:rsid w:val="00270130"/>
    <w:rsid w:val="00270FF7"/>
    <w:rsid w:val="00274FAD"/>
    <w:rsid w:val="00280788"/>
    <w:rsid w:val="00281907"/>
    <w:rsid w:val="0028552F"/>
    <w:rsid w:val="002919BE"/>
    <w:rsid w:val="00294796"/>
    <w:rsid w:val="002A1A74"/>
    <w:rsid w:val="002A40F4"/>
    <w:rsid w:val="002B0EB8"/>
    <w:rsid w:val="002B2860"/>
    <w:rsid w:val="002C02A1"/>
    <w:rsid w:val="002C149A"/>
    <w:rsid w:val="002C3114"/>
    <w:rsid w:val="002C524D"/>
    <w:rsid w:val="002D494E"/>
    <w:rsid w:val="002E42C3"/>
    <w:rsid w:val="002E4710"/>
    <w:rsid w:val="002E548E"/>
    <w:rsid w:val="002F2932"/>
    <w:rsid w:val="0030185B"/>
    <w:rsid w:val="00302535"/>
    <w:rsid w:val="003063B3"/>
    <w:rsid w:val="00316C00"/>
    <w:rsid w:val="00324F82"/>
    <w:rsid w:val="003318D2"/>
    <w:rsid w:val="00331C63"/>
    <w:rsid w:val="0033539F"/>
    <w:rsid w:val="00345350"/>
    <w:rsid w:val="00346F59"/>
    <w:rsid w:val="00350301"/>
    <w:rsid w:val="003508BF"/>
    <w:rsid w:val="003509F8"/>
    <w:rsid w:val="00350C48"/>
    <w:rsid w:val="00354DC2"/>
    <w:rsid w:val="0035505B"/>
    <w:rsid w:val="00356B94"/>
    <w:rsid w:val="003579E2"/>
    <w:rsid w:val="0036274B"/>
    <w:rsid w:val="00363EA1"/>
    <w:rsid w:val="00364542"/>
    <w:rsid w:val="00367582"/>
    <w:rsid w:val="003709D9"/>
    <w:rsid w:val="0038349F"/>
    <w:rsid w:val="00386EAE"/>
    <w:rsid w:val="003957ED"/>
    <w:rsid w:val="003A005E"/>
    <w:rsid w:val="003A1A19"/>
    <w:rsid w:val="003A5A87"/>
    <w:rsid w:val="003A6819"/>
    <w:rsid w:val="003B01B7"/>
    <w:rsid w:val="003B3953"/>
    <w:rsid w:val="003B779A"/>
    <w:rsid w:val="003B7F49"/>
    <w:rsid w:val="003C0175"/>
    <w:rsid w:val="003C27E6"/>
    <w:rsid w:val="003C2C17"/>
    <w:rsid w:val="003C5694"/>
    <w:rsid w:val="003C5B77"/>
    <w:rsid w:val="003C693B"/>
    <w:rsid w:val="003D1F1F"/>
    <w:rsid w:val="003D22C4"/>
    <w:rsid w:val="003D6B41"/>
    <w:rsid w:val="003E1E79"/>
    <w:rsid w:val="003E4C8F"/>
    <w:rsid w:val="003E648B"/>
    <w:rsid w:val="003E7B41"/>
    <w:rsid w:val="003E7CE2"/>
    <w:rsid w:val="003F1ACC"/>
    <w:rsid w:val="003F1C65"/>
    <w:rsid w:val="003F38B2"/>
    <w:rsid w:val="003F4B8D"/>
    <w:rsid w:val="003F5AE2"/>
    <w:rsid w:val="00402AFD"/>
    <w:rsid w:val="00403BD3"/>
    <w:rsid w:val="00404667"/>
    <w:rsid w:val="00405680"/>
    <w:rsid w:val="004057A0"/>
    <w:rsid w:val="00410F01"/>
    <w:rsid w:val="00415016"/>
    <w:rsid w:val="00415602"/>
    <w:rsid w:val="00420671"/>
    <w:rsid w:val="0042510B"/>
    <w:rsid w:val="00427292"/>
    <w:rsid w:val="00432800"/>
    <w:rsid w:val="00443815"/>
    <w:rsid w:val="00445C11"/>
    <w:rsid w:val="0045102C"/>
    <w:rsid w:val="00452975"/>
    <w:rsid w:val="004531C4"/>
    <w:rsid w:val="0045421B"/>
    <w:rsid w:val="00461A51"/>
    <w:rsid w:val="00467266"/>
    <w:rsid w:val="00470BFF"/>
    <w:rsid w:val="00472399"/>
    <w:rsid w:val="00472A2F"/>
    <w:rsid w:val="00474C59"/>
    <w:rsid w:val="00482E7D"/>
    <w:rsid w:val="00483D6F"/>
    <w:rsid w:val="00486BFF"/>
    <w:rsid w:val="004939DF"/>
    <w:rsid w:val="004A0C0F"/>
    <w:rsid w:val="004A330A"/>
    <w:rsid w:val="004A33EF"/>
    <w:rsid w:val="004A578E"/>
    <w:rsid w:val="004B0524"/>
    <w:rsid w:val="004B1F63"/>
    <w:rsid w:val="004B5B27"/>
    <w:rsid w:val="004C03FE"/>
    <w:rsid w:val="004C0F2C"/>
    <w:rsid w:val="004D1858"/>
    <w:rsid w:val="004D1D72"/>
    <w:rsid w:val="004D333E"/>
    <w:rsid w:val="004D3B40"/>
    <w:rsid w:val="004D7F6D"/>
    <w:rsid w:val="004E2D45"/>
    <w:rsid w:val="004E6BE5"/>
    <w:rsid w:val="004F62A7"/>
    <w:rsid w:val="004F6BA9"/>
    <w:rsid w:val="004F7EA4"/>
    <w:rsid w:val="005000F7"/>
    <w:rsid w:val="00501250"/>
    <w:rsid w:val="00502613"/>
    <w:rsid w:val="00507311"/>
    <w:rsid w:val="005110B9"/>
    <w:rsid w:val="005112F5"/>
    <w:rsid w:val="00513257"/>
    <w:rsid w:val="00516FC7"/>
    <w:rsid w:val="005245E0"/>
    <w:rsid w:val="005264F3"/>
    <w:rsid w:val="00526752"/>
    <w:rsid w:val="005268A8"/>
    <w:rsid w:val="005421AE"/>
    <w:rsid w:val="0054776C"/>
    <w:rsid w:val="005511AA"/>
    <w:rsid w:val="00555C72"/>
    <w:rsid w:val="00561E98"/>
    <w:rsid w:val="005647BC"/>
    <w:rsid w:val="00570C79"/>
    <w:rsid w:val="00574306"/>
    <w:rsid w:val="00575D73"/>
    <w:rsid w:val="00577F06"/>
    <w:rsid w:val="005802C3"/>
    <w:rsid w:val="00585DE9"/>
    <w:rsid w:val="00586237"/>
    <w:rsid w:val="005916BB"/>
    <w:rsid w:val="00595AA3"/>
    <w:rsid w:val="00596428"/>
    <w:rsid w:val="00597CFC"/>
    <w:rsid w:val="005A7B64"/>
    <w:rsid w:val="005B0A0F"/>
    <w:rsid w:val="005B2623"/>
    <w:rsid w:val="005B3D9E"/>
    <w:rsid w:val="005C3AE0"/>
    <w:rsid w:val="005C3E66"/>
    <w:rsid w:val="005C6484"/>
    <w:rsid w:val="005C735F"/>
    <w:rsid w:val="005D18BC"/>
    <w:rsid w:val="005D2D65"/>
    <w:rsid w:val="005D3850"/>
    <w:rsid w:val="005D4261"/>
    <w:rsid w:val="005E001F"/>
    <w:rsid w:val="005E3179"/>
    <w:rsid w:val="005E3C15"/>
    <w:rsid w:val="005F1250"/>
    <w:rsid w:val="005F3814"/>
    <w:rsid w:val="005F69CD"/>
    <w:rsid w:val="00600767"/>
    <w:rsid w:val="00600E6D"/>
    <w:rsid w:val="00602615"/>
    <w:rsid w:val="00605277"/>
    <w:rsid w:val="00607DA0"/>
    <w:rsid w:val="0061052B"/>
    <w:rsid w:val="00610DD0"/>
    <w:rsid w:val="00611217"/>
    <w:rsid w:val="00613003"/>
    <w:rsid w:val="00614358"/>
    <w:rsid w:val="006171DA"/>
    <w:rsid w:val="006237F1"/>
    <w:rsid w:val="00624F99"/>
    <w:rsid w:val="006300D5"/>
    <w:rsid w:val="00632CFF"/>
    <w:rsid w:val="00640008"/>
    <w:rsid w:val="006453C7"/>
    <w:rsid w:val="00650402"/>
    <w:rsid w:val="006531DC"/>
    <w:rsid w:val="00662F4F"/>
    <w:rsid w:val="00671462"/>
    <w:rsid w:val="00671A6B"/>
    <w:rsid w:val="006723C5"/>
    <w:rsid w:val="00674406"/>
    <w:rsid w:val="00675E69"/>
    <w:rsid w:val="00677C56"/>
    <w:rsid w:val="006807CC"/>
    <w:rsid w:val="00683FDA"/>
    <w:rsid w:val="00684F40"/>
    <w:rsid w:val="006850E2"/>
    <w:rsid w:val="0068616E"/>
    <w:rsid w:val="0068652E"/>
    <w:rsid w:val="006904FB"/>
    <w:rsid w:val="00691AC9"/>
    <w:rsid w:val="00692E05"/>
    <w:rsid w:val="0069683A"/>
    <w:rsid w:val="00696B38"/>
    <w:rsid w:val="006970E2"/>
    <w:rsid w:val="006A06A9"/>
    <w:rsid w:val="006A5996"/>
    <w:rsid w:val="006B0D6D"/>
    <w:rsid w:val="006B13FF"/>
    <w:rsid w:val="006B6741"/>
    <w:rsid w:val="006C1C28"/>
    <w:rsid w:val="006C561E"/>
    <w:rsid w:val="006C5B36"/>
    <w:rsid w:val="006C7EE8"/>
    <w:rsid w:val="006D0B8D"/>
    <w:rsid w:val="006D3B3B"/>
    <w:rsid w:val="006D7E4F"/>
    <w:rsid w:val="006E006C"/>
    <w:rsid w:val="006E1919"/>
    <w:rsid w:val="006E6781"/>
    <w:rsid w:val="006E74FD"/>
    <w:rsid w:val="006F53F5"/>
    <w:rsid w:val="006F67EC"/>
    <w:rsid w:val="006F70AB"/>
    <w:rsid w:val="006F7EC5"/>
    <w:rsid w:val="00701536"/>
    <w:rsid w:val="00704292"/>
    <w:rsid w:val="0070750A"/>
    <w:rsid w:val="00707AA9"/>
    <w:rsid w:val="00707BA4"/>
    <w:rsid w:val="00717291"/>
    <w:rsid w:val="00717551"/>
    <w:rsid w:val="00721BB5"/>
    <w:rsid w:val="0072356A"/>
    <w:rsid w:val="00727670"/>
    <w:rsid w:val="00735F05"/>
    <w:rsid w:val="00740C3F"/>
    <w:rsid w:val="00740E02"/>
    <w:rsid w:val="00741578"/>
    <w:rsid w:val="00741E2B"/>
    <w:rsid w:val="00742F06"/>
    <w:rsid w:val="00750960"/>
    <w:rsid w:val="007510A0"/>
    <w:rsid w:val="00755841"/>
    <w:rsid w:val="0075798E"/>
    <w:rsid w:val="00762219"/>
    <w:rsid w:val="0076356B"/>
    <w:rsid w:val="007703CB"/>
    <w:rsid w:val="00771F5B"/>
    <w:rsid w:val="00772001"/>
    <w:rsid w:val="007741DB"/>
    <w:rsid w:val="00774945"/>
    <w:rsid w:val="00774F11"/>
    <w:rsid w:val="00775C2D"/>
    <w:rsid w:val="00780059"/>
    <w:rsid w:val="007857F3"/>
    <w:rsid w:val="00786BC6"/>
    <w:rsid w:val="0078771C"/>
    <w:rsid w:val="00796BAA"/>
    <w:rsid w:val="00797118"/>
    <w:rsid w:val="007B4A4B"/>
    <w:rsid w:val="007C3964"/>
    <w:rsid w:val="007C40A7"/>
    <w:rsid w:val="007C444A"/>
    <w:rsid w:val="007C4E11"/>
    <w:rsid w:val="007C75D3"/>
    <w:rsid w:val="007D0C81"/>
    <w:rsid w:val="007D127D"/>
    <w:rsid w:val="007D708D"/>
    <w:rsid w:val="007E151F"/>
    <w:rsid w:val="007E24F9"/>
    <w:rsid w:val="007F37F1"/>
    <w:rsid w:val="007F53EF"/>
    <w:rsid w:val="00800150"/>
    <w:rsid w:val="008002FB"/>
    <w:rsid w:val="008015D2"/>
    <w:rsid w:val="0080244E"/>
    <w:rsid w:val="008042ED"/>
    <w:rsid w:val="00807D58"/>
    <w:rsid w:val="00807E62"/>
    <w:rsid w:val="00814CFA"/>
    <w:rsid w:val="00817740"/>
    <w:rsid w:val="008202BC"/>
    <w:rsid w:val="0082173E"/>
    <w:rsid w:val="00822C1F"/>
    <w:rsid w:val="008257CC"/>
    <w:rsid w:val="00830AFD"/>
    <w:rsid w:val="00835395"/>
    <w:rsid w:val="008426BF"/>
    <w:rsid w:val="008572F6"/>
    <w:rsid w:val="00857F8C"/>
    <w:rsid w:val="00860917"/>
    <w:rsid w:val="008709DD"/>
    <w:rsid w:val="008731D1"/>
    <w:rsid w:val="00874363"/>
    <w:rsid w:val="00876827"/>
    <w:rsid w:val="00877376"/>
    <w:rsid w:val="0088057F"/>
    <w:rsid w:val="008810F1"/>
    <w:rsid w:val="00881160"/>
    <w:rsid w:val="00881E33"/>
    <w:rsid w:val="00883C2F"/>
    <w:rsid w:val="0088431D"/>
    <w:rsid w:val="00885966"/>
    <w:rsid w:val="00890B96"/>
    <w:rsid w:val="00893EDB"/>
    <w:rsid w:val="00895B26"/>
    <w:rsid w:val="00896FCF"/>
    <w:rsid w:val="008A4CA7"/>
    <w:rsid w:val="008A6008"/>
    <w:rsid w:val="008A6713"/>
    <w:rsid w:val="008A6863"/>
    <w:rsid w:val="008A6B94"/>
    <w:rsid w:val="008A7078"/>
    <w:rsid w:val="008A70E4"/>
    <w:rsid w:val="008B0D1E"/>
    <w:rsid w:val="008B2AAE"/>
    <w:rsid w:val="008C0E08"/>
    <w:rsid w:val="008C1012"/>
    <w:rsid w:val="008C1195"/>
    <w:rsid w:val="008C23A7"/>
    <w:rsid w:val="008C40A7"/>
    <w:rsid w:val="008C4A07"/>
    <w:rsid w:val="008D1E3A"/>
    <w:rsid w:val="008D4A9D"/>
    <w:rsid w:val="008D4EA3"/>
    <w:rsid w:val="008D6141"/>
    <w:rsid w:val="008E2F29"/>
    <w:rsid w:val="008F2472"/>
    <w:rsid w:val="008F3C0E"/>
    <w:rsid w:val="009013EF"/>
    <w:rsid w:val="009018FE"/>
    <w:rsid w:val="00921EB5"/>
    <w:rsid w:val="009228E3"/>
    <w:rsid w:val="00926337"/>
    <w:rsid w:val="00930390"/>
    <w:rsid w:val="00931658"/>
    <w:rsid w:val="00935EC6"/>
    <w:rsid w:val="0094547E"/>
    <w:rsid w:val="009504B1"/>
    <w:rsid w:val="0095389F"/>
    <w:rsid w:val="00955FBC"/>
    <w:rsid w:val="0096096E"/>
    <w:rsid w:val="00960E2C"/>
    <w:rsid w:val="00962F5D"/>
    <w:rsid w:val="0096426C"/>
    <w:rsid w:val="00964349"/>
    <w:rsid w:val="00966DBC"/>
    <w:rsid w:val="00970974"/>
    <w:rsid w:val="00973B28"/>
    <w:rsid w:val="0098076A"/>
    <w:rsid w:val="00980E0D"/>
    <w:rsid w:val="00981980"/>
    <w:rsid w:val="00982639"/>
    <w:rsid w:val="009832DC"/>
    <w:rsid w:val="00984359"/>
    <w:rsid w:val="00984470"/>
    <w:rsid w:val="009876EB"/>
    <w:rsid w:val="0099011C"/>
    <w:rsid w:val="009915A9"/>
    <w:rsid w:val="00993860"/>
    <w:rsid w:val="00994B29"/>
    <w:rsid w:val="009A6A22"/>
    <w:rsid w:val="009A6EE2"/>
    <w:rsid w:val="009B6352"/>
    <w:rsid w:val="009B6DE2"/>
    <w:rsid w:val="009B7B89"/>
    <w:rsid w:val="009C16C6"/>
    <w:rsid w:val="009C3AAE"/>
    <w:rsid w:val="009D425D"/>
    <w:rsid w:val="009D588C"/>
    <w:rsid w:val="009E3E93"/>
    <w:rsid w:val="009E4C28"/>
    <w:rsid w:val="009E620B"/>
    <w:rsid w:val="009F186C"/>
    <w:rsid w:val="009F2761"/>
    <w:rsid w:val="009F5CB9"/>
    <w:rsid w:val="00A00BA7"/>
    <w:rsid w:val="00A029A7"/>
    <w:rsid w:val="00A03DFD"/>
    <w:rsid w:val="00A111FB"/>
    <w:rsid w:val="00A121AE"/>
    <w:rsid w:val="00A131C4"/>
    <w:rsid w:val="00A14B4C"/>
    <w:rsid w:val="00A171D5"/>
    <w:rsid w:val="00A205EB"/>
    <w:rsid w:val="00A25AED"/>
    <w:rsid w:val="00A25D46"/>
    <w:rsid w:val="00A261E2"/>
    <w:rsid w:val="00A30EF0"/>
    <w:rsid w:val="00A31176"/>
    <w:rsid w:val="00A315E6"/>
    <w:rsid w:val="00A33D2D"/>
    <w:rsid w:val="00A4038D"/>
    <w:rsid w:val="00A40D51"/>
    <w:rsid w:val="00A508AE"/>
    <w:rsid w:val="00A529E4"/>
    <w:rsid w:val="00A53A3C"/>
    <w:rsid w:val="00A54357"/>
    <w:rsid w:val="00A62EE2"/>
    <w:rsid w:val="00A655FE"/>
    <w:rsid w:val="00A67827"/>
    <w:rsid w:val="00A73F2B"/>
    <w:rsid w:val="00A86E48"/>
    <w:rsid w:val="00A9368B"/>
    <w:rsid w:val="00AA06F8"/>
    <w:rsid w:val="00AA1DA8"/>
    <w:rsid w:val="00AA3674"/>
    <w:rsid w:val="00AA36C4"/>
    <w:rsid w:val="00AB11C1"/>
    <w:rsid w:val="00AB1BCD"/>
    <w:rsid w:val="00AB2842"/>
    <w:rsid w:val="00AB3B06"/>
    <w:rsid w:val="00AD0102"/>
    <w:rsid w:val="00AD0FDE"/>
    <w:rsid w:val="00AD3352"/>
    <w:rsid w:val="00AD54D9"/>
    <w:rsid w:val="00AE11D6"/>
    <w:rsid w:val="00AE1536"/>
    <w:rsid w:val="00AE2204"/>
    <w:rsid w:val="00AE34E7"/>
    <w:rsid w:val="00AE4DA4"/>
    <w:rsid w:val="00AE7B64"/>
    <w:rsid w:val="00B06726"/>
    <w:rsid w:val="00B10D64"/>
    <w:rsid w:val="00B124D8"/>
    <w:rsid w:val="00B125DF"/>
    <w:rsid w:val="00B13234"/>
    <w:rsid w:val="00B1382A"/>
    <w:rsid w:val="00B143DE"/>
    <w:rsid w:val="00B23D53"/>
    <w:rsid w:val="00B2539E"/>
    <w:rsid w:val="00B27B09"/>
    <w:rsid w:val="00B3066C"/>
    <w:rsid w:val="00B30AB7"/>
    <w:rsid w:val="00B30DB1"/>
    <w:rsid w:val="00B45066"/>
    <w:rsid w:val="00B47798"/>
    <w:rsid w:val="00B50474"/>
    <w:rsid w:val="00B50F5D"/>
    <w:rsid w:val="00B518DB"/>
    <w:rsid w:val="00B53C9C"/>
    <w:rsid w:val="00B56D5E"/>
    <w:rsid w:val="00B65411"/>
    <w:rsid w:val="00B65EBB"/>
    <w:rsid w:val="00B67699"/>
    <w:rsid w:val="00B67CB3"/>
    <w:rsid w:val="00B7258D"/>
    <w:rsid w:val="00B7515B"/>
    <w:rsid w:val="00B766EC"/>
    <w:rsid w:val="00B82AD6"/>
    <w:rsid w:val="00B83100"/>
    <w:rsid w:val="00B831EC"/>
    <w:rsid w:val="00B876A0"/>
    <w:rsid w:val="00B90457"/>
    <w:rsid w:val="00B95E63"/>
    <w:rsid w:val="00B970DD"/>
    <w:rsid w:val="00BA0A00"/>
    <w:rsid w:val="00BA4503"/>
    <w:rsid w:val="00BA6B90"/>
    <w:rsid w:val="00BA701A"/>
    <w:rsid w:val="00BA7362"/>
    <w:rsid w:val="00BB0A6B"/>
    <w:rsid w:val="00BB1268"/>
    <w:rsid w:val="00BB3FFC"/>
    <w:rsid w:val="00BB498F"/>
    <w:rsid w:val="00BC2BCE"/>
    <w:rsid w:val="00BC56A9"/>
    <w:rsid w:val="00BC6BE0"/>
    <w:rsid w:val="00BD5048"/>
    <w:rsid w:val="00BD693E"/>
    <w:rsid w:val="00BE7A6B"/>
    <w:rsid w:val="00BF020E"/>
    <w:rsid w:val="00BF2656"/>
    <w:rsid w:val="00BF6C33"/>
    <w:rsid w:val="00C01393"/>
    <w:rsid w:val="00C0209B"/>
    <w:rsid w:val="00C037B4"/>
    <w:rsid w:val="00C0458D"/>
    <w:rsid w:val="00C055FF"/>
    <w:rsid w:val="00C115E8"/>
    <w:rsid w:val="00C1235D"/>
    <w:rsid w:val="00C20940"/>
    <w:rsid w:val="00C20E0A"/>
    <w:rsid w:val="00C22733"/>
    <w:rsid w:val="00C24A44"/>
    <w:rsid w:val="00C25A18"/>
    <w:rsid w:val="00C26F78"/>
    <w:rsid w:val="00C3345A"/>
    <w:rsid w:val="00C33CE0"/>
    <w:rsid w:val="00C34A79"/>
    <w:rsid w:val="00C35430"/>
    <w:rsid w:val="00C36636"/>
    <w:rsid w:val="00C37043"/>
    <w:rsid w:val="00C4012A"/>
    <w:rsid w:val="00C43BDE"/>
    <w:rsid w:val="00C4670A"/>
    <w:rsid w:val="00C60F3A"/>
    <w:rsid w:val="00C6507D"/>
    <w:rsid w:val="00C71214"/>
    <w:rsid w:val="00C71D8B"/>
    <w:rsid w:val="00C73281"/>
    <w:rsid w:val="00C73F1E"/>
    <w:rsid w:val="00C81FCF"/>
    <w:rsid w:val="00C835DB"/>
    <w:rsid w:val="00C86A76"/>
    <w:rsid w:val="00C903B7"/>
    <w:rsid w:val="00C90F6C"/>
    <w:rsid w:val="00C92CE5"/>
    <w:rsid w:val="00C93054"/>
    <w:rsid w:val="00C94DED"/>
    <w:rsid w:val="00CA245E"/>
    <w:rsid w:val="00CB1637"/>
    <w:rsid w:val="00CB33E7"/>
    <w:rsid w:val="00CB600C"/>
    <w:rsid w:val="00CC6F2A"/>
    <w:rsid w:val="00CD1EF9"/>
    <w:rsid w:val="00CE51CE"/>
    <w:rsid w:val="00CE6AE3"/>
    <w:rsid w:val="00CE7C76"/>
    <w:rsid w:val="00CF5CF2"/>
    <w:rsid w:val="00CF769F"/>
    <w:rsid w:val="00D03131"/>
    <w:rsid w:val="00D07196"/>
    <w:rsid w:val="00D10074"/>
    <w:rsid w:val="00D10EB2"/>
    <w:rsid w:val="00D123AA"/>
    <w:rsid w:val="00D14BC1"/>
    <w:rsid w:val="00D158BF"/>
    <w:rsid w:val="00D231AA"/>
    <w:rsid w:val="00D25B36"/>
    <w:rsid w:val="00D35ACF"/>
    <w:rsid w:val="00D375E4"/>
    <w:rsid w:val="00D43FD4"/>
    <w:rsid w:val="00D441F8"/>
    <w:rsid w:val="00D50298"/>
    <w:rsid w:val="00D515DA"/>
    <w:rsid w:val="00D524F2"/>
    <w:rsid w:val="00D5524C"/>
    <w:rsid w:val="00D57B2A"/>
    <w:rsid w:val="00D60111"/>
    <w:rsid w:val="00D60228"/>
    <w:rsid w:val="00D60804"/>
    <w:rsid w:val="00D633AA"/>
    <w:rsid w:val="00D70CE3"/>
    <w:rsid w:val="00D7463D"/>
    <w:rsid w:val="00D76BD9"/>
    <w:rsid w:val="00D8058C"/>
    <w:rsid w:val="00D84D7A"/>
    <w:rsid w:val="00D84EF2"/>
    <w:rsid w:val="00D869DC"/>
    <w:rsid w:val="00D95012"/>
    <w:rsid w:val="00DA3672"/>
    <w:rsid w:val="00DA4E18"/>
    <w:rsid w:val="00DA601D"/>
    <w:rsid w:val="00DA6811"/>
    <w:rsid w:val="00DB5069"/>
    <w:rsid w:val="00DB5A4F"/>
    <w:rsid w:val="00DB5D2F"/>
    <w:rsid w:val="00DB7395"/>
    <w:rsid w:val="00DC02F3"/>
    <w:rsid w:val="00DC21A0"/>
    <w:rsid w:val="00DD23BE"/>
    <w:rsid w:val="00DD6832"/>
    <w:rsid w:val="00DD7FE2"/>
    <w:rsid w:val="00DE25EF"/>
    <w:rsid w:val="00DE3B23"/>
    <w:rsid w:val="00DE4C3E"/>
    <w:rsid w:val="00DE500B"/>
    <w:rsid w:val="00DE713D"/>
    <w:rsid w:val="00DF24D0"/>
    <w:rsid w:val="00DF2C75"/>
    <w:rsid w:val="00DF4C0C"/>
    <w:rsid w:val="00DF68D3"/>
    <w:rsid w:val="00DF6FAB"/>
    <w:rsid w:val="00DF7866"/>
    <w:rsid w:val="00E02276"/>
    <w:rsid w:val="00E048D3"/>
    <w:rsid w:val="00E14F81"/>
    <w:rsid w:val="00E15C95"/>
    <w:rsid w:val="00E16EA9"/>
    <w:rsid w:val="00E23DE2"/>
    <w:rsid w:val="00E27AD7"/>
    <w:rsid w:val="00E27E2E"/>
    <w:rsid w:val="00E30302"/>
    <w:rsid w:val="00E31F18"/>
    <w:rsid w:val="00E31F5F"/>
    <w:rsid w:val="00E33813"/>
    <w:rsid w:val="00E341ED"/>
    <w:rsid w:val="00E35591"/>
    <w:rsid w:val="00E35AD2"/>
    <w:rsid w:val="00E365F9"/>
    <w:rsid w:val="00E37776"/>
    <w:rsid w:val="00E40E05"/>
    <w:rsid w:val="00E429A5"/>
    <w:rsid w:val="00E4623D"/>
    <w:rsid w:val="00E57555"/>
    <w:rsid w:val="00E57D29"/>
    <w:rsid w:val="00E57F52"/>
    <w:rsid w:val="00E65ED5"/>
    <w:rsid w:val="00E6613D"/>
    <w:rsid w:val="00E702D7"/>
    <w:rsid w:val="00E73C2B"/>
    <w:rsid w:val="00E7463F"/>
    <w:rsid w:val="00E749E9"/>
    <w:rsid w:val="00E74CD0"/>
    <w:rsid w:val="00E75C72"/>
    <w:rsid w:val="00E7683F"/>
    <w:rsid w:val="00E7744D"/>
    <w:rsid w:val="00E77474"/>
    <w:rsid w:val="00E822B3"/>
    <w:rsid w:val="00E83913"/>
    <w:rsid w:val="00E848C9"/>
    <w:rsid w:val="00E856C9"/>
    <w:rsid w:val="00E87D70"/>
    <w:rsid w:val="00E91676"/>
    <w:rsid w:val="00E917F6"/>
    <w:rsid w:val="00E9275E"/>
    <w:rsid w:val="00E94166"/>
    <w:rsid w:val="00E958BF"/>
    <w:rsid w:val="00E96B8E"/>
    <w:rsid w:val="00EA064B"/>
    <w:rsid w:val="00EA089D"/>
    <w:rsid w:val="00EA16B3"/>
    <w:rsid w:val="00EA3128"/>
    <w:rsid w:val="00EA5707"/>
    <w:rsid w:val="00EA69B7"/>
    <w:rsid w:val="00EB03AC"/>
    <w:rsid w:val="00EB0D23"/>
    <w:rsid w:val="00EB2CE7"/>
    <w:rsid w:val="00EB547C"/>
    <w:rsid w:val="00EB6074"/>
    <w:rsid w:val="00EB72C5"/>
    <w:rsid w:val="00EC2E85"/>
    <w:rsid w:val="00EC5C26"/>
    <w:rsid w:val="00ED13F5"/>
    <w:rsid w:val="00ED6D69"/>
    <w:rsid w:val="00ED704C"/>
    <w:rsid w:val="00ED7A56"/>
    <w:rsid w:val="00EE0AC0"/>
    <w:rsid w:val="00EE12F9"/>
    <w:rsid w:val="00EE57A7"/>
    <w:rsid w:val="00EE582B"/>
    <w:rsid w:val="00EF0427"/>
    <w:rsid w:val="00EF05F5"/>
    <w:rsid w:val="00EF1333"/>
    <w:rsid w:val="00EF4E88"/>
    <w:rsid w:val="00EF64C7"/>
    <w:rsid w:val="00EF6E9E"/>
    <w:rsid w:val="00EF6F5C"/>
    <w:rsid w:val="00EF74D3"/>
    <w:rsid w:val="00EF7730"/>
    <w:rsid w:val="00F00623"/>
    <w:rsid w:val="00F032C6"/>
    <w:rsid w:val="00F03DBB"/>
    <w:rsid w:val="00F04281"/>
    <w:rsid w:val="00F0496D"/>
    <w:rsid w:val="00F12B84"/>
    <w:rsid w:val="00F13F0F"/>
    <w:rsid w:val="00F159D8"/>
    <w:rsid w:val="00F1600F"/>
    <w:rsid w:val="00F17C48"/>
    <w:rsid w:val="00F203D4"/>
    <w:rsid w:val="00F2047A"/>
    <w:rsid w:val="00F22840"/>
    <w:rsid w:val="00F268AF"/>
    <w:rsid w:val="00F32D6D"/>
    <w:rsid w:val="00F34EFB"/>
    <w:rsid w:val="00F35E7F"/>
    <w:rsid w:val="00F41500"/>
    <w:rsid w:val="00F43E02"/>
    <w:rsid w:val="00F46E25"/>
    <w:rsid w:val="00F5668A"/>
    <w:rsid w:val="00F6151E"/>
    <w:rsid w:val="00F6186E"/>
    <w:rsid w:val="00F66F50"/>
    <w:rsid w:val="00F76B63"/>
    <w:rsid w:val="00F84863"/>
    <w:rsid w:val="00F84D53"/>
    <w:rsid w:val="00F87B58"/>
    <w:rsid w:val="00F900FF"/>
    <w:rsid w:val="00F91854"/>
    <w:rsid w:val="00F94ED2"/>
    <w:rsid w:val="00F94F41"/>
    <w:rsid w:val="00FA0EE7"/>
    <w:rsid w:val="00FA50B5"/>
    <w:rsid w:val="00FA64DF"/>
    <w:rsid w:val="00FA7545"/>
    <w:rsid w:val="00FB37FB"/>
    <w:rsid w:val="00FB62DC"/>
    <w:rsid w:val="00FC17F3"/>
    <w:rsid w:val="00FC75AC"/>
    <w:rsid w:val="00FD35D8"/>
    <w:rsid w:val="00FD4B3D"/>
    <w:rsid w:val="00FD517E"/>
    <w:rsid w:val="00FE15C6"/>
    <w:rsid w:val="00FE264E"/>
    <w:rsid w:val="00FE26E7"/>
    <w:rsid w:val="00FE3314"/>
    <w:rsid w:val="00FE3BEB"/>
    <w:rsid w:val="00FE46AA"/>
    <w:rsid w:val="00FE757B"/>
    <w:rsid w:val="00FF2963"/>
    <w:rsid w:val="00FF30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DB30A3"/>
  <w14:defaultImageDpi w14:val="0"/>
  <w15:docId w15:val="{D3403BBA-CD55-41E8-8B0C-6DB0331A9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0"/>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F40"/>
    <w:pPr>
      <w:spacing w:after="80"/>
    </w:pPr>
    <w:rPr>
      <w:rFonts w:ascii="Cambria" w:hAnsi="Cambria" w:cs="Times New Roman"/>
      <w:lang w:val="en-GB" w:eastAsia="en-US"/>
    </w:rPr>
  </w:style>
  <w:style w:type="paragraph" w:styleId="Heading1">
    <w:name w:val="heading 1"/>
    <w:basedOn w:val="Normal"/>
    <w:next w:val="Normal"/>
    <w:link w:val="Heading1Char"/>
    <w:uiPriority w:val="99"/>
    <w:qFormat/>
    <w:rsid w:val="000F1926"/>
    <w:pPr>
      <w:numPr>
        <w:numId w:val="11"/>
      </w:numPr>
      <w:spacing w:before="240" w:after="180"/>
      <w:jc w:val="center"/>
      <w:outlineLvl w:val="0"/>
    </w:pPr>
    <w:rPr>
      <w:rFonts w:ascii="Calibri" w:hAnsi="Calibri"/>
      <w:b/>
      <w:smallCaps/>
      <w:spacing w:val="40"/>
      <w:sz w:val="32"/>
      <w:szCs w:val="20"/>
      <w:u w:val="double"/>
    </w:rPr>
  </w:style>
  <w:style w:type="paragraph" w:styleId="Heading2">
    <w:name w:val="heading 2"/>
    <w:basedOn w:val="Normal"/>
    <w:next w:val="Normal"/>
    <w:link w:val="Heading2Char"/>
    <w:uiPriority w:val="99"/>
    <w:qFormat/>
    <w:rsid w:val="000F1926"/>
    <w:pPr>
      <w:numPr>
        <w:ilvl w:val="1"/>
        <w:numId w:val="11"/>
      </w:numPr>
      <w:spacing w:before="160" w:after="100"/>
      <w:outlineLvl w:val="1"/>
    </w:pPr>
    <w:rPr>
      <w:b/>
      <w:spacing w:val="30"/>
      <w:sz w:val="26"/>
      <w:szCs w:val="20"/>
      <w:u w:val="single"/>
    </w:rPr>
  </w:style>
  <w:style w:type="paragraph" w:styleId="Heading3">
    <w:name w:val="heading 3"/>
    <w:basedOn w:val="Heading2"/>
    <w:next w:val="Normal"/>
    <w:link w:val="Heading3Char"/>
    <w:uiPriority w:val="99"/>
    <w:qFormat/>
    <w:rsid w:val="000F1926"/>
    <w:pPr>
      <w:keepNext/>
      <w:keepLines/>
      <w:numPr>
        <w:ilvl w:val="2"/>
      </w:numPr>
      <w:spacing w:before="80" w:after="60"/>
      <w:outlineLvl w:val="2"/>
    </w:pPr>
    <w:rPr>
      <w:rFonts w:ascii="Calibri" w:hAnsi="Calibri"/>
      <w:b w:val="0"/>
      <w:bCs/>
      <w:sz w:val="24"/>
      <w:u w:color="B4B4B4"/>
    </w:rPr>
  </w:style>
  <w:style w:type="paragraph" w:styleId="Heading4">
    <w:name w:val="heading 4"/>
    <w:basedOn w:val="Heading3"/>
    <w:next w:val="Normal"/>
    <w:link w:val="Heading4Char"/>
    <w:uiPriority w:val="99"/>
    <w:qFormat/>
    <w:rsid w:val="00087020"/>
    <w:pPr>
      <w:numPr>
        <w:ilvl w:val="3"/>
      </w:numPr>
      <w:spacing w:before="40" w:after="40"/>
      <w:outlineLvl w:val="3"/>
    </w:pPr>
    <w:rPr>
      <w:rFonts w:ascii="Cambria" w:hAnsi="Cambria"/>
      <w:color w:val="7F7F7F"/>
      <w:szCs w:val="22"/>
    </w:rPr>
  </w:style>
  <w:style w:type="paragraph" w:styleId="Heading5">
    <w:name w:val="heading 5"/>
    <w:basedOn w:val="Heading4"/>
    <w:next w:val="Normal"/>
    <w:link w:val="Heading5Char"/>
    <w:uiPriority w:val="99"/>
    <w:qFormat/>
    <w:rsid w:val="00087020"/>
    <w:pPr>
      <w:numPr>
        <w:ilvl w:val="4"/>
      </w:numPr>
      <w:outlineLvl w:val="4"/>
    </w:pPr>
    <w:rPr>
      <w:rFonts w:ascii="Calibri" w:hAnsi="Calibri"/>
      <w:color w:val="808080"/>
    </w:rPr>
  </w:style>
  <w:style w:type="paragraph" w:styleId="Heading6">
    <w:name w:val="heading 6"/>
    <w:basedOn w:val="Heading5"/>
    <w:next w:val="Normal"/>
    <w:link w:val="Heading6Char"/>
    <w:uiPriority w:val="99"/>
    <w:qFormat/>
    <w:rsid w:val="00087020"/>
    <w:pPr>
      <w:numPr>
        <w:ilvl w:val="5"/>
      </w:numPr>
      <w:spacing w:before="200"/>
      <w:outlineLvl w:val="5"/>
    </w:pPr>
    <w:rPr>
      <w:iCs/>
    </w:rPr>
  </w:style>
  <w:style w:type="paragraph" w:styleId="Heading7">
    <w:name w:val="heading 7"/>
    <w:basedOn w:val="Heading6"/>
    <w:next w:val="Normal"/>
    <w:link w:val="Heading7Char"/>
    <w:uiPriority w:val="99"/>
    <w:qFormat/>
    <w:rsid w:val="00087020"/>
    <w:pPr>
      <w:numPr>
        <w:ilvl w:val="6"/>
      </w:numPr>
      <w:spacing w:before="360" w:after="240"/>
      <w:outlineLvl w:val="6"/>
    </w:pPr>
    <w:rPr>
      <w:iCs w:val="0"/>
    </w:rPr>
  </w:style>
  <w:style w:type="paragraph" w:styleId="Heading8">
    <w:name w:val="heading 8"/>
    <w:basedOn w:val="Heading7"/>
    <w:next w:val="Normal"/>
    <w:link w:val="Heading8Char"/>
    <w:uiPriority w:val="99"/>
    <w:qFormat/>
    <w:rsid w:val="00087020"/>
    <w:pPr>
      <w:numPr>
        <w:ilvl w:val="7"/>
      </w:numPr>
      <w:outlineLvl w:val="7"/>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1926"/>
    <w:rPr>
      <w:rFonts w:ascii="Calibri" w:hAnsi="Calibri" w:cs="Times New Roman"/>
      <w:b/>
      <w:smallCaps/>
      <w:spacing w:val="40"/>
      <w:sz w:val="20"/>
      <w:szCs w:val="20"/>
      <w:u w:val="double"/>
      <w:lang w:val="en-GB" w:eastAsia="en-US"/>
    </w:rPr>
  </w:style>
  <w:style w:type="character" w:customStyle="1" w:styleId="Heading2Char">
    <w:name w:val="Heading 2 Char"/>
    <w:basedOn w:val="DefaultParagraphFont"/>
    <w:link w:val="Heading2"/>
    <w:uiPriority w:val="99"/>
    <w:locked/>
    <w:rsid w:val="000F1926"/>
    <w:rPr>
      <w:rFonts w:ascii="Cambria" w:hAnsi="Cambria" w:cs="Times New Roman"/>
      <w:b/>
      <w:spacing w:val="30"/>
      <w:sz w:val="20"/>
      <w:szCs w:val="20"/>
      <w:u w:val="single"/>
      <w:lang w:val="en-GB" w:eastAsia="en-US"/>
    </w:rPr>
  </w:style>
  <w:style w:type="character" w:customStyle="1" w:styleId="Heading3Char">
    <w:name w:val="Heading 3 Char"/>
    <w:basedOn w:val="DefaultParagraphFont"/>
    <w:link w:val="Heading3"/>
    <w:uiPriority w:val="99"/>
    <w:locked/>
    <w:rsid w:val="000F1926"/>
    <w:rPr>
      <w:rFonts w:ascii="Calibri" w:hAnsi="Calibri" w:cs="Times New Roman"/>
      <w:bCs/>
      <w:spacing w:val="30"/>
      <w:sz w:val="20"/>
      <w:szCs w:val="20"/>
      <w:u w:val="single" w:color="B4B4B4"/>
      <w:lang w:val="en-GB" w:eastAsia="en-US"/>
    </w:rPr>
  </w:style>
  <w:style w:type="character" w:customStyle="1" w:styleId="Heading4Char">
    <w:name w:val="Heading 4 Char"/>
    <w:basedOn w:val="DefaultParagraphFont"/>
    <w:link w:val="Heading4"/>
    <w:uiPriority w:val="99"/>
    <w:locked/>
    <w:rsid w:val="00087020"/>
    <w:rPr>
      <w:rFonts w:ascii="Cambria" w:hAnsi="Cambria" w:cs="Times New Roman"/>
      <w:bCs/>
      <w:color w:val="7F7F7F"/>
      <w:spacing w:val="30"/>
      <w:sz w:val="24"/>
      <w:u w:val="single" w:color="B4B4B4"/>
      <w:lang w:val="x-none" w:eastAsia="en-US"/>
    </w:rPr>
  </w:style>
  <w:style w:type="character" w:customStyle="1" w:styleId="Heading5Char">
    <w:name w:val="Heading 5 Char"/>
    <w:basedOn w:val="DefaultParagraphFont"/>
    <w:link w:val="Heading5"/>
    <w:uiPriority w:val="99"/>
    <w:locked/>
    <w:rsid w:val="00087020"/>
    <w:rPr>
      <w:rFonts w:ascii="Calibri" w:hAnsi="Calibri" w:cs="Times New Roman"/>
      <w:bCs/>
      <w:color w:val="808080"/>
      <w:spacing w:val="30"/>
      <w:sz w:val="24"/>
      <w:u w:val="single" w:color="B4B4B4"/>
      <w:lang w:val="x-none" w:eastAsia="en-US"/>
    </w:rPr>
  </w:style>
  <w:style w:type="character" w:customStyle="1" w:styleId="Heading6Char">
    <w:name w:val="Heading 6 Char"/>
    <w:basedOn w:val="DefaultParagraphFont"/>
    <w:link w:val="Heading6"/>
    <w:uiPriority w:val="99"/>
    <w:locked/>
    <w:rsid w:val="00087020"/>
    <w:rPr>
      <w:rFonts w:ascii="Calibri" w:hAnsi="Calibri" w:cs="Times New Roman"/>
      <w:bCs/>
      <w:iCs/>
      <w:color w:val="808080"/>
      <w:spacing w:val="30"/>
      <w:sz w:val="24"/>
      <w:u w:val="single" w:color="B4B4B4"/>
      <w:lang w:val="x-none" w:eastAsia="en-US"/>
    </w:rPr>
  </w:style>
  <w:style w:type="character" w:customStyle="1" w:styleId="Heading7Char">
    <w:name w:val="Heading 7 Char"/>
    <w:basedOn w:val="DefaultParagraphFont"/>
    <w:link w:val="Heading7"/>
    <w:uiPriority w:val="99"/>
    <w:locked/>
    <w:rsid w:val="00087020"/>
    <w:rPr>
      <w:rFonts w:ascii="Calibri" w:hAnsi="Calibri" w:cs="Times New Roman"/>
      <w:bCs/>
      <w:color w:val="808080"/>
      <w:spacing w:val="30"/>
      <w:sz w:val="24"/>
      <w:u w:val="single" w:color="B4B4B4"/>
      <w:lang w:val="x-none" w:eastAsia="en-US"/>
    </w:rPr>
  </w:style>
  <w:style w:type="character" w:customStyle="1" w:styleId="Heading8Char">
    <w:name w:val="Heading 8 Char"/>
    <w:basedOn w:val="DefaultParagraphFont"/>
    <w:link w:val="Heading8"/>
    <w:uiPriority w:val="99"/>
    <w:locked/>
    <w:rsid w:val="00087020"/>
    <w:rPr>
      <w:rFonts w:ascii="Calibri" w:hAnsi="Calibri" w:cs="Times New Roman"/>
      <w:bCs/>
      <w:color w:val="808080"/>
      <w:spacing w:val="30"/>
      <w:sz w:val="20"/>
      <w:u w:val="single" w:color="B4B4B4"/>
      <w:lang w:val="x-none" w:eastAsia="en-US"/>
    </w:rPr>
  </w:style>
  <w:style w:type="paragraph" w:styleId="Title">
    <w:name w:val="Title"/>
    <w:basedOn w:val="Normal"/>
    <w:next w:val="Normal"/>
    <w:link w:val="TitleChar"/>
    <w:uiPriority w:val="99"/>
    <w:qFormat/>
    <w:rsid w:val="00881E33"/>
    <w:pPr>
      <w:keepNext/>
      <w:keepLines/>
      <w:spacing w:after="60"/>
    </w:pPr>
    <w:rPr>
      <w:sz w:val="52"/>
      <w:szCs w:val="52"/>
    </w:rPr>
  </w:style>
  <w:style w:type="character" w:customStyle="1" w:styleId="TitleChar">
    <w:name w:val="Title Char"/>
    <w:basedOn w:val="DefaultParagraphFont"/>
    <w:link w:val="Title"/>
    <w:uiPriority w:val="99"/>
    <w:locked/>
    <w:rsid w:val="00835395"/>
    <w:rPr>
      <w:rFonts w:ascii="Cambria" w:hAnsi="Cambria" w:cs="Times New Roman"/>
      <w:b/>
      <w:bCs/>
      <w:kern w:val="28"/>
      <w:sz w:val="32"/>
      <w:szCs w:val="32"/>
      <w:lang w:val="en-GB" w:eastAsia="en-US"/>
    </w:rPr>
  </w:style>
  <w:style w:type="paragraph" w:styleId="Subtitle">
    <w:name w:val="Subtitle"/>
    <w:basedOn w:val="Normal"/>
    <w:next w:val="Normal"/>
    <w:link w:val="SubtitleChar"/>
    <w:uiPriority w:val="99"/>
    <w:qFormat/>
    <w:rsid w:val="00881E33"/>
    <w:pPr>
      <w:keepNext/>
      <w:keepLines/>
      <w:spacing w:after="320"/>
    </w:pPr>
    <w:rPr>
      <w:color w:val="666666"/>
      <w:sz w:val="30"/>
      <w:szCs w:val="30"/>
    </w:rPr>
  </w:style>
  <w:style w:type="character" w:customStyle="1" w:styleId="SubtitleChar">
    <w:name w:val="Subtitle Char"/>
    <w:basedOn w:val="DefaultParagraphFont"/>
    <w:link w:val="Subtitle"/>
    <w:uiPriority w:val="99"/>
    <w:locked/>
    <w:rsid w:val="00835395"/>
    <w:rPr>
      <w:rFonts w:ascii="Cambria" w:hAnsi="Cambria" w:cs="Times New Roman"/>
      <w:sz w:val="24"/>
      <w:szCs w:val="24"/>
      <w:lang w:val="en-GB" w:eastAsia="en-US"/>
    </w:rPr>
  </w:style>
  <w:style w:type="table" w:customStyle="1" w:styleId="Formatvorlage">
    <w:name w:val="Formatvorlage"/>
    <w:uiPriority w:val="99"/>
    <w:rsid w:val="00881E33"/>
    <w:pPr>
      <w:spacing w:after="0" w:line="240" w:lineRule="auto"/>
    </w:pPr>
    <w:rPr>
      <w:sz w:val="20"/>
      <w:szCs w:val="20"/>
      <w:lang w:val="de-DE" w:eastAsia="de-DE"/>
    </w:rPr>
    <w:tblPr>
      <w:tblStyleRowBandSize w:val="1"/>
      <w:tblStyleColBandSize w:val="1"/>
      <w:tblInd w:w="0" w:type="dxa"/>
      <w:tblCellMar>
        <w:top w:w="100" w:type="dxa"/>
        <w:left w:w="100" w:type="dxa"/>
        <w:bottom w:w="100" w:type="dxa"/>
        <w:right w:w="100" w:type="dxa"/>
      </w:tblCellMar>
    </w:tblPr>
  </w:style>
  <w:style w:type="table" w:customStyle="1" w:styleId="Formatvorlage7">
    <w:name w:val="Formatvorlage7"/>
    <w:uiPriority w:val="99"/>
    <w:rsid w:val="00881E33"/>
    <w:pPr>
      <w:spacing w:after="0" w:line="240" w:lineRule="auto"/>
    </w:pPr>
    <w:rPr>
      <w:sz w:val="20"/>
      <w:szCs w:val="20"/>
      <w:lang w:val="de-DE" w:eastAsia="de-DE"/>
    </w:rPr>
    <w:tblPr>
      <w:tblStyleRowBandSize w:val="1"/>
      <w:tblStyleColBandSize w:val="1"/>
      <w:tblInd w:w="0" w:type="dxa"/>
      <w:tblCellMar>
        <w:top w:w="100" w:type="dxa"/>
        <w:left w:w="100" w:type="dxa"/>
        <w:bottom w:w="100" w:type="dxa"/>
        <w:right w:w="100" w:type="dxa"/>
      </w:tblCellMar>
    </w:tblPr>
  </w:style>
  <w:style w:type="table" w:customStyle="1" w:styleId="Formatvorlage6">
    <w:name w:val="Formatvorlage6"/>
    <w:uiPriority w:val="99"/>
    <w:rsid w:val="00881E33"/>
    <w:pPr>
      <w:spacing w:after="0" w:line="240" w:lineRule="auto"/>
    </w:pPr>
    <w:rPr>
      <w:sz w:val="20"/>
      <w:szCs w:val="20"/>
      <w:lang w:val="de-DE" w:eastAsia="de-DE"/>
    </w:rPr>
    <w:tblPr>
      <w:tblStyleRowBandSize w:val="1"/>
      <w:tblStyleColBandSize w:val="1"/>
      <w:tblInd w:w="0" w:type="dxa"/>
      <w:tblCellMar>
        <w:top w:w="100" w:type="dxa"/>
        <w:left w:w="100" w:type="dxa"/>
        <w:bottom w:w="100" w:type="dxa"/>
        <w:right w:w="100" w:type="dxa"/>
      </w:tblCellMar>
    </w:tblPr>
  </w:style>
  <w:style w:type="table" w:customStyle="1" w:styleId="Formatvorlage5">
    <w:name w:val="Formatvorlage5"/>
    <w:uiPriority w:val="99"/>
    <w:rsid w:val="00881E33"/>
    <w:pPr>
      <w:spacing w:after="0" w:line="240" w:lineRule="auto"/>
    </w:pPr>
    <w:rPr>
      <w:sz w:val="20"/>
      <w:szCs w:val="20"/>
      <w:lang w:val="de-DE" w:eastAsia="de-DE"/>
    </w:rPr>
    <w:tblPr>
      <w:tblStyleRowBandSize w:val="1"/>
      <w:tblStyleColBandSize w:val="1"/>
      <w:tblInd w:w="0" w:type="dxa"/>
      <w:tblCellMar>
        <w:top w:w="100" w:type="dxa"/>
        <w:left w:w="100" w:type="dxa"/>
        <w:bottom w:w="100" w:type="dxa"/>
        <w:right w:w="100" w:type="dxa"/>
      </w:tblCellMar>
    </w:tblPr>
  </w:style>
  <w:style w:type="table" w:customStyle="1" w:styleId="Formatvorlage4">
    <w:name w:val="Formatvorlage4"/>
    <w:uiPriority w:val="99"/>
    <w:rsid w:val="00881E33"/>
    <w:pPr>
      <w:spacing w:after="0" w:line="240" w:lineRule="auto"/>
    </w:pPr>
    <w:rPr>
      <w:sz w:val="20"/>
      <w:szCs w:val="20"/>
      <w:lang w:val="de-DE" w:eastAsia="de-DE"/>
    </w:rPr>
    <w:tblPr>
      <w:tblStyleRowBandSize w:val="1"/>
      <w:tblStyleColBandSize w:val="1"/>
      <w:tblInd w:w="0" w:type="dxa"/>
      <w:tblCellMar>
        <w:top w:w="100" w:type="dxa"/>
        <w:left w:w="100" w:type="dxa"/>
        <w:bottom w:w="100" w:type="dxa"/>
        <w:right w:w="100" w:type="dxa"/>
      </w:tblCellMar>
    </w:tblPr>
  </w:style>
  <w:style w:type="table" w:customStyle="1" w:styleId="Formatvorlage3">
    <w:name w:val="Formatvorlage3"/>
    <w:uiPriority w:val="99"/>
    <w:rsid w:val="00881E33"/>
    <w:pPr>
      <w:spacing w:after="0" w:line="240" w:lineRule="auto"/>
    </w:pPr>
    <w:rPr>
      <w:sz w:val="20"/>
      <w:szCs w:val="20"/>
      <w:lang w:val="de-DE" w:eastAsia="de-DE"/>
    </w:rPr>
    <w:tblPr>
      <w:tblStyleRowBandSize w:val="1"/>
      <w:tblStyleColBandSize w:val="1"/>
      <w:tblInd w:w="0" w:type="dxa"/>
      <w:tblCellMar>
        <w:top w:w="100" w:type="dxa"/>
        <w:left w:w="100" w:type="dxa"/>
        <w:bottom w:w="100" w:type="dxa"/>
        <w:right w:w="100" w:type="dxa"/>
      </w:tblCellMar>
    </w:tblPr>
  </w:style>
  <w:style w:type="table" w:customStyle="1" w:styleId="Formatvorlage2">
    <w:name w:val="Formatvorlage2"/>
    <w:uiPriority w:val="99"/>
    <w:rsid w:val="00881E33"/>
    <w:pPr>
      <w:spacing w:after="0" w:line="240" w:lineRule="auto"/>
    </w:pPr>
    <w:rPr>
      <w:sz w:val="20"/>
      <w:szCs w:val="20"/>
      <w:lang w:val="de-DE" w:eastAsia="de-DE"/>
    </w:rPr>
    <w:tblPr>
      <w:tblStyleRowBandSize w:val="1"/>
      <w:tblStyleColBandSize w:val="1"/>
      <w:tblInd w:w="0" w:type="dxa"/>
      <w:tblCellMar>
        <w:top w:w="100" w:type="dxa"/>
        <w:left w:w="100" w:type="dxa"/>
        <w:bottom w:w="100" w:type="dxa"/>
        <w:right w:w="100" w:type="dxa"/>
      </w:tblCellMar>
    </w:tblPr>
  </w:style>
  <w:style w:type="table" w:customStyle="1" w:styleId="Formatvorlage1">
    <w:name w:val="Formatvorlage1"/>
    <w:uiPriority w:val="99"/>
    <w:rsid w:val="00881E33"/>
    <w:pPr>
      <w:spacing w:after="0" w:line="240" w:lineRule="auto"/>
    </w:pPr>
    <w:rPr>
      <w:sz w:val="20"/>
      <w:szCs w:val="20"/>
      <w:lang w:val="de-DE" w:eastAsia="de-DE"/>
    </w:rPr>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rsid w:val="00607DA0"/>
    <w:pPr>
      <w:spacing w:line="240" w:lineRule="auto"/>
    </w:pPr>
    <w:rPr>
      <w:sz w:val="20"/>
      <w:szCs w:val="20"/>
    </w:rPr>
  </w:style>
  <w:style w:type="character" w:customStyle="1" w:styleId="CommentTextChar">
    <w:name w:val="Comment Text Char"/>
    <w:basedOn w:val="DefaultParagraphFont"/>
    <w:link w:val="CommentText"/>
    <w:uiPriority w:val="99"/>
    <w:locked/>
    <w:rsid w:val="00607DA0"/>
    <w:rPr>
      <w:rFonts w:ascii="Cambria" w:hAnsi="Cambria" w:cs="Times New Roman"/>
      <w:sz w:val="20"/>
      <w:szCs w:val="20"/>
      <w:lang w:val="en-GB" w:eastAsia="en-US"/>
    </w:rPr>
  </w:style>
  <w:style w:type="character" w:styleId="CommentReference">
    <w:name w:val="annotation reference"/>
    <w:basedOn w:val="DefaultParagraphFont"/>
    <w:uiPriority w:val="99"/>
    <w:semiHidden/>
    <w:rsid w:val="00881E33"/>
    <w:rPr>
      <w:rFonts w:cs="Times New Roman"/>
      <w:sz w:val="16"/>
      <w:szCs w:val="16"/>
    </w:rPr>
  </w:style>
  <w:style w:type="paragraph" w:styleId="Bibliography">
    <w:name w:val="Bibliography"/>
    <w:basedOn w:val="Normal"/>
    <w:next w:val="Normal"/>
    <w:link w:val="BibliographyChar"/>
    <w:uiPriority w:val="99"/>
    <w:rsid w:val="003A1A19"/>
    <w:pPr>
      <w:spacing w:after="0" w:line="480" w:lineRule="auto"/>
      <w:ind w:left="720" w:hanging="720"/>
    </w:pPr>
  </w:style>
  <w:style w:type="paragraph" w:styleId="Revision">
    <w:name w:val="Revision"/>
    <w:hidden/>
    <w:uiPriority w:val="99"/>
    <w:semiHidden/>
    <w:rsid w:val="006B13FF"/>
    <w:pPr>
      <w:spacing w:after="0" w:line="240" w:lineRule="auto"/>
    </w:pPr>
    <w:rPr>
      <w:rFonts w:ascii="Cambria" w:hAnsi="Cambria" w:cs="Times New Roman"/>
      <w:color w:val="A6A6A6"/>
      <w:lang w:val="en-GB" w:eastAsia="en-US"/>
    </w:rPr>
  </w:style>
  <w:style w:type="paragraph" w:styleId="BalloonText">
    <w:name w:val="Balloon Text"/>
    <w:basedOn w:val="Normal"/>
    <w:link w:val="BalloonTextChar"/>
    <w:uiPriority w:val="99"/>
    <w:semiHidden/>
    <w:rsid w:val="006B13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B13FF"/>
    <w:rPr>
      <w:rFonts w:ascii="Segoe UI" w:hAnsi="Segoe UI" w:cs="Segoe UI"/>
      <w:color w:val="A6A6A6"/>
      <w:sz w:val="18"/>
      <w:szCs w:val="18"/>
      <w:lang w:val="x-none" w:eastAsia="en-US"/>
    </w:rPr>
  </w:style>
  <w:style w:type="paragraph" w:styleId="ListParagraph">
    <w:name w:val="List Paragraph"/>
    <w:basedOn w:val="Normal"/>
    <w:uiPriority w:val="99"/>
    <w:qFormat/>
    <w:rsid w:val="006B13FF"/>
    <w:pPr>
      <w:ind w:left="720"/>
      <w:contextualSpacing/>
    </w:pPr>
  </w:style>
  <w:style w:type="paragraph" w:styleId="CommentSubject">
    <w:name w:val="annotation subject"/>
    <w:basedOn w:val="CommentText"/>
    <w:next w:val="CommentText"/>
    <w:link w:val="CommentSubjectChar"/>
    <w:uiPriority w:val="99"/>
    <w:semiHidden/>
    <w:rsid w:val="00060572"/>
    <w:rPr>
      <w:b/>
      <w:bCs/>
    </w:rPr>
  </w:style>
  <w:style w:type="character" w:customStyle="1" w:styleId="CommentSubjectChar">
    <w:name w:val="Comment Subject Char"/>
    <w:basedOn w:val="CommentTextChar"/>
    <w:link w:val="CommentSubject"/>
    <w:uiPriority w:val="99"/>
    <w:semiHidden/>
    <w:locked/>
    <w:rsid w:val="00060572"/>
    <w:rPr>
      <w:rFonts w:ascii="Cambria" w:hAnsi="Cambria" w:cs="Times New Roman"/>
      <w:b/>
      <w:bCs/>
      <w:color w:val="A6A6A6"/>
      <w:sz w:val="20"/>
      <w:szCs w:val="20"/>
      <w:lang w:val="en-GB" w:eastAsia="en-US"/>
    </w:rPr>
  </w:style>
  <w:style w:type="paragraph" w:styleId="BodyText">
    <w:name w:val="Body Text"/>
    <w:basedOn w:val="Normal"/>
    <w:link w:val="BodyTextChar"/>
    <w:uiPriority w:val="99"/>
    <w:rsid w:val="003F5AE2"/>
    <w:pPr>
      <w:spacing w:before="180" w:after="180" w:line="240" w:lineRule="auto"/>
    </w:pPr>
    <w:rPr>
      <w:sz w:val="24"/>
      <w:szCs w:val="24"/>
      <w:lang w:val="en-US"/>
    </w:rPr>
  </w:style>
  <w:style w:type="character" w:customStyle="1" w:styleId="BodyTextChar">
    <w:name w:val="Body Text Char"/>
    <w:basedOn w:val="DefaultParagraphFont"/>
    <w:link w:val="BodyText"/>
    <w:uiPriority w:val="99"/>
    <w:locked/>
    <w:rsid w:val="003F5AE2"/>
    <w:rPr>
      <w:rFonts w:ascii="Cambria" w:hAnsi="Cambria" w:cs="Times New Roman"/>
      <w:color w:val="A6A6A6"/>
      <w:sz w:val="24"/>
      <w:szCs w:val="24"/>
      <w:lang w:val="en-US" w:eastAsia="en-US"/>
    </w:rPr>
  </w:style>
  <w:style w:type="paragraph" w:customStyle="1" w:styleId="FirstParagraph">
    <w:name w:val="First Paragraph"/>
    <w:basedOn w:val="BodyText"/>
    <w:next w:val="BodyText"/>
    <w:qFormat/>
    <w:rsid w:val="003F5AE2"/>
  </w:style>
  <w:style w:type="paragraph" w:styleId="FootnoteText">
    <w:name w:val="footnote text"/>
    <w:basedOn w:val="Normal"/>
    <w:link w:val="FootnoteTextChar"/>
    <w:uiPriority w:val="99"/>
    <w:rsid w:val="002520E2"/>
    <w:pPr>
      <w:spacing w:after="200" w:line="240" w:lineRule="auto"/>
    </w:pPr>
    <w:rPr>
      <w:sz w:val="20"/>
      <w:szCs w:val="24"/>
      <w:lang w:val="en-US"/>
    </w:rPr>
  </w:style>
  <w:style w:type="character" w:customStyle="1" w:styleId="FootnoteTextChar">
    <w:name w:val="Footnote Text Char"/>
    <w:basedOn w:val="DefaultParagraphFont"/>
    <w:link w:val="FootnoteText"/>
    <w:uiPriority w:val="99"/>
    <w:locked/>
    <w:rsid w:val="002520E2"/>
    <w:rPr>
      <w:rFonts w:ascii="Cambria" w:hAnsi="Cambria" w:cs="Times New Roman"/>
      <w:sz w:val="20"/>
      <w:szCs w:val="24"/>
      <w:lang w:val="en-US" w:eastAsia="en-US"/>
    </w:rPr>
  </w:style>
  <w:style w:type="character" w:styleId="FootnoteReference">
    <w:name w:val="footnote reference"/>
    <w:basedOn w:val="DefaultParagraphFont"/>
    <w:uiPriority w:val="99"/>
    <w:rsid w:val="003F5AE2"/>
    <w:rPr>
      <w:rFonts w:cs="Times New Roman"/>
      <w:vertAlign w:val="superscript"/>
    </w:rPr>
  </w:style>
  <w:style w:type="character" w:styleId="Hyperlink">
    <w:name w:val="Hyperlink"/>
    <w:basedOn w:val="DefaultParagraphFont"/>
    <w:uiPriority w:val="99"/>
    <w:rsid w:val="009B6352"/>
    <w:rPr>
      <w:rFonts w:cs="Times New Roman"/>
      <w:b/>
      <w:bCs/>
      <w:color w:val="4F81BD"/>
      <w:sz w:val="18"/>
      <w:szCs w:val="18"/>
      <w:lang w:val="en-GB" w:eastAsia="x-none"/>
    </w:rPr>
  </w:style>
  <w:style w:type="paragraph" w:styleId="Caption">
    <w:name w:val="caption"/>
    <w:basedOn w:val="Normal"/>
    <w:next w:val="Normal"/>
    <w:uiPriority w:val="99"/>
    <w:qFormat/>
    <w:rsid w:val="00B518DB"/>
    <w:pPr>
      <w:spacing w:after="200" w:line="240" w:lineRule="auto"/>
    </w:pPr>
    <w:rPr>
      <w:rFonts w:ascii="Arial" w:hAnsi="Arial"/>
      <w:iCs/>
      <w:color w:val="8EAADB"/>
      <w:sz w:val="18"/>
      <w:szCs w:val="18"/>
    </w:rPr>
  </w:style>
  <w:style w:type="character" w:customStyle="1" w:styleId="CVtext">
    <w:name w:val="CV text"/>
    <w:uiPriority w:val="99"/>
    <w:rsid w:val="00D375E4"/>
    <w:rPr>
      <w:rFonts w:ascii="TheSans 4-SemiLight" w:hAnsi="TheSans 4-SemiLight"/>
      <w:sz w:val="20"/>
    </w:rPr>
  </w:style>
  <w:style w:type="character" w:customStyle="1" w:styleId="BibliographyChar">
    <w:name w:val="Bibliography Char"/>
    <w:basedOn w:val="DefaultParagraphFont"/>
    <w:link w:val="Bibliography"/>
    <w:uiPriority w:val="99"/>
    <w:locked/>
    <w:rsid w:val="008042ED"/>
    <w:rPr>
      <w:rFonts w:ascii="Cambria" w:hAnsi="Cambria" w:cs="Times New Roman"/>
      <w:color w:val="A6A6A6"/>
      <w:lang w:val="en-GB" w:eastAsia="en-US"/>
    </w:rPr>
  </w:style>
  <w:style w:type="character" w:customStyle="1" w:styleId="PlainTextChar4">
    <w:name w:val="Plain Text Char4"/>
    <w:basedOn w:val="DefaultParagraphFont"/>
    <w:uiPriority w:val="99"/>
    <w:semiHidden/>
    <w:rsid w:val="00C037B4"/>
    <w:rPr>
      <w:rFonts w:ascii="Courier New" w:hAnsi="Courier New" w:cs="Courier New"/>
      <w:color w:val="A6A6A6"/>
      <w:sz w:val="20"/>
      <w:szCs w:val="20"/>
      <w:lang w:val="en-GB" w:eastAsia="en-US"/>
    </w:rPr>
  </w:style>
  <w:style w:type="paragraph" w:styleId="PlainText">
    <w:name w:val="Plain Text"/>
    <w:basedOn w:val="Normal"/>
    <w:link w:val="PlainTextChar1"/>
    <w:uiPriority w:val="99"/>
    <w:semiHidden/>
    <w:locked/>
    <w:rsid w:val="006453C7"/>
    <w:pPr>
      <w:spacing w:after="0" w:line="240" w:lineRule="auto"/>
    </w:pPr>
    <w:rPr>
      <w:rFonts w:ascii="Times New Roman" w:hAnsi="Times New Roman"/>
      <w:noProof/>
      <w:sz w:val="24"/>
      <w:szCs w:val="24"/>
      <w:lang w:val="de-AT" w:eastAsia="de-AT"/>
    </w:rPr>
  </w:style>
  <w:style w:type="character" w:customStyle="1" w:styleId="PlainTextChar">
    <w:name w:val="Plain Text Char"/>
    <w:basedOn w:val="DefaultParagraphFont"/>
    <w:uiPriority w:val="99"/>
    <w:semiHidden/>
    <w:rPr>
      <w:rFonts w:ascii="Courier New" w:hAnsi="Courier New" w:cs="Courier New"/>
      <w:sz w:val="20"/>
      <w:szCs w:val="20"/>
      <w:lang w:val="en-GB" w:eastAsia="en-US"/>
    </w:rPr>
  </w:style>
  <w:style w:type="character" w:customStyle="1" w:styleId="PlainTextChar1">
    <w:name w:val="Plain Text Char1"/>
    <w:basedOn w:val="DefaultParagraphFont"/>
    <w:link w:val="PlainText"/>
    <w:uiPriority w:val="99"/>
    <w:semiHidden/>
    <w:locked/>
    <w:rsid w:val="00C037B4"/>
    <w:rPr>
      <w:rFonts w:ascii="Courier New" w:hAnsi="Courier New" w:cs="Courier New"/>
      <w:color w:val="A6A6A6"/>
      <w:sz w:val="20"/>
      <w:szCs w:val="20"/>
      <w:lang w:val="en-GB" w:eastAsia="en-US"/>
    </w:rPr>
  </w:style>
  <w:style w:type="character" w:customStyle="1" w:styleId="PlainTextChar3">
    <w:name w:val="Plain Text Char3"/>
    <w:basedOn w:val="DefaultParagraphFont"/>
    <w:uiPriority w:val="99"/>
    <w:semiHidden/>
    <w:rsid w:val="00C037B4"/>
    <w:rPr>
      <w:rFonts w:ascii="Courier New" w:hAnsi="Courier New" w:cs="Courier New"/>
      <w:color w:val="A6A6A6"/>
      <w:sz w:val="20"/>
      <w:szCs w:val="20"/>
      <w:lang w:val="en-GB" w:eastAsia="en-US"/>
    </w:rPr>
  </w:style>
  <w:style w:type="character" w:customStyle="1" w:styleId="PlainTextChar2">
    <w:name w:val="Plain Text Char2"/>
    <w:basedOn w:val="DefaultParagraphFont"/>
    <w:uiPriority w:val="99"/>
    <w:semiHidden/>
    <w:rsid w:val="00C037B4"/>
    <w:rPr>
      <w:rFonts w:ascii="Courier New" w:hAnsi="Courier New" w:cs="Courier New"/>
      <w:sz w:val="20"/>
      <w:szCs w:val="20"/>
      <w:lang w:val="en-GB" w:eastAsia="en-US"/>
    </w:rPr>
  </w:style>
  <w:style w:type="character" w:styleId="UnresolvedMention">
    <w:name w:val="Unresolved Mention"/>
    <w:basedOn w:val="DefaultParagraphFont"/>
    <w:uiPriority w:val="99"/>
    <w:semiHidden/>
    <w:rsid w:val="00192122"/>
    <w:rPr>
      <w:rFonts w:cs="Times New Roman"/>
      <w:color w:val="605E5C"/>
      <w:shd w:val="clear" w:color="auto" w:fill="E1DFDD"/>
    </w:rPr>
  </w:style>
  <w:style w:type="paragraph" w:customStyle="1" w:styleId="Compact">
    <w:name w:val="Compact"/>
    <w:basedOn w:val="BodyText"/>
    <w:rsid w:val="005E001F"/>
    <w:pPr>
      <w:spacing w:before="36" w:after="36"/>
    </w:pPr>
    <w:rPr>
      <w:rFonts w:asciiTheme="minorHAnsi" w:eastAsiaTheme="minorHAnsi" w:hAnsiTheme="minorHAnsi" w:cstheme="minorBidi"/>
    </w:rPr>
  </w:style>
  <w:style w:type="table" w:customStyle="1" w:styleId="Table">
    <w:name w:val="Table"/>
    <w:semiHidden/>
    <w:unhideWhenUsed/>
    <w:qFormat/>
    <w:rsid w:val="005E001F"/>
    <w:pPr>
      <w:spacing w:after="200" w:line="240" w:lineRule="auto"/>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PlaceholderText">
    <w:name w:val="Placeholder Text"/>
    <w:basedOn w:val="DefaultParagraphFont"/>
    <w:uiPriority w:val="99"/>
    <w:semiHidden/>
    <w:rsid w:val="002947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4258">
      <w:bodyDiv w:val="1"/>
      <w:marLeft w:val="0"/>
      <w:marRight w:val="0"/>
      <w:marTop w:val="0"/>
      <w:marBottom w:val="0"/>
      <w:divBdr>
        <w:top w:val="none" w:sz="0" w:space="0" w:color="auto"/>
        <w:left w:val="none" w:sz="0" w:space="0" w:color="auto"/>
        <w:bottom w:val="none" w:sz="0" w:space="0" w:color="auto"/>
        <w:right w:val="none" w:sz="0" w:space="0" w:color="auto"/>
      </w:divBdr>
    </w:div>
    <w:div w:id="289170717">
      <w:bodyDiv w:val="1"/>
      <w:marLeft w:val="0"/>
      <w:marRight w:val="0"/>
      <w:marTop w:val="0"/>
      <w:marBottom w:val="0"/>
      <w:divBdr>
        <w:top w:val="none" w:sz="0" w:space="0" w:color="auto"/>
        <w:left w:val="none" w:sz="0" w:space="0" w:color="auto"/>
        <w:bottom w:val="none" w:sz="0" w:space="0" w:color="auto"/>
        <w:right w:val="none" w:sz="0" w:space="0" w:color="auto"/>
      </w:divBdr>
    </w:div>
    <w:div w:id="398285167">
      <w:bodyDiv w:val="1"/>
      <w:marLeft w:val="0"/>
      <w:marRight w:val="0"/>
      <w:marTop w:val="0"/>
      <w:marBottom w:val="0"/>
      <w:divBdr>
        <w:top w:val="none" w:sz="0" w:space="0" w:color="auto"/>
        <w:left w:val="none" w:sz="0" w:space="0" w:color="auto"/>
        <w:bottom w:val="none" w:sz="0" w:space="0" w:color="auto"/>
        <w:right w:val="none" w:sz="0" w:space="0" w:color="auto"/>
      </w:divBdr>
    </w:div>
    <w:div w:id="448283306">
      <w:bodyDiv w:val="1"/>
      <w:marLeft w:val="0"/>
      <w:marRight w:val="0"/>
      <w:marTop w:val="0"/>
      <w:marBottom w:val="0"/>
      <w:divBdr>
        <w:top w:val="none" w:sz="0" w:space="0" w:color="auto"/>
        <w:left w:val="none" w:sz="0" w:space="0" w:color="auto"/>
        <w:bottom w:val="none" w:sz="0" w:space="0" w:color="auto"/>
        <w:right w:val="none" w:sz="0" w:space="0" w:color="auto"/>
      </w:divBdr>
    </w:div>
    <w:div w:id="177486455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ihr.ac.uk/" TargetMode="External"/><Relationship Id="rId18" Type="http://schemas.openxmlformats.org/officeDocument/2006/relationships/hyperlink" Target="https://www.drks.de/drks_web/" TargetMode="External"/><Relationship Id="rId26"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image" Target="media/image1.emf"/><Relationship Id="rId7" Type="http://schemas.openxmlformats.org/officeDocument/2006/relationships/comments" Target="comments.xml"/><Relationship Id="rId12" Type="http://schemas.openxmlformats.org/officeDocument/2006/relationships/hyperlink" Target="https://www.isrctn.com/" TargetMode="External"/><Relationship Id="rId17" Type="http://schemas.openxmlformats.org/officeDocument/2006/relationships/hyperlink" Target="http://www.trialregister.nl"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rialregister.nl" TargetMode="External"/><Relationship Id="rId20" Type="http://schemas.openxmlformats.org/officeDocument/2006/relationships/hyperlink" Target="http://www.opengrey.eu/" TargetMode="External"/><Relationship Id="rId29" Type="http://schemas.openxmlformats.org/officeDocument/2006/relationships/hyperlink" Target="http://www.nihr.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rctn.com/" TargetMode="External"/><Relationship Id="rId24" Type="http://schemas.openxmlformats.org/officeDocument/2006/relationships/image" Target="media/image4.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clinicaltrials.gov" TargetMode="External"/><Relationship Id="rId23" Type="http://schemas.openxmlformats.org/officeDocument/2006/relationships/image" Target="media/image3.png"/><Relationship Id="rId28" Type="http://schemas.openxmlformats.org/officeDocument/2006/relationships/hyperlink" Target="https://www.drks.de/drks_web/" TargetMode="External"/><Relationship Id="rId10" Type="http://schemas.microsoft.com/office/2018/08/relationships/commentsExtensible" Target="commentsExtensible.xml"/><Relationship Id="rId19" Type="http://schemas.openxmlformats.org/officeDocument/2006/relationships/hyperlink" Target="https://www.drks.de/drks_web/"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nihr.ac.uk/" TargetMode="External"/><Relationship Id="rId22" Type="http://schemas.openxmlformats.org/officeDocument/2006/relationships/image" Target="media/image2.png"/><Relationship Id="rId27" Type="http://schemas.openxmlformats.org/officeDocument/2006/relationships/hyperlink" Target="https://www.drks.de/drks_web/" TargetMode="External"/><Relationship Id="rId30" Type="http://schemas.openxmlformats.org/officeDocument/2006/relationships/hyperlink" Target="http://www.nihr.ac.uk/" TargetMode="Externa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24527</Words>
  <Characters>139805</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Melodic Intonation Therapy:</vt:lpstr>
    </vt:vector>
  </TitlesOfParts>
  <Company>Medizinische Universitaet Wien</Company>
  <LinksUpToDate>false</LinksUpToDate>
  <CharactersWithSpaces>164004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Melodic Intonation Therapy:</dc:title>
  <dc:subject/>
  <dc:creator>Brenton Wiernik</dc:creator>
  <cp:keywords/>
  <dc:description/>
  <cp:lastModifiedBy>Brenton Wiernik</cp:lastModifiedBy>
  <cp:revision>4</cp:revision>
  <dcterms:created xsi:type="dcterms:W3CDTF">2021-07-27T16:19:00Z</dcterms:created>
  <dcterms:modified xsi:type="dcterms:W3CDTF">2021-07-27T16:20:00Z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{"style":{"styleID":"http://www.zotero.org/styles/apa","locale":"en-GB","hasBibliography":true,"bibliographyStyleHasBeenSet":true},"prefs":{"fieldType":"Field","automaticJournalAbbreviations":true,"delayCitationUpdates":false,"noteType":0},"sessionID":"nF</vt:lpwstr>
  </property>
  <property fmtid="{D5CDD505-2E9C-101B-9397-08002B2CF9AE}" pid="3" name="ZOTERO_PREF_2">
    <vt:lpwstr>N7BwCC","zoteroVersion":"5.0.97-beta.35+a5902fc46","dataVersion":4}</vt:lpwstr>
  </property>
</Properties>
</file>