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MIT</w:t>
      </w:r>
      <w:r>
        <w:t xml:space="preserve"> </w:t>
      </w:r>
      <w:r>
        <w:t xml:space="preserve">meta-analyses</w:t>
      </w:r>
    </w:p>
    <w:p>
      <w:pPr>
        <w:pStyle w:val="Author"/>
      </w:pPr>
      <w:r>
        <w:t xml:space="preserve">Brenton</w:t>
      </w:r>
      <w:r>
        <w:t xml:space="preserve"> </w:t>
      </w:r>
      <w:r>
        <w:t xml:space="preserve">M.</w:t>
      </w:r>
      <w:r>
        <w:t xml:space="preserve"> </w:t>
      </w:r>
      <w:r>
        <w:t xml:space="preserve">Wiernik</w:t>
      </w:r>
    </w:p>
    <w:p>
      <w:pPr>
        <w:pStyle w:val="Date"/>
      </w:pPr>
      <w:r>
        <w:t xml:space="preserve">05/22/2021</w:t>
      </w:r>
    </w:p>
    <w:bookmarkStart w:id="28" w:name="meta-analysis-methods"/>
    <w:p>
      <w:pPr>
        <w:pStyle w:val="Heading2"/>
      </w:pPr>
      <w:r>
        <w:t xml:space="preserve">Meta-analysis methods</w:t>
      </w:r>
    </w:p>
    <w:bookmarkStart w:id="21" w:name="outcome-metric"/>
    <w:p>
      <w:pPr>
        <w:pStyle w:val="Heading3"/>
      </w:pPr>
      <w:r>
        <w:t xml:space="preserve">Outcome metric</w:t>
      </w:r>
    </w:p>
    <w:p>
      <w:pPr>
        <w:pStyle w:val="FirstParagraph"/>
      </w:pPr>
      <w:r>
        <w:t xml:space="preserve">To maximize comparability of effects across studies, we used change scores from pretest to posttest as the outcome variable, expressed in</w:t>
      </w:r>
      <w:r>
        <w:t xml:space="preserve"> </w:t>
      </w:r>
      <w:r>
        <w:rPr>
          <w:iCs/>
          <w:i/>
        </w:rPr>
        <w:t xml:space="preserve">z</w:t>
      </w:r>
      <w:r>
        <w:t xml:space="preserve">-scores. For group-level randomized control trials, we standardized</w:t>
      </w:r>
      <w:r>
        <w:t xml:space="preserve"> </w:t>
      </w:r>
      <w:r>
        <w:rPr>
          <w:iCs/>
          <w:i/>
        </w:rPr>
        <w:t xml:space="preserve">z</w:t>
      </w:r>
      <w:r>
        <w:t xml:space="preserve">-scores using pooled pretest standard deviation across control and treatment groups. For individual-patient data case series, we computed</w:t>
      </w:r>
      <w:r>
        <w:t xml:space="preserve"> </w:t>
      </w:r>
      <w:r>
        <w:rPr>
          <w:iCs/>
          <w:i/>
        </w:rPr>
        <w:t xml:space="preserve">z</w:t>
      </w:r>
      <w:r>
        <w:t xml:space="preserve">-scores in one of three ways. For studies that reported results as</w:t>
      </w:r>
      <w:r>
        <w:t xml:space="preserve"> </w:t>
      </w:r>
      <w:r>
        <w:rPr>
          <w:iCs/>
          <w:i/>
        </w:rPr>
        <w:t xml:space="preserve">z</w:t>
      </w:r>
      <w:r>
        <w:t xml:space="preserve">-scores (e.g., based on test norms), we used the</w:t>
      </w:r>
      <w:r>
        <w:t xml:space="preserve"> </w:t>
      </w:r>
      <w:r>
        <w:rPr>
          <w:iCs/>
          <w:i/>
        </w:rPr>
        <w:t xml:space="preserve">z</w:t>
      </w:r>
      <w:r>
        <w:t xml:space="preserve">-scores directly. For studies that reported results as percentile scores (e.g., based on test norms), we converted these to</w:t>
      </w:r>
      <w:r>
        <w:t xml:space="preserve"> </w:t>
      </w:r>
      <w:r>
        <w:rPr>
          <w:iCs/>
          <w:i/>
        </w:rPr>
        <w:t xml:space="preserve">z</w:t>
      </w:r>
      <w:r>
        <w:t xml:space="preserve">-scores using the quantiles of the standard Normal distribution. For other studies, we estimated</w:t>
      </w:r>
      <w:r>
        <w:t xml:space="preserve"> </w:t>
      </w:r>
      <w:r>
        <w:rPr>
          <w:iCs/>
          <w:i/>
        </w:rPr>
        <w:t xml:space="preserve">z</w:t>
      </w:r>
      <w:r>
        <w:t xml:space="preserve">-scores using the following procedure. We first converted normalized raw scores to reflect the proportion of the maximum possible score [POMP;</w:t>
      </w:r>
      <w:r>
        <w:t xml:space="preserve"> </w:t>
      </w:r>
      <w:r>
        <w:t xml:space="preserve">Cohen et al. (1999)</w:t>
      </w:r>
      <w:r>
        <w:t xml:space="preserve">].</w:t>
      </w:r>
      <w:r>
        <w:rPr>
          <w:rStyle w:val="FootnoteReference"/>
        </w:rPr>
        <w:footnoteReference w:id="20"/>
      </w:r>
      <w:r>
        <w:t xml:space="preserve"> </w:t>
      </w:r>
      <w:r>
        <w:t xml:space="preserve">Next, we estimated a three-level random-intercept model for the pretest POMP scores, with individual test scores nested within patients nested within studies. From these models, we used the population intercept as the estimated mean POMP score and the patient-level random effects standard deviation as the estimated POMP score</w:t>
      </w:r>
      <w:r>
        <w:t xml:space="preserve"> </w:t>
      </w:r>
      <w:r>
        <w:rPr>
          <w:iCs/>
          <w:i/>
        </w:rPr>
        <w:t xml:space="preserve">SD</w:t>
      </w:r>
      <w:r>
        <w:t xml:space="preserve">. We used this mean and</w:t>
      </w:r>
      <w:r>
        <w:t xml:space="preserve"> </w:t>
      </w:r>
      <w:r>
        <w:rPr>
          <w:iCs/>
          <w:i/>
        </w:rPr>
        <w:t xml:space="preserve">SD</w:t>
      </w:r>
      <w:r>
        <w:t xml:space="preserve"> </w:t>
      </w:r>
      <w:r>
        <w:t xml:space="preserve">to standardize the pretest and posttest POMP scores.</w:t>
      </w:r>
    </w:p>
    <w:bookmarkEnd w:id="21"/>
    <w:bookmarkStart w:id="24" w:name="group-level-rct"/>
    <w:p>
      <w:pPr>
        <w:pStyle w:val="Heading3"/>
      </w:pPr>
      <w:r>
        <w:t xml:space="preserve">Group-level RCT</w:t>
      </w:r>
    </w:p>
    <w:p>
      <w:pPr>
        <w:pStyle w:val="FirstParagraph"/>
      </w:pPr>
      <w:r>
        <w:t xml:space="preserve">For group-level RCT studies, we computed group-level effect sizes as the pretest-posttest-control group Hedges’</w:t>
      </w:r>
      <w:r>
        <w:t xml:space="preserve"> </w:t>
      </w:r>
      <w:r>
        <w:rPr>
          <w:iCs/>
          <w:i/>
        </w:rPr>
        <w:t xml:space="preserve">g</w:t>
      </w:r>
      <w:r>
        <w:t xml:space="preserve">:</w:t>
      </w:r>
      <w:r>
        <w:t xml:space="preserve"> </w:t>
      </w:r>
      <m:oMath>
        <m:sSub>
          <m:e>
            <m:r>
              <m:t>g</m:t>
            </m:r>
          </m:e>
          <m:sub>
            <m:r>
              <m:t>p</m:t>
            </m:r>
            <m:r>
              <m:t>p</m:t>
            </m:r>
            <m:r>
              <m:t>c</m:t>
            </m:r>
          </m:sub>
        </m:sSub>
        <m:r>
          <m:rPr>
            <m:sty m:val="p"/>
          </m:rPr>
          <m:t>=</m:t>
        </m:r>
        <m:r>
          <m:rPr>
            <m:sty m:val="p"/>
          </m:rPr>
          <m:t>(</m:t>
        </m:r>
        <m:sSub>
          <m:e>
            <m:r>
              <m:t>z</m:t>
            </m:r>
          </m:e>
          <m:sub>
            <m:r>
              <m:t>t</m:t>
            </m:r>
            <m:r>
              <m:t>r</m:t>
            </m:r>
            <m:r>
              <m:t>e</m:t>
            </m:r>
            <m:r>
              <m:t>a</m:t>
            </m:r>
            <m:sSub>
              <m:e>
                <m:r>
                  <m:t>t</m:t>
                </m:r>
              </m:e>
              <m:sub>
                <m:r>
                  <m:t>p</m:t>
                </m:r>
                <m:r>
                  <m:t>o</m:t>
                </m:r>
                <m:r>
                  <m:t>s</m:t>
                </m:r>
                <m:r>
                  <m:t>t</m:t>
                </m:r>
              </m:sub>
            </m:sSub>
          </m:sub>
        </m:sSub>
        <m:r>
          <m:rPr>
            <m:sty m:val="p"/>
          </m:rPr>
          <m:t>−</m:t>
        </m:r>
        <m:sSub>
          <m:e>
            <m:r>
              <m:t>z</m:t>
            </m:r>
          </m:e>
          <m:sub>
            <m:r>
              <m:t>t</m:t>
            </m:r>
            <m:r>
              <m:t>r</m:t>
            </m:r>
            <m:r>
              <m:t>e</m:t>
            </m:r>
            <m:r>
              <m:t>a</m:t>
            </m:r>
            <m:sSub>
              <m:e>
                <m:r>
                  <m:t>t</m:t>
                </m:r>
              </m:e>
              <m:sub>
                <m:r>
                  <m:t>p</m:t>
                </m:r>
                <m:r>
                  <m:t>r</m:t>
                </m:r>
                <m:r>
                  <m:t>e</m:t>
                </m:r>
              </m:sub>
            </m:sSub>
          </m:sub>
        </m:sSub>
        <m:r>
          <m:rPr>
            <m:sty m:val="p"/>
          </m:rPr>
          <m:t>)</m:t>
        </m:r>
        <m:r>
          <m:rPr>
            <m:sty m:val="p"/>
          </m:rPr>
          <m:t>−</m:t>
        </m:r>
        <m:r>
          <m:rPr>
            <m:sty m:val="p"/>
          </m:rPr>
          <m:t>(</m:t>
        </m:r>
        <m:sSub>
          <m:e>
            <m:r>
              <m:t>z</m:t>
            </m:r>
          </m:e>
          <m:sub>
            <m:r>
              <m:t>c</m:t>
            </m:r>
            <m:r>
              <m:t>o</m:t>
            </m:r>
            <m:r>
              <m:t>n</m:t>
            </m:r>
            <m:r>
              <m:t>t</m:t>
            </m:r>
            <m:sSub>
              <m:e>
                <m:r>
                  <m:t>r</m:t>
                </m:r>
              </m:e>
              <m:sub>
                <m:r>
                  <m:t>p</m:t>
                </m:r>
                <m:r>
                  <m:t>o</m:t>
                </m:r>
                <m:r>
                  <m:t>s</m:t>
                </m:r>
                <m:r>
                  <m:t>t</m:t>
                </m:r>
              </m:sub>
            </m:sSub>
          </m:sub>
        </m:sSub>
        <m:r>
          <m:rPr>
            <m:sty m:val="p"/>
          </m:rPr>
          <m:t>−</m:t>
        </m:r>
        <m:sSub>
          <m:e>
            <m:r>
              <m:t>z</m:t>
            </m:r>
          </m:e>
          <m:sub>
            <m:r>
              <m:t>c</m:t>
            </m:r>
            <m:r>
              <m:t>o</m:t>
            </m:r>
            <m:r>
              <m:t>n</m:t>
            </m:r>
            <m:r>
              <m:t>t</m:t>
            </m:r>
            <m:sSub>
              <m:e>
                <m:r>
                  <m:t>r</m:t>
                </m:r>
              </m:e>
              <m:sub>
                <m:r>
                  <m:t>p</m:t>
                </m:r>
                <m:r>
                  <m:t>r</m:t>
                </m:r>
                <m:r>
                  <m:t>e</m:t>
                </m:r>
              </m:sub>
            </m:sSub>
          </m:sub>
        </m:sSub>
        <m:r>
          <m:rPr>
            <m:sty m:val="p"/>
          </m:rPr>
          <m:t>)</m:t>
        </m:r>
      </m:oMath>
      <w:r>
        <w:t xml:space="preserve"> </w:t>
      </w:r>
      <w:r>
        <w:t xml:space="preserve">(Morris, 2008)</w:t>
      </w:r>
      <w:r>
        <w:t xml:space="preserve">. We computed the variance for each</w:t>
      </w:r>
      <w:r>
        <w:t xml:space="preserve"> </w:t>
      </w:r>
      <w:r>
        <w:rPr>
          <w:iCs/>
          <w:i/>
        </w:rPr>
        <w:t xml:space="preserve">g</w:t>
      </w:r>
      <w:r>
        <w:t xml:space="preserve"> </w:t>
      </w:r>
      <w:r>
        <w:t xml:space="preserve">using the method of</w:t>
      </w:r>
      <w:r>
        <w:t xml:space="preserve"> </w:t>
      </w:r>
      <w:r>
        <w:t xml:space="preserve">Morris (2008)</w:t>
      </w:r>
      <w:r>
        <w:t xml:space="preserve">. We estimated multilevel mixed effects meta-regression models to account for effect size dependency, with random intercepts for each study. We first fit an overall meta-analysis combining all effect sizes. Second, we fit additional meta-regression models including potential moderator variables. For these meta-regression models, we included random slopes for the ability domain moderator nested within studies</w:t>
      </w:r>
      <w:r>
        <w:t xml:space="preserve"> </w:t>
      </w:r>
      <w:r>
        <w:t xml:space="preserve">(Konstantopoulos, 2011)</w:t>
      </w:r>
      <w:r>
        <w:t xml:space="preserve">. We used a homoskedastic compound symmetric structure for the random effects, estimating a single random effects variance and correlation for all abilities.</w:t>
      </w:r>
      <w:r>
        <w:rPr>
          <w:rStyle w:val="FootnoteReference"/>
        </w:rPr>
        <w:footnoteReference w:id="22"/>
      </w:r>
      <w:r>
        <w:t xml:space="preserve"> </w:t>
      </w:r>
      <w:r>
        <w:t xml:space="preserve">We estimated the amount of heterogeneity (i.e.,</w:t>
      </w:r>
      <w:r>
        <w:t xml:space="preserve"> </w:t>
      </w:r>
      <m:oMath>
        <m:r>
          <m:t>τ</m:t>
        </m:r>
      </m:oMath>
      <w:r>
        <w:t xml:space="preserve">) using the restricted maximum-likelihood estimator</w:t>
      </w:r>
      <w:r>
        <w:t xml:space="preserve"> </w:t>
      </w:r>
      <w:r>
        <w:t xml:space="preserve">(Viechtbauer, 2005)</w:t>
      </w:r>
      <w:r>
        <w:t xml:space="preserve">. We computed confidence intervals for meta-regression coefficients and mean treatment effects using the Knapp and Hartung</w:t>
      </w:r>
      <w:r>
        <w:t xml:space="preserve"> </w:t>
      </w:r>
      <w:r>
        <w:t xml:space="preserve">(Knapp &amp; Hartung, 2003)</w:t>
      </w:r>
      <w:r>
        <w:t xml:space="preserve"> </w:t>
      </w:r>
      <m:oMath>
        <m:r>
          <m:t>t</m:t>
        </m:r>
      </m:oMath>
      <w:r>
        <w:t xml:space="preserve">-distribution method and for the random effects components using profile likelihood. We estimated models using</w:t>
      </w:r>
      <w:r>
        <w:t xml:space="preserve"> </w:t>
      </w:r>
      <w:r>
        <w:rPr>
          <w:iCs/>
          <w:i/>
        </w:rPr>
        <w:t xml:space="preserve">R</w:t>
      </w:r>
      <w:r>
        <w:t xml:space="preserve"> </w:t>
      </w:r>
      <w:r>
        <w:t xml:space="preserve">(version 4.1.0)</w:t>
      </w:r>
      <w:r>
        <w:t xml:space="preserve"> </w:t>
      </w:r>
      <w:r>
        <w:t xml:space="preserve">(R Core Team, 2021)</w:t>
      </w:r>
      <w:r>
        <w:t xml:space="preserve"> </w:t>
      </w:r>
      <w:r>
        <w:t xml:space="preserve">and the</w:t>
      </w:r>
      <w:r>
        <w:t xml:space="preserve"> </w:t>
      </w:r>
      <w:r>
        <w:rPr>
          <w:iCs/>
          <w:i/>
        </w:rPr>
        <w:t xml:space="preserve">metafor</w:t>
      </w:r>
      <w:r>
        <w:t xml:space="preserve"> </w:t>
      </w:r>
      <w:r>
        <w:t xml:space="preserve">package (version 2.4-0)</w:t>
      </w:r>
      <w:r>
        <w:t xml:space="preserve"> </w:t>
      </w:r>
      <w:r>
        <w:t xml:space="preserve">(Viechtbauer, 2010)</w:t>
      </w:r>
      <w:r>
        <w:t xml:space="preserve">.</w:t>
      </w:r>
      <w:r>
        <w:rPr>
          <w:rStyle w:val="FootnoteReference"/>
        </w:rPr>
        <w:footnoteReference w:id="23"/>
      </w:r>
    </w:p>
    <w:bookmarkEnd w:id="24"/>
    <w:bookmarkStart w:id="26" w:name="individual-patient-data-ipd-case-series"/>
    <w:p>
      <w:pPr>
        <w:pStyle w:val="Heading3"/>
      </w:pPr>
      <w:r>
        <w:t xml:space="preserve">Individual patient data (IPD) case series</w:t>
      </w:r>
    </w:p>
    <w:p>
      <w:pPr>
        <w:pStyle w:val="FirstParagraph"/>
      </w:pPr>
      <w:r>
        <w:t xml:space="preserve">For the IPD case series studies, we computed individual-level scores as the difference between pretest and posttest</w:t>
      </w:r>
      <w:r>
        <w:t xml:space="preserve"> </w:t>
      </w:r>
      <w:r>
        <w:rPr>
          <w:iCs/>
          <w:i/>
        </w:rPr>
        <w:t xml:space="preserve">z</w:t>
      </w:r>
      <w:r>
        <w:t xml:space="preserve">-scores (the mean difference in this scores is the pretest-posttest Hedges’</w:t>
      </w:r>
      <w:r>
        <w:t xml:space="preserve"> </w:t>
      </w:r>
      <w:r>
        <w:rPr>
          <w:iCs/>
          <w:i/>
        </w:rPr>
        <w:t xml:space="preserve">g</w:t>
      </w:r>
      <w:r>
        <w:t xml:space="preserve">,</w:t>
      </w:r>
      <w:r>
        <w:t xml:space="preserve"> </w:t>
      </w:r>
      <m:oMath>
        <m:sSub>
          <m:e>
            <m:r>
              <m:t>g</m:t>
            </m:r>
          </m:e>
          <m:sub>
            <m:r>
              <m:t>p</m:t>
            </m:r>
            <m:r>
              <m:t>p</m:t>
            </m:r>
          </m:sub>
        </m:sSub>
      </m:oMath>
      <w:r>
        <w:t xml:space="preserve">). We then pooled data across studies using a three-level random-effects IPD meta-analysis, with individual scores nested within patients nested within studies</w:t>
      </w:r>
      <w:r>
        <w:t xml:space="preserve"> </w:t>
      </w:r>
      <w:r>
        <w:t xml:space="preserve">(Riley et al., 2010)</w:t>
      </w:r>
      <w:r>
        <w:t xml:space="preserve">. Similar to the group-level RCT meta-analyses, we first fit an overall model including all data points with no moderators, then fit additional models including potential moderator variables as predictors. For these models, we included random intercepts for patients and studies.</w:t>
      </w:r>
      <w:r>
        <w:rPr>
          <w:rStyle w:val="FootnoteReference"/>
        </w:rPr>
        <w:footnoteReference w:id="25"/>
      </w:r>
      <w:r>
        <w:t xml:space="preserve"> </w:t>
      </w:r>
      <w:r>
        <w:t xml:space="preserve">We estimated random effects components using REML and computed confidence intervals using profile likelihood. We estimated models using</w:t>
      </w:r>
      <w:r>
        <w:t xml:space="preserve"> </w:t>
      </w:r>
      <w:r>
        <w:rPr>
          <w:iCs/>
          <w:i/>
        </w:rPr>
        <w:t xml:space="preserve">R</w:t>
      </w:r>
      <w:r>
        <w:t xml:space="preserve"> </w:t>
      </w:r>
      <w:r>
        <w:t xml:space="preserve">(version 4.1.0)</w:t>
      </w:r>
      <w:r>
        <w:t xml:space="preserve"> </w:t>
      </w:r>
      <w:r>
        <w:t xml:space="preserve">(R Core Team, 2021)</w:t>
      </w:r>
      <w:r>
        <w:t xml:space="preserve"> </w:t>
      </w:r>
      <w:r>
        <w:t xml:space="preserve">and the</w:t>
      </w:r>
      <w:r>
        <w:t xml:space="preserve"> </w:t>
      </w:r>
      <w:r>
        <w:rPr>
          <w:iCs/>
          <w:i/>
        </w:rPr>
        <w:t xml:space="preserve">lme4</w:t>
      </w:r>
      <w:r>
        <w:t xml:space="preserve"> </w:t>
      </w:r>
      <w:r>
        <w:t xml:space="preserve">package (version 1.1-27)</w:t>
      </w:r>
      <w:r>
        <w:t xml:space="preserve"> </w:t>
      </w:r>
      <w:r>
        <w:t xml:space="preserve">(Bates et al., 2015)</w:t>
      </w:r>
      <w:r>
        <w:t xml:space="preserve">.</w:t>
      </w:r>
    </w:p>
    <w:bookmarkEnd w:id="26"/>
    <w:bookmarkStart w:id="27" w:name="moderator-analyses"/>
    <w:p>
      <w:pPr>
        <w:pStyle w:val="Heading3"/>
      </w:pPr>
      <w:r>
        <w:t xml:space="preserve">Moderator Analyses</w:t>
      </w:r>
    </w:p>
    <w:p>
      <w:pPr>
        <w:pStyle w:val="FirstParagraph"/>
      </w:pPr>
      <w:r>
        <w:t xml:space="preserve">For the RCT meta-analyses, we fit a meta-regression model including (1) ability domain, (2) whether the study used a validated test or ad hoc measure, and (3) the domain × validated interaction as moderators. Next, we fit another model adding (1) the mean months post-onset (MPO) across treatment and control groups and (2) the difference in mean MPO between treatment and control groups as additional moderators.</w:t>
      </w:r>
    </w:p>
    <w:p>
      <w:pPr>
        <w:pStyle w:val="BodyText"/>
      </w:pPr>
      <w:r>
        <w:t xml:space="preserve">For the IPD meta-analyses, we also fit a meta-regression model including (1) ability domain, (2) whether the study used a validated test or ad hoc measure, and (3) the domain × validated interaction as moderators. We then fit 3 additional models adding one moderator at a time to this baseline model. First, we fit a model adding individual-level MPO. Second, we fit a model adding whether a study used the original MIT protocol or a modified protocol. Third, we fit a model including whether the tested stimuli for the outcome were also included in the training set (</w:t>
      </w:r>
      <w:r>
        <w:t xml:space="preserve">“</w:t>
      </w:r>
      <w:r>
        <w:t xml:space="preserve">trained</w:t>
      </w:r>
      <w:r>
        <w:t xml:space="preserve">”</w:t>
      </w:r>
      <w:r>
        <w:t xml:space="preserve">) or not (</w:t>
      </w:r>
      <w:r>
        <w:t xml:space="preserve">“</w:t>
      </w:r>
      <w:r>
        <w:t xml:space="preserve">untrained</w:t>
      </w:r>
      <w:r>
        <w:t xml:space="preserve">”</w:t>
      </w:r>
      <w:r>
        <w:t xml:space="preserve">). For this third analysis, all studies used ad hoc measures of language comprehension, so the domain and validation moderators were omitted from the model.</w:t>
      </w:r>
    </w:p>
    <w:bookmarkEnd w:id="27"/>
    <w:bookmarkEnd w:id="28"/>
    <w:bookmarkStart w:id="35" w:name="results"/>
    <w:p>
      <w:pPr>
        <w:pStyle w:val="Heading2"/>
      </w:pPr>
      <w:r>
        <w:t xml:space="preserve">Results</w:t>
      </w:r>
    </w:p>
    <w:p>
      <w:pPr>
        <w:pStyle w:val="FirstParagraph"/>
      </w:pPr>
      <w:r>
        <w:t xml:space="preserve">Study-level standardized mean difference scores and meta-analytic mean differences by ability domain are shown in Figure 2. Full meta-regression results tables are available in the online supplemental materials.</w:t>
      </w:r>
    </w:p>
    <w:bookmarkStart w:id="30" w:name="figure-2.-results-of-meta-analyses"/>
    <w:p>
      <w:pPr>
        <w:pStyle w:val="Heading4"/>
      </w:pPr>
      <w:r>
        <w:t xml:space="preserve">Figure 2. Results of meta-analyses</w:t>
      </w:r>
    </w:p>
    <w:p>
      <w:pPr>
        <w:pStyle w:val="FirstParagraph"/>
      </w:pPr>
      <w:r>
        <w:drawing>
          <wp:inline>
            <wp:extent cx="5334000" cy="7619999"/>
            <wp:effectExtent b="0" l="0" r="0" t="0"/>
            <wp:docPr descr="" title="" id="1" name="Picture"/>
            <a:graphic>
              <a:graphicData uri="http://schemas.openxmlformats.org/drawingml/2006/picture">
                <pic:pic>
                  <pic:nvPicPr>
                    <pic:cNvPr descr="mit-meta-analysis_files/figure-docx/unnamed-chunk-2-1.png" id="0" name="Picture"/>
                    <pic:cNvPicPr>
                      <a:picLocks noChangeArrowheads="1" noChangeAspect="1"/>
                    </pic:cNvPicPr>
                  </pic:nvPicPr>
                  <pic:blipFill>
                    <a:blip r:embed="rId29"/>
                    <a:stretch>
                      <a:fillRect/>
                    </a:stretch>
                  </pic:blipFill>
                  <pic:spPr bwMode="auto">
                    <a:xfrm>
                      <a:off x="0" y="0"/>
                      <a:ext cx="5334000" cy="7619999"/>
                    </a:xfrm>
                    <a:prstGeom prst="rect">
                      <a:avLst/>
                    </a:prstGeom>
                    <a:noFill/>
                    <a:ln w="9525">
                      <a:noFill/>
                      <a:headEnd/>
                      <a:tailEnd/>
                    </a:ln>
                  </pic:spPr>
                </pic:pic>
              </a:graphicData>
            </a:graphic>
          </wp:inline>
        </w:drawing>
      </w:r>
    </w:p>
    <w:p>
      <w:pPr>
        <w:pStyle w:val="BodyText"/>
      </w:pPr>
      <w:r>
        <w:rPr>
          <w:iCs/>
          <w:i/>
        </w:rPr>
        <w:t xml:space="preserve">Note.</w:t>
      </w:r>
      <w:r>
        <w:t xml:space="preserve"> </w:t>
      </w:r>
      <w:r>
        <w:t xml:space="preserve">Points are study-level standardized mean pretest-posttest difference scores, either adjusted for a control group (</w:t>
      </w:r>
      <w:r>
        <w:rPr>
          <w:iCs/>
          <w:i/>
        </w:rPr>
        <w:t xml:space="preserve">g</w:t>
      </w:r>
      <w:r>
        <w:rPr>
          <w:iCs/>
          <w:i/>
        </w:rPr>
        <w:t xml:space="preserve">ppc</w:t>
      </w:r>
      <w:r>
        <w:t xml:space="preserve">) or not (</w:t>
      </w:r>
      <w:r>
        <w:rPr>
          <w:iCs/>
          <w:i/>
        </w:rPr>
        <w:t xml:space="preserve">g</w:t>
      </w:r>
      <w:r>
        <w:rPr>
          <w:iCs/>
          <w:i/>
        </w:rPr>
        <w:t xml:space="preserve">pp</w:t>
      </w:r>
      <w:r>
        <w:t xml:space="preserve">). Points with different colors drawn from different studies. Large points are mean</w:t>
      </w:r>
      <w:r>
        <w:t xml:space="preserve"> </w:t>
      </w:r>
      <w:r>
        <w:rPr>
          <w:iCs/>
          <w:i/>
        </w:rPr>
        <w:t xml:space="preserve">g</w:t>
      </w:r>
      <w:r>
        <w:rPr>
          <w:iCs/>
          <w:i/>
        </w:rPr>
        <w:t xml:space="preserve">pp(c)</w:t>
      </w:r>
      <w:r>
        <w:t xml:space="preserve"> </w:t>
      </w:r>
      <w:r>
        <w:t xml:space="preserve">for validated measures, with 66% (thick bar) and 95% confidence (thin bar) intervals and</w:t>
      </w:r>
      <w:r>
        <w:t xml:space="preserve"> </w:t>
      </w:r>
      <w:r>
        <w:rPr>
          <w:iCs/>
          <w:i/>
        </w:rPr>
        <w:t xml:space="preserve">t</w:t>
      </w:r>
      <w:r>
        <w:t xml:space="preserve">-distribution confidence densities. For case reports, one aphasia severity study with</w:t>
      </w:r>
      <w:r>
        <w:t xml:space="preserve"> </w:t>
      </w:r>
      <w:r>
        <w:rPr>
          <w:iCs/>
          <w:i/>
        </w:rPr>
        <w:t xml:space="preserve">g</w:t>
      </w:r>
      <w:r>
        <w:rPr>
          <w:iCs/>
          <w:i/>
        </w:rPr>
        <w:t xml:space="preserve">ppc</w:t>
      </w:r>
      <w:r>
        <w:t xml:space="preserve"> </w:t>
      </w:r>
      <w:r>
        <w:t xml:space="preserve">=</w:t>
      </w:r>
      <w:r>
        <w:t xml:space="preserve"> </w:t>
      </w:r>
      <w:r>
        <w:t xml:space="preserve">.88 not displayed.</w:t>
      </w:r>
    </w:p>
    <w:bookmarkEnd w:id="30"/>
    <w:bookmarkStart w:id="32" w:name="rct-studies"/>
    <w:p>
      <w:pPr>
        <w:pStyle w:val="Heading3"/>
      </w:pPr>
      <w:r>
        <w:t xml:space="preserve">RCT studies</w:t>
      </w:r>
    </w:p>
    <w:p>
      <w:pPr>
        <w:pStyle w:val="FirstParagraph"/>
      </w:pPr>
      <w:r>
        <w:t xml:space="preserve">Overall, RCT studies showed a small to moderate pretest-posttest effect of MIT on aphasia outcomes after accounting for the control group (</w:t>
      </w:r>
      <w:r>
        <w:rPr>
          <w:iCs/>
          <w:i/>
        </w:rPr>
        <w:t xml:space="preserve">g̅</w:t>
      </w:r>
      <w:r>
        <w:t xml:space="preserve"> </w:t>
      </w:r>
      <w:r>
        <w:t xml:space="preserve">= .31 [95% CI −.01, .63]). These results were primarily based on language expression (repetition) tasks. Other abilities were less commonly assessed. In moderator analyses, effects appeared to be much weaker for communication and language comprehension tasks than for language expression, but confidence intervals for these differences were wide (see Figure 2). Effects were estimated to be somewhat heterogeneous across studies (random effects standard deviation,</w:t>
      </w:r>
      <w:r>
        <w:t xml:space="preserve"> </w:t>
      </w:r>
      <w:r>
        <w:rPr>
          <w:iCs/>
          <w:i/>
        </w:rPr>
        <w:t xml:space="preserve">τ</w:t>
      </w:r>
      <w:r>
        <w:t xml:space="preserve"> </w:t>
      </w:r>
      <w:r>
        <w:t xml:space="preserve">= .33 [95% CI .15, 1.01]).</w:t>
      </w:r>
    </w:p>
    <w:bookmarkStart w:id="31" w:name="moderator-analyses-1"/>
    <w:p>
      <w:pPr>
        <w:pStyle w:val="Heading4"/>
      </w:pPr>
      <w:r>
        <w:t xml:space="preserve">Moderator analyses</w:t>
      </w:r>
    </w:p>
    <w:p>
      <w:pPr>
        <w:pStyle w:val="FirstParagraph"/>
      </w:pPr>
      <w:r>
        <w:t xml:space="preserve">Two studies included several ad hoc measures of language expression. For these measures, treatment effects for untrained items were similar to those for validated measures (∆</w:t>
      </w:r>
      <w:r>
        <w:rPr>
          <w:iCs/>
          <w:i/>
        </w:rPr>
        <w:t xml:space="preserve">g̅</w:t>
      </w:r>
      <w:r>
        <w:t xml:space="preserve"> </w:t>
      </w:r>
      <w:r>
        <w:t xml:space="preserve">= −.15 [95% CI −.46, .15]). As expected, estimated treatment effects were much larger when patients were tested using trained items (∆</w:t>
      </w:r>
      <w:r>
        <w:rPr>
          <w:iCs/>
          <w:i/>
        </w:rPr>
        <w:t xml:space="preserve">g̅</w:t>
      </w:r>
      <w:r>
        <w:t xml:space="preserve"> </w:t>
      </w:r>
      <w:r>
        <w:t xml:space="preserve">= .99 [95% CI .60, 1.39]; trained vs. untrained items contrast: 1.15 [95% CI .74, 1.56]). The similarity of effects for validated measures and untrained stimuli on unvalidated measures suggests that ad hoc measures may perform similarly in these contexts, so long as assessment stimuli are untraied</w:t>
      </w:r>
      <w:r>
        <w:t xml:space="preserve"> </w:t>
      </w:r>
      <w:r>
        <w:t xml:space="preserve">(but cf. Ivanova &amp; Hallowell, 2013 for a discussion of other benefits of measure validation)</w:t>
      </w:r>
      <w:r>
        <w:t xml:space="preserve">.</w:t>
      </w:r>
    </w:p>
    <w:p>
      <w:pPr>
        <w:pStyle w:val="BodyText"/>
      </w:pPr>
      <w:r>
        <w:t xml:space="preserve">When aphasia stage (months post-onset) terms were added to the RCT model, neither mean MPO across groups (∆</w:t>
      </w:r>
      <w:r>
        <w:rPr>
          <w:iCs/>
          <w:i/>
        </w:rPr>
        <w:t xml:space="preserve">g̅</w:t>
      </w:r>
      <w:r>
        <w:t xml:space="preserve"> </w:t>
      </w:r>
      <w:r>
        <w:t xml:space="preserve">per month = −.008 [95% CI −.024, .008]) nor difference in mean MPO between MIT and control groups (∆</w:t>
      </w:r>
      <w:r>
        <w:rPr>
          <w:iCs/>
          <w:i/>
        </w:rPr>
        <w:t xml:space="preserve">g̅</w:t>
      </w:r>
      <w:r>
        <w:t xml:space="preserve"> </w:t>
      </w:r>
      <w:r>
        <w:t xml:space="preserve">per month = −.004 [95% CI −.020, .011]) showed meaningful relationships with MIT treatment effects. Importantly, effect sizes for RCT analyses were drawn from only 3 studies, so these group-level MPO analyses have limited power to estimate impacts of MPO on MIT treatment effects.</w:t>
      </w:r>
    </w:p>
    <w:bookmarkEnd w:id="31"/>
    <w:bookmarkEnd w:id="32"/>
    <w:bookmarkStart w:id="34" w:name="case-report-studies"/>
    <w:p>
      <w:pPr>
        <w:pStyle w:val="Heading3"/>
      </w:pPr>
      <w:r>
        <w:t xml:space="preserve">Case report studies</w:t>
      </w:r>
    </w:p>
    <w:p>
      <w:pPr>
        <w:pStyle w:val="FirstParagraph"/>
      </w:pPr>
      <w:r>
        <w:t xml:space="preserve">Compared to RCT studies, case series studies without a control group estimated much larger effects of MIT (</w:t>
      </w:r>
      <w:r>
        <w:rPr>
          <w:iCs/>
          <w:i/>
        </w:rPr>
        <w:t xml:space="preserve">g̅</w:t>
      </w:r>
      <w:r>
        <w:t xml:space="preserve"> </w:t>
      </w:r>
      <w:r>
        <w:t xml:space="preserve">= 1.72 [95% CI 1.00, 2.42]). As with RCT studies, these results were primarily based on language expression (repetition) tasks. Overall aphasia severity and language comprehension appeared to show somewhat smaller effects, but confidence intervals on these differences were wide. Effects were estimated to be highly heterogeneous across studies (</w:t>
      </w:r>
      <w:r>
        <w:rPr>
          <w:iCs/>
          <w:i/>
        </w:rPr>
        <w:t xml:space="preserve">τ</w:t>
      </w:r>
      <w:r>
        <w:t xml:space="preserve"> </w:t>
      </w:r>
      <w:r>
        <w:t xml:space="preserve">[between-studies] = 1.41 [95% CI .89, 2.05]), to a degree that MIT was estimated to be harmful in some settings [e.g., 95% normal-theory prediction interval for language expression ranged −.88 to 4.90;</w:t>
      </w:r>
      <w:r>
        <w:t xml:space="preserve"> </w:t>
      </w:r>
      <w:r>
        <w:t xml:space="preserve">IntHout et al. (2016)</w:t>
      </w:r>
      <w:r>
        <w:t xml:space="preserve">].</w:t>
      </w:r>
    </w:p>
    <w:bookmarkStart w:id="33" w:name="moderator-analyses-2"/>
    <w:p>
      <w:pPr>
        <w:pStyle w:val="Heading4"/>
      </w:pPr>
      <w:r>
        <w:t xml:space="preserve">Moderator analyses</w:t>
      </w:r>
    </w:p>
    <w:p>
      <w:pPr>
        <w:pStyle w:val="FirstParagraph"/>
      </w:pPr>
      <w:r>
        <w:t xml:space="preserve">Four studies included several ad hoc measures of language expression. As with RCT studies, treatment effects for untrained items were similar to those for validated measures (∆</w:t>
      </w:r>
      <w:r>
        <w:rPr>
          <w:iCs/>
          <w:i/>
        </w:rPr>
        <w:t xml:space="preserve">g̅</w:t>
      </w:r>
      <w:r>
        <w:t xml:space="preserve"> </w:t>
      </w:r>
      <w:r>
        <w:t xml:space="preserve">= −.47 [95% CI −2.40, 1.46]), but apparent treatment effects were much larger for trained items (∆</w:t>
      </w:r>
      <w:r>
        <w:rPr>
          <w:iCs/>
          <w:i/>
        </w:rPr>
        <w:t xml:space="preserve">g̅</w:t>
      </w:r>
      <w:r>
        <w:t xml:space="preserve"> </w:t>
      </w:r>
      <w:r>
        <w:t xml:space="preserve">= 2.37 [95% CI .44, 4.31]; trained vs. untrained items contrast: 2.84 [95% CI 1.21, 4.48]).</w:t>
      </w:r>
    </w:p>
    <w:p>
      <w:pPr>
        <w:pStyle w:val="BodyText"/>
      </w:pPr>
      <w:r>
        <w:t xml:space="preserve">When aphasia stage (months post-onset) was added to the IPD model, MPO showed a moderate negative relationship with treatment effects (∆</w:t>
      </w:r>
      <w:r>
        <w:rPr>
          <w:iCs/>
          <w:i/>
        </w:rPr>
        <w:t xml:space="preserve">g̅</w:t>
      </w:r>
      <w:r>
        <w:t xml:space="preserve"> </w:t>
      </w:r>
      <w:r>
        <w:t xml:space="preserve">per month = −.02 [95% CI −.03, −.01]; estimated effect for 12 months, −.18 [95% CI −.30, −.07]; estimated effect for 24 months, −.37 [95% CI −.61, −.14]).</w:t>
      </w:r>
    </w:p>
    <w:p>
      <w:pPr>
        <w:pStyle w:val="BodyText"/>
      </w:pPr>
      <w:r>
        <w:t xml:space="preserve">Compared to studies that used the original MIT protocol, studies that used a modified protocol appeared to show larger treatment effects, though the confidence interval on this difference was very wide (∆</w:t>
      </w:r>
      <w:r>
        <w:rPr>
          <w:iCs/>
          <w:i/>
        </w:rPr>
        <w:t xml:space="preserve">g̅</w:t>
      </w:r>
      <w:r>
        <w:t xml:space="preserve"> </w:t>
      </w:r>
      <w:r>
        <w:t xml:space="preserve">= .56 [95% CI −.92, 2.03]).</w:t>
      </w:r>
    </w:p>
    <w:bookmarkEnd w:id="33"/>
    <w:bookmarkEnd w:id="34"/>
    <w:bookmarkEnd w:id="35"/>
    <w:bookmarkStart w:id="42" w:name="supplemental-tables"/>
    <w:p>
      <w:pPr>
        <w:pStyle w:val="Heading2"/>
      </w:pPr>
      <w:r>
        <w:t xml:space="preserve">Supplemental Tables</w:t>
      </w:r>
    </w:p>
    <w:bookmarkStart w:id="36" w:name="table-1.-overall-rct-meta-analyses"/>
    <w:p>
      <w:pPr>
        <w:pStyle w:val="Heading4"/>
      </w:pPr>
      <w:r>
        <w:t xml:space="preserve">Table 1. Overall RCT meta-analyses</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SE</w:t>
            </w:r>
          </w:p>
        </w:tc>
        <w:tc>
          <w:p>
            <w:pPr>
              <w:pStyle w:val="Compact"/>
              <w:jc w:val="right"/>
            </w:pPr>
            <w:r>
              <w:t xml:space="preserve">Statistic</w:t>
            </w:r>
          </w:p>
        </w:tc>
        <w:tc>
          <w:p>
            <w:pPr>
              <w:pStyle w:val="Compact"/>
              <w:jc w:val="right"/>
            </w:pPr>
            <w:r>
              <w:t xml:space="preserve">df</w:t>
            </w:r>
          </w:p>
        </w:tc>
        <w:tc>
          <w:p>
            <w:pPr>
              <w:pStyle w:val="Compact"/>
              <w:jc w:val="right"/>
            </w:pPr>
            <w:r>
              <w:t xml:space="preserve">p</w:t>
            </w:r>
          </w:p>
        </w:tc>
        <w:tc>
          <w:p>
            <w:pPr>
              <w:pStyle w:val="Compact"/>
              <w:jc w:val="right"/>
            </w:pPr>
            <w:r>
              <w:t xml:space="preserve">95% conf. int.</w:t>
            </w:r>
          </w:p>
        </w:tc>
      </w:tr>
      <w:tr>
        <w:tc>
          <w:p>
            <w:pPr>
              <w:pStyle w:val="Compact"/>
              <w:jc w:val="left"/>
            </w:pPr>
            <w:r>
              <w:t xml:space="preserve">overall</w:t>
            </w:r>
          </w:p>
        </w:tc>
        <w:tc>
          <w:p>
            <w:pPr>
              <w:pStyle w:val="Compact"/>
              <w:jc w:val="right"/>
            </w:pPr>
            <w:r>
              <w:t xml:space="preserve">0.31</w:t>
            </w:r>
          </w:p>
        </w:tc>
        <w:tc>
          <w:p>
            <w:pPr>
              <w:pStyle w:val="Compact"/>
              <w:jc w:val="right"/>
            </w:pPr>
            <w:r>
              <w:t xml:space="preserve">0.16</w:t>
            </w:r>
          </w:p>
        </w:tc>
        <w:tc>
          <w:p>
            <w:pPr>
              <w:pStyle w:val="Compact"/>
              <w:jc w:val="right"/>
            </w:pPr>
            <w:r>
              <w:t xml:space="preserve">2.00</w:t>
            </w:r>
          </w:p>
        </w:tc>
        <w:tc>
          <w:p>
            <w:pPr>
              <w:pStyle w:val="Compact"/>
              <w:jc w:val="right"/>
            </w:pPr>
            <w:r>
              <w:t xml:space="preserve">25.00</w:t>
            </w:r>
          </w:p>
        </w:tc>
        <w:tc>
          <w:p>
            <w:pPr>
              <w:pStyle w:val="Compact"/>
              <w:jc w:val="right"/>
            </w:pPr>
            <w:r>
              <w:t xml:space="preserve">0.057</w:t>
            </w:r>
          </w:p>
        </w:tc>
        <w:tc>
          <w:p>
            <w:pPr>
              <w:pStyle w:val="Compact"/>
              <w:jc w:val="right"/>
            </w:pPr>
            <w:r>
              <w:t xml:space="preserve">[-0.01, 0.63]</w:t>
            </w:r>
          </w:p>
        </w:tc>
      </w:tr>
      <w:tr>
        <w:tc>
          <w:p>
            <w:pPr>
              <w:pStyle w:val="Compact"/>
              <w:jc w:val="left"/>
            </w:pPr>
            <w:r>
              <w:t xml:space="preserve">tau</w:t>
            </w:r>
          </w:p>
        </w:tc>
        <w:tc>
          <w:p>
            <w:pPr>
              <w:pStyle w:val="Compact"/>
              <w:jc w:val="right"/>
            </w:pPr>
            <w:r>
              <w:t xml:space="preserve">0.25</w:t>
            </w:r>
          </w:p>
        </w:tc>
        <w:tc>
          <w:p/>
        </w:tc>
        <w:tc>
          <w:p>
            <w:pPr>
              <w:pStyle w:val="Compact"/>
              <w:jc w:val="right"/>
            </w:pPr>
            <w:r>
              <w:t xml:space="preserve">212.08</w:t>
            </w:r>
          </w:p>
        </w:tc>
        <w:tc>
          <w:p>
            <w:pPr>
              <w:pStyle w:val="Compact"/>
              <w:jc w:val="right"/>
            </w:pPr>
            <w:r>
              <w:t xml:space="preserve">25.00</w:t>
            </w:r>
          </w:p>
        </w:tc>
        <w:tc>
          <w:p>
            <w:pPr>
              <w:pStyle w:val="Compact"/>
              <w:jc w:val="right"/>
            </w:pPr>
            <w:r>
              <w:t xml:space="preserve">&lt; .001</w:t>
            </w:r>
          </w:p>
        </w:tc>
        <w:tc>
          <w:p>
            <w:pPr>
              <w:pStyle w:val="Compact"/>
              <w:jc w:val="right"/>
            </w:pPr>
            <w:r>
              <w:t xml:space="preserve">[ 0.10, 1.11]</w:t>
            </w:r>
          </w:p>
        </w:tc>
      </w:tr>
    </w:tbl>
    <w:p>
      <w:pPr>
        <w:pStyle w:val="BodyText"/>
      </w:pPr>
      <w:r>
        <w:rPr>
          <w:iCs/>
          <w:i/>
        </w:rPr>
        <w:t xml:space="preserve">Note.</w:t>
      </w:r>
      <w:r>
        <w:t xml:space="preserve"> </w:t>
      </w:r>
      <w:r>
        <w:rPr>
          <w:iCs/>
          <w:i/>
        </w:rPr>
        <w:t xml:space="preserve">g̅</w:t>
      </w:r>
      <w:r>
        <w:t xml:space="preserve"> </w:t>
      </w:r>
      <w:r>
        <w:t xml:space="preserve">= mean pretest-posttest difference (</w:t>
      </w:r>
      <w:r>
        <w:rPr>
          <w:iCs/>
          <w:i/>
        </w:rPr>
        <w:t xml:space="preserve">g</w:t>
      </w:r>
      <w:r>
        <w:rPr>
          <w:vertAlign w:val="subscript"/>
          <w:iCs/>
          <w:i/>
        </w:rPr>
        <w:t xml:space="preserve">ppc</w:t>
      </w:r>
      <w:r>
        <w:t xml:space="preserve">; accounting for control group);</w:t>
      </w:r>
      <w:r>
        <w:t xml:space="preserve"> </w:t>
      </w:r>
      <w:r>
        <w:t xml:space="preserve">τ = estimated random effects standard deviation across studies;</w:t>
      </w:r>
      <w:r>
        <w:t xml:space="preserve"> </w:t>
      </w:r>
      <w:r>
        <w:t xml:space="preserve">Statistic =</w:t>
      </w:r>
      <w:r>
        <w:t xml:space="preserve"> </w:t>
      </w:r>
      <w:r>
        <w:rPr>
          <w:iCs/>
          <w:i/>
        </w:rPr>
        <w:t xml:space="preserve">t</w:t>
      </w:r>
      <w:r>
        <w:t xml:space="preserve"> </w:t>
      </w:r>
      <w:r>
        <w:t xml:space="preserve">value for</w:t>
      </w:r>
      <w:r>
        <w:t xml:space="preserve"> </w:t>
      </w:r>
      <w:r>
        <w:rPr>
          <w:iCs/>
          <w:i/>
        </w:rPr>
        <w:t xml:space="preserve">g̅</w:t>
      </w:r>
      <w:r>
        <w:t xml:space="preserve"> </w:t>
      </w:r>
      <w:r>
        <w:t xml:space="preserve">and</w:t>
      </w:r>
      <w:r>
        <w:t xml:space="preserve"> </w:t>
      </w:r>
      <w:r>
        <w:rPr>
          <w:iCs/>
          <w:i/>
        </w:rPr>
        <w:t xml:space="preserve">Q</w:t>
      </w:r>
      <w:r>
        <w:rPr>
          <w:vertAlign w:val="subscript"/>
          <w:iCs/>
          <w:i/>
        </w:rPr>
        <w:t xml:space="preserve">E</w:t>
      </w:r>
      <w:r>
        <w:t xml:space="preserve"> </w:t>
      </w:r>
      <w:r>
        <w:t xml:space="preserve">value for τ;</w:t>
      </w:r>
      <w:r>
        <w:t xml:space="preserve"> </w:t>
      </w:r>
      <w:r>
        <w:t xml:space="preserve">confidence intervals computed using</w:t>
      </w:r>
      <w:r>
        <w:t xml:space="preserve"> </w:t>
      </w:r>
      <w:r>
        <w:rPr>
          <w:iCs/>
          <w:i/>
        </w:rPr>
        <w:t xml:space="preserve">t</w:t>
      </w:r>
      <w:r>
        <w:t xml:space="preserve"> </w:t>
      </w:r>
      <w:r>
        <w:t xml:space="preserve">distributions for</w:t>
      </w:r>
      <w:r>
        <w:t xml:space="preserve"> </w:t>
      </w:r>
      <w:r>
        <w:rPr>
          <w:iCs/>
          <w:i/>
        </w:rPr>
        <w:t xml:space="preserve">g̅</w:t>
      </w:r>
      <w:r>
        <w:t xml:space="preserve"> </w:t>
      </w:r>
      <w:r>
        <w:t xml:space="preserve">and profile likelihood for τ and ρ.</w:t>
      </w:r>
    </w:p>
    <w:bookmarkEnd w:id="36"/>
    <w:bookmarkStart w:id="37" w:name="X103e3e6584fa778a2fc11001fd2dc03ef5e2d6c"/>
    <w:p>
      <w:pPr>
        <w:pStyle w:val="Heading4"/>
      </w:pPr>
      <w:r>
        <w:t xml:space="preserve">Table 2. RCT meta-analyses of broad ability categories</w:t>
      </w:r>
    </w:p>
    <w:tbl>
      <w:tblPr>
        <w:tblStyle w:val="Table"/>
        <w:tblW w:type="pct" w:w="5000.0"/>
        <w:tblLook w:firstRow="1" w:lastRow="0" w:firstColumn="0" w:lastColumn="0" w:noHBand="0" w:noVBand="0" w:val="0020"/>
      </w:tblPr>
      <w:tblGrid>
        <w:gridCol w:w="3801"/>
        <w:gridCol w:w="712"/>
        <w:gridCol w:w="396"/>
        <w:gridCol w:w="792"/>
        <w:gridCol w:w="475"/>
        <w:gridCol w:w="554"/>
        <w:gridCol w:w="1188"/>
      </w:tblGrid>
      <w:tr>
        <w:tc>
          <w:p>
            <w:pPr>
              <w:pStyle w:val="Compact"/>
              <w:jc w:val="left"/>
            </w:pPr>
            <w:r>
              <w:t xml:space="preserve">Term</w:t>
            </w:r>
          </w:p>
        </w:tc>
        <w:tc>
          <w:p>
            <w:pPr>
              <w:pStyle w:val="Compact"/>
              <w:jc w:val="right"/>
            </w:pPr>
            <w:r>
              <w:t xml:space="preserve">Estimate</w:t>
            </w:r>
          </w:p>
        </w:tc>
        <w:tc>
          <w:p>
            <w:pPr>
              <w:pStyle w:val="Compact"/>
              <w:jc w:val="right"/>
            </w:pPr>
            <w:r>
              <w:t xml:space="preserve">SE</w:t>
            </w:r>
          </w:p>
        </w:tc>
        <w:tc>
          <w:p>
            <w:pPr>
              <w:pStyle w:val="Compact"/>
              <w:jc w:val="right"/>
            </w:pPr>
            <w:r>
              <w:t xml:space="preserve">Statistic</w:t>
            </w:r>
          </w:p>
        </w:tc>
        <w:tc>
          <w:p>
            <w:pPr>
              <w:pStyle w:val="Compact"/>
              <w:jc w:val="right"/>
            </w:pPr>
            <w:r>
              <w:t xml:space="preserve">df</w:t>
            </w:r>
          </w:p>
        </w:tc>
        <w:tc>
          <w:p>
            <w:pPr>
              <w:pStyle w:val="Compact"/>
              <w:jc w:val="right"/>
            </w:pPr>
            <w:r>
              <w:t xml:space="preserve">p</w:t>
            </w:r>
          </w:p>
        </w:tc>
        <w:tc>
          <w:p>
            <w:pPr>
              <w:pStyle w:val="Compact"/>
              <w:jc w:val="right"/>
            </w:pPr>
            <w:r>
              <w:t xml:space="preserve">95% conf. int.</w:t>
            </w:r>
          </w:p>
        </w:tc>
      </w:tr>
      <w:tr>
        <w:tc>
          <w:p>
            <w:pPr>
              <w:pStyle w:val="Compact"/>
              <w:jc w:val="left"/>
            </w:pPr>
            <w:r>
              <w:t xml:space="preserve">broaderNon-Communicative</w:t>
            </w:r>
            <w:r>
              <w:t xml:space="preserve">Language Expression</w:t>
            </w:r>
          </w:p>
        </w:tc>
        <w:tc>
          <w:p>
            <w:pPr>
              <w:pStyle w:val="Compact"/>
              <w:jc w:val="right"/>
            </w:pPr>
            <w:r>
              <w:t xml:space="preserve">0.35</w:t>
            </w:r>
          </w:p>
        </w:tc>
        <w:tc>
          <w:p>
            <w:pPr>
              <w:pStyle w:val="Compact"/>
              <w:jc w:val="right"/>
            </w:pPr>
            <w:r>
              <w:t xml:space="preserve">0.21</w:t>
            </w:r>
          </w:p>
        </w:tc>
        <w:tc>
          <w:p>
            <w:pPr>
              <w:pStyle w:val="Compact"/>
              <w:jc w:val="right"/>
            </w:pPr>
            <w:r>
              <w:t xml:space="preserve">1.68</w:t>
            </w:r>
          </w:p>
        </w:tc>
        <w:tc>
          <w:p>
            <w:pPr>
              <w:pStyle w:val="Compact"/>
              <w:jc w:val="right"/>
            </w:pPr>
            <w:r>
              <w:t xml:space="preserve">21.00</w:t>
            </w:r>
          </w:p>
        </w:tc>
        <w:tc>
          <w:p>
            <w:pPr>
              <w:pStyle w:val="Compact"/>
              <w:jc w:val="right"/>
            </w:pPr>
            <w:r>
              <w:t xml:space="preserve">0.108</w:t>
            </w:r>
          </w:p>
        </w:tc>
        <w:tc>
          <w:p>
            <w:pPr>
              <w:pStyle w:val="Compact"/>
              <w:jc w:val="right"/>
            </w:pPr>
            <w:r>
              <w:t xml:space="preserve">[-0.08, 0.78]</w:t>
            </w:r>
          </w:p>
        </w:tc>
      </w:tr>
      <w:tr>
        <w:tc>
          <w:p>
            <w:pPr>
              <w:pStyle w:val="Compact"/>
              <w:jc w:val="left"/>
            </w:pPr>
            <w:r>
              <w:t xml:space="preserve">broaderCommunication</w:t>
            </w:r>
          </w:p>
        </w:tc>
        <w:tc>
          <w:p>
            <w:pPr>
              <w:pStyle w:val="Compact"/>
              <w:jc w:val="right"/>
            </w:pPr>
            <w:r>
              <w:t xml:space="preserve">-0.04</w:t>
            </w:r>
          </w:p>
        </w:tc>
        <w:tc>
          <w:p>
            <w:pPr>
              <w:pStyle w:val="Compact"/>
              <w:jc w:val="right"/>
            </w:pPr>
            <w:r>
              <w:t xml:space="preserve">0.27</w:t>
            </w:r>
          </w:p>
        </w:tc>
        <w:tc>
          <w:p>
            <w:pPr>
              <w:pStyle w:val="Compact"/>
              <w:jc w:val="right"/>
            </w:pPr>
            <w:r>
              <w:t xml:space="preserve">-0.14</w:t>
            </w:r>
          </w:p>
        </w:tc>
        <w:tc>
          <w:p>
            <w:pPr>
              <w:pStyle w:val="Compact"/>
              <w:jc w:val="right"/>
            </w:pPr>
            <w:r>
              <w:t xml:space="preserve">21.00</w:t>
            </w:r>
          </w:p>
        </w:tc>
        <w:tc>
          <w:p>
            <w:pPr>
              <w:pStyle w:val="Compact"/>
              <w:jc w:val="right"/>
            </w:pPr>
            <w:r>
              <w:t xml:space="preserve">0.893</w:t>
            </w:r>
          </w:p>
        </w:tc>
        <w:tc>
          <w:p>
            <w:pPr>
              <w:pStyle w:val="Compact"/>
              <w:jc w:val="right"/>
            </w:pPr>
            <w:r>
              <w:t xml:space="preserve">[-0.59, 0.52]</w:t>
            </w:r>
          </w:p>
        </w:tc>
      </w:tr>
      <w:tr>
        <w:tc>
          <w:p>
            <w:pPr>
              <w:pStyle w:val="Compact"/>
              <w:jc w:val="left"/>
            </w:pPr>
            <w:r>
              <w:t xml:space="preserve">broaderLanguage</w:t>
            </w:r>
            <w:r>
              <w:t xml:space="preserve">Comprehension</w:t>
            </w:r>
          </w:p>
        </w:tc>
        <w:tc>
          <w:p>
            <w:pPr>
              <w:pStyle w:val="Compact"/>
              <w:jc w:val="right"/>
            </w:pPr>
            <w:r>
              <w:t xml:space="preserve">-0.12</w:t>
            </w:r>
          </w:p>
        </w:tc>
        <w:tc>
          <w:p>
            <w:pPr>
              <w:pStyle w:val="Compact"/>
              <w:jc w:val="right"/>
            </w:pPr>
            <w:r>
              <w:t xml:space="preserve">0.26</w:t>
            </w:r>
          </w:p>
        </w:tc>
        <w:tc>
          <w:p>
            <w:pPr>
              <w:pStyle w:val="Compact"/>
              <w:jc w:val="right"/>
            </w:pPr>
            <w:r>
              <w:t xml:space="preserve">-0.47</w:t>
            </w:r>
          </w:p>
        </w:tc>
        <w:tc>
          <w:p>
            <w:pPr>
              <w:pStyle w:val="Compact"/>
              <w:jc w:val="right"/>
            </w:pPr>
            <w:r>
              <w:t xml:space="preserve">21.00</w:t>
            </w:r>
          </w:p>
        </w:tc>
        <w:tc>
          <w:p>
            <w:pPr>
              <w:pStyle w:val="Compact"/>
              <w:jc w:val="right"/>
            </w:pPr>
            <w:r>
              <w:t xml:space="preserve">0.643</w:t>
            </w:r>
          </w:p>
        </w:tc>
        <w:tc>
          <w:p>
            <w:pPr>
              <w:pStyle w:val="Compact"/>
              <w:jc w:val="right"/>
            </w:pPr>
            <w:r>
              <w:t xml:space="preserve">[-0.67, 0.42]</w:t>
            </w:r>
          </w:p>
        </w:tc>
      </w:tr>
      <w:tr>
        <w:tc>
          <w:p>
            <w:pPr>
              <w:pStyle w:val="Compact"/>
              <w:jc w:val="left"/>
            </w:pPr>
            <w:r>
              <w:t xml:space="preserve">unvalidatedunvalidated__untrained</w:t>
            </w:r>
          </w:p>
        </w:tc>
        <w:tc>
          <w:p>
            <w:pPr>
              <w:pStyle w:val="Compact"/>
              <w:jc w:val="right"/>
            </w:pPr>
            <w:r>
              <w:t xml:space="preserve">-0.15</w:t>
            </w:r>
          </w:p>
        </w:tc>
        <w:tc>
          <w:p>
            <w:pPr>
              <w:pStyle w:val="Compact"/>
              <w:jc w:val="right"/>
            </w:pPr>
            <w:r>
              <w:t xml:space="preserve">0.15</w:t>
            </w:r>
          </w:p>
        </w:tc>
        <w:tc>
          <w:p>
            <w:pPr>
              <w:pStyle w:val="Compact"/>
              <w:jc w:val="right"/>
            </w:pPr>
            <w:r>
              <w:t xml:space="preserve">-1.06</w:t>
            </w:r>
          </w:p>
        </w:tc>
        <w:tc>
          <w:p>
            <w:pPr>
              <w:pStyle w:val="Compact"/>
              <w:jc w:val="right"/>
            </w:pPr>
            <w:r>
              <w:t xml:space="preserve">21.00</w:t>
            </w:r>
          </w:p>
        </w:tc>
        <w:tc>
          <w:p>
            <w:pPr>
              <w:pStyle w:val="Compact"/>
              <w:jc w:val="right"/>
            </w:pPr>
            <w:r>
              <w:t xml:space="preserve">0.300</w:t>
            </w:r>
          </w:p>
        </w:tc>
        <w:tc>
          <w:p>
            <w:pPr>
              <w:pStyle w:val="Compact"/>
              <w:jc w:val="right"/>
            </w:pPr>
            <w:r>
              <w:t xml:space="preserve">[-0.46, 0.15]</w:t>
            </w:r>
          </w:p>
        </w:tc>
      </w:tr>
      <w:tr>
        <w:tc>
          <w:p>
            <w:pPr>
              <w:pStyle w:val="Compact"/>
              <w:jc w:val="left"/>
            </w:pPr>
            <w:r>
              <w:t xml:space="preserve">unvalidatedunvalidated__trained</w:t>
            </w:r>
          </w:p>
        </w:tc>
        <w:tc>
          <w:p>
            <w:pPr>
              <w:pStyle w:val="Compact"/>
              <w:jc w:val="right"/>
            </w:pPr>
            <w:r>
              <w:t xml:space="preserve">0.99</w:t>
            </w:r>
          </w:p>
        </w:tc>
        <w:tc>
          <w:p>
            <w:pPr>
              <w:pStyle w:val="Compact"/>
              <w:jc w:val="right"/>
            </w:pPr>
            <w:r>
              <w:t xml:space="preserve">0.19</w:t>
            </w:r>
          </w:p>
        </w:tc>
        <w:tc>
          <w:p>
            <w:pPr>
              <w:pStyle w:val="Compact"/>
              <w:jc w:val="right"/>
            </w:pPr>
            <w:r>
              <w:t xml:space="preserve">5.24</w:t>
            </w:r>
          </w:p>
        </w:tc>
        <w:tc>
          <w:p>
            <w:pPr>
              <w:pStyle w:val="Compact"/>
              <w:jc w:val="right"/>
            </w:pPr>
            <w:r>
              <w:t xml:space="preserve">21.00</w:t>
            </w:r>
          </w:p>
        </w:tc>
        <w:tc>
          <w:p>
            <w:pPr>
              <w:pStyle w:val="Compact"/>
              <w:jc w:val="right"/>
            </w:pPr>
            <w:r>
              <w:t xml:space="preserve">&lt; .001</w:t>
            </w:r>
          </w:p>
        </w:tc>
        <w:tc>
          <w:p>
            <w:pPr>
              <w:pStyle w:val="Compact"/>
              <w:jc w:val="right"/>
            </w:pPr>
            <w:r>
              <w:t xml:space="preserve">[ 0.60, 1.39]</w:t>
            </w:r>
          </w:p>
        </w:tc>
      </w:tr>
      <w:tr>
        <w:tc>
          <w:p>
            <w:pPr>
              <w:pStyle w:val="Compact"/>
              <w:jc w:val="left"/>
            </w:pPr>
            <w:r>
              <w:t xml:space="preserve">tau</w:t>
            </w:r>
          </w:p>
        </w:tc>
        <w:tc>
          <w:p>
            <w:pPr>
              <w:pStyle w:val="Compact"/>
              <w:jc w:val="right"/>
            </w:pPr>
            <w:r>
              <w:t xml:space="preserve">0.33</w:t>
            </w:r>
          </w:p>
        </w:tc>
        <w:tc>
          <w:p/>
        </w:tc>
        <w:tc>
          <w:p>
            <w:pPr>
              <w:pStyle w:val="Compact"/>
              <w:jc w:val="right"/>
            </w:pPr>
            <w:r>
              <w:t xml:space="preserve">158.71</w:t>
            </w:r>
          </w:p>
        </w:tc>
        <w:tc>
          <w:p>
            <w:pPr>
              <w:pStyle w:val="Compact"/>
              <w:jc w:val="right"/>
            </w:pPr>
            <w:r>
              <w:t xml:space="preserve">21.00</w:t>
            </w:r>
          </w:p>
        </w:tc>
        <w:tc>
          <w:p>
            <w:pPr>
              <w:pStyle w:val="Compact"/>
              <w:jc w:val="right"/>
            </w:pPr>
            <w:r>
              <w:t xml:space="preserve">&lt; .001</w:t>
            </w:r>
          </w:p>
        </w:tc>
        <w:tc>
          <w:p>
            <w:pPr>
              <w:pStyle w:val="Compact"/>
              <w:jc w:val="right"/>
            </w:pPr>
            <w:r>
              <w:t xml:space="preserve">[ 0.15, 1.01]</w:t>
            </w:r>
          </w:p>
        </w:tc>
      </w:tr>
      <w:tr>
        <w:tc>
          <w:p>
            <w:pPr>
              <w:pStyle w:val="Compact"/>
              <w:jc w:val="left"/>
            </w:pPr>
            <w:r>
              <w:t xml:space="preserve">rho</w:t>
            </w:r>
          </w:p>
        </w:tc>
        <w:tc>
          <w:p>
            <w:pPr>
              <w:pStyle w:val="Compact"/>
              <w:jc w:val="right"/>
            </w:pPr>
            <w:r>
              <w:t xml:space="preserve">-0.05</w:t>
            </w:r>
          </w:p>
        </w:tc>
        <w:tc>
          <w:p/>
        </w:tc>
        <w:tc>
          <w:p/>
        </w:tc>
        <w:tc>
          <w:p>
            <w:pPr>
              <w:pStyle w:val="Compact"/>
              <w:jc w:val="right"/>
            </w:pPr>
            <w:r>
              <w:t xml:space="preserve">21.00</w:t>
            </w:r>
          </w:p>
        </w:tc>
        <w:tc>
          <w:p/>
        </w:tc>
        <w:tc>
          <w:p>
            <w:pPr>
              <w:pStyle w:val="Compact"/>
              <w:jc w:val="right"/>
            </w:pPr>
            <w:r>
              <w:t xml:space="preserve">[-0.52, 0.93]</w:t>
            </w:r>
          </w:p>
        </w:tc>
      </w:tr>
    </w:tbl>
    <w:p>
      <w:pPr>
        <w:pStyle w:val="BodyText"/>
      </w:pPr>
      <w:r>
        <w:rPr>
          <w:iCs/>
          <w:i/>
        </w:rPr>
        <w:t xml:space="preserve">Note.</w:t>
      </w:r>
      <w:r>
        <w:t xml:space="preserve"> </w:t>
      </w:r>
      <w:r>
        <w:rPr>
          <w:iCs/>
          <w:i/>
        </w:rPr>
        <w:t xml:space="preserve">g̅</w:t>
      </w:r>
      <w:r>
        <w:t xml:space="preserve"> </w:t>
      </w:r>
      <w:r>
        <w:t xml:space="preserve">= mean pretest-posttest difference (</w:t>
      </w:r>
      <w:r>
        <w:rPr>
          <w:iCs/>
          <w:i/>
        </w:rPr>
        <w:t xml:space="preserve">g</w:t>
      </w:r>
      <w:r>
        <w:rPr>
          <w:vertAlign w:val="subscript"/>
          <w:iCs/>
          <w:i/>
        </w:rPr>
        <w:t xml:space="preserve">ppc</w:t>
      </w:r>
      <w:r>
        <w:t xml:space="preserve">; accounting for control group);</w:t>
      </w:r>
      <w:r>
        <w:t xml:space="preserve"> </w:t>
      </w:r>
      <w:r>
        <w:t xml:space="preserve">τ = estimated random effects standard deviation across studies;</w:t>
      </w:r>
      <w:r>
        <w:t xml:space="preserve"> </w:t>
      </w:r>
      <w:r>
        <w:t xml:space="preserve">ρ = estimated correlation among</w:t>
      </w:r>
      <w:r>
        <w:t xml:space="preserve"> </w:t>
      </w:r>
      <w:r>
        <w:rPr>
          <w:iCs/>
          <w:i/>
        </w:rPr>
        <w:t xml:space="preserve">g</w:t>
      </w:r>
      <w:r>
        <w:t xml:space="preserve"> </w:t>
      </w:r>
      <w:r>
        <w:t xml:space="preserve">treatment effects between measures of different ability domains across studies;</w:t>
      </w:r>
      <w:r>
        <w:t xml:space="preserve"> </w:t>
      </w:r>
      <w:r>
        <w:t xml:space="preserve">Statistic =</w:t>
      </w:r>
      <w:r>
        <w:t xml:space="preserve"> </w:t>
      </w:r>
      <w:r>
        <w:rPr>
          <w:iCs/>
          <w:i/>
        </w:rPr>
        <w:t xml:space="preserve">t</w:t>
      </w:r>
      <w:r>
        <w:t xml:space="preserve"> </w:t>
      </w:r>
      <w:r>
        <w:t xml:space="preserve">value for</w:t>
      </w:r>
      <w:r>
        <w:t xml:space="preserve"> </w:t>
      </w:r>
      <w:r>
        <w:rPr>
          <w:iCs/>
          <w:i/>
        </w:rPr>
        <w:t xml:space="preserve">g̅</w:t>
      </w:r>
      <w:r>
        <w:t xml:space="preserve"> </w:t>
      </w:r>
      <w:r>
        <w:t xml:space="preserve">and</w:t>
      </w:r>
      <w:r>
        <w:t xml:space="preserve"> </w:t>
      </w:r>
      <w:r>
        <w:rPr>
          <w:iCs/>
          <w:i/>
        </w:rPr>
        <w:t xml:space="preserve">Q</w:t>
      </w:r>
      <w:r>
        <w:rPr>
          <w:vertAlign w:val="subscript"/>
          <w:iCs/>
          <w:i/>
        </w:rPr>
        <w:t xml:space="preserve">E</w:t>
      </w:r>
      <w:r>
        <w:t xml:space="preserve"> </w:t>
      </w:r>
      <w:r>
        <w:t xml:space="preserve">value for τ;</w:t>
      </w:r>
      <w:r>
        <w:t xml:space="preserve"> </w:t>
      </w:r>
      <w:r>
        <w:t xml:space="preserve">confidence intervals computed using</w:t>
      </w:r>
      <w:r>
        <w:t xml:space="preserve"> </w:t>
      </w:r>
      <w:r>
        <w:rPr>
          <w:iCs/>
          <w:i/>
        </w:rPr>
        <w:t xml:space="preserve">t</w:t>
      </w:r>
      <w:r>
        <w:t xml:space="preserve"> </w:t>
      </w:r>
      <w:r>
        <w:t xml:space="preserve">distributions for</w:t>
      </w:r>
      <w:r>
        <w:t xml:space="preserve"> </w:t>
      </w:r>
      <w:r>
        <w:rPr>
          <w:iCs/>
          <w:i/>
        </w:rPr>
        <w:t xml:space="preserve">g̅</w:t>
      </w:r>
      <w:r>
        <w:t xml:space="preserve"> </w:t>
      </w:r>
      <w:r>
        <w:t xml:space="preserve">and profile likelihood for τ.</w:t>
      </w:r>
    </w:p>
    <w:bookmarkEnd w:id="37"/>
    <w:bookmarkStart w:id="38" w:name="table-3.-overall-ipd-meta-analyses"/>
    <w:p>
      <w:pPr>
        <w:pStyle w:val="Heading4"/>
      </w:pPr>
      <w:r>
        <w:t xml:space="preserve">Table 3. Overall IPD meta-analyses</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SE</w:t>
            </w:r>
          </w:p>
        </w:tc>
        <w:tc>
          <w:p>
            <w:pPr>
              <w:pStyle w:val="Compact"/>
              <w:jc w:val="right"/>
            </w:pPr>
            <w:r>
              <w:t xml:space="preserve">t</w:t>
            </w:r>
          </w:p>
        </w:tc>
        <w:tc>
          <w:p>
            <w:pPr>
              <w:pStyle w:val="Compact"/>
              <w:jc w:val="right"/>
            </w:pPr>
            <w:r>
              <w:t xml:space="preserve">95% conf. int.</w:t>
            </w:r>
          </w:p>
        </w:tc>
      </w:tr>
      <w:tr>
        <w:tc>
          <w:p>
            <w:pPr>
              <w:pStyle w:val="Compact"/>
              <w:jc w:val="left"/>
            </w:pPr>
            <w:r>
              <w:t xml:space="preserve">mean g</w:t>
            </w:r>
          </w:p>
        </w:tc>
        <w:tc>
          <w:p>
            <w:pPr>
              <w:pStyle w:val="Compact"/>
              <w:jc w:val="right"/>
            </w:pPr>
            <w:r>
              <w:t xml:space="preserve">1.72</w:t>
            </w:r>
          </w:p>
        </w:tc>
        <w:tc>
          <w:p>
            <w:pPr>
              <w:pStyle w:val="Compact"/>
              <w:jc w:val="right"/>
            </w:pPr>
            <w:r>
              <w:t xml:space="preserve">0.35</w:t>
            </w:r>
          </w:p>
        </w:tc>
        <w:tc>
          <w:p>
            <w:pPr>
              <w:pStyle w:val="Compact"/>
              <w:jc w:val="right"/>
            </w:pPr>
            <w:r>
              <w:t xml:space="preserve">4.91</w:t>
            </w:r>
          </w:p>
        </w:tc>
        <w:tc>
          <w:p>
            <w:pPr>
              <w:pStyle w:val="Compact"/>
              <w:jc w:val="right"/>
            </w:pPr>
            <w:r>
              <w:t xml:space="preserve">[1.00, 2.42]</w:t>
            </w:r>
          </w:p>
        </w:tc>
      </w:tr>
      <w:tr>
        <w:tc>
          <w:p>
            <w:pPr>
              <w:pStyle w:val="Compact"/>
              <w:jc w:val="left"/>
            </w:pPr>
            <w:r>
              <w:t xml:space="preserve">sigma person</w:t>
            </w:r>
          </w:p>
        </w:tc>
        <w:tc>
          <w:p>
            <w:pPr>
              <w:pStyle w:val="Compact"/>
              <w:jc w:val="right"/>
            </w:pPr>
            <w:r>
              <w:t xml:space="preserve">0.75</w:t>
            </w:r>
          </w:p>
        </w:tc>
        <w:tc>
          <w:p/>
        </w:tc>
        <w:tc>
          <w:p/>
        </w:tc>
        <w:tc>
          <w:p>
            <w:pPr>
              <w:pStyle w:val="Compact"/>
              <w:jc w:val="right"/>
            </w:pPr>
            <w:r>
              <w:t xml:space="preserve">[0.35, 1.16]</w:t>
            </w:r>
          </w:p>
        </w:tc>
      </w:tr>
      <w:tr>
        <w:tc>
          <w:p>
            <w:pPr>
              <w:pStyle w:val="Compact"/>
              <w:jc w:val="left"/>
            </w:pPr>
            <w:r>
              <w:t xml:space="preserve">tau</w:t>
            </w:r>
          </w:p>
        </w:tc>
        <w:tc>
          <w:p>
            <w:pPr>
              <w:pStyle w:val="Compact"/>
              <w:jc w:val="right"/>
            </w:pPr>
            <w:r>
              <w:t xml:space="preserve">1.25</w:t>
            </w:r>
          </w:p>
        </w:tc>
        <w:tc>
          <w:p/>
        </w:tc>
        <w:tc>
          <w:p/>
        </w:tc>
        <w:tc>
          <w:p>
            <w:pPr>
              <w:pStyle w:val="Compact"/>
              <w:jc w:val="right"/>
            </w:pPr>
            <w:r>
              <w:t xml:space="preserve">[0.75, 1.90]</w:t>
            </w:r>
          </w:p>
        </w:tc>
      </w:tr>
      <w:tr>
        <w:tc>
          <w:p>
            <w:pPr>
              <w:pStyle w:val="Compact"/>
              <w:jc w:val="left"/>
            </w:pPr>
            <w:r>
              <w:t xml:space="preserve">sigma residual</w:t>
            </w:r>
          </w:p>
        </w:tc>
        <w:tc>
          <w:p>
            <w:pPr>
              <w:pStyle w:val="Compact"/>
              <w:jc w:val="right"/>
            </w:pPr>
            <w:r>
              <w:t xml:space="preserve">2.02</w:t>
            </w:r>
          </w:p>
        </w:tc>
        <w:tc>
          <w:p/>
        </w:tc>
        <w:tc>
          <w:p/>
        </w:tc>
        <w:tc>
          <w:p>
            <w:pPr>
              <w:pStyle w:val="Compact"/>
              <w:jc w:val="right"/>
            </w:pPr>
            <w:r>
              <w:t xml:space="preserve">[1.87, 2.20]</w:t>
            </w:r>
          </w:p>
        </w:tc>
      </w:tr>
    </w:tbl>
    <w:p>
      <w:pPr>
        <w:pStyle w:val="BodyText"/>
      </w:pPr>
      <w:r>
        <w:rPr>
          <w:iCs/>
          <w:i/>
        </w:rPr>
        <w:t xml:space="preserve">Note.</w:t>
      </w:r>
      <w:r>
        <w:t xml:space="preserve"> </w:t>
      </w:r>
      <w:r>
        <w:rPr>
          <w:iCs/>
          <w:i/>
        </w:rPr>
        <w:t xml:space="preserve">g̅</w:t>
      </w:r>
      <w:r>
        <w:t xml:space="preserve"> </w:t>
      </w:r>
      <w:r>
        <w:t xml:space="preserve">= mean pretest-posttest difference (</w:t>
      </w:r>
      <w:r>
        <w:rPr>
          <w:iCs/>
          <w:i/>
        </w:rPr>
        <w:t xml:space="preserve">g</w:t>
      </w:r>
      <w:r>
        <w:rPr>
          <w:vertAlign w:val="subscript"/>
          <w:iCs/>
          <w:i/>
        </w:rPr>
        <w:t xml:space="preserve">pc</w:t>
      </w:r>
      <w:r>
        <w:t xml:space="preserve">; not accounting for any control group);</w:t>
      </w:r>
      <w:r>
        <w:t xml:space="preserve"> </w:t>
      </w:r>
      <w:r>
        <w:t xml:space="preserve">τ = estimated random effects standard deviation across studies;</w:t>
      </w:r>
      <w:r>
        <w:t xml:space="preserve"> </w:t>
      </w:r>
      <w:r>
        <w:t xml:space="preserve">σ (person) = estimated random effects standard deviation across persons (within study);</w:t>
      </w:r>
      <w:r>
        <w:t xml:space="preserve"> </w:t>
      </w:r>
      <w:r>
        <w:t xml:space="preserve">σ (measure) = estimated random effects standard deviation across measures (within person);</w:t>
      </w:r>
      <w:r>
        <w:t xml:space="preserve"> </w:t>
      </w:r>
      <w:r>
        <w:t xml:space="preserve">confidence intervals computed using profile likelihood;</w:t>
      </w:r>
      <w:r>
        <w:t xml:space="preserve"> </w:t>
      </w:r>
      <w:r>
        <w:rPr>
          <w:iCs/>
          <w:i/>
        </w:rPr>
        <w:t xml:space="preserve">p</w:t>
      </w:r>
      <w:r>
        <w:t xml:space="preserve"> </w:t>
      </w:r>
      <w:r>
        <w:t xml:space="preserve">values omitted as the appropriate denominator degrees of freedom for linear mixed effects models is ill-defined</w:t>
      </w:r>
      <w:r>
        <w:t xml:space="preserve"> </w:t>
      </w:r>
      <w:r>
        <w:t xml:space="preserve">(Bates, 2006; Bates et al., 2015, pp. 34–35)</w:t>
      </w:r>
      <w:r>
        <w:t xml:space="preserve">; inference should be based on the profile likelihood confidence intervals.</w:t>
      </w:r>
    </w:p>
    <w:bookmarkEnd w:id="38"/>
    <w:bookmarkStart w:id="39" w:name="X4053aa276677d10d9a176dcdeb37d1a646e0884"/>
    <w:p>
      <w:pPr>
        <w:pStyle w:val="Heading4"/>
      </w:pPr>
      <w:r>
        <w:t xml:space="preserve">Table 4. IPD meta-analyses of broad ability categories</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SE</w:t>
            </w:r>
          </w:p>
        </w:tc>
        <w:tc>
          <w:p>
            <w:pPr>
              <w:pStyle w:val="Compact"/>
              <w:jc w:val="right"/>
            </w:pPr>
            <w:r>
              <w:t xml:space="preserve">t</w:t>
            </w:r>
          </w:p>
        </w:tc>
        <w:tc>
          <w:p>
            <w:pPr>
              <w:pStyle w:val="Compact"/>
              <w:jc w:val="right"/>
            </w:pPr>
            <w:r>
              <w:t xml:space="preserve">95% conf. int.</w:t>
            </w:r>
          </w:p>
        </w:tc>
      </w:tr>
      <w:tr>
        <w:tc>
          <w:p>
            <w:pPr>
              <w:pStyle w:val="Compact"/>
              <w:jc w:val="left"/>
            </w:pPr>
            <w:r>
              <w:t xml:space="preserve">broaderNon-Communicative</w:t>
            </w:r>
            <w:r>
              <w:t xml:space="preserve">Language Expression</w:t>
            </w:r>
          </w:p>
        </w:tc>
        <w:tc>
          <w:p>
            <w:pPr>
              <w:pStyle w:val="Compact"/>
              <w:jc w:val="right"/>
            </w:pPr>
            <w:r>
              <w:t xml:space="preserve">2.01</w:t>
            </w:r>
          </w:p>
        </w:tc>
        <w:tc>
          <w:p>
            <w:pPr>
              <w:pStyle w:val="Compact"/>
              <w:jc w:val="right"/>
            </w:pPr>
            <w:r>
              <w:t xml:space="preserve">0.42</w:t>
            </w:r>
          </w:p>
        </w:tc>
        <w:tc>
          <w:p>
            <w:pPr>
              <w:pStyle w:val="Compact"/>
              <w:jc w:val="right"/>
            </w:pPr>
            <w:r>
              <w:t xml:space="preserve">4.79</w:t>
            </w:r>
          </w:p>
        </w:tc>
        <w:tc>
          <w:p>
            <w:pPr>
              <w:pStyle w:val="Compact"/>
              <w:jc w:val="right"/>
            </w:pPr>
            <w:r>
              <w:t xml:space="preserve">[ 1.17, 2.82]</w:t>
            </w:r>
          </w:p>
        </w:tc>
      </w:tr>
      <w:tr>
        <w:tc>
          <w:p>
            <w:pPr>
              <w:pStyle w:val="Compact"/>
              <w:jc w:val="left"/>
            </w:pPr>
            <w:r>
              <w:t xml:space="preserve">broaderAphasia Severity</w:t>
            </w:r>
          </w:p>
        </w:tc>
        <w:tc>
          <w:p>
            <w:pPr>
              <w:pStyle w:val="Compact"/>
              <w:jc w:val="right"/>
            </w:pPr>
            <w:r>
              <w:t xml:space="preserve">0.94</w:t>
            </w:r>
          </w:p>
        </w:tc>
        <w:tc>
          <w:p>
            <w:pPr>
              <w:pStyle w:val="Compact"/>
              <w:jc w:val="right"/>
            </w:pPr>
            <w:r>
              <w:t xml:space="preserve">0.60</w:t>
            </w:r>
          </w:p>
        </w:tc>
        <w:tc>
          <w:p>
            <w:pPr>
              <w:pStyle w:val="Compact"/>
              <w:jc w:val="right"/>
            </w:pPr>
            <w:r>
              <w:t xml:space="preserve">1.57</w:t>
            </w:r>
          </w:p>
        </w:tc>
        <w:tc>
          <w:p>
            <w:pPr>
              <w:pStyle w:val="Compact"/>
              <w:jc w:val="right"/>
            </w:pPr>
            <w:r>
              <w:t xml:space="preserve">[-0.23, 2.11]</w:t>
            </w:r>
          </w:p>
        </w:tc>
      </w:tr>
      <w:tr>
        <w:tc>
          <w:p>
            <w:pPr>
              <w:pStyle w:val="Compact"/>
              <w:jc w:val="left"/>
            </w:pPr>
            <w:r>
              <w:t xml:space="preserve">broaderCommunication</w:t>
            </w:r>
          </w:p>
        </w:tc>
        <w:tc>
          <w:p>
            <w:pPr>
              <w:pStyle w:val="Compact"/>
              <w:jc w:val="right"/>
            </w:pPr>
            <w:r>
              <w:t xml:space="preserve">1.46</w:t>
            </w:r>
          </w:p>
        </w:tc>
        <w:tc>
          <w:p>
            <w:pPr>
              <w:pStyle w:val="Compact"/>
              <w:jc w:val="right"/>
            </w:pPr>
            <w:r>
              <w:t xml:space="preserve">0.60</w:t>
            </w:r>
          </w:p>
        </w:tc>
        <w:tc>
          <w:p>
            <w:pPr>
              <w:pStyle w:val="Compact"/>
              <w:jc w:val="right"/>
            </w:pPr>
            <w:r>
              <w:t xml:space="preserve">2.42</w:t>
            </w:r>
          </w:p>
        </w:tc>
        <w:tc>
          <w:p>
            <w:pPr>
              <w:pStyle w:val="Compact"/>
              <w:jc w:val="right"/>
            </w:pPr>
            <w:r>
              <w:t xml:space="preserve">[ 0.29, 2.63]</w:t>
            </w:r>
          </w:p>
        </w:tc>
      </w:tr>
      <w:tr>
        <w:tc>
          <w:p>
            <w:pPr>
              <w:pStyle w:val="Compact"/>
              <w:jc w:val="left"/>
            </w:pPr>
            <w:r>
              <w:t xml:space="preserve">broaderDomain-General</w:t>
            </w:r>
            <w:r>
              <w:t xml:space="preserve">Functioning</w:t>
            </w:r>
          </w:p>
        </w:tc>
        <w:tc>
          <w:p>
            <w:pPr>
              <w:pStyle w:val="Compact"/>
              <w:jc w:val="right"/>
            </w:pPr>
            <w:r>
              <w:t xml:space="preserve">-0.07</w:t>
            </w:r>
          </w:p>
        </w:tc>
        <w:tc>
          <w:p>
            <w:pPr>
              <w:pStyle w:val="Compact"/>
              <w:jc w:val="right"/>
            </w:pPr>
            <w:r>
              <w:t xml:space="preserve">0.61</w:t>
            </w:r>
          </w:p>
        </w:tc>
        <w:tc>
          <w:p>
            <w:pPr>
              <w:pStyle w:val="Compact"/>
              <w:jc w:val="right"/>
            </w:pPr>
            <w:r>
              <w:t xml:space="preserve">-0.12</w:t>
            </w:r>
          </w:p>
        </w:tc>
        <w:tc>
          <w:p>
            <w:pPr>
              <w:pStyle w:val="Compact"/>
              <w:jc w:val="right"/>
            </w:pPr>
            <w:r>
              <w:t xml:space="preserve">[-1.27, 1.12]</w:t>
            </w:r>
          </w:p>
        </w:tc>
      </w:tr>
      <w:tr>
        <w:tc>
          <w:p>
            <w:pPr>
              <w:pStyle w:val="Compact"/>
              <w:jc w:val="left"/>
            </w:pPr>
            <w:r>
              <w:t xml:space="preserve">broaderLanguage</w:t>
            </w:r>
            <w:r>
              <w:t xml:space="preserve">Comprehension</w:t>
            </w:r>
          </w:p>
        </w:tc>
        <w:tc>
          <w:p>
            <w:pPr>
              <w:pStyle w:val="Compact"/>
              <w:jc w:val="right"/>
            </w:pPr>
            <w:r>
              <w:t xml:space="preserve">0.52</w:t>
            </w:r>
          </w:p>
        </w:tc>
        <w:tc>
          <w:p>
            <w:pPr>
              <w:pStyle w:val="Compact"/>
              <w:jc w:val="right"/>
            </w:pPr>
            <w:r>
              <w:t xml:space="preserve">0.46</w:t>
            </w:r>
          </w:p>
        </w:tc>
        <w:tc>
          <w:p>
            <w:pPr>
              <w:pStyle w:val="Compact"/>
              <w:jc w:val="right"/>
            </w:pPr>
            <w:r>
              <w:t xml:space="preserve">1.11</w:t>
            </w:r>
          </w:p>
        </w:tc>
        <w:tc>
          <w:p>
            <w:pPr>
              <w:pStyle w:val="Compact"/>
              <w:jc w:val="right"/>
            </w:pPr>
            <w:r>
              <w:t xml:space="preserve">[-0.40, 1.41]</w:t>
            </w:r>
          </w:p>
        </w:tc>
      </w:tr>
      <w:tr>
        <w:tc>
          <w:p>
            <w:pPr>
              <w:pStyle w:val="Compact"/>
              <w:jc w:val="left"/>
            </w:pPr>
            <w:r>
              <w:t xml:space="preserve">broaderSpeech-Motor</w:t>
            </w:r>
            <w:r>
              <w:t xml:space="preserve">Planning</w:t>
            </w:r>
          </w:p>
        </w:tc>
        <w:tc>
          <w:p>
            <w:pPr>
              <w:pStyle w:val="Compact"/>
              <w:jc w:val="right"/>
            </w:pPr>
            <w:r>
              <w:t xml:space="preserve">1.42</w:t>
            </w:r>
          </w:p>
        </w:tc>
        <w:tc>
          <w:p>
            <w:pPr>
              <w:pStyle w:val="Compact"/>
              <w:jc w:val="right"/>
            </w:pPr>
            <w:r>
              <w:t xml:space="preserve">0.58</w:t>
            </w:r>
          </w:p>
        </w:tc>
        <w:tc>
          <w:p>
            <w:pPr>
              <w:pStyle w:val="Compact"/>
              <w:jc w:val="right"/>
            </w:pPr>
            <w:r>
              <w:t xml:space="preserve">2.46</w:t>
            </w:r>
          </w:p>
        </w:tc>
        <w:tc>
          <w:p>
            <w:pPr>
              <w:pStyle w:val="Compact"/>
              <w:jc w:val="right"/>
            </w:pPr>
            <w:r>
              <w:t xml:space="preserve">[ 0.29, 2.53]</w:t>
            </w:r>
          </w:p>
        </w:tc>
      </w:tr>
      <w:tr>
        <w:tc>
          <w:p>
            <w:pPr>
              <w:pStyle w:val="Compact"/>
              <w:jc w:val="left"/>
            </w:pPr>
            <w:r>
              <w:t xml:space="preserve">unvalidatedunvalidated__untrained</w:t>
            </w:r>
          </w:p>
        </w:tc>
        <w:tc>
          <w:p>
            <w:pPr>
              <w:pStyle w:val="Compact"/>
              <w:jc w:val="right"/>
            </w:pPr>
            <w:r>
              <w:t xml:space="preserve">-0.47</w:t>
            </w:r>
          </w:p>
        </w:tc>
        <w:tc>
          <w:p>
            <w:pPr>
              <w:pStyle w:val="Compact"/>
              <w:jc w:val="right"/>
            </w:pPr>
            <w:r>
              <w:t xml:space="preserve">0.99</w:t>
            </w:r>
          </w:p>
        </w:tc>
        <w:tc>
          <w:p>
            <w:pPr>
              <w:pStyle w:val="Compact"/>
              <w:jc w:val="right"/>
            </w:pPr>
            <w:r>
              <w:t xml:space="preserve">-0.48</w:t>
            </w:r>
          </w:p>
        </w:tc>
        <w:tc>
          <w:p>
            <w:pPr>
              <w:pStyle w:val="Compact"/>
              <w:jc w:val="right"/>
            </w:pPr>
            <w:r>
              <w:t xml:space="preserve">[-2.40, 1.46]</w:t>
            </w:r>
          </w:p>
        </w:tc>
      </w:tr>
      <w:tr>
        <w:tc>
          <w:p>
            <w:pPr>
              <w:pStyle w:val="Compact"/>
              <w:jc w:val="left"/>
            </w:pPr>
            <w:r>
              <w:t xml:space="preserve">unvalidatedunvalidated__trained</w:t>
            </w:r>
          </w:p>
        </w:tc>
        <w:tc>
          <w:p>
            <w:pPr>
              <w:pStyle w:val="Compact"/>
              <w:jc w:val="right"/>
            </w:pPr>
            <w:r>
              <w:t xml:space="preserve">2.37</w:t>
            </w:r>
          </w:p>
        </w:tc>
        <w:tc>
          <w:p>
            <w:pPr>
              <w:pStyle w:val="Compact"/>
              <w:jc w:val="right"/>
            </w:pPr>
            <w:r>
              <w:t xml:space="preserve">0.99</w:t>
            </w:r>
          </w:p>
        </w:tc>
        <w:tc>
          <w:p>
            <w:pPr>
              <w:pStyle w:val="Compact"/>
              <w:jc w:val="right"/>
            </w:pPr>
            <w:r>
              <w:t xml:space="preserve">2.38</w:t>
            </w:r>
          </w:p>
        </w:tc>
        <w:tc>
          <w:p>
            <w:pPr>
              <w:pStyle w:val="Compact"/>
              <w:jc w:val="right"/>
            </w:pPr>
            <w:r>
              <w:t xml:space="preserve">[ 0.44, 4.31]</w:t>
            </w:r>
          </w:p>
        </w:tc>
      </w:tr>
      <w:tr>
        <w:tc>
          <w:p>
            <w:pPr>
              <w:pStyle w:val="Compact"/>
              <w:jc w:val="left"/>
            </w:pPr>
            <w:r>
              <w:t xml:space="preserve">sigma person</w:t>
            </w:r>
          </w:p>
        </w:tc>
        <w:tc>
          <w:p>
            <w:pPr>
              <w:pStyle w:val="Compact"/>
              <w:jc w:val="right"/>
            </w:pPr>
            <w:r>
              <w:t xml:space="preserve">0.82</w:t>
            </w:r>
          </w:p>
        </w:tc>
        <w:tc>
          <w:p/>
        </w:tc>
        <w:tc>
          <w:p/>
        </w:tc>
        <w:tc>
          <w:p>
            <w:pPr>
              <w:pStyle w:val="Compact"/>
              <w:jc w:val="right"/>
            </w:pPr>
            <w:r>
              <w:t xml:space="preserve">[ 0.49, 1.20]</w:t>
            </w:r>
          </w:p>
        </w:tc>
      </w:tr>
      <w:tr>
        <w:tc>
          <w:p>
            <w:pPr>
              <w:pStyle w:val="Compact"/>
              <w:jc w:val="left"/>
            </w:pPr>
            <w:r>
              <w:t xml:space="preserve">tau</w:t>
            </w:r>
          </w:p>
        </w:tc>
        <w:tc>
          <w:p>
            <w:pPr>
              <w:pStyle w:val="Compact"/>
              <w:jc w:val="right"/>
            </w:pPr>
            <w:r>
              <w:t xml:space="preserve">1.41</w:t>
            </w:r>
          </w:p>
        </w:tc>
        <w:tc>
          <w:p/>
        </w:tc>
        <w:tc>
          <w:p/>
        </w:tc>
        <w:tc>
          <w:p>
            <w:pPr>
              <w:pStyle w:val="Compact"/>
              <w:jc w:val="right"/>
            </w:pPr>
            <w:r>
              <w:t xml:space="preserve">[ 0.89, 2.05]</w:t>
            </w:r>
          </w:p>
        </w:tc>
      </w:tr>
      <w:tr>
        <w:tc>
          <w:p>
            <w:pPr>
              <w:pStyle w:val="Compact"/>
              <w:jc w:val="left"/>
            </w:pPr>
            <w:r>
              <w:t xml:space="preserve">sigma residual</w:t>
            </w:r>
          </w:p>
        </w:tc>
        <w:tc>
          <w:p>
            <w:pPr>
              <w:pStyle w:val="Compact"/>
              <w:jc w:val="right"/>
            </w:pPr>
            <w:r>
              <w:t xml:space="preserve">1.86</w:t>
            </w:r>
          </w:p>
        </w:tc>
        <w:tc>
          <w:p/>
        </w:tc>
        <w:tc>
          <w:p/>
        </w:tc>
        <w:tc>
          <w:p>
            <w:pPr>
              <w:pStyle w:val="Compact"/>
              <w:jc w:val="right"/>
            </w:pPr>
            <w:r>
              <w:t xml:space="preserve">[ 1.70, 2.01]</w:t>
            </w:r>
          </w:p>
        </w:tc>
      </w:tr>
    </w:tbl>
    <w:p>
      <w:pPr>
        <w:pStyle w:val="BodyText"/>
      </w:pPr>
      <w:r>
        <w:rPr>
          <w:iCs/>
          <w:i/>
        </w:rPr>
        <w:t xml:space="preserve">Note.</w:t>
      </w:r>
      <w:r>
        <w:t xml:space="preserve"> </w:t>
      </w:r>
      <w:r>
        <w:rPr>
          <w:iCs/>
          <w:i/>
        </w:rPr>
        <w:t xml:space="preserve">g̅</w:t>
      </w:r>
      <w:r>
        <w:t xml:space="preserve"> </w:t>
      </w:r>
      <w:r>
        <w:t xml:space="preserve">= mean pretest-posttest difference (</w:t>
      </w:r>
      <w:r>
        <w:rPr>
          <w:iCs/>
          <w:i/>
        </w:rPr>
        <w:t xml:space="preserve">g</w:t>
      </w:r>
      <w:r>
        <w:rPr>
          <w:vertAlign w:val="subscript"/>
          <w:iCs/>
          <w:i/>
        </w:rPr>
        <w:t xml:space="preserve">pc</w:t>
      </w:r>
      <w:r>
        <w:t xml:space="preserve">; not accounting for any control group);</w:t>
      </w:r>
      <w:r>
        <w:t xml:space="preserve"> </w:t>
      </w:r>
      <w:r>
        <w:t xml:space="preserve">∆</w:t>
      </w:r>
      <w:r>
        <w:rPr>
          <w:iCs/>
          <w:i/>
        </w:rPr>
        <w:t xml:space="preserve">g̅</w:t>
      </w:r>
      <w:r>
        <w:t xml:space="preserve"> </w:t>
      </w:r>
      <w:r>
        <w:t xml:space="preserve">= estimated difference in</w:t>
      </w:r>
      <w:r>
        <w:t xml:space="preserve"> </w:t>
      </w:r>
      <w:r>
        <w:rPr>
          <w:iCs/>
          <w:i/>
        </w:rPr>
        <w:t xml:space="preserve">g̅</w:t>
      </w:r>
      <w:r>
        <w:t xml:space="preserve"> </w:t>
      </w:r>
      <w:r>
        <w:t xml:space="preserve">between validated and ad hoc measures;</w:t>
      </w:r>
      <w:r>
        <w:t xml:space="preserve"> </w:t>
      </w:r>
      <w:r>
        <w:t xml:space="preserve">note that only language expression included ad hoc measures;</w:t>
      </w:r>
      <w:r>
        <w:t xml:space="preserve"> </w:t>
      </w:r>
      <w:r>
        <w:t xml:space="preserve">τ = estimated random effects standard deviation across studies;</w:t>
      </w:r>
      <w:r>
        <w:t xml:space="preserve"> </w:t>
      </w:r>
      <w:r>
        <w:t xml:space="preserve">σ (person) = estimated random effects standard deviation across persons (within study);</w:t>
      </w:r>
      <w:r>
        <w:t xml:space="preserve"> </w:t>
      </w:r>
      <w:r>
        <w:t xml:space="preserve">σ (measure) = estimated random effects standard deviation across measures (within person);</w:t>
      </w:r>
      <w:r>
        <w:t xml:space="preserve"> </w:t>
      </w:r>
      <w:r>
        <w:t xml:space="preserve">confidence intervals computed using profile likelihood;</w:t>
      </w:r>
      <w:r>
        <w:t xml:space="preserve"> </w:t>
      </w:r>
      <w:r>
        <w:rPr>
          <w:iCs/>
          <w:i/>
        </w:rPr>
        <w:t xml:space="preserve">p</w:t>
      </w:r>
      <w:r>
        <w:t xml:space="preserve"> </w:t>
      </w:r>
      <w:r>
        <w:t xml:space="preserve">values omitted as the appropriate denominator degrees of freedom for linear mixed effects models is ill-defined</w:t>
      </w:r>
      <w:r>
        <w:t xml:space="preserve"> </w:t>
      </w:r>
      <w:r>
        <w:t xml:space="preserve">(Bates, 2006; Bates et al., 2015, pp. 34–35)</w:t>
      </w:r>
      <w:r>
        <w:t xml:space="preserve">; inference should be based on the profile likelihood confidence intervals.</w:t>
      </w:r>
    </w:p>
    <w:bookmarkEnd w:id="39"/>
    <w:bookmarkStart w:id="40" w:name="X267c805dd9f1d6c6e14eb208c192d9b0a8d1007"/>
    <w:p>
      <w:pPr>
        <w:pStyle w:val="Heading4"/>
      </w:pPr>
      <w:r>
        <w:t xml:space="preserve">Table 5. IPD meta-analyses with aphasia stage (months post-onset) as a moderator</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SE</w:t>
            </w:r>
          </w:p>
        </w:tc>
        <w:tc>
          <w:p>
            <w:pPr>
              <w:pStyle w:val="Compact"/>
              <w:jc w:val="right"/>
            </w:pPr>
            <w:r>
              <w:t xml:space="preserve">t</w:t>
            </w:r>
          </w:p>
        </w:tc>
        <w:tc>
          <w:p>
            <w:pPr>
              <w:pStyle w:val="Compact"/>
              <w:jc w:val="right"/>
            </w:pPr>
            <w:r>
              <w:t xml:space="preserve">95% conf. int.</w:t>
            </w:r>
          </w:p>
        </w:tc>
      </w:tr>
      <w:tr>
        <w:tc>
          <w:p>
            <w:pPr>
              <w:pStyle w:val="Compact"/>
              <w:jc w:val="left"/>
            </w:pPr>
            <w:r>
              <w:t xml:space="preserve">broaderNon-Communicative</w:t>
            </w:r>
            <w:r>
              <w:t xml:space="preserve">Language Expression</w:t>
            </w:r>
          </w:p>
        </w:tc>
        <w:tc>
          <w:p>
            <w:pPr>
              <w:pStyle w:val="Compact"/>
              <w:jc w:val="right"/>
            </w:pPr>
            <w:r>
              <w:t xml:space="preserve">1.97</w:t>
            </w:r>
          </w:p>
        </w:tc>
        <w:tc>
          <w:p>
            <w:pPr>
              <w:pStyle w:val="Compact"/>
              <w:jc w:val="right"/>
            </w:pPr>
            <w:r>
              <w:t xml:space="preserve">0.29</w:t>
            </w:r>
          </w:p>
        </w:tc>
        <w:tc>
          <w:p>
            <w:pPr>
              <w:pStyle w:val="Compact"/>
              <w:jc w:val="right"/>
            </w:pPr>
            <w:r>
              <w:t xml:space="preserve">6.74</w:t>
            </w:r>
          </w:p>
        </w:tc>
        <w:tc>
          <w:p>
            <w:pPr>
              <w:pStyle w:val="Compact"/>
              <w:jc w:val="right"/>
            </w:pPr>
            <w:r>
              <w:t xml:space="preserve">[ 1.39, 2.54]</w:t>
            </w:r>
          </w:p>
        </w:tc>
      </w:tr>
      <w:tr>
        <w:tc>
          <w:p>
            <w:pPr>
              <w:pStyle w:val="Compact"/>
              <w:jc w:val="left"/>
            </w:pPr>
            <w:r>
              <w:t xml:space="preserve">broaderAphasia Severity</w:t>
            </w:r>
          </w:p>
        </w:tc>
        <w:tc>
          <w:p>
            <w:pPr>
              <w:pStyle w:val="Compact"/>
              <w:jc w:val="right"/>
            </w:pPr>
            <w:r>
              <w:t xml:space="preserve">1.08</w:t>
            </w:r>
          </w:p>
        </w:tc>
        <w:tc>
          <w:p>
            <w:pPr>
              <w:pStyle w:val="Compact"/>
              <w:jc w:val="right"/>
            </w:pPr>
            <w:r>
              <w:t xml:space="preserve">0.51</w:t>
            </w:r>
          </w:p>
        </w:tc>
        <w:tc>
          <w:p>
            <w:pPr>
              <w:pStyle w:val="Compact"/>
              <w:jc w:val="right"/>
            </w:pPr>
            <w:r>
              <w:t xml:space="preserve">2.13</w:t>
            </w:r>
          </w:p>
        </w:tc>
        <w:tc>
          <w:p>
            <w:pPr>
              <w:pStyle w:val="Compact"/>
              <w:jc w:val="right"/>
            </w:pPr>
            <w:r>
              <w:t xml:space="preserve">[ 0.14, 2.07]</w:t>
            </w:r>
          </w:p>
        </w:tc>
      </w:tr>
      <w:tr>
        <w:tc>
          <w:p>
            <w:pPr>
              <w:pStyle w:val="Compact"/>
              <w:jc w:val="left"/>
            </w:pPr>
            <w:r>
              <w:t xml:space="preserve">broaderCommunication</w:t>
            </w:r>
          </w:p>
        </w:tc>
        <w:tc>
          <w:p>
            <w:pPr>
              <w:pStyle w:val="Compact"/>
              <w:jc w:val="right"/>
            </w:pPr>
            <w:r>
              <w:t xml:space="preserve">2.10</w:t>
            </w:r>
          </w:p>
        </w:tc>
        <w:tc>
          <w:p>
            <w:pPr>
              <w:pStyle w:val="Compact"/>
              <w:jc w:val="right"/>
            </w:pPr>
            <w:r>
              <w:t xml:space="preserve">0.45</w:t>
            </w:r>
          </w:p>
        </w:tc>
        <w:tc>
          <w:p>
            <w:pPr>
              <w:pStyle w:val="Compact"/>
              <w:jc w:val="right"/>
            </w:pPr>
            <w:r>
              <w:t xml:space="preserve">4.62</w:t>
            </w:r>
          </w:p>
        </w:tc>
        <w:tc>
          <w:p>
            <w:pPr>
              <w:pStyle w:val="Compact"/>
              <w:jc w:val="right"/>
            </w:pPr>
            <w:r>
              <w:t xml:space="preserve">[ 1.21, 3.05]</w:t>
            </w:r>
          </w:p>
        </w:tc>
      </w:tr>
      <w:tr>
        <w:tc>
          <w:p>
            <w:pPr>
              <w:pStyle w:val="Compact"/>
              <w:jc w:val="left"/>
            </w:pPr>
            <w:r>
              <w:t xml:space="preserve">broaderDomain-General</w:t>
            </w:r>
            <w:r>
              <w:t xml:space="preserve">Functioning</w:t>
            </w:r>
          </w:p>
        </w:tc>
        <w:tc>
          <w:p>
            <w:pPr>
              <w:pStyle w:val="Compact"/>
              <w:jc w:val="right"/>
            </w:pPr>
            <w:r>
              <w:t xml:space="preserve">2.00</w:t>
            </w:r>
          </w:p>
        </w:tc>
        <w:tc>
          <w:p>
            <w:pPr>
              <w:pStyle w:val="Compact"/>
              <w:jc w:val="right"/>
            </w:pPr>
            <w:r>
              <w:t xml:space="preserve">0.56</w:t>
            </w:r>
          </w:p>
        </w:tc>
        <w:tc>
          <w:p>
            <w:pPr>
              <w:pStyle w:val="Compact"/>
              <w:jc w:val="right"/>
            </w:pPr>
            <w:r>
              <w:t xml:space="preserve">3.58</w:t>
            </w:r>
          </w:p>
        </w:tc>
        <w:tc>
          <w:p>
            <w:pPr>
              <w:pStyle w:val="Compact"/>
              <w:jc w:val="right"/>
            </w:pPr>
            <w:r>
              <w:t xml:space="preserve">[ 0.96, 3.15]</w:t>
            </w:r>
          </w:p>
        </w:tc>
      </w:tr>
      <w:tr>
        <w:tc>
          <w:p>
            <w:pPr>
              <w:pStyle w:val="Compact"/>
              <w:jc w:val="left"/>
            </w:pPr>
            <w:r>
              <w:t xml:space="preserve">broaderLanguage</w:t>
            </w:r>
            <w:r>
              <w:t xml:space="preserve">Comprehension</w:t>
            </w:r>
          </w:p>
        </w:tc>
        <w:tc>
          <w:p>
            <w:pPr>
              <w:pStyle w:val="Compact"/>
              <w:jc w:val="right"/>
            </w:pPr>
            <w:r>
              <w:t xml:space="preserve">0.74</w:t>
            </w:r>
          </w:p>
        </w:tc>
        <w:tc>
          <w:p>
            <w:pPr>
              <w:pStyle w:val="Compact"/>
              <w:jc w:val="right"/>
            </w:pPr>
            <w:r>
              <w:t xml:space="preserve">0.35</w:t>
            </w:r>
          </w:p>
        </w:tc>
        <w:tc>
          <w:p>
            <w:pPr>
              <w:pStyle w:val="Compact"/>
              <w:jc w:val="right"/>
            </w:pPr>
            <w:r>
              <w:t xml:space="preserve">2.10</w:t>
            </w:r>
          </w:p>
        </w:tc>
        <w:tc>
          <w:p>
            <w:pPr>
              <w:pStyle w:val="Compact"/>
              <w:jc w:val="right"/>
            </w:pPr>
            <w:r>
              <w:t xml:space="preserve">[ 0.05, 1.43]</w:t>
            </w:r>
          </w:p>
        </w:tc>
      </w:tr>
      <w:tr>
        <w:tc>
          <w:p>
            <w:pPr>
              <w:pStyle w:val="Compact"/>
              <w:jc w:val="left"/>
            </w:pPr>
            <w:r>
              <w:t xml:space="preserve">broaderSpeech-Motor</w:t>
            </w:r>
            <w:r>
              <w:t xml:space="preserve">Planning</w:t>
            </w:r>
          </w:p>
        </w:tc>
        <w:tc>
          <w:p>
            <w:pPr>
              <w:pStyle w:val="Compact"/>
              <w:jc w:val="right"/>
            </w:pPr>
            <w:r>
              <w:t xml:space="preserve">1.96</w:t>
            </w:r>
          </w:p>
        </w:tc>
        <w:tc>
          <w:p>
            <w:pPr>
              <w:pStyle w:val="Compact"/>
              <w:jc w:val="right"/>
            </w:pPr>
            <w:r>
              <w:t xml:space="preserve">0.41</w:t>
            </w:r>
          </w:p>
        </w:tc>
        <w:tc>
          <w:p>
            <w:pPr>
              <w:pStyle w:val="Compact"/>
              <w:jc w:val="right"/>
            </w:pPr>
            <w:r>
              <w:t xml:space="preserve">4.74</w:t>
            </w:r>
          </w:p>
        </w:tc>
        <w:tc>
          <w:p>
            <w:pPr>
              <w:pStyle w:val="Compact"/>
              <w:jc w:val="right"/>
            </w:pPr>
            <w:r>
              <w:t xml:space="preserve">[ 1.14, 2.83]</w:t>
            </w:r>
          </w:p>
        </w:tc>
      </w:tr>
      <w:tr>
        <w:tc>
          <w:p>
            <w:pPr>
              <w:pStyle w:val="Compact"/>
              <w:jc w:val="left"/>
            </w:pPr>
            <w:r>
              <w:t xml:space="preserve">unvalidatedunvalidated__untrained</w:t>
            </w:r>
          </w:p>
        </w:tc>
        <w:tc>
          <w:p>
            <w:pPr>
              <w:pStyle w:val="Compact"/>
              <w:jc w:val="right"/>
            </w:pPr>
            <w:r>
              <w:t xml:space="preserve">-0.14</w:t>
            </w:r>
          </w:p>
        </w:tc>
        <w:tc>
          <w:p>
            <w:pPr>
              <w:pStyle w:val="Compact"/>
              <w:jc w:val="right"/>
            </w:pPr>
            <w:r>
              <w:t xml:space="preserve">0.65</w:t>
            </w:r>
          </w:p>
        </w:tc>
        <w:tc>
          <w:p>
            <w:pPr>
              <w:pStyle w:val="Compact"/>
              <w:jc w:val="right"/>
            </w:pPr>
            <w:r>
              <w:t xml:space="preserve">-0.22</w:t>
            </w:r>
          </w:p>
        </w:tc>
        <w:tc>
          <w:p>
            <w:pPr>
              <w:pStyle w:val="Compact"/>
              <w:jc w:val="right"/>
            </w:pPr>
            <w:r>
              <w:t xml:space="preserve">[-1.41, 1.07]</w:t>
            </w:r>
          </w:p>
        </w:tc>
      </w:tr>
      <w:tr>
        <w:tc>
          <w:p>
            <w:pPr>
              <w:pStyle w:val="Compact"/>
              <w:jc w:val="left"/>
            </w:pPr>
            <w:r>
              <w:t xml:space="preserve">unvalidatedunvalidated__trained</w:t>
            </w:r>
          </w:p>
        </w:tc>
        <w:tc>
          <w:p>
            <w:pPr>
              <w:pStyle w:val="Compact"/>
              <w:jc w:val="right"/>
            </w:pPr>
            <w:r>
              <w:t xml:space="preserve">2.70</w:t>
            </w:r>
          </w:p>
        </w:tc>
        <w:tc>
          <w:p>
            <w:pPr>
              <w:pStyle w:val="Compact"/>
              <w:jc w:val="right"/>
            </w:pPr>
            <w:r>
              <w:t xml:space="preserve">0.65</w:t>
            </w:r>
          </w:p>
        </w:tc>
        <w:tc>
          <w:p>
            <w:pPr>
              <w:pStyle w:val="Compact"/>
              <w:jc w:val="right"/>
            </w:pPr>
            <w:r>
              <w:t xml:space="preserve">4.15</w:t>
            </w:r>
          </w:p>
        </w:tc>
        <w:tc>
          <w:p>
            <w:pPr>
              <w:pStyle w:val="Compact"/>
              <w:jc w:val="right"/>
            </w:pPr>
            <w:r>
              <w:t xml:space="preserve">[ 1.43, 3.91]</w:t>
            </w:r>
          </w:p>
        </w:tc>
      </w:tr>
      <w:tr>
        <w:tc>
          <w:p>
            <w:pPr>
              <w:pStyle w:val="Compact"/>
              <w:jc w:val="left"/>
            </w:pPr>
            <w:r>
              <w:t xml:space="preserve">MPO</w:t>
            </w:r>
          </w:p>
        </w:tc>
        <w:tc>
          <w:p>
            <w:pPr>
              <w:pStyle w:val="Compact"/>
              <w:jc w:val="right"/>
            </w:pPr>
            <w:r>
              <w:t xml:space="preserve">-0.02</w:t>
            </w:r>
          </w:p>
        </w:tc>
        <w:tc>
          <w:p>
            <w:pPr>
              <w:pStyle w:val="Compact"/>
              <w:jc w:val="right"/>
            </w:pPr>
            <w:r>
              <w:t xml:space="preserve">5.00e-03</w:t>
            </w:r>
          </w:p>
        </w:tc>
        <w:tc>
          <w:p>
            <w:pPr>
              <w:pStyle w:val="Compact"/>
              <w:jc w:val="right"/>
            </w:pPr>
            <w:r>
              <w:t xml:space="preserve">-3.07</w:t>
            </w:r>
          </w:p>
        </w:tc>
        <w:tc>
          <w:p>
            <w:pPr>
              <w:pStyle w:val="Compact"/>
              <w:jc w:val="right"/>
            </w:pPr>
            <w:r>
              <w:t xml:space="preserve">[-0.03, -0.01]</w:t>
            </w:r>
          </w:p>
        </w:tc>
      </w:tr>
      <w:tr>
        <w:tc>
          <w:p>
            <w:pPr>
              <w:pStyle w:val="Compact"/>
              <w:jc w:val="left"/>
            </w:pPr>
            <w:r>
              <w:t xml:space="preserve">sigma person</w:t>
            </w:r>
          </w:p>
        </w:tc>
        <w:tc>
          <w:p>
            <w:pPr>
              <w:pStyle w:val="Compact"/>
              <w:jc w:val="right"/>
            </w:pPr>
            <w:r>
              <w:t xml:space="preserve">1.01</w:t>
            </w:r>
          </w:p>
        </w:tc>
        <w:tc>
          <w:p/>
        </w:tc>
        <w:tc>
          <w:p/>
        </w:tc>
        <w:tc>
          <w:p>
            <w:pPr>
              <w:pStyle w:val="Compact"/>
              <w:jc w:val="right"/>
            </w:pPr>
            <w:r>
              <w:t xml:space="preserve">[ 0.69, 1.38]</w:t>
            </w:r>
          </w:p>
        </w:tc>
      </w:tr>
      <w:tr>
        <w:tc>
          <w:p>
            <w:pPr>
              <w:pStyle w:val="Compact"/>
              <w:jc w:val="left"/>
            </w:pPr>
            <w:r>
              <w:t xml:space="preserve">tau</w:t>
            </w:r>
          </w:p>
        </w:tc>
        <w:tc>
          <w:p>
            <w:pPr>
              <w:pStyle w:val="Compact"/>
              <w:jc w:val="right"/>
            </w:pPr>
            <w:r>
              <w:t xml:space="preserve">0.32</w:t>
            </w:r>
          </w:p>
        </w:tc>
        <w:tc>
          <w:p/>
        </w:tc>
        <w:tc>
          <w:p/>
        </w:tc>
        <w:tc>
          <w:p>
            <w:pPr>
              <w:pStyle w:val="Compact"/>
              <w:jc w:val="right"/>
            </w:pPr>
            <w:r>
              <w:t xml:space="preserve">[ 0.00, 0.82]</w:t>
            </w:r>
          </w:p>
        </w:tc>
      </w:tr>
      <w:tr>
        <w:tc>
          <w:p>
            <w:pPr>
              <w:pStyle w:val="Compact"/>
              <w:jc w:val="left"/>
            </w:pPr>
            <w:r>
              <w:t xml:space="preserve">sigma residual</w:t>
            </w:r>
          </w:p>
        </w:tc>
        <w:tc>
          <w:p>
            <w:pPr>
              <w:pStyle w:val="Compact"/>
              <w:jc w:val="right"/>
            </w:pPr>
            <w:r>
              <w:t xml:space="preserve">1.57</w:t>
            </w:r>
          </w:p>
        </w:tc>
        <w:tc>
          <w:p/>
        </w:tc>
        <w:tc>
          <w:p/>
        </w:tc>
        <w:tc>
          <w:p>
            <w:pPr>
              <w:pStyle w:val="Compact"/>
              <w:jc w:val="right"/>
            </w:pPr>
            <w:r>
              <w:t xml:space="preserve">[ 1.40, 1.71]</w:t>
            </w:r>
          </w:p>
        </w:tc>
      </w:tr>
    </w:tbl>
    <w:p>
      <w:pPr>
        <w:pStyle w:val="BodyText"/>
      </w:pPr>
      <w:r>
        <w:rPr>
          <w:iCs/>
          <w:i/>
        </w:rPr>
        <w:t xml:space="preserve">Note.</w:t>
      </w:r>
      <w:r>
        <w:t xml:space="preserve"> </w:t>
      </w:r>
      <w:r>
        <w:rPr>
          <w:iCs/>
          <w:i/>
        </w:rPr>
        <w:t xml:space="preserve">g̅</w:t>
      </w:r>
      <w:r>
        <w:t xml:space="preserve"> </w:t>
      </w:r>
      <w:r>
        <w:t xml:space="preserve">= mean pretest-posttest difference (</w:t>
      </w:r>
      <w:r>
        <w:rPr>
          <w:iCs/>
          <w:i/>
        </w:rPr>
        <w:t xml:space="preserve">g</w:t>
      </w:r>
      <w:r>
        <w:rPr>
          <w:vertAlign w:val="subscript"/>
          <w:iCs/>
          <w:i/>
        </w:rPr>
        <w:t xml:space="preserve">pc</w:t>
      </w:r>
      <w:r>
        <w:t xml:space="preserve">; not accounting for any control group);</w:t>
      </w:r>
      <w:r>
        <w:t xml:space="preserve"> </w:t>
      </w:r>
      <w:r>
        <w:t xml:space="preserve">∆</w:t>
      </w:r>
      <w:r>
        <w:rPr>
          <w:iCs/>
          <w:i/>
        </w:rPr>
        <w:t xml:space="preserve">g̅</w:t>
      </w:r>
      <w:r>
        <w:t xml:space="preserve"> </w:t>
      </w:r>
      <w:r>
        <w:t xml:space="preserve">= estimated difference in</w:t>
      </w:r>
      <w:r>
        <w:t xml:space="preserve"> </w:t>
      </w:r>
      <w:r>
        <w:rPr>
          <w:iCs/>
          <w:i/>
        </w:rPr>
        <w:t xml:space="preserve">g̅</w:t>
      </w:r>
      <w:r>
        <w:t xml:space="preserve">;</w:t>
      </w:r>
      <w:r>
        <w:t xml:space="preserve"> </w:t>
      </w:r>
      <w:r>
        <w:t xml:space="preserve">note that only language expression included ad hoc measures;</w:t>
      </w:r>
      <w:r>
        <w:t xml:space="preserve"> </w:t>
      </w:r>
      <w:r>
        <w:t xml:space="preserve">τ = estimated random effects standard deviation across studies;</w:t>
      </w:r>
      <w:r>
        <w:t xml:space="preserve"> </w:t>
      </w:r>
      <w:r>
        <w:t xml:space="preserve">σ (person) = estimated random effects standard deviation across persons (within study);</w:t>
      </w:r>
      <w:r>
        <w:t xml:space="preserve"> </w:t>
      </w:r>
      <w:r>
        <w:t xml:space="preserve">σ (measure) = estimated random effects standard deviation across measures (within person);</w:t>
      </w:r>
      <w:r>
        <w:t xml:space="preserve"> </w:t>
      </w:r>
      <w:r>
        <w:t xml:space="preserve">confidence intervals computed using profile likelihood;</w:t>
      </w:r>
      <w:r>
        <w:t xml:space="preserve"> </w:t>
      </w:r>
      <w:r>
        <w:rPr>
          <w:iCs/>
          <w:i/>
        </w:rPr>
        <w:t xml:space="preserve">p</w:t>
      </w:r>
      <w:r>
        <w:t xml:space="preserve"> </w:t>
      </w:r>
      <w:r>
        <w:t xml:space="preserve">values omitted as the appropriate denominator degrees of freedom for linear mixed effects models is ill-defined</w:t>
      </w:r>
      <w:r>
        <w:t xml:space="preserve"> </w:t>
      </w:r>
      <w:r>
        <w:t xml:space="preserve">(Bates, 2006; Bates et al., 2015, pp. 34–35)</w:t>
      </w:r>
      <w:r>
        <w:t xml:space="preserve">; inference should be based on the profile likelihood confidence intervals.</w:t>
      </w:r>
    </w:p>
    <w:bookmarkEnd w:id="40"/>
    <w:bookmarkStart w:id="41" w:name="X5b68db4aa3cd1edbaebf43c82470b0feffa994d"/>
    <w:p>
      <w:pPr>
        <w:pStyle w:val="Heading4"/>
      </w:pPr>
      <w:r>
        <w:t xml:space="preserve">Table 6. IPD meta-analyses with MIT protocol as a moderator</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SE</w:t>
            </w:r>
          </w:p>
        </w:tc>
        <w:tc>
          <w:p>
            <w:pPr>
              <w:pStyle w:val="Compact"/>
              <w:jc w:val="right"/>
            </w:pPr>
            <w:r>
              <w:t xml:space="preserve">t</w:t>
            </w:r>
          </w:p>
        </w:tc>
        <w:tc>
          <w:p>
            <w:pPr>
              <w:pStyle w:val="Compact"/>
              <w:jc w:val="right"/>
            </w:pPr>
            <w:r>
              <w:t xml:space="preserve">95% conf. int.</w:t>
            </w:r>
          </w:p>
        </w:tc>
      </w:tr>
      <w:tr>
        <w:tc>
          <w:p>
            <w:pPr>
              <w:pStyle w:val="Compact"/>
              <w:jc w:val="left"/>
            </w:pPr>
            <w:r>
              <w:t xml:space="preserve">broaderNon-Communicative</w:t>
            </w:r>
            <w:r>
              <w:t xml:space="preserve">Language Expression</w:t>
            </w:r>
          </w:p>
        </w:tc>
        <w:tc>
          <w:p>
            <w:pPr>
              <w:pStyle w:val="Compact"/>
              <w:jc w:val="right"/>
            </w:pPr>
            <w:r>
              <w:t xml:space="preserve">1.71</w:t>
            </w:r>
          </w:p>
        </w:tc>
        <w:tc>
          <w:p>
            <w:pPr>
              <w:pStyle w:val="Compact"/>
              <w:jc w:val="right"/>
            </w:pPr>
            <w:r>
              <w:t xml:space="preserve">0.58</w:t>
            </w:r>
          </w:p>
        </w:tc>
        <w:tc>
          <w:p>
            <w:pPr>
              <w:pStyle w:val="Compact"/>
              <w:jc w:val="right"/>
            </w:pPr>
            <w:r>
              <w:t xml:space="preserve">2.93</w:t>
            </w:r>
          </w:p>
        </w:tc>
        <w:tc>
          <w:p>
            <w:pPr>
              <w:pStyle w:val="Compact"/>
              <w:jc w:val="right"/>
            </w:pPr>
            <w:r>
              <w:t xml:space="preserve">[ 0.59, 2.83]</w:t>
            </w:r>
          </w:p>
        </w:tc>
      </w:tr>
      <w:tr>
        <w:tc>
          <w:p>
            <w:pPr>
              <w:pStyle w:val="Compact"/>
              <w:jc w:val="left"/>
            </w:pPr>
            <w:r>
              <w:t xml:space="preserve">broaderAphasia Severity</w:t>
            </w:r>
          </w:p>
        </w:tc>
        <w:tc>
          <w:p>
            <w:pPr>
              <w:pStyle w:val="Compact"/>
              <w:jc w:val="right"/>
            </w:pPr>
            <w:r>
              <w:t xml:space="preserve">0.64</w:t>
            </w:r>
          </w:p>
        </w:tc>
        <w:tc>
          <w:p>
            <w:pPr>
              <w:pStyle w:val="Compact"/>
              <w:jc w:val="right"/>
            </w:pPr>
            <w:r>
              <w:t xml:space="preserve">0.73</w:t>
            </w:r>
          </w:p>
        </w:tc>
        <w:tc>
          <w:p>
            <w:pPr>
              <w:pStyle w:val="Compact"/>
              <w:jc w:val="right"/>
            </w:pPr>
            <w:r>
              <w:t xml:space="preserve">0.88</w:t>
            </w:r>
          </w:p>
        </w:tc>
        <w:tc>
          <w:p>
            <w:pPr>
              <w:pStyle w:val="Compact"/>
              <w:jc w:val="right"/>
            </w:pPr>
            <w:r>
              <w:t xml:space="preserve">[-0.75, 2.03]</w:t>
            </w:r>
          </w:p>
        </w:tc>
      </w:tr>
      <w:tr>
        <w:tc>
          <w:p>
            <w:pPr>
              <w:pStyle w:val="Compact"/>
              <w:jc w:val="left"/>
            </w:pPr>
            <w:r>
              <w:t xml:space="preserve">broaderCommunication</w:t>
            </w:r>
          </w:p>
        </w:tc>
        <w:tc>
          <w:p>
            <w:pPr>
              <w:pStyle w:val="Compact"/>
              <w:jc w:val="right"/>
            </w:pPr>
            <w:r>
              <w:t xml:space="preserve">1.16</w:t>
            </w:r>
          </w:p>
        </w:tc>
        <w:tc>
          <w:p>
            <w:pPr>
              <w:pStyle w:val="Compact"/>
              <w:jc w:val="right"/>
            </w:pPr>
            <w:r>
              <w:t xml:space="preserve">0.73</w:t>
            </w:r>
          </w:p>
        </w:tc>
        <w:tc>
          <w:p>
            <w:pPr>
              <w:pStyle w:val="Compact"/>
              <w:jc w:val="right"/>
            </w:pPr>
            <w:r>
              <w:t xml:space="preserve">1.60</w:t>
            </w:r>
          </w:p>
        </w:tc>
        <w:tc>
          <w:p>
            <w:pPr>
              <w:pStyle w:val="Compact"/>
              <w:jc w:val="right"/>
            </w:pPr>
            <w:r>
              <w:t xml:space="preserve">[-0.22, 2.55]</w:t>
            </w:r>
          </w:p>
        </w:tc>
      </w:tr>
      <w:tr>
        <w:tc>
          <w:p>
            <w:pPr>
              <w:pStyle w:val="Compact"/>
              <w:jc w:val="left"/>
            </w:pPr>
            <w:r>
              <w:t xml:space="preserve">broaderDomain-General</w:t>
            </w:r>
            <w:r>
              <w:t xml:space="preserve">Functioning</w:t>
            </w:r>
          </w:p>
        </w:tc>
        <w:tc>
          <w:p>
            <w:pPr>
              <w:pStyle w:val="Compact"/>
              <w:jc w:val="right"/>
            </w:pPr>
            <w:r>
              <w:t xml:space="preserve">-0.37</w:t>
            </w:r>
          </w:p>
        </w:tc>
        <w:tc>
          <w:p>
            <w:pPr>
              <w:pStyle w:val="Compact"/>
              <w:jc w:val="right"/>
            </w:pPr>
            <w:r>
              <w:t xml:space="preserve">0.74</w:t>
            </w:r>
          </w:p>
        </w:tc>
        <w:tc>
          <w:p>
            <w:pPr>
              <w:pStyle w:val="Compact"/>
              <w:jc w:val="right"/>
            </w:pPr>
            <w:r>
              <w:t xml:space="preserve">-0.50</w:t>
            </w:r>
          </w:p>
        </w:tc>
        <w:tc>
          <w:p>
            <w:pPr>
              <w:pStyle w:val="Compact"/>
              <w:jc w:val="right"/>
            </w:pPr>
            <w:r>
              <w:t xml:space="preserve">[-1.78, 1.04]</w:t>
            </w:r>
          </w:p>
        </w:tc>
      </w:tr>
      <w:tr>
        <w:tc>
          <w:p>
            <w:pPr>
              <w:pStyle w:val="Compact"/>
              <w:jc w:val="left"/>
            </w:pPr>
            <w:r>
              <w:t xml:space="preserve">broaderLanguage</w:t>
            </w:r>
            <w:r>
              <w:t xml:space="preserve">Comprehension</w:t>
            </w:r>
          </w:p>
        </w:tc>
        <w:tc>
          <w:p>
            <w:pPr>
              <w:pStyle w:val="Compact"/>
              <w:jc w:val="right"/>
            </w:pPr>
            <w:r>
              <w:t xml:space="preserve">0.22</w:t>
            </w:r>
          </w:p>
        </w:tc>
        <w:tc>
          <w:p>
            <w:pPr>
              <w:pStyle w:val="Compact"/>
              <w:jc w:val="right"/>
            </w:pPr>
            <w:r>
              <w:t xml:space="preserve">0.62</w:t>
            </w:r>
          </w:p>
        </w:tc>
        <w:tc>
          <w:p>
            <w:pPr>
              <w:pStyle w:val="Compact"/>
              <w:jc w:val="right"/>
            </w:pPr>
            <w:r>
              <w:t xml:space="preserve">0.35</w:t>
            </w:r>
          </w:p>
        </w:tc>
        <w:tc>
          <w:p>
            <w:pPr>
              <w:pStyle w:val="Compact"/>
              <w:jc w:val="right"/>
            </w:pPr>
            <w:r>
              <w:t xml:space="preserve">[-0.97, 1.40]</w:t>
            </w:r>
          </w:p>
        </w:tc>
      </w:tr>
      <w:tr>
        <w:tc>
          <w:p>
            <w:pPr>
              <w:pStyle w:val="Compact"/>
              <w:jc w:val="left"/>
            </w:pPr>
            <w:r>
              <w:t xml:space="preserve">broaderSpeech-Motor</w:t>
            </w:r>
            <w:r>
              <w:t xml:space="preserve">Planning</w:t>
            </w:r>
          </w:p>
        </w:tc>
        <w:tc>
          <w:p>
            <w:pPr>
              <w:pStyle w:val="Compact"/>
              <w:jc w:val="right"/>
            </w:pPr>
            <w:r>
              <w:t xml:space="preserve">1.11</w:t>
            </w:r>
          </w:p>
        </w:tc>
        <w:tc>
          <w:p>
            <w:pPr>
              <w:pStyle w:val="Compact"/>
              <w:jc w:val="right"/>
            </w:pPr>
            <w:r>
              <w:t xml:space="preserve">0.71</w:t>
            </w:r>
          </w:p>
        </w:tc>
        <w:tc>
          <w:p>
            <w:pPr>
              <w:pStyle w:val="Compact"/>
              <w:jc w:val="right"/>
            </w:pPr>
            <w:r>
              <w:t xml:space="preserve">1.55</w:t>
            </w:r>
          </w:p>
        </w:tc>
        <w:tc>
          <w:p>
            <w:pPr>
              <w:pStyle w:val="Compact"/>
              <w:jc w:val="right"/>
            </w:pPr>
            <w:r>
              <w:t xml:space="preserve">[-0.25, 2.47]</w:t>
            </w:r>
          </w:p>
        </w:tc>
      </w:tr>
      <w:tr>
        <w:tc>
          <w:p>
            <w:pPr>
              <w:pStyle w:val="Compact"/>
              <w:jc w:val="left"/>
            </w:pPr>
            <w:r>
              <w:t xml:space="preserve">unvalidatedunvalidated__untrained</w:t>
            </w:r>
          </w:p>
        </w:tc>
        <w:tc>
          <w:p>
            <w:pPr>
              <w:pStyle w:val="Compact"/>
              <w:jc w:val="right"/>
            </w:pPr>
            <w:r>
              <w:t xml:space="preserve">-0.50</w:t>
            </w:r>
          </w:p>
        </w:tc>
        <w:tc>
          <w:p>
            <w:pPr>
              <w:pStyle w:val="Compact"/>
              <w:jc w:val="right"/>
            </w:pPr>
            <w:r>
              <w:t xml:space="preserve">1.00</w:t>
            </w:r>
          </w:p>
        </w:tc>
        <w:tc>
          <w:p>
            <w:pPr>
              <w:pStyle w:val="Compact"/>
              <w:jc w:val="right"/>
            </w:pPr>
            <w:r>
              <w:t xml:space="preserve">-0.50</w:t>
            </w:r>
          </w:p>
        </w:tc>
        <w:tc>
          <w:p>
            <w:pPr>
              <w:pStyle w:val="Compact"/>
              <w:jc w:val="right"/>
            </w:pPr>
            <w:r>
              <w:t xml:space="preserve">[-2.42, 1.40]</w:t>
            </w:r>
          </w:p>
        </w:tc>
      </w:tr>
      <w:tr>
        <w:tc>
          <w:p>
            <w:pPr>
              <w:pStyle w:val="Compact"/>
              <w:jc w:val="left"/>
            </w:pPr>
            <w:r>
              <w:t xml:space="preserve">unvalidatedunvalidated__trained</w:t>
            </w:r>
          </w:p>
        </w:tc>
        <w:tc>
          <w:p>
            <w:pPr>
              <w:pStyle w:val="Compact"/>
              <w:jc w:val="right"/>
            </w:pPr>
            <w:r>
              <w:t xml:space="preserve">2.35</w:t>
            </w:r>
          </w:p>
        </w:tc>
        <w:tc>
          <w:p>
            <w:pPr>
              <w:pStyle w:val="Compact"/>
              <w:jc w:val="right"/>
            </w:pPr>
            <w:r>
              <w:t xml:space="preserve">1.00</w:t>
            </w:r>
          </w:p>
        </w:tc>
        <w:tc>
          <w:p>
            <w:pPr>
              <w:pStyle w:val="Compact"/>
              <w:jc w:val="right"/>
            </w:pPr>
            <w:r>
              <w:t xml:space="preserve">2.35</w:t>
            </w:r>
          </w:p>
        </w:tc>
        <w:tc>
          <w:p>
            <w:pPr>
              <w:pStyle w:val="Compact"/>
              <w:jc w:val="right"/>
            </w:pPr>
            <w:r>
              <w:t xml:space="preserve">[ 0.42, 4.25]</w:t>
            </w:r>
          </w:p>
        </w:tc>
      </w:tr>
      <w:tr>
        <w:tc>
          <w:p>
            <w:pPr>
              <w:pStyle w:val="Compact"/>
              <w:jc w:val="left"/>
            </w:pPr>
            <w:r>
              <w:t xml:space="preserve">modified_mitModified MIT</w:t>
            </w:r>
          </w:p>
        </w:tc>
        <w:tc>
          <w:p>
            <w:pPr>
              <w:pStyle w:val="Compact"/>
              <w:jc w:val="right"/>
            </w:pPr>
            <w:r>
              <w:t xml:space="preserve">0.56</w:t>
            </w:r>
          </w:p>
        </w:tc>
        <w:tc>
          <w:p>
            <w:pPr>
              <w:pStyle w:val="Compact"/>
              <w:jc w:val="right"/>
            </w:pPr>
            <w:r>
              <w:t xml:space="preserve">0.77</w:t>
            </w:r>
          </w:p>
        </w:tc>
        <w:tc>
          <w:p>
            <w:pPr>
              <w:pStyle w:val="Compact"/>
              <w:jc w:val="right"/>
            </w:pPr>
            <w:r>
              <w:t xml:space="preserve">0.73</w:t>
            </w:r>
          </w:p>
        </w:tc>
        <w:tc>
          <w:p>
            <w:pPr>
              <w:pStyle w:val="Compact"/>
              <w:jc w:val="right"/>
            </w:pPr>
            <w:r>
              <w:t xml:space="preserve">[-0.92, 2.03]</w:t>
            </w:r>
          </w:p>
        </w:tc>
      </w:tr>
      <w:tr>
        <w:tc>
          <w:p>
            <w:pPr>
              <w:pStyle w:val="Compact"/>
              <w:jc w:val="left"/>
            </w:pPr>
            <w:r>
              <w:t xml:space="preserve">sigma person</w:t>
            </w:r>
          </w:p>
        </w:tc>
        <w:tc>
          <w:p>
            <w:pPr>
              <w:pStyle w:val="Compact"/>
              <w:jc w:val="right"/>
            </w:pPr>
            <w:r>
              <w:t xml:space="preserve">0.82</w:t>
            </w:r>
          </w:p>
        </w:tc>
        <w:tc>
          <w:p/>
        </w:tc>
        <w:tc>
          <w:p/>
        </w:tc>
        <w:tc>
          <w:p>
            <w:pPr>
              <w:pStyle w:val="Compact"/>
              <w:jc w:val="right"/>
            </w:pPr>
            <w:r>
              <w:t xml:space="preserve">[ 0.49, 1.21]</w:t>
            </w:r>
          </w:p>
        </w:tc>
      </w:tr>
      <w:tr>
        <w:tc>
          <w:p>
            <w:pPr>
              <w:pStyle w:val="Compact"/>
              <w:jc w:val="left"/>
            </w:pPr>
            <w:r>
              <w:t xml:space="preserve">tau</w:t>
            </w:r>
          </w:p>
        </w:tc>
        <w:tc>
          <w:p>
            <w:pPr>
              <w:pStyle w:val="Compact"/>
              <w:jc w:val="right"/>
            </w:pPr>
            <w:r>
              <w:t xml:space="preserve">1.42</w:t>
            </w:r>
          </w:p>
        </w:tc>
        <w:tc>
          <w:p/>
        </w:tc>
        <w:tc>
          <w:p/>
        </w:tc>
        <w:tc>
          <w:p>
            <w:pPr>
              <w:pStyle w:val="Compact"/>
              <w:jc w:val="right"/>
            </w:pPr>
            <w:r>
              <w:t xml:space="preserve">[ 0.84, 2.00]</w:t>
            </w:r>
          </w:p>
        </w:tc>
      </w:tr>
      <w:tr>
        <w:tc>
          <w:p>
            <w:pPr>
              <w:pStyle w:val="Compact"/>
              <w:jc w:val="left"/>
            </w:pPr>
            <w:r>
              <w:t xml:space="preserve">sigma residual</w:t>
            </w:r>
          </w:p>
        </w:tc>
        <w:tc>
          <w:p>
            <w:pPr>
              <w:pStyle w:val="Compact"/>
              <w:jc w:val="right"/>
            </w:pPr>
            <w:r>
              <w:t xml:space="preserve">1.86</w:t>
            </w:r>
          </w:p>
        </w:tc>
        <w:tc>
          <w:p/>
        </w:tc>
        <w:tc>
          <w:p/>
        </w:tc>
        <w:tc>
          <w:p>
            <w:pPr>
              <w:pStyle w:val="Compact"/>
              <w:jc w:val="right"/>
            </w:pPr>
            <w:r>
              <w:t xml:space="preserve">[ 1.70, 2.01]</w:t>
            </w:r>
          </w:p>
        </w:tc>
      </w:tr>
    </w:tbl>
    <w:p>
      <w:pPr>
        <w:pStyle w:val="BodyText"/>
      </w:pPr>
      <w:r>
        <w:rPr>
          <w:iCs/>
          <w:i/>
        </w:rPr>
        <w:t xml:space="preserve">Note.</w:t>
      </w:r>
      <w:r>
        <w:t xml:space="preserve"> </w:t>
      </w:r>
      <w:r>
        <w:rPr>
          <w:iCs/>
          <w:i/>
        </w:rPr>
        <w:t xml:space="preserve">g̅</w:t>
      </w:r>
      <w:r>
        <w:t xml:space="preserve"> </w:t>
      </w:r>
      <w:r>
        <w:t xml:space="preserve">= mean pretest-posttest difference (</w:t>
      </w:r>
      <w:r>
        <w:rPr>
          <w:iCs/>
          <w:i/>
        </w:rPr>
        <w:t xml:space="preserve">g</w:t>
      </w:r>
      <w:r>
        <w:rPr>
          <w:vertAlign w:val="subscript"/>
          <w:iCs/>
          <w:i/>
        </w:rPr>
        <w:t xml:space="preserve">pc</w:t>
      </w:r>
      <w:r>
        <w:t xml:space="preserve">; not accounting for any control group);</w:t>
      </w:r>
      <w:r>
        <w:t xml:space="preserve"> </w:t>
      </w:r>
      <w:r>
        <w:t xml:space="preserve">∆</w:t>
      </w:r>
      <w:r>
        <w:rPr>
          <w:iCs/>
          <w:i/>
        </w:rPr>
        <w:t xml:space="preserve">g̅</w:t>
      </w:r>
      <w:r>
        <w:t xml:space="preserve"> </w:t>
      </w:r>
      <w:r>
        <w:t xml:space="preserve">= estimated difference in</w:t>
      </w:r>
      <w:r>
        <w:t xml:space="preserve"> </w:t>
      </w:r>
      <w:r>
        <w:rPr>
          <w:iCs/>
          <w:i/>
        </w:rPr>
        <w:t xml:space="preserve">g̅</w:t>
      </w:r>
      <w:r>
        <w:t xml:space="preserve">;</w:t>
      </w:r>
      <w:r>
        <w:t xml:space="preserve"> </w:t>
      </w:r>
      <w:r>
        <w:t xml:space="preserve">note that only language expression included ad hoc measures;</w:t>
      </w:r>
      <w:r>
        <w:t xml:space="preserve"> </w:t>
      </w:r>
      <w:r>
        <w:t xml:space="preserve">τ = estimated random effects standard deviation across studies;</w:t>
      </w:r>
      <w:r>
        <w:t xml:space="preserve"> </w:t>
      </w:r>
      <w:r>
        <w:t xml:space="preserve">σ (person) = estimated random effects standard deviation across persons (within study);</w:t>
      </w:r>
      <w:r>
        <w:t xml:space="preserve"> </w:t>
      </w:r>
      <w:r>
        <w:t xml:space="preserve">σ (measure) = estimated random effects standard deviation across measures (within person);</w:t>
      </w:r>
      <w:r>
        <w:t xml:space="preserve"> </w:t>
      </w:r>
      <w:r>
        <w:t xml:space="preserve">confidence intervals computed using profile likelihood;</w:t>
      </w:r>
      <w:r>
        <w:t xml:space="preserve"> </w:t>
      </w:r>
      <w:r>
        <w:rPr>
          <w:iCs/>
          <w:i/>
        </w:rPr>
        <w:t xml:space="preserve">p</w:t>
      </w:r>
      <w:r>
        <w:t xml:space="preserve"> </w:t>
      </w:r>
      <w:r>
        <w:t xml:space="preserve">values omitted as the appropriate denominator degrees of freedom for linear mixed effects models is ill-defined</w:t>
      </w:r>
      <w:r>
        <w:t xml:space="preserve"> </w:t>
      </w:r>
      <w:r>
        <w:t xml:space="preserve">(Bates, 2006; Bates et al., 2015, pp. 34–35)</w:t>
      </w:r>
      <w:r>
        <w:t xml:space="preserve">; inference should be based on the profile likelihood confidence intervals.</w:t>
      </w:r>
    </w:p>
    <w:bookmarkEnd w:id="41"/>
    <w:bookmarkEnd w:id="42"/>
    <w:bookmarkStart w:id="68" w:name="references"/>
    <w:p>
      <w:pPr>
        <w:pStyle w:val="Heading2"/>
      </w:pPr>
      <w:r>
        <w:t xml:space="preserve">References</w:t>
      </w:r>
    </w:p>
    <w:bookmarkStart w:id="67" w:name="refs"/>
    <w:bookmarkStart w:id="44" w:name="ref-Bates2006LmerPvalues"/>
    <w:p>
      <w:pPr>
        <w:pStyle w:val="Bibliography"/>
      </w:pPr>
      <w:r>
        <w:t xml:space="preserve">Bates, D. (2006, May 19).</w:t>
      </w:r>
      <w:r>
        <w:t xml:space="preserve"> </w:t>
      </w:r>
      <w:r>
        <w:rPr>
          <w:iCs/>
          <w:i/>
        </w:rPr>
        <w:t xml:space="preserve">[R] lmer, p-values and all that</w:t>
      </w:r>
      <w:r>
        <w:t xml:space="preserve"> </w:t>
      </w:r>
      <w:r>
        <w:t xml:space="preserve">[Listserv message]. R-Help Listserv.</w:t>
      </w:r>
      <w:r>
        <w:t xml:space="preserve"> </w:t>
      </w:r>
      <w:hyperlink r:id="rId43">
        <w:r>
          <w:rPr>
            <w:rStyle w:val="Hyperlink"/>
          </w:rPr>
          <w:t xml:space="preserve">https://stat.ethz.ch/pipermail/r-help/2006-May/094765.html</w:t>
        </w:r>
      </w:hyperlink>
    </w:p>
    <w:bookmarkEnd w:id="44"/>
    <w:bookmarkStart w:id="46" w:name="ref-lme4article"/>
    <w:p>
      <w:pPr>
        <w:pStyle w:val="Bibliography"/>
      </w:pPr>
      <w:r>
        <w:t xml:space="preserve">Bates, D., Mächler, M., Bolker, B., &amp; Walker, S. (2015). Fitting linear mixed-effects models using</w:t>
      </w:r>
      <w:r>
        <w:t xml:space="preserve"> </w:t>
      </w:r>
      <w:r>
        <w:rPr>
          <w:iCs/>
          <w:i/>
        </w:rP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 1.</w:t>
      </w:r>
      <w:r>
        <w:t xml:space="preserve"> </w:t>
      </w:r>
      <w:hyperlink r:id="rId45">
        <w:r>
          <w:rPr>
            <w:rStyle w:val="Hyperlink"/>
          </w:rPr>
          <w:t xml:space="preserve">https://doi.org/10.18637/jss.v067.i01</w:t>
        </w:r>
      </w:hyperlink>
    </w:p>
    <w:bookmarkEnd w:id="46"/>
    <w:bookmarkStart w:id="48" w:name="ref-Cohen1999POMPscores"/>
    <w:p>
      <w:pPr>
        <w:pStyle w:val="Bibliography"/>
      </w:pPr>
      <w:r>
        <w:t xml:space="preserve">Cohen, P., Cohen, J., Aiken, L. S., &amp; West, S. G. (1999). The problem of units and the circumstance for POMP.</w:t>
      </w:r>
      <w:r>
        <w:t xml:space="preserve"> </w:t>
      </w:r>
      <w:r>
        <w:rPr>
          <w:iCs/>
          <w:i/>
        </w:rPr>
        <w:t xml:space="preserve">Multivariate Behavioral Research</w:t>
      </w:r>
      <w:r>
        <w:t xml:space="preserve">,</w:t>
      </w:r>
      <w:r>
        <w:t xml:space="preserve"> </w:t>
      </w:r>
      <w:r>
        <w:rPr>
          <w:iCs/>
          <w:i/>
        </w:rPr>
        <w:t xml:space="preserve">34</w:t>
      </w:r>
      <w:r>
        <w:t xml:space="preserve">(3), 315–346.</w:t>
      </w:r>
      <w:r>
        <w:t xml:space="preserve"> </w:t>
      </w:r>
      <w:hyperlink r:id="rId47">
        <w:r>
          <w:rPr>
            <w:rStyle w:val="Hyperlink"/>
          </w:rPr>
          <w:t xml:space="preserve">https://doi.org/10.1207/S15327906MBR3403_2</w:t>
        </w:r>
      </w:hyperlink>
    </w:p>
    <w:bookmarkEnd w:id="48"/>
    <w:bookmarkStart w:id="50" w:name="ref-inthout2016"/>
    <w:p>
      <w:pPr>
        <w:pStyle w:val="Bibliography"/>
      </w:pPr>
      <w:r>
        <w:t xml:space="preserve">IntHout, J., Ioannidis, J. P. A., Rovers, M. M., &amp; Goeman, J. J. (2016). Plea for routinely presenting prediction intervals in meta-analysis.</w:t>
      </w:r>
      <w:r>
        <w:t xml:space="preserve"> </w:t>
      </w:r>
      <w:r>
        <w:rPr>
          <w:iCs/>
          <w:i/>
        </w:rPr>
        <w:t xml:space="preserve">BMJ Open</w:t>
      </w:r>
      <w:r>
        <w:t xml:space="preserve">,</w:t>
      </w:r>
      <w:r>
        <w:t xml:space="preserve"> </w:t>
      </w:r>
      <w:r>
        <w:rPr>
          <w:iCs/>
          <w:i/>
        </w:rPr>
        <w:t xml:space="preserve">6</w:t>
      </w:r>
      <w:r>
        <w:t xml:space="preserve">(7), e010247.</w:t>
      </w:r>
      <w:r>
        <w:t xml:space="preserve"> </w:t>
      </w:r>
      <w:hyperlink r:id="rId49">
        <w:r>
          <w:rPr>
            <w:rStyle w:val="Hyperlink"/>
          </w:rPr>
          <w:t xml:space="preserve">https://doi.org/10.1136/bmjopen-2015-010247</w:t>
        </w:r>
      </w:hyperlink>
    </w:p>
    <w:bookmarkEnd w:id="50"/>
    <w:bookmarkStart w:id="52" w:name="ref-Ivanova2013TutorialAphasia"/>
    <w:p>
      <w:pPr>
        <w:pStyle w:val="Bibliography"/>
      </w:pPr>
      <w:r>
        <w:t xml:space="preserve">Ivanova, M. V., &amp; Hallowell, B. (2013). A tutorial on aphasia test development in any language: Key substantive and psychometric considerations.</w:t>
      </w:r>
      <w:r>
        <w:t xml:space="preserve"> </w:t>
      </w:r>
      <w:r>
        <w:rPr>
          <w:iCs/>
          <w:i/>
        </w:rPr>
        <w:t xml:space="preserve">Aphasiology</w:t>
      </w:r>
      <w:r>
        <w:t xml:space="preserve">,</w:t>
      </w:r>
      <w:r>
        <w:t xml:space="preserve"> </w:t>
      </w:r>
      <w:r>
        <w:rPr>
          <w:iCs/>
          <w:i/>
        </w:rPr>
        <w:t xml:space="preserve">27</w:t>
      </w:r>
      <w:r>
        <w:t xml:space="preserve">(8), 891–920.</w:t>
      </w:r>
      <w:r>
        <w:t xml:space="preserve"> </w:t>
      </w:r>
      <w:hyperlink r:id="rId51">
        <w:r>
          <w:rPr>
            <w:rStyle w:val="Hyperlink"/>
          </w:rPr>
          <w:t xml:space="preserve">https://doi.org/10.1080/02687038.2013.805728</w:t>
        </w:r>
      </w:hyperlink>
    </w:p>
    <w:bookmarkEnd w:id="52"/>
    <w:bookmarkStart w:id="54" w:name="ref-knapp2003"/>
    <w:p>
      <w:pPr>
        <w:pStyle w:val="Bibliography"/>
      </w:pPr>
      <w:r>
        <w:t xml:space="preserve">Knapp, G., &amp; Hartung, J. (2003). Improved tests for a random effects meta-regression with a single covariate.</w:t>
      </w:r>
      <w:r>
        <w:t xml:space="preserve"> </w:t>
      </w:r>
      <w:r>
        <w:rPr>
          <w:iCs/>
          <w:i/>
        </w:rPr>
        <w:t xml:space="preserve">Statistics in Medicine</w:t>
      </w:r>
      <w:r>
        <w:t xml:space="preserve">,</w:t>
      </w:r>
      <w:r>
        <w:t xml:space="preserve"> </w:t>
      </w:r>
      <w:r>
        <w:rPr>
          <w:iCs/>
          <w:i/>
        </w:rPr>
        <w:t xml:space="preserve">22</w:t>
      </w:r>
      <w:r>
        <w:t xml:space="preserve">(17), 2693–2710.</w:t>
      </w:r>
      <w:r>
        <w:t xml:space="preserve"> </w:t>
      </w:r>
      <w:hyperlink r:id="rId53">
        <w:r>
          <w:rPr>
            <w:rStyle w:val="Hyperlink"/>
          </w:rPr>
          <w:t xml:space="preserve">https://doi.org/10.1002/sim.1482</w:t>
        </w:r>
      </w:hyperlink>
    </w:p>
    <w:bookmarkEnd w:id="54"/>
    <w:bookmarkStart w:id="56" w:name="ref-konstantopoulos2011"/>
    <w:p>
      <w:pPr>
        <w:pStyle w:val="Bibliography"/>
      </w:pPr>
      <w:r>
        <w:t xml:space="preserve">Konstantopoulos, S. (2011). Fixed effects and variance components estimation in three-level meta-analysis: Three-level meta-analysis.</w:t>
      </w:r>
      <w:r>
        <w:t xml:space="preserve"> </w:t>
      </w:r>
      <w:r>
        <w:rPr>
          <w:iCs/>
          <w:i/>
        </w:rPr>
        <w:t xml:space="preserve">Research Synthesis Methods</w:t>
      </w:r>
      <w:r>
        <w:t xml:space="preserve">,</w:t>
      </w:r>
      <w:r>
        <w:t xml:space="preserve"> </w:t>
      </w:r>
      <w:r>
        <w:rPr>
          <w:iCs/>
          <w:i/>
        </w:rPr>
        <w:t xml:space="preserve">2</w:t>
      </w:r>
      <w:r>
        <w:t xml:space="preserve">(1), 61–76.</w:t>
      </w:r>
      <w:r>
        <w:t xml:space="preserve"> </w:t>
      </w:r>
      <w:hyperlink r:id="rId55">
        <w:r>
          <w:rPr>
            <w:rStyle w:val="Hyperlink"/>
          </w:rPr>
          <w:t xml:space="preserve">https://doi.org/10.1002/jrsm.35</w:t>
        </w:r>
      </w:hyperlink>
    </w:p>
    <w:bookmarkEnd w:id="56"/>
    <w:bookmarkStart w:id="58" w:name="ref-Morris2008EstimatingEffect"/>
    <w:p>
      <w:pPr>
        <w:pStyle w:val="Bibliography"/>
      </w:pPr>
      <w:r>
        <w:t xml:space="preserve">Morris, S. B. (2008). Estimating effect sizes from pretest-posttest-control group designs.</w:t>
      </w:r>
      <w:r>
        <w:t xml:space="preserve"> </w:t>
      </w:r>
      <w:r>
        <w:rPr>
          <w:iCs/>
          <w:i/>
        </w:rPr>
        <w:t xml:space="preserve">Organizational Research Methods</w:t>
      </w:r>
      <w:r>
        <w:t xml:space="preserve">,</w:t>
      </w:r>
      <w:r>
        <w:t xml:space="preserve"> </w:t>
      </w:r>
      <w:r>
        <w:rPr>
          <w:iCs/>
          <w:i/>
        </w:rPr>
        <w:t xml:space="preserve">11</w:t>
      </w:r>
      <w:r>
        <w:t xml:space="preserve">(2), 364–386.</w:t>
      </w:r>
      <w:r>
        <w:t xml:space="preserve"> </w:t>
      </w:r>
      <w:hyperlink r:id="rId57">
        <w:r>
          <w:rPr>
            <w:rStyle w:val="Hyperlink"/>
          </w:rPr>
          <w:t xml:space="preserve">https://doi.org/10.1177/1094428106291059</w:t>
        </w:r>
      </w:hyperlink>
    </w:p>
    <w:bookmarkEnd w:id="58"/>
    <w:bookmarkStart w:id="60" w:name="ref-rcoreteam2021"/>
    <w:p>
      <w:pPr>
        <w:pStyle w:val="Bibliography"/>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59">
        <w:r>
          <w:rPr>
            <w:rStyle w:val="Hyperlink"/>
          </w:rPr>
          <w:t xml:space="preserve">http://www.r-project.org/</w:t>
        </w:r>
      </w:hyperlink>
    </w:p>
    <w:bookmarkEnd w:id="60"/>
    <w:bookmarkStart w:id="62" w:name="ref-Riley2010IPDmeta"/>
    <w:p>
      <w:pPr>
        <w:pStyle w:val="Bibliography"/>
      </w:pPr>
      <w:r>
        <w:t xml:space="preserve">Riley, R. D., Lambert, P. C., &amp; Abo-Zaid, G. (2010). Meta-analysis of individual participant data: rationale, conduct, and reporting.</w:t>
      </w:r>
      <w:r>
        <w:t xml:space="preserve"> </w:t>
      </w:r>
      <w:r>
        <w:rPr>
          <w:iCs/>
          <w:i/>
        </w:rPr>
        <w:t xml:space="preserve">BMJ</w:t>
      </w:r>
      <w:r>
        <w:t xml:space="preserve">,</w:t>
      </w:r>
      <w:r>
        <w:t xml:space="preserve"> </w:t>
      </w:r>
      <w:r>
        <w:rPr>
          <w:iCs/>
          <w:i/>
        </w:rPr>
        <w:t xml:space="preserve">340</w:t>
      </w:r>
      <w:r>
        <w:t xml:space="preserve">, c221.</w:t>
      </w:r>
      <w:r>
        <w:t xml:space="preserve"> </w:t>
      </w:r>
      <w:hyperlink r:id="rId61">
        <w:r>
          <w:rPr>
            <w:rStyle w:val="Hyperlink"/>
          </w:rPr>
          <w:t xml:space="preserve">https://doi.org/10.1136/bmj.c221</w:t>
        </w:r>
      </w:hyperlink>
    </w:p>
    <w:bookmarkEnd w:id="62"/>
    <w:bookmarkStart w:id="64" w:name="ref-viechtbauer2005"/>
    <w:p>
      <w:pPr>
        <w:pStyle w:val="Bibliography"/>
      </w:pPr>
      <w:r>
        <w:t xml:space="preserve">Viechtbauer, W. (2005). Bias and efficiency of meta-analytic variance estimators in the random-effects model.</w:t>
      </w:r>
      <w:r>
        <w:t xml:space="preserve"> </w:t>
      </w:r>
      <w:r>
        <w:rPr>
          <w:iCs/>
          <w:i/>
        </w:rPr>
        <w:t xml:space="preserve">Journal of Educational and Behavioral Statistics</w:t>
      </w:r>
      <w:r>
        <w:t xml:space="preserve">,</w:t>
      </w:r>
      <w:r>
        <w:t xml:space="preserve"> </w:t>
      </w:r>
      <w:r>
        <w:rPr>
          <w:iCs/>
          <w:i/>
        </w:rPr>
        <w:t xml:space="preserve">30</w:t>
      </w:r>
      <w:r>
        <w:t xml:space="preserve">(3), 261–293.</w:t>
      </w:r>
      <w:r>
        <w:t xml:space="preserve"> </w:t>
      </w:r>
      <w:hyperlink r:id="rId63">
        <w:r>
          <w:rPr>
            <w:rStyle w:val="Hyperlink"/>
          </w:rPr>
          <w:t xml:space="preserve">https://doi.org/10.3102/10769986030003261</w:t>
        </w:r>
      </w:hyperlink>
    </w:p>
    <w:bookmarkEnd w:id="64"/>
    <w:bookmarkStart w:id="66" w:name="ref-viechtbauer2010"/>
    <w:p>
      <w:pPr>
        <w:pStyle w:val="Bibliography"/>
      </w:pPr>
      <w:r>
        <w:t xml:space="preserve">Viechtbauer, W. (2010). Conducting meta-analyses in</w:t>
      </w:r>
      <w:r>
        <w:t xml:space="preserve"> </w:t>
      </w:r>
      <w:r>
        <w:rPr>
          <w:iCs/>
          <w:i/>
        </w:rPr>
        <w:t xml:space="preserve">R</w:t>
      </w:r>
      <w:r>
        <w:t xml:space="preserve"> </w:t>
      </w:r>
      <w:r>
        <w:t xml:space="preserve">with the</w:t>
      </w:r>
      <w:r>
        <w:t xml:space="preserve"> </w:t>
      </w:r>
      <w:r>
        <w:rPr>
          <w:bCs/>
          <w:b/>
        </w:rPr>
        <w:t xml:space="preserve">metafor</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w:t>
      </w:r>
      <w:r>
        <w:t xml:space="preserve"> </w:t>
      </w:r>
      <w:hyperlink r:id="rId65">
        <w:r>
          <w:rPr>
            <w:rStyle w:val="Hyperlink"/>
          </w:rPr>
          <w:t xml:space="preserve">https://doi.org/10.18637/jss.v036.i03</w:t>
        </w:r>
      </w:hyperlink>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For a small number of studies, it was not possible to determine the maximum or minimum possible scores. For these studies, we computed POMP scores using the maximum and minimum</w:t>
      </w:r>
      <w:r>
        <w:t xml:space="preserve"> </w:t>
      </w:r>
      <w:r>
        <w:rPr>
          <w:iCs/>
          <w:i/>
        </w:rPr>
        <w:t xml:space="preserve">observed</w:t>
      </w:r>
      <w:r>
        <w:t xml:space="preserve"> </w:t>
      </w:r>
      <w:r>
        <w:t xml:space="preserve">scores in the sample. Results did not meaningful change if we excluded these studies from results.</w:t>
      </w:r>
    </w:p>
  </w:footnote>
  <w:footnote w:id="22">
    <w:p>
      <w:pPr>
        <w:pStyle w:val="FootnoteText"/>
      </w:pPr>
      <w:r>
        <w:rPr>
          <w:rStyle w:val="FootnoteReference"/>
        </w:rPr>
        <w:footnoteRef/>
      </w:r>
      <w:r>
        <w:t xml:space="preserve"> </w:t>
      </w:r>
      <w:r>
        <w:t xml:space="preserve">For comparison, we also estimated models with with unequal random effects variances across dependent variables. This did not improve model fit based on AICc comparison or likelihood ratio tests.</w:t>
      </w:r>
    </w:p>
  </w:footnote>
  <w:footnote w:id="23">
    <w:p>
      <w:pPr>
        <w:pStyle w:val="FootnoteText"/>
      </w:pPr>
      <w:r>
        <w:rPr>
          <w:rStyle w:val="FootnoteReference"/>
        </w:rPr>
        <w:footnoteRef/>
      </w:r>
      <w:r>
        <w:t xml:space="preserve"> </w:t>
      </w:r>
      <w:r>
        <w:t xml:space="preserve">As only 3 group-level RCT studies were identified, it was not possible to apply methods to detect publication-bias or other small-sample effects (e.g., tests of funnel plot asymmetry).</w:t>
      </w:r>
    </w:p>
  </w:footnote>
  <w:footnote w:id="25">
    <w:p>
      <w:pPr>
        <w:pStyle w:val="FootnoteText"/>
      </w:pPr>
      <w:r>
        <w:rPr>
          <w:rStyle w:val="FootnoteReference"/>
        </w:rPr>
        <w:footnoteRef/>
      </w:r>
      <w:r>
        <w:t xml:space="preserve"> </w:t>
      </w:r>
      <w:r>
        <w:t xml:space="preserve">Models with random slopes for the ability domain variable did not converge, likely due to the limited co-occurrence of specific pairs of ability categories within any one study.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59" Target="http://www.r-project.org/" TargetMode="External" /><Relationship Type="http://schemas.openxmlformats.org/officeDocument/2006/relationships/hyperlink" Id="rId55" Target="https://doi.org/10.1002/jrsm.35" TargetMode="External" /><Relationship Type="http://schemas.openxmlformats.org/officeDocument/2006/relationships/hyperlink" Id="rId53" Target="https://doi.org/10.1002/sim.1482" TargetMode="External" /><Relationship Type="http://schemas.openxmlformats.org/officeDocument/2006/relationships/hyperlink" Id="rId51" Target="https://doi.org/10.1080/02687038.2013.805728" TargetMode="External" /><Relationship Type="http://schemas.openxmlformats.org/officeDocument/2006/relationships/hyperlink" Id="rId61" Target="https://doi.org/10.1136/bmj.c221" TargetMode="External" /><Relationship Type="http://schemas.openxmlformats.org/officeDocument/2006/relationships/hyperlink" Id="rId49" Target="https://doi.org/10.1136/bmjopen-2015-010247" TargetMode="External" /><Relationship Type="http://schemas.openxmlformats.org/officeDocument/2006/relationships/hyperlink" Id="rId57" Target="https://doi.org/10.1177/1094428106291059" TargetMode="External" /><Relationship Type="http://schemas.openxmlformats.org/officeDocument/2006/relationships/hyperlink" Id="rId47" Target="https://doi.org/10.1207/S15327906MBR3403_2" TargetMode="External" /><Relationship Type="http://schemas.openxmlformats.org/officeDocument/2006/relationships/hyperlink" Id="rId65" Target="https://doi.org/10.18637/jss.v036.i03" TargetMode="External" /><Relationship Type="http://schemas.openxmlformats.org/officeDocument/2006/relationships/hyperlink" Id="rId45" Target="https://doi.org/10.18637/jss.v067.i01" TargetMode="External" /><Relationship Type="http://schemas.openxmlformats.org/officeDocument/2006/relationships/hyperlink" Id="rId63" Target="https://doi.org/10.3102/10769986030003261" TargetMode="External" /><Relationship Type="http://schemas.openxmlformats.org/officeDocument/2006/relationships/hyperlink" Id="rId43" Target="https://stat.ethz.ch/pipermail/r-help/2006-May/094765.html" TargetMode="External" /></Relationships>
</file>

<file path=word/_rels/footnotes.xml.rels><?xml version="1.0" encoding="UTF-8"?>
<Relationships xmlns="http://schemas.openxmlformats.org/package/2006/relationships"><Relationship Type="http://schemas.openxmlformats.org/officeDocument/2006/relationships/hyperlink" Id="rId59" Target="http://www.r-project.org/" TargetMode="External" /><Relationship Type="http://schemas.openxmlformats.org/officeDocument/2006/relationships/hyperlink" Id="rId55" Target="https://doi.org/10.1002/jrsm.35" TargetMode="External" /><Relationship Type="http://schemas.openxmlformats.org/officeDocument/2006/relationships/hyperlink" Id="rId53" Target="https://doi.org/10.1002/sim.1482" TargetMode="External" /><Relationship Type="http://schemas.openxmlformats.org/officeDocument/2006/relationships/hyperlink" Id="rId51" Target="https://doi.org/10.1080/02687038.2013.805728" TargetMode="External" /><Relationship Type="http://schemas.openxmlformats.org/officeDocument/2006/relationships/hyperlink" Id="rId61" Target="https://doi.org/10.1136/bmj.c221" TargetMode="External" /><Relationship Type="http://schemas.openxmlformats.org/officeDocument/2006/relationships/hyperlink" Id="rId49" Target="https://doi.org/10.1136/bmjopen-2015-010247" TargetMode="External" /><Relationship Type="http://schemas.openxmlformats.org/officeDocument/2006/relationships/hyperlink" Id="rId57" Target="https://doi.org/10.1177/1094428106291059" TargetMode="External" /><Relationship Type="http://schemas.openxmlformats.org/officeDocument/2006/relationships/hyperlink" Id="rId47" Target="https://doi.org/10.1207/S15327906MBR3403_2" TargetMode="External" /><Relationship Type="http://schemas.openxmlformats.org/officeDocument/2006/relationships/hyperlink" Id="rId65" Target="https://doi.org/10.18637/jss.v036.i03" TargetMode="External" /><Relationship Type="http://schemas.openxmlformats.org/officeDocument/2006/relationships/hyperlink" Id="rId45" Target="https://doi.org/10.18637/jss.v067.i01" TargetMode="External" /><Relationship Type="http://schemas.openxmlformats.org/officeDocument/2006/relationships/hyperlink" Id="rId63" Target="https://doi.org/10.3102/10769986030003261" TargetMode="External" /><Relationship Type="http://schemas.openxmlformats.org/officeDocument/2006/relationships/hyperlink" Id="rId43" Target="https://stat.ethz.ch/pipermail/r-help/2006-May/0947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 meta-analyses</dc:title>
  <dc:creator>Brenton M. Wiernik</dc:creator>
  <cp:keywords/>
  <dcterms:created xsi:type="dcterms:W3CDTF">2021-07-28T21:34:55Z</dcterms:created>
  <dcterms:modified xsi:type="dcterms:W3CDTF">2021-07-28T21:34:55Z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references.yaml</vt:lpwstr>
  </property>
  <property fmtid="{D5CDD505-2E9C-101B-9397-08002B2CF9AE}" pid="3" name="csl">
    <vt:lpwstr>https://zotero.org/styles/apa</vt:lpwstr>
  </property>
  <property fmtid="{D5CDD505-2E9C-101B-9397-08002B2CF9AE}" pid="4" name="date">
    <vt:lpwstr>05/22/2021</vt:lpwstr>
  </property>
  <property fmtid="{D5CDD505-2E9C-101B-9397-08002B2CF9AE}" pid="5" name="output">
    <vt:lpwstr>word_document</vt:lpwstr>
  </property>
</Properties>
</file>