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96F" w:rsidRDefault="00A11B72">
      <w:r>
        <w:t>Lee,</w:t>
      </w:r>
    </w:p>
    <w:p w:rsidR="0086296F" w:rsidRDefault="0086296F"/>
    <w:p w:rsidR="0086296F" w:rsidRDefault="00811E39">
      <w:r>
        <w:t xml:space="preserve">This document covers </w:t>
      </w:r>
      <w:r w:rsidR="00A11B72">
        <w:t xml:space="preserve">a short </w:t>
      </w:r>
      <w:r>
        <w:t xml:space="preserve">analysis of the </w:t>
      </w:r>
      <w:proofErr w:type="spellStart"/>
      <w:r w:rsidR="0086296F">
        <w:t>Mixon</w:t>
      </w:r>
      <w:proofErr w:type="spellEnd"/>
      <w:r w:rsidR="0086296F">
        <w:t xml:space="preserve"> Hill Product Development Process Guidance</w:t>
      </w:r>
      <w:r>
        <w:t xml:space="preserve"> process.</w:t>
      </w:r>
    </w:p>
    <w:p w:rsidR="00CB7496" w:rsidRPr="00CB7496" w:rsidRDefault="00CB7496">
      <w:pPr>
        <w:rPr>
          <w:b/>
        </w:rPr>
      </w:pPr>
      <w:r w:rsidRPr="00CB7496">
        <w:rPr>
          <w:b/>
        </w:rPr>
        <w:t>Format</w:t>
      </w:r>
    </w:p>
    <w:p w:rsidR="00811E39" w:rsidRDefault="00811E39" w:rsidP="00811E39">
      <w:pPr>
        <w:pStyle w:val="ListParagraph"/>
        <w:numPr>
          <w:ilvl w:val="0"/>
          <w:numId w:val="1"/>
        </w:numPr>
      </w:pPr>
      <w:r>
        <w:t xml:space="preserve">A </w:t>
      </w:r>
      <w:r w:rsidR="0086296F">
        <w:t>Cover Sheet</w:t>
      </w:r>
      <w:r>
        <w:t xml:space="preserve">, </w:t>
      </w:r>
      <w:r w:rsidR="0086296F">
        <w:t>Signature and History</w:t>
      </w:r>
      <w:r>
        <w:t xml:space="preserve"> P</w:t>
      </w:r>
      <w:r w:rsidR="0086296F">
        <w:t>age</w:t>
      </w:r>
      <w:r>
        <w:t xml:space="preserve"> should be included in the document to recognize authorization and historical context</w:t>
      </w:r>
      <w:r w:rsidR="00CB7496">
        <w:t>.</w:t>
      </w:r>
    </w:p>
    <w:p w:rsidR="00CB7496" w:rsidRDefault="00CB7496" w:rsidP="00811E39">
      <w:pPr>
        <w:pStyle w:val="ListParagraph"/>
        <w:numPr>
          <w:ilvl w:val="0"/>
          <w:numId w:val="1"/>
        </w:numPr>
      </w:pPr>
      <w:r>
        <w:t xml:space="preserve">“Trade Secret” water mark should be removed.  </w:t>
      </w:r>
    </w:p>
    <w:p w:rsidR="004D2539" w:rsidRDefault="00CB7496" w:rsidP="00446BBF">
      <w:pPr>
        <w:pStyle w:val="ListParagraph"/>
        <w:numPr>
          <w:ilvl w:val="0"/>
          <w:numId w:val="1"/>
        </w:numPr>
      </w:pPr>
      <w:r>
        <w:t>“Privileged and Confidential” on the document footer should be replaced with “</w:t>
      </w:r>
      <w:r w:rsidR="00A11B72">
        <w:t xml:space="preserve">Confidential and </w:t>
      </w:r>
      <w:r>
        <w:t>Proprietary” which provides the same protection as the aforementioned “Trade Secret”.</w:t>
      </w:r>
      <w:r w:rsidR="004D2539">
        <w:rPr>
          <w:rStyle w:val="FootnoteReference"/>
        </w:rPr>
        <w:footnoteReference w:id="1"/>
      </w:r>
      <w:r>
        <w:t xml:space="preserve"> </w:t>
      </w:r>
      <w:r w:rsidR="00A11B72">
        <w:t xml:space="preserve">  It will also help make the document more readable.</w:t>
      </w:r>
    </w:p>
    <w:p w:rsidR="00A11B72" w:rsidRDefault="00A11B72" w:rsidP="00446BBF">
      <w:pPr>
        <w:pStyle w:val="ListParagraph"/>
        <w:numPr>
          <w:ilvl w:val="0"/>
          <w:numId w:val="1"/>
        </w:numPr>
      </w:pPr>
      <w:r>
        <w:t>Common sections within these kinds of documents include:</w:t>
      </w:r>
    </w:p>
    <w:p w:rsidR="00A11B72" w:rsidRDefault="00A11B72" w:rsidP="00A11B72">
      <w:pPr>
        <w:pStyle w:val="ListParagraph"/>
        <w:numPr>
          <w:ilvl w:val="1"/>
          <w:numId w:val="1"/>
        </w:numPr>
      </w:pPr>
      <w:r>
        <w:t>Audience</w:t>
      </w:r>
    </w:p>
    <w:p w:rsidR="00A11B72" w:rsidRDefault="00A11B72" w:rsidP="00A11B72">
      <w:pPr>
        <w:pStyle w:val="ListParagraph"/>
        <w:numPr>
          <w:ilvl w:val="1"/>
          <w:numId w:val="1"/>
        </w:numPr>
      </w:pPr>
      <w:r>
        <w:t>Reference Documentation</w:t>
      </w:r>
    </w:p>
    <w:p w:rsidR="00A11B72" w:rsidRDefault="00A11B72" w:rsidP="00A11B72">
      <w:pPr>
        <w:pStyle w:val="ListParagraph"/>
        <w:numPr>
          <w:ilvl w:val="1"/>
          <w:numId w:val="1"/>
        </w:numPr>
      </w:pPr>
      <w:r>
        <w:t>Acronyms and Definitions</w:t>
      </w:r>
    </w:p>
    <w:p w:rsidR="00A11B72" w:rsidRDefault="00A11B72" w:rsidP="00A11B72">
      <w:pPr>
        <w:pStyle w:val="ListParagraph"/>
        <w:numPr>
          <w:ilvl w:val="1"/>
          <w:numId w:val="1"/>
        </w:numPr>
      </w:pPr>
      <w:r>
        <w:t>Introduction + Context Diagram</w:t>
      </w:r>
    </w:p>
    <w:p w:rsidR="00A11B72" w:rsidRDefault="00A11B72" w:rsidP="00A11B72">
      <w:pPr>
        <w:pStyle w:val="ListParagraph"/>
        <w:numPr>
          <w:ilvl w:val="1"/>
          <w:numId w:val="1"/>
        </w:numPr>
      </w:pPr>
      <w:r>
        <w:t>A section for each subject on the Context Diagram</w:t>
      </w:r>
    </w:p>
    <w:p w:rsidR="00A11B72" w:rsidRDefault="00A11B72" w:rsidP="00A11B72">
      <w:pPr>
        <w:pStyle w:val="ListParagraph"/>
        <w:numPr>
          <w:ilvl w:val="1"/>
          <w:numId w:val="1"/>
        </w:numPr>
      </w:pPr>
      <w:r>
        <w:t>Testing Methodology</w:t>
      </w:r>
    </w:p>
    <w:p w:rsidR="00A11B72" w:rsidRDefault="00A11B72" w:rsidP="00A11B72">
      <w:pPr>
        <w:pStyle w:val="ListParagraph"/>
        <w:numPr>
          <w:ilvl w:val="1"/>
          <w:numId w:val="1"/>
        </w:numPr>
      </w:pPr>
      <w:r>
        <w:t>Acceptance Criteria</w:t>
      </w:r>
    </w:p>
    <w:p w:rsidR="00A11B72" w:rsidRDefault="00A11B72" w:rsidP="00A11B72">
      <w:pPr>
        <w:pStyle w:val="ListParagraph"/>
        <w:numPr>
          <w:ilvl w:val="1"/>
          <w:numId w:val="1"/>
        </w:numPr>
      </w:pPr>
      <w:r>
        <w:t xml:space="preserve">Practice Exceptions </w:t>
      </w:r>
    </w:p>
    <w:p w:rsidR="0086296F" w:rsidRPr="00CB7496" w:rsidRDefault="0086296F">
      <w:pPr>
        <w:rPr>
          <w:b/>
        </w:rPr>
      </w:pPr>
      <w:r w:rsidRPr="00CB7496">
        <w:rPr>
          <w:b/>
        </w:rPr>
        <w:t>Time, Cost, Quality and Scope</w:t>
      </w:r>
    </w:p>
    <w:p w:rsidR="00811E39" w:rsidRDefault="00811E39" w:rsidP="00811E39">
      <w:pPr>
        <w:pStyle w:val="ListParagraph"/>
        <w:numPr>
          <w:ilvl w:val="0"/>
          <w:numId w:val="1"/>
        </w:numPr>
      </w:pPr>
      <w:r>
        <w:t xml:space="preserve">All products should have a TCQS description.   These interconnected management areas are post-SWOT and post-BI activities.  </w:t>
      </w:r>
    </w:p>
    <w:p w:rsidR="00811E39" w:rsidRDefault="00811E39" w:rsidP="000403D4">
      <w:pPr>
        <w:pStyle w:val="ListParagraph"/>
        <w:numPr>
          <w:ilvl w:val="0"/>
          <w:numId w:val="1"/>
        </w:numPr>
      </w:pPr>
      <w:r>
        <w:t>Defining the level of quality also identifies the liability the organization is willing to accept for the project.  Basically, if a software system can produce catastrophic results within a customer’s context, qual</w:t>
      </w:r>
      <w:r w:rsidR="00A11B72">
        <w:t>ity for</w:t>
      </w:r>
      <w:r>
        <w:t xml:space="preserve"> that system </w:t>
      </w:r>
      <w:r w:rsidR="000403D4">
        <w:t>should be greater</w:t>
      </w:r>
      <w:r>
        <w:t xml:space="preserve">.  Therefore, resources for systems testing and </w:t>
      </w:r>
      <w:r w:rsidR="000403D4">
        <w:t>field trails would be expected.</w:t>
      </w:r>
    </w:p>
    <w:p w:rsidR="000403D4" w:rsidRPr="00CB7496" w:rsidRDefault="000403D4">
      <w:pPr>
        <w:rPr>
          <w:b/>
        </w:rPr>
      </w:pPr>
      <w:r w:rsidRPr="00CB7496">
        <w:rPr>
          <w:b/>
        </w:rPr>
        <w:t>Product Management Activities</w:t>
      </w:r>
    </w:p>
    <w:p w:rsidR="000403D4" w:rsidRDefault="000403D4" w:rsidP="000403D4">
      <w:pPr>
        <w:pStyle w:val="ListParagraph"/>
        <w:numPr>
          <w:ilvl w:val="0"/>
          <w:numId w:val="2"/>
        </w:numPr>
      </w:pPr>
      <w:r>
        <w:t xml:space="preserve">Key marketing and product analysis activities should be described.  These activities include SWOT and Business Case development, voice-of-the-customer analysis, etc.  Activities identifying the purpose of the product and its return equity to the organization is required to justify the product’s existence. </w:t>
      </w:r>
    </w:p>
    <w:p w:rsidR="0086296F" w:rsidRPr="00CB7496" w:rsidRDefault="00811E39">
      <w:pPr>
        <w:rPr>
          <w:b/>
        </w:rPr>
      </w:pPr>
      <w:r w:rsidRPr="00CB7496">
        <w:rPr>
          <w:b/>
        </w:rPr>
        <w:t xml:space="preserve">Project Development </w:t>
      </w:r>
      <w:r w:rsidR="000403D4" w:rsidRPr="00CB7496">
        <w:rPr>
          <w:b/>
        </w:rPr>
        <w:t>Context</w:t>
      </w:r>
      <w:r w:rsidRPr="00CB7496">
        <w:rPr>
          <w:b/>
        </w:rPr>
        <w:t xml:space="preserve"> Diagram</w:t>
      </w:r>
    </w:p>
    <w:p w:rsidR="004D2539" w:rsidRPr="004D2539" w:rsidRDefault="000403D4" w:rsidP="00CB7496">
      <w:pPr>
        <w:pStyle w:val="ListParagraph"/>
        <w:numPr>
          <w:ilvl w:val="0"/>
          <w:numId w:val="2"/>
        </w:numPr>
      </w:pPr>
      <w:r>
        <w:t>Missing in this diagram are key components such as the development of a software/hardware design specification(s), software team assemble, resource procurement,</w:t>
      </w:r>
      <w:r w:rsidR="00CB7496">
        <w:t xml:space="preserve"> end-of-life estimations and risk assessment and mitigations in all areas.</w:t>
      </w:r>
      <w:r>
        <w:t xml:space="preserve">  Some of the processes may be assumed within </w:t>
      </w:r>
      <w:r>
        <w:lastRenderedPageBreak/>
        <w:t>the listed diagram</w:t>
      </w:r>
      <w:r w:rsidR="00CB7496">
        <w:t xml:space="preserve"> but should be mentioned since each of these could require their own </w:t>
      </w:r>
      <w:r w:rsidR="00A11B72">
        <w:t xml:space="preserve">set of </w:t>
      </w:r>
      <w:r w:rsidR="00CB7496">
        <w:t>procedures</w:t>
      </w:r>
      <w:r>
        <w:t>.</w:t>
      </w:r>
    </w:p>
    <w:p w:rsidR="00CB7496" w:rsidRPr="00CB7496" w:rsidRDefault="00CB7496" w:rsidP="00CB7496">
      <w:pPr>
        <w:rPr>
          <w:b/>
        </w:rPr>
      </w:pPr>
      <w:r w:rsidRPr="00CB7496">
        <w:rPr>
          <w:b/>
        </w:rPr>
        <w:t>Security Assurance</w:t>
      </w:r>
    </w:p>
    <w:p w:rsidR="00CB7496" w:rsidRDefault="00CB7496" w:rsidP="00CB7496">
      <w:pPr>
        <w:pStyle w:val="ListParagraph"/>
        <w:numPr>
          <w:ilvl w:val="0"/>
          <w:numId w:val="2"/>
        </w:numPr>
      </w:pPr>
      <w:r>
        <w:t xml:space="preserve">A separate document outlining the security assurance methodology of Mixon-Hill should be developed.  This document should outline </w:t>
      </w:r>
      <w:r w:rsidR="00A11B72">
        <w:t xml:space="preserve">the </w:t>
      </w:r>
      <w:r>
        <w:t>security processes, expectations and testing methodology.  It should also be a goal of Mixon-Hill to become certified by CIS or other organizations.  These certifications provide customers with assurances they may want or need for justifying the use of Mixon-Hill products.</w:t>
      </w:r>
    </w:p>
    <w:p w:rsidR="00446BBF" w:rsidRDefault="00446BBF" w:rsidP="000403D4">
      <w:r>
        <w:t xml:space="preserve">There are numerous other areas of the document that could include or exclude specific information to keep it simplified.  </w:t>
      </w:r>
    </w:p>
    <w:p w:rsidR="00446BBF" w:rsidRDefault="00446BBF" w:rsidP="000403D4">
      <w:r>
        <w:t>I would recommend that instead of re-inventing the documentation wheel, Mixon-Hill uses already established, well tested processes and policies from organization</w:t>
      </w:r>
      <w:r w:rsidR="00A11B72">
        <w:t>s such as ISO, PMI and/or CIS.   Management and senior staff should collaborate as to what organization and what processes would be beneficial.</w:t>
      </w:r>
    </w:p>
    <w:p w:rsidR="00446BBF" w:rsidRDefault="00446BBF" w:rsidP="000403D4"/>
    <w:p w:rsidR="00446BBF" w:rsidRDefault="00446BBF" w:rsidP="000403D4"/>
    <w:p w:rsidR="000403D4" w:rsidRDefault="000403D4" w:rsidP="000403D4"/>
    <w:p w:rsidR="00811E39" w:rsidRDefault="00811E39"/>
    <w:p w:rsidR="0086296F" w:rsidRDefault="0086296F">
      <w:bookmarkStart w:id="0" w:name="_GoBack"/>
      <w:bookmarkEnd w:id="0"/>
    </w:p>
    <w:sectPr w:rsidR="00862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B8F" w:rsidRDefault="00967B8F" w:rsidP="004D2539">
      <w:pPr>
        <w:spacing w:after="0" w:line="240" w:lineRule="auto"/>
      </w:pPr>
      <w:r>
        <w:separator/>
      </w:r>
    </w:p>
  </w:endnote>
  <w:endnote w:type="continuationSeparator" w:id="0">
    <w:p w:rsidR="00967B8F" w:rsidRDefault="00967B8F" w:rsidP="004D2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B8F" w:rsidRDefault="00967B8F" w:rsidP="004D2539">
      <w:pPr>
        <w:spacing w:after="0" w:line="240" w:lineRule="auto"/>
      </w:pPr>
      <w:r>
        <w:separator/>
      </w:r>
    </w:p>
  </w:footnote>
  <w:footnote w:type="continuationSeparator" w:id="0">
    <w:p w:rsidR="00967B8F" w:rsidRDefault="00967B8F" w:rsidP="004D2539">
      <w:pPr>
        <w:spacing w:after="0" w:line="240" w:lineRule="auto"/>
      </w:pPr>
      <w:r>
        <w:continuationSeparator/>
      </w:r>
    </w:p>
  </w:footnote>
  <w:footnote w:id="1">
    <w:p w:rsidR="004D2539" w:rsidRDefault="004D2539">
      <w:pPr>
        <w:pStyle w:val="FootnoteText"/>
      </w:pP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t xml:space="preserve"> Definition of Confidential and Proprietary Information.  Retrieved from </w:t>
      </w:r>
      <w:r w:rsidRPr="004D2539">
        <w:t>https://www.lawinsider.com/dictionary/confidential-and-proprietary-information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81052F"/>
    <w:multiLevelType w:val="hybridMultilevel"/>
    <w:tmpl w:val="5C6A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E7790"/>
    <w:multiLevelType w:val="hybridMultilevel"/>
    <w:tmpl w:val="EF763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6F"/>
    <w:rsid w:val="000403D4"/>
    <w:rsid w:val="00042F74"/>
    <w:rsid w:val="00313D25"/>
    <w:rsid w:val="00446BBF"/>
    <w:rsid w:val="004D2539"/>
    <w:rsid w:val="00811E39"/>
    <w:rsid w:val="0086296F"/>
    <w:rsid w:val="00967B8F"/>
    <w:rsid w:val="00A11B72"/>
    <w:rsid w:val="00CB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71DD"/>
  <w15:chartTrackingRefBased/>
  <w15:docId w15:val="{8364A666-F464-498C-8042-D73202DA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E3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D253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53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5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30342-DE38-49B2-BA5B-B20FDEBA7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Wilcutt</dc:creator>
  <cp:keywords/>
  <dc:description/>
  <cp:lastModifiedBy>Bryan Wilcutt</cp:lastModifiedBy>
  <cp:revision>1</cp:revision>
  <dcterms:created xsi:type="dcterms:W3CDTF">2019-06-25T14:14:00Z</dcterms:created>
  <dcterms:modified xsi:type="dcterms:W3CDTF">2019-06-25T17:46:00Z</dcterms:modified>
</cp:coreProperties>
</file>