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footer" Target="footer1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