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Purdue SMIF Website: Design Audit</w:t>
      </w:r>
    </w:p>
    <w:p>
      <w:r>
        <w:rPr>
          <w:b w:val="0"/>
          <w:i/>
        </w:rPr>
        <w:t>Prepared for Ian Teh · 19 October 2026 · Site: www.purduesmif.org</w:t>
      </w:r>
    </w:p>
    <w:p>
      <w:pPr>
        <w:pStyle w:val="Heading1"/>
      </w:pPr>
      <w:r>
        <w:t>Bottom line</w:t>
      </w:r>
    </w:p>
    <w:p>
      <w:r>
        <w:rPr>
          <w:b w:val="0"/>
          <w:i w:val="0"/>
        </w:rPr>
        <w:t>On the technical basics the site already beats the peer set. Median page weight (339KB) is about an eighth of the buy-side median and a quarter of the student median, load speed is in the same range as peers, and axe found zero serious or critical accessibility violations on our pages, versus failures on 7 of 11 peer sites. Where it loses is simplicity: ten top-level nav links set in tiny uppercase type, research buried one click deep, and a team page that runs to roughly 45,000px on a phone. This release fixes the cheap items (research on the home page, pitch decks, tap targets, label/name mismatches, a contradictory Apply page). The structural items below are proposed, not shipped, because they change navigation and page architecture.</w:t>
      </w:r>
    </w:p>
    <w:p>
      <w:pPr>
        <w:pStyle w:val="Heading1"/>
      </w:pPr>
      <w:r>
        <w:t>Method and sites</w:t>
      </w:r>
    </w:p>
    <w:p>
      <w:r>
        <w:rPr>
          <w:b w:val="0"/>
          <w:i w:val="0"/>
        </w:rPr>
        <w:t>Headless Chromium (Playwright 1.56) captured each site on 19 October 2026 at desktop (1440×900) and mobile (390×844). For every page: nav link count, styled CTAs above the fold, words above the fold, text under 12px, interactive elements under 24px on mobile, page weight and request count, Largest Contentful Paint, and axe-core accessibility violations. 38 pages across 12 sites.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1296"/>
          </w:tcPr>
          <w:p>
            <w:r>
              <w:rPr>
                <w:b/>
                <w:sz w:val="18"/>
              </w:rPr>
              <w:t>Group</w:t>
            </w:r>
          </w:p>
        </w:tc>
        <w:tc>
          <w:tcPr>
            <w:tcW w:type="dxa" w:w="2448"/>
          </w:tcPr>
          <w:p>
            <w:r>
              <w:rPr>
                <w:b/>
                <w:sz w:val="18"/>
              </w:rPr>
              <w:t>Site</w:t>
            </w:r>
          </w:p>
        </w:tc>
        <w:tc>
          <w:tcPr>
            <w:tcW w:type="dxa" w:w="3312"/>
          </w:tcPr>
          <w:p>
            <w:r>
              <w:rPr>
                <w:b/>
                <w:sz w:val="18"/>
              </w:rPr>
              <w:t>URL</w:t>
            </w:r>
          </w:p>
        </w:tc>
        <w:tc>
          <w:tcPr>
            <w:tcW w:type="dxa" w:w="2304"/>
          </w:tcPr>
          <w:p>
            <w:r>
              <w:rPr>
                <w:b/>
                <w:sz w:val="18"/>
              </w:rPr>
              <w:t>Pages captured</w:t>
            </w:r>
          </w:p>
        </w:tc>
      </w:tr>
      <w:tr>
        <w:tc>
          <w:tcPr>
            <w:tcW w:type="dxa" w:w="1296"/>
          </w:tcPr>
          <w:p>
            <w:r>
              <w:rPr>
                <w:b w:val="0"/>
                <w:sz w:val="18"/>
              </w:rPr>
              <w:t>Ours</w:t>
            </w:r>
          </w:p>
        </w:tc>
        <w:tc>
          <w:tcPr>
            <w:tcW w:type="dxa" w:w="2448"/>
          </w:tcPr>
          <w:p>
            <w:r>
              <w:rPr>
                <w:b w:val="0"/>
                <w:sz w:val="18"/>
              </w:rPr>
              <w:t>Purdue SMIF</w:t>
            </w:r>
          </w:p>
        </w:tc>
        <w:tc>
          <w:tcPr>
            <w:tcW w:type="dxa" w:w="3312"/>
          </w:tcPr>
          <w:p>
            <w:r>
              <w:rPr>
                <w:b w:val="0"/>
                <w:sz w:val="18"/>
              </w:rPr>
              <w:t>https://www.purduesmif.org/</w:t>
            </w:r>
          </w:p>
        </w:tc>
        <w:tc>
          <w:tcPr>
            <w:tcW w:type="dxa" w:w="2304"/>
          </w:tcPr>
          <w:p>
            <w:r>
              <w:rPr>
                <w:b w:val="0"/>
                <w:sz w:val="18"/>
              </w:rPr>
              <w:t>11 routes</w:t>
            </w:r>
          </w:p>
        </w:tc>
      </w:tr>
      <w:tr>
        <w:tc>
          <w:tcPr>
            <w:tcW w:type="dxa" w:w="1296"/>
          </w:tcPr>
          <w:p>
            <w:r>
              <w:rPr>
                <w:b w:val="0"/>
                <w:sz w:val="18"/>
              </w:rPr>
              <w:t>Buy-side</w:t>
            </w:r>
          </w:p>
        </w:tc>
        <w:tc>
          <w:tcPr>
            <w:tcW w:type="dxa" w:w="2448"/>
          </w:tcPr>
          <w:p>
            <w:r>
              <w:rPr>
                <w:b w:val="0"/>
                <w:sz w:val="18"/>
              </w:rPr>
              <w:t>Bridgewater</w:t>
            </w:r>
          </w:p>
        </w:tc>
        <w:tc>
          <w:tcPr>
            <w:tcW w:type="dxa" w:w="3312"/>
          </w:tcPr>
          <w:p>
            <w:r>
              <w:rPr>
                <w:b w:val="0"/>
                <w:sz w:val="18"/>
              </w:rPr>
              <w:t>https://www.bridgewater.com/</w:t>
            </w:r>
          </w:p>
        </w:tc>
        <w:tc>
          <w:tcPr>
            <w:tcW w:type="dxa" w:w="2304"/>
          </w:tcPr>
          <w:p>
            <w:r>
              <w:rPr>
                <w:b w:val="0"/>
                <w:sz w:val="18"/>
              </w:rPr>
              <w:t>home, research, team</w:t>
            </w:r>
          </w:p>
        </w:tc>
      </w:tr>
      <w:tr>
        <w:tc>
          <w:tcPr>
            <w:tcW w:type="dxa" w:w="1296"/>
          </w:tcPr>
          <w:p>
            <w:r>
              <w:rPr>
                <w:b w:val="0"/>
                <w:sz w:val="18"/>
              </w:rPr>
              <w:t>Buy-side</w:t>
            </w:r>
          </w:p>
        </w:tc>
        <w:tc>
          <w:tcPr>
            <w:tcW w:type="dxa" w:w="2448"/>
          </w:tcPr>
          <w:p>
            <w:r>
              <w:rPr>
                <w:b w:val="0"/>
                <w:sz w:val="18"/>
              </w:rPr>
              <w:t>Oaktree</w:t>
            </w:r>
          </w:p>
        </w:tc>
        <w:tc>
          <w:tcPr>
            <w:tcW w:type="dxa" w:w="3312"/>
          </w:tcPr>
          <w:p>
            <w:r>
              <w:rPr>
                <w:b w:val="0"/>
                <w:sz w:val="18"/>
              </w:rPr>
              <w:t>https://www.oaktreecapital.com/</w:t>
            </w:r>
          </w:p>
        </w:tc>
        <w:tc>
          <w:tcPr>
            <w:tcW w:type="dxa" w:w="2304"/>
          </w:tcPr>
          <w:p>
            <w:r>
              <w:rPr>
                <w:b w:val="0"/>
                <w:sz w:val="18"/>
              </w:rPr>
              <w:t>home, research, team</w:t>
            </w:r>
          </w:p>
        </w:tc>
      </w:tr>
      <w:tr>
        <w:tc>
          <w:tcPr>
            <w:tcW w:type="dxa" w:w="1296"/>
          </w:tcPr>
          <w:p>
            <w:r>
              <w:rPr>
                <w:b w:val="0"/>
                <w:sz w:val="18"/>
              </w:rPr>
              <w:t>Buy-side</w:t>
            </w:r>
          </w:p>
        </w:tc>
        <w:tc>
          <w:tcPr>
            <w:tcW w:type="dxa" w:w="2448"/>
          </w:tcPr>
          <w:p>
            <w:r>
              <w:rPr>
                <w:b w:val="0"/>
                <w:sz w:val="18"/>
              </w:rPr>
              <w:t>AQR</w:t>
            </w:r>
          </w:p>
        </w:tc>
        <w:tc>
          <w:tcPr>
            <w:tcW w:type="dxa" w:w="3312"/>
          </w:tcPr>
          <w:p>
            <w:r>
              <w:rPr>
                <w:b w:val="0"/>
                <w:sz w:val="18"/>
              </w:rPr>
              <w:t>https://www.aqr.com/</w:t>
            </w:r>
          </w:p>
        </w:tc>
        <w:tc>
          <w:tcPr>
            <w:tcW w:type="dxa" w:w="2304"/>
          </w:tcPr>
          <w:p>
            <w:r>
              <w:rPr>
                <w:b w:val="0"/>
                <w:sz w:val="18"/>
              </w:rPr>
              <w:t>home</w:t>
            </w:r>
          </w:p>
        </w:tc>
      </w:tr>
      <w:tr>
        <w:tc>
          <w:tcPr>
            <w:tcW w:type="dxa" w:w="1296"/>
          </w:tcPr>
          <w:p>
            <w:r>
              <w:rPr>
                <w:b w:val="0"/>
                <w:sz w:val="18"/>
              </w:rPr>
              <w:t>Buy-side</w:t>
            </w:r>
          </w:p>
        </w:tc>
        <w:tc>
          <w:tcPr>
            <w:tcW w:type="dxa" w:w="2448"/>
          </w:tcPr>
          <w:p>
            <w:r>
              <w:rPr>
                <w:b w:val="0"/>
                <w:sz w:val="18"/>
              </w:rPr>
              <w:t>Two Sigma</w:t>
            </w:r>
          </w:p>
        </w:tc>
        <w:tc>
          <w:tcPr>
            <w:tcW w:type="dxa" w:w="3312"/>
          </w:tcPr>
          <w:p>
            <w:r>
              <w:rPr>
                <w:b w:val="0"/>
                <w:sz w:val="18"/>
              </w:rPr>
              <w:t>https://www.twosigma.com/</w:t>
            </w:r>
          </w:p>
        </w:tc>
        <w:tc>
          <w:tcPr>
            <w:tcW w:type="dxa" w:w="2304"/>
          </w:tcPr>
          <w:p>
            <w:r>
              <w:rPr>
                <w:b w:val="0"/>
                <w:sz w:val="18"/>
              </w:rPr>
              <w:t>home, research, team</w:t>
            </w:r>
          </w:p>
        </w:tc>
      </w:tr>
      <w:tr>
        <w:tc>
          <w:tcPr>
            <w:tcW w:type="dxa" w:w="1296"/>
          </w:tcPr>
          <w:p>
            <w:r>
              <w:rPr>
                <w:b w:val="0"/>
                <w:sz w:val="18"/>
              </w:rPr>
              <w:t>Buy-side</w:t>
            </w:r>
          </w:p>
        </w:tc>
        <w:tc>
          <w:tcPr>
            <w:tcW w:type="dxa" w:w="2448"/>
          </w:tcPr>
          <w:p>
            <w:r>
              <w:rPr>
                <w:b w:val="0"/>
                <w:sz w:val="18"/>
              </w:rPr>
              <w:t>D. E. Shaw</w:t>
            </w:r>
          </w:p>
        </w:tc>
        <w:tc>
          <w:tcPr>
            <w:tcW w:type="dxa" w:w="3312"/>
          </w:tcPr>
          <w:p>
            <w:r>
              <w:rPr>
                <w:b w:val="0"/>
                <w:sz w:val="18"/>
              </w:rPr>
              <w:t>https://www.deshaw.com/</w:t>
            </w:r>
          </w:p>
        </w:tc>
        <w:tc>
          <w:tcPr>
            <w:tcW w:type="dxa" w:w="2304"/>
          </w:tcPr>
          <w:p>
            <w:r>
              <w:rPr>
                <w:b w:val="0"/>
                <w:sz w:val="18"/>
              </w:rPr>
              <w:t>home, team</w:t>
            </w:r>
          </w:p>
        </w:tc>
      </w:tr>
      <w:tr>
        <w:tc>
          <w:tcPr>
            <w:tcW w:type="dxa" w:w="1296"/>
          </w:tcPr>
          <w:p>
            <w:r>
              <w:rPr>
                <w:b w:val="0"/>
                <w:sz w:val="18"/>
              </w:rPr>
              <w:t>Buy-side</w:t>
            </w:r>
          </w:p>
        </w:tc>
        <w:tc>
          <w:tcPr>
            <w:tcW w:type="dxa" w:w="2448"/>
          </w:tcPr>
          <w:p>
            <w:r>
              <w:rPr>
                <w:b w:val="0"/>
                <w:sz w:val="18"/>
              </w:rPr>
              <w:t>KKR</w:t>
            </w:r>
          </w:p>
        </w:tc>
        <w:tc>
          <w:tcPr>
            <w:tcW w:type="dxa" w:w="3312"/>
          </w:tcPr>
          <w:p>
            <w:r>
              <w:rPr>
                <w:b w:val="0"/>
                <w:sz w:val="18"/>
              </w:rPr>
              <w:t>https://www.kkr.com/</w:t>
            </w:r>
          </w:p>
        </w:tc>
        <w:tc>
          <w:tcPr>
            <w:tcW w:type="dxa" w:w="2304"/>
          </w:tcPr>
          <w:p>
            <w:r>
              <w:rPr>
                <w:b w:val="0"/>
                <w:sz w:val="18"/>
              </w:rPr>
              <w:t>home, research, team</w:t>
            </w:r>
          </w:p>
        </w:tc>
      </w:tr>
      <w:tr>
        <w:tc>
          <w:tcPr>
            <w:tcW w:type="dxa" w:w="1296"/>
          </w:tcPr>
          <w:p>
            <w:r>
              <w:rPr>
                <w:b w:val="0"/>
                <w:sz w:val="18"/>
              </w:rPr>
              <w:t>Student fund</w:t>
            </w:r>
          </w:p>
        </w:tc>
        <w:tc>
          <w:tcPr>
            <w:tcW w:type="dxa" w:w="2448"/>
          </w:tcPr>
          <w:p>
            <w:r>
              <w:rPr>
                <w:b w:val="0"/>
                <w:sz w:val="18"/>
              </w:rPr>
              <w:t>Nittany Lion Fund (Penn State)</w:t>
            </w:r>
          </w:p>
        </w:tc>
        <w:tc>
          <w:tcPr>
            <w:tcW w:type="dxa" w:w="3312"/>
          </w:tcPr>
          <w:p>
            <w:r>
              <w:rPr>
                <w:b w:val="0"/>
                <w:sz w:val="18"/>
              </w:rPr>
              <w:t>https://nittanylionfund.com/</w:t>
            </w:r>
          </w:p>
        </w:tc>
        <w:tc>
          <w:tcPr>
            <w:tcW w:type="dxa" w:w="2304"/>
          </w:tcPr>
          <w:p>
            <w:r>
              <w:rPr>
                <w:b w:val="0"/>
                <w:sz w:val="18"/>
              </w:rPr>
              <w:t>home, team</w:t>
            </w:r>
          </w:p>
        </w:tc>
      </w:tr>
      <w:tr>
        <w:tc>
          <w:tcPr>
            <w:tcW w:type="dxa" w:w="1296"/>
          </w:tcPr>
          <w:p>
            <w:r>
              <w:rPr>
                <w:b w:val="0"/>
                <w:sz w:val="18"/>
              </w:rPr>
              <w:t>Student fund</w:t>
            </w:r>
          </w:p>
        </w:tc>
        <w:tc>
          <w:tcPr>
            <w:tcW w:type="dxa" w:w="2448"/>
          </w:tcPr>
          <w:p>
            <w:r>
              <w:rPr>
                <w:b w:val="0"/>
                <w:sz w:val="18"/>
              </w:rPr>
              <w:t>McIntire Investment Institute (UVA)</w:t>
            </w:r>
          </w:p>
        </w:tc>
        <w:tc>
          <w:tcPr>
            <w:tcW w:type="dxa" w:w="3312"/>
          </w:tcPr>
          <w:p>
            <w:r>
              <w:rPr>
                <w:b w:val="0"/>
                <w:sz w:val="18"/>
              </w:rPr>
              <w:t>https://mcintireinvestmentinstitute.org/</w:t>
            </w:r>
          </w:p>
        </w:tc>
        <w:tc>
          <w:tcPr>
            <w:tcW w:type="dxa" w:w="2304"/>
          </w:tcPr>
          <w:p>
            <w:r>
              <w:rPr>
                <w:b w:val="0"/>
                <w:sz w:val="18"/>
              </w:rPr>
              <w:t>home, team</w:t>
            </w:r>
          </w:p>
        </w:tc>
      </w:tr>
      <w:tr>
        <w:tc>
          <w:tcPr>
            <w:tcW w:type="dxa" w:w="1296"/>
          </w:tcPr>
          <w:p>
            <w:r>
              <w:rPr>
                <w:b w:val="0"/>
                <w:sz w:val="18"/>
              </w:rPr>
              <w:t>Student fund</w:t>
            </w:r>
          </w:p>
        </w:tc>
        <w:tc>
          <w:tcPr>
            <w:tcW w:type="dxa" w:w="2448"/>
          </w:tcPr>
          <w:p>
            <w:r>
              <w:rPr>
                <w:b w:val="0"/>
                <w:sz w:val="18"/>
              </w:rPr>
              <w:t>Fordham SMIF</w:t>
            </w:r>
          </w:p>
        </w:tc>
        <w:tc>
          <w:tcPr>
            <w:tcW w:type="dxa" w:w="3312"/>
          </w:tcPr>
          <w:p>
            <w:r>
              <w:rPr>
                <w:b w:val="0"/>
                <w:sz w:val="18"/>
              </w:rPr>
              <w:t>https://www.fordhamsmif.com/</w:t>
            </w:r>
          </w:p>
        </w:tc>
        <w:tc>
          <w:tcPr>
            <w:tcW w:type="dxa" w:w="2304"/>
          </w:tcPr>
          <w:p>
            <w:r>
              <w:rPr>
                <w:b w:val="0"/>
                <w:sz w:val="18"/>
              </w:rPr>
              <w:t>home, research, team</w:t>
            </w:r>
          </w:p>
        </w:tc>
      </w:tr>
      <w:tr>
        <w:tc>
          <w:tcPr>
            <w:tcW w:type="dxa" w:w="1296"/>
          </w:tcPr>
          <w:p>
            <w:r>
              <w:rPr>
                <w:b w:val="0"/>
                <w:sz w:val="18"/>
              </w:rPr>
              <w:t>Student fund</w:t>
            </w:r>
          </w:p>
        </w:tc>
        <w:tc>
          <w:tcPr>
            <w:tcW w:type="dxa" w:w="2448"/>
          </w:tcPr>
          <w:p>
            <w:r>
              <w:rPr>
                <w:b w:val="0"/>
                <w:sz w:val="18"/>
              </w:rPr>
              <w:t>South Hill Fund (Ithaca)</w:t>
            </w:r>
          </w:p>
        </w:tc>
        <w:tc>
          <w:tcPr>
            <w:tcW w:type="dxa" w:w="3312"/>
          </w:tcPr>
          <w:p>
            <w:r>
              <w:rPr>
                <w:b w:val="0"/>
                <w:sz w:val="18"/>
              </w:rPr>
              <w:t>https://www.southhillfund.com/</w:t>
            </w:r>
          </w:p>
        </w:tc>
        <w:tc>
          <w:tcPr>
            <w:tcW w:type="dxa" w:w="2304"/>
          </w:tcPr>
          <w:p>
            <w:r>
              <w:rPr>
                <w:b w:val="0"/>
                <w:sz w:val="18"/>
              </w:rPr>
              <w:t>home, research</w:t>
            </w:r>
          </w:p>
        </w:tc>
      </w:tr>
      <w:tr>
        <w:tc>
          <w:tcPr>
            <w:tcW w:type="dxa" w:w="1296"/>
          </w:tcPr>
          <w:p>
            <w:r>
              <w:rPr>
                <w:b w:val="0"/>
                <w:sz w:val="18"/>
              </w:rPr>
              <w:t>Student fund</w:t>
            </w:r>
          </w:p>
        </w:tc>
        <w:tc>
          <w:tcPr>
            <w:tcW w:type="dxa" w:w="2448"/>
          </w:tcPr>
          <w:p>
            <w:r>
              <w:rPr>
                <w:b w:val="0"/>
                <w:sz w:val="18"/>
              </w:rPr>
              <w:t>Trinity SMF</w:t>
            </w:r>
          </w:p>
        </w:tc>
        <w:tc>
          <w:tcPr>
            <w:tcW w:type="dxa" w:w="3312"/>
          </w:tcPr>
          <w:p>
            <w:r>
              <w:rPr>
                <w:b w:val="0"/>
                <w:sz w:val="18"/>
              </w:rPr>
              <w:t>https://trinitysmf.com/</w:t>
            </w:r>
          </w:p>
        </w:tc>
        <w:tc>
          <w:tcPr>
            <w:tcW w:type="dxa" w:w="2304"/>
          </w:tcPr>
          <w:p>
            <w:r>
              <w:rPr>
                <w:b w:val="0"/>
                <w:sz w:val="18"/>
              </w:rPr>
              <w:t>home, research, team</w:t>
            </w:r>
          </w:p>
        </w:tc>
      </w:tr>
    </w:tbl>
    <w:p/>
    <w:p>
      <w:r>
        <w:rPr>
          <w:b w:val="0"/>
          <w:i/>
        </w:rPr>
        <w:t>Caveats. Bridgewater blocked its people page (HTTP 403), so it is excluded. AQR navigation could not be auto-discovered, so only its home page was captured. Sites without a &lt;header&gt; or &lt;nav&gt; element report 0 nav links and are excluded from the nav median. Wisconsin AIM returned 404 and other candidate student funds did not resolve, so the student set is 5. The tap-target metric counts any link or button under 24px in either dimension, so it overstates failures that WCAG 2.5.8 exempts (inline text links). Treat it as directional.</w:t>
      </w:r>
    </w:p>
    <w:p>
      <w:pPr>
        <w:pStyle w:val="Heading1"/>
      </w:pPr>
      <w:r>
        <w:t>Scorecard</w:t>
      </w:r>
    </w:p>
    <w:p>
      <w:r>
        <w:rPr>
          <w:b w:val="0"/>
          <w:i w:val="0"/>
        </w:rPr>
        <w:t>Medians across captured pages. "Ours (after)" is re-measured on this release locally; everything else is the live capture.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sz w:val="18"/>
              </w:rPr>
              <w:t>Metric</w:t>
            </w:r>
          </w:p>
        </w:tc>
        <w:tc>
          <w:tcPr>
            <w:tcW w:type="dxa" w:w="1008"/>
          </w:tcPr>
          <w:p>
            <w:r>
              <w:rPr>
                <w:b/>
                <w:sz w:val="18"/>
              </w:rPr>
              <w:t>Ours</w:t>
            </w:r>
          </w:p>
        </w:tc>
        <w:tc>
          <w:tcPr>
            <w:tcW w:type="dxa" w:w="1296"/>
          </w:tcPr>
          <w:p>
            <w:r>
              <w:rPr>
                <w:b/>
                <w:sz w:val="18"/>
              </w:rPr>
              <w:t>Buy-side median</w:t>
            </w:r>
          </w:p>
        </w:tc>
        <w:tc>
          <w:tcPr>
            <w:tcW w:type="dxa" w:w="1296"/>
          </w:tcPr>
          <w:p>
            <w:r>
              <w:rPr>
                <w:b/>
                <w:sz w:val="18"/>
              </w:rPr>
              <w:t>Student median</w:t>
            </w:r>
          </w:p>
        </w:tc>
        <w:tc>
          <w:tcPr>
            <w:tcW w:type="dxa" w:w="3312"/>
          </w:tcPr>
          <w:p>
            <w:r>
              <w:rPr>
                <w:b/>
                <w:sz w:val="18"/>
              </w:rPr>
              <w:t>Read</w:t>
            </w:r>
          </w:p>
        </w:tc>
      </w:tr>
      <w:tr>
        <w:tc>
          <w:tcPr>
            <w:tcW w:type="dxa" w:w="2448"/>
          </w:tcPr>
          <w:p>
            <w:r>
              <w:rPr>
                <w:b w:val="0"/>
                <w:sz w:val="18"/>
              </w:rPr>
              <w:t>Page weight (KB)</w:t>
            </w:r>
          </w:p>
        </w:tc>
        <w:tc>
          <w:tcPr>
            <w:tcW w:type="dxa" w:w="1008"/>
          </w:tcPr>
          <w:p>
            <w:r>
              <w:rPr>
                <w:b w:val="0"/>
                <w:sz w:val="18"/>
              </w:rPr>
              <w:t>339</w:t>
            </w:r>
          </w:p>
        </w:tc>
        <w:tc>
          <w:tcPr>
            <w:tcW w:type="dxa" w:w="1296"/>
          </w:tcPr>
          <w:p>
            <w:r>
              <w:rPr>
                <w:b w:val="0"/>
                <w:sz w:val="18"/>
              </w:rPr>
              <w:t>2,730</w:t>
            </w:r>
          </w:p>
        </w:tc>
        <w:tc>
          <w:tcPr>
            <w:tcW w:type="dxa" w:w="1296"/>
          </w:tcPr>
          <w:p>
            <w:r>
              <w:rPr>
                <w:b w:val="0"/>
                <w:sz w:val="18"/>
              </w:rPr>
              <w:t>1,455</w:t>
            </w:r>
          </w:p>
        </w:tc>
        <w:tc>
          <w:tcPr>
            <w:tcW w:type="dxa" w:w="3312"/>
          </w:tcPr>
          <w:p>
            <w:r>
              <w:rPr>
                <w:b w:val="0"/>
                <w:sz w:val="18"/>
              </w:rPr>
              <w:t>Lower is better. Only South Hill ships lighter pages.</w:t>
            </w:r>
          </w:p>
        </w:tc>
      </w:tr>
      <w:tr>
        <w:tc>
          <w:tcPr>
            <w:tcW w:type="dxa" w:w="2448"/>
          </w:tcPr>
          <w:p>
            <w:r>
              <w:rPr>
                <w:b w:val="0"/>
                <w:sz w:val="18"/>
              </w:rPr>
              <w:t>Requests</w:t>
            </w:r>
          </w:p>
        </w:tc>
        <w:tc>
          <w:tcPr>
            <w:tcW w:type="dxa" w:w="1008"/>
          </w:tcPr>
          <w:p>
            <w:r>
              <w:rPr>
                <w:b w:val="0"/>
                <w:sz w:val="18"/>
              </w:rPr>
              <w:t>17</w:t>
            </w:r>
          </w:p>
        </w:tc>
        <w:tc>
          <w:tcPr>
            <w:tcW w:type="dxa" w:w="1296"/>
          </w:tcPr>
          <w:p>
            <w:r>
              <w:rPr>
                <w:b w:val="0"/>
                <w:sz w:val="18"/>
              </w:rPr>
              <w:t>68</w:t>
            </w:r>
          </w:p>
        </w:tc>
        <w:tc>
          <w:tcPr>
            <w:tcW w:type="dxa" w:w="1296"/>
          </w:tcPr>
          <w:p>
            <w:r>
              <w:rPr>
                <w:b w:val="0"/>
                <w:sz w:val="18"/>
              </w:rPr>
              <w:t>54</w:t>
            </w:r>
          </w:p>
        </w:tc>
        <w:tc>
          <w:tcPr>
            <w:tcW w:type="dxa" w:w="3312"/>
          </w:tcPr>
          <w:p>
            <w:r>
              <w:rPr>
                <w:b w:val="0"/>
                <w:sz w:val="18"/>
              </w:rPr>
              <w:t>Lower is better.</w:t>
            </w:r>
          </w:p>
        </w:tc>
      </w:tr>
      <w:tr>
        <w:tc>
          <w:tcPr>
            <w:tcW w:type="dxa" w:w="2448"/>
          </w:tcPr>
          <w:p>
            <w:r>
              <w:rPr>
                <w:b w:val="0"/>
                <w:sz w:val="18"/>
              </w:rPr>
              <w:t>Largest Contentful Paint (ms)</w:t>
            </w:r>
          </w:p>
        </w:tc>
        <w:tc>
          <w:tcPr>
            <w:tcW w:type="dxa" w:w="1008"/>
          </w:tcPr>
          <w:p>
            <w:r>
              <w:rPr>
                <w:b w:val="0"/>
                <w:sz w:val="18"/>
              </w:rPr>
              <w:t>332</w:t>
            </w:r>
          </w:p>
        </w:tc>
        <w:tc>
          <w:tcPr>
            <w:tcW w:type="dxa" w:w="1296"/>
          </w:tcPr>
          <w:p>
            <w:r>
              <w:rPr>
                <w:b w:val="0"/>
                <w:sz w:val="18"/>
              </w:rPr>
              <w:t>452</w:t>
            </w:r>
          </w:p>
        </w:tc>
        <w:tc>
          <w:tcPr>
            <w:tcW w:type="dxa" w:w="1296"/>
          </w:tcPr>
          <w:p>
            <w:r>
              <w:rPr>
                <w:b w:val="0"/>
                <w:sz w:val="18"/>
              </w:rPr>
              <w:t>234</w:t>
            </w:r>
          </w:p>
        </w:tc>
        <w:tc>
          <w:tcPr>
            <w:tcW w:type="dxa" w:w="3312"/>
          </w:tcPr>
          <w:p>
            <w:r>
              <w:rPr>
                <w:b w:val="0"/>
                <w:sz w:val="18"/>
              </w:rPr>
              <w:t>All fast on a cold headless load. Student median is quicker; ours beats buy-side.</w:t>
            </w:r>
          </w:p>
        </w:tc>
      </w:tr>
      <w:tr>
        <w:tc>
          <w:tcPr>
            <w:tcW w:type="dxa" w:w="2448"/>
          </w:tcPr>
          <w:p>
            <w:r>
              <w:rPr>
                <w:b w:val="0"/>
                <w:sz w:val="18"/>
              </w:rPr>
              <w:t>Serious/critical axe nodes</w:t>
            </w:r>
          </w:p>
        </w:tc>
        <w:tc>
          <w:tcPr>
            <w:tcW w:type="dxa" w:w="1008"/>
          </w:tcPr>
          <w:p>
            <w:r>
              <w:rPr>
                <w:b w:val="0"/>
                <w:sz w:val="18"/>
              </w:rPr>
              <w:t>0</w:t>
            </w:r>
          </w:p>
        </w:tc>
        <w:tc>
          <w:tcPr>
            <w:tcW w:type="dxa" w:w="1296"/>
          </w:tcPr>
          <w:p>
            <w:r>
              <w:rPr>
                <w:b w:val="0"/>
                <w:sz w:val="18"/>
              </w:rPr>
              <w:t>3.5</w:t>
            </w:r>
          </w:p>
        </w:tc>
        <w:tc>
          <w:tcPr>
            <w:tcW w:type="dxa" w:w="1296"/>
          </w:tcPr>
          <w:p>
            <w:r>
              <w:rPr>
                <w:b w:val="0"/>
                <w:sz w:val="18"/>
              </w:rPr>
              <w:t>3.5</w:t>
            </w:r>
          </w:p>
        </w:tc>
        <w:tc>
          <w:tcPr>
            <w:tcW w:type="dxa" w:w="3312"/>
          </w:tcPr>
          <w:p>
            <w:r>
              <w:rPr>
                <w:b w:val="0"/>
                <w:sz w:val="18"/>
              </w:rPr>
              <w:t>Ours 0. Peers fail mostly on color contrast.</w:t>
            </w:r>
          </w:p>
        </w:tc>
      </w:tr>
      <w:tr>
        <w:tc>
          <w:tcPr>
            <w:tcW w:type="dxa" w:w="2448"/>
          </w:tcPr>
          <w:p>
            <w:r>
              <w:rPr>
                <w:b w:val="0"/>
                <w:sz w:val="18"/>
              </w:rPr>
              <w:t>Desktop nav links</w:t>
            </w:r>
          </w:p>
        </w:tc>
        <w:tc>
          <w:tcPr>
            <w:tcW w:type="dxa" w:w="1008"/>
          </w:tcPr>
          <w:p>
            <w:r>
              <w:rPr>
                <w:b w:val="0"/>
                <w:sz w:val="18"/>
              </w:rPr>
              <w:t>10</w:t>
            </w:r>
          </w:p>
        </w:tc>
        <w:tc>
          <w:tcPr>
            <w:tcW w:type="dxa" w:w="1296"/>
          </w:tcPr>
          <w:p>
            <w:r>
              <w:rPr>
                <w:b w:val="0"/>
                <w:sz w:val="18"/>
              </w:rPr>
              <w:t>6</w:t>
            </w:r>
          </w:p>
        </w:tc>
        <w:tc>
          <w:tcPr>
            <w:tcW w:type="dxa" w:w="1296"/>
          </w:tcPr>
          <w:p>
            <w:r>
              <w:rPr>
                <w:b w:val="0"/>
                <w:sz w:val="18"/>
              </w:rPr>
              <w:t>5</w:t>
            </w:r>
          </w:p>
        </w:tc>
        <w:tc>
          <w:tcPr>
            <w:tcW w:type="dxa" w:w="3312"/>
          </w:tcPr>
          <w:p>
            <w:r>
              <w:rPr>
                <w:b w:val="0"/>
                <w:sz w:val="18"/>
              </w:rPr>
              <w:t>Ours is the densest except South Hill (12).</w:t>
            </w:r>
          </w:p>
        </w:tc>
      </w:tr>
      <w:tr>
        <w:tc>
          <w:tcPr>
            <w:tcW w:type="dxa" w:w="2448"/>
          </w:tcPr>
          <w:p>
            <w:r>
              <w:rPr>
                <w:b w:val="0"/>
                <w:sz w:val="18"/>
              </w:rPr>
              <w:t>Text elements under 12px (desktop)</w:t>
            </w:r>
          </w:p>
        </w:tc>
        <w:tc>
          <w:tcPr>
            <w:tcW w:type="dxa" w:w="1008"/>
          </w:tcPr>
          <w:p>
            <w:r>
              <w:rPr>
                <w:b w:val="0"/>
                <w:sz w:val="18"/>
              </w:rPr>
              <w:t>4</w:t>
            </w:r>
          </w:p>
        </w:tc>
        <w:tc>
          <w:tcPr>
            <w:tcW w:type="dxa" w:w="1296"/>
          </w:tcPr>
          <w:p>
            <w:r>
              <w:rPr>
                <w:b w:val="0"/>
                <w:sz w:val="18"/>
              </w:rPr>
              <w:t>0</w:t>
            </w:r>
          </w:p>
        </w:tc>
        <w:tc>
          <w:tcPr>
            <w:tcW w:type="dxa" w:w="1296"/>
          </w:tcPr>
          <w:p>
            <w:r>
              <w:rPr>
                <w:b w:val="0"/>
                <w:sz w:val="18"/>
              </w:rPr>
              <w:t>0</w:t>
            </w:r>
          </w:p>
        </w:tc>
        <w:tc>
          <w:tcPr>
            <w:tcW w:type="dxa" w:w="3312"/>
          </w:tcPr>
          <w:p>
            <w:r>
              <w:rPr>
                <w:b w:val="0"/>
                <w:sz w:val="18"/>
              </w:rPr>
              <w:t>Buy-side mostly zero. Ours peaks at 19 on /recruiting.</w:t>
            </w:r>
          </w:p>
        </w:tc>
      </w:tr>
      <w:tr>
        <w:tc>
          <w:tcPr>
            <w:tcW w:type="dxa" w:w="2448"/>
          </w:tcPr>
          <w:p>
            <w:r>
              <w:rPr>
                <w:b w:val="0"/>
                <w:sz w:val="18"/>
              </w:rPr>
              <w:t>Mobile targets under 24px</w:t>
            </w:r>
          </w:p>
        </w:tc>
        <w:tc>
          <w:tcPr>
            <w:tcW w:type="dxa" w:w="1008"/>
          </w:tcPr>
          <w:p>
            <w:r>
              <w:rPr>
                <w:b w:val="0"/>
                <w:sz w:val="18"/>
              </w:rPr>
              <w:t>17</w:t>
            </w:r>
          </w:p>
        </w:tc>
        <w:tc>
          <w:tcPr>
            <w:tcW w:type="dxa" w:w="1296"/>
          </w:tcPr>
          <w:p>
            <w:r>
              <w:rPr>
                <w:b w:val="0"/>
                <w:sz w:val="18"/>
              </w:rPr>
              <w:t>32</w:t>
            </w:r>
          </w:p>
        </w:tc>
        <w:tc>
          <w:tcPr>
            <w:tcW w:type="dxa" w:w="1296"/>
          </w:tcPr>
          <w:p>
            <w:r>
              <w:rPr>
                <w:b w:val="0"/>
                <w:sz w:val="18"/>
              </w:rPr>
              <w:t>10</w:t>
            </w:r>
          </w:p>
        </w:tc>
        <w:tc>
          <w:tcPr>
            <w:tcW w:type="dxa" w:w="3312"/>
          </w:tcPr>
          <w:p>
            <w:r>
              <w:rPr>
                <w:b w:val="0"/>
                <w:sz w:val="18"/>
              </w:rPr>
              <w:t>Ours pre-fix; after this release the median is 1.</w:t>
            </w:r>
          </w:p>
        </w:tc>
      </w:tr>
      <w:tr>
        <w:tc>
          <w:tcPr>
            <w:tcW w:type="dxa" w:w="2448"/>
          </w:tcPr>
          <w:p>
            <w:r>
              <w:rPr>
                <w:b w:val="0"/>
                <w:sz w:val="18"/>
              </w:rPr>
              <w:t>Mobile page height (px)</w:t>
            </w:r>
          </w:p>
        </w:tc>
        <w:tc>
          <w:tcPr>
            <w:tcW w:type="dxa" w:w="1008"/>
          </w:tcPr>
          <w:p>
            <w:r>
              <w:rPr>
                <w:b w:val="0"/>
                <w:sz w:val="18"/>
              </w:rPr>
              <w:t>6,771</w:t>
            </w:r>
          </w:p>
        </w:tc>
        <w:tc>
          <w:tcPr>
            <w:tcW w:type="dxa" w:w="1296"/>
          </w:tcPr>
          <w:p>
            <w:r>
              <w:rPr>
                <w:b w:val="0"/>
                <w:sz w:val="18"/>
              </w:rPr>
              <w:t>5,758</w:t>
            </w:r>
          </w:p>
        </w:tc>
        <w:tc>
          <w:tcPr>
            <w:tcW w:type="dxa" w:w="1296"/>
          </w:tcPr>
          <w:p>
            <w:r>
              <w:rPr>
                <w:b w:val="0"/>
                <w:sz w:val="18"/>
              </w:rPr>
              <w:t>6,310</w:t>
            </w:r>
          </w:p>
        </w:tc>
        <w:tc>
          <w:tcPr>
            <w:tcW w:type="dxa" w:w="3312"/>
          </w:tcPr>
          <w:p>
            <w:r>
              <w:rPr>
                <w:b w:val="0"/>
                <w:sz w:val="18"/>
              </w:rPr>
              <w:t>Ours skewed by /team at 44,830px.</w:t>
            </w:r>
          </w:p>
        </w:tc>
      </w:tr>
    </w:tbl>
    <w:p/>
    <w:p>
      <w:r>
        <w:drawing>
          <wp:inline xmlns:a="http://schemas.openxmlformats.org/drawingml/2006/main" xmlns:pic="http://schemas.openxmlformats.org/drawingml/2006/picture">
            <wp:extent cx="5943600" cy="2113093"/>
            <wp:docPr id="1" name="Picture 1"/>
            <wp:cNvGraphicFramePr>
              <a:graphicFrameLocks noChangeAspect="1"/>
            </wp:cNvGraphicFramePr>
            <a:graphic>
              <a:graphicData uri="http://schemas.openxmlformats.org/drawingml/2006/picture">
                <pic:pic>
                  <pic:nvPicPr>
                    <pic:cNvPr id="0" name="full-homes.jpg"/>
                    <pic:cNvPicPr/>
                  </pic:nvPicPr>
                  <pic:blipFill>
                    <a:blip r:embed="rId9"/>
                    <a:stretch>
                      <a:fillRect/>
                    </a:stretch>
                  </pic:blipFill>
                  <pic:spPr>
                    <a:xfrm>
                      <a:off x="0" y="0"/>
                      <a:ext cx="5943600" cy="2113093"/>
                    </a:xfrm>
                    <a:prstGeom prst="rect"/>
                  </pic:spPr>
                </pic:pic>
              </a:graphicData>
            </a:graphic>
          </wp:inline>
        </w:drawing>
      </w:r>
    </w:p>
    <w:p>
      <w:r>
        <w:rPr>
          <w:b w:val="0"/>
          <w:i/>
        </w:rPr>
        <w:t>Home pages, full length, left to right: ours, six buy-side firms, five student funds.</w:t>
      </w:r>
    </w:p>
    <w:p>
      <w:pPr>
        <w:pStyle w:val="Heading1"/>
      </w:pPr>
      <w:r>
        <w:t>Page-by-page critique</w:t>
      </w:r>
    </w:p>
    <w:p>
      <w:pPr>
        <w:pStyle w:val="ListBullet"/>
      </w:pPr>
      <w:r>
        <w:rPr>
          <w:b/>
        </w:rPr>
        <w:t xml:space="preserve">Home. </w:t>
      </w:r>
      <w:r>
        <w:t>Strong hero, real photography, clear Apply and View Portfolio CTAs. The stats band sits partly below the fold on a laptop. Research did not appear at all, while Bridgewater, Oaktree, and AQR all put their latest writing on the home page. Fixed: a "Latest from the fund" strip now shows the three newest publications.</w:t>
      </w:r>
    </w:p>
    <w:p>
      <w:pPr>
        <w:pStyle w:val="ListBullet"/>
      </w:pPr>
      <w:r>
        <w:rPr>
          <w:b/>
        </w:rPr>
        <w:t xml:space="preserve">Navigation. </w:t>
      </w:r>
      <w:r>
        <w:t>Ten links plus Apply in 11px tracked uppercase. Oaktree runs 4 primary items with a utility row, D. E. Shaw 3 primary plus utility, MII 4 plus an Apply pill, NLF 4. Ours asks visitors to parse more choices in smaller type than any peer except South Hill.</w:t>
      </w:r>
    </w:p>
    <w:p>
      <w:pPr>
        <w:pStyle w:val="ListBullet"/>
      </w:pPr>
      <w:r>
        <w:rPr>
          <w:b/>
        </w:rPr>
        <w:t xml:space="preserve">Research. </w:t>
      </w:r>
      <w:r>
        <w:t>Rebuilt last round; now also hosts Pitch Decks as a fifth series with ticker, sector, and Long/Short in each row and the featured slot. Matches South Hill's "Pitch Decks &amp; Investment Research" library (ticker tiles, filter chips, not-advice banner) and Oaktree's category tabs. The library is empty for pitches until the first deck is posted.</w:t>
      </w:r>
    </w:p>
    <w:p>
      <w:pPr>
        <w:pStyle w:val="ListBullet"/>
      </w:pPr>
      <w:r>
        <w:rPr>
          <w:b/>
        </w:rPr>
        <w:t xml:space="preserve">Team. </w:t>
      </w:r>
      <w:r>
        <w:t>Clean cards and search, but 52 members render as one scroll of about 45,000px on mobile. NLF solves the same problem with jump buttons (Executive Board, Leadership, Fund Managers). Larissa Adamic is added as the third faculty advisor with an initials placeholder.</w:t>
      </w:r>
    </w:p>
    <w:p>
      <w:pPr>
        <w:pStyle w:val="ListBullet"/>
      </w:pPr>
      <w:r>
        <w:rPr>
          <w:b/>
        </w:rPr>
        <w:t xml:space="preserve">About. </w:t>
      </w:r>
      <w:r>
        <w:t>Dense but credible governance copy. Advisor grid now runs three across. Ten sub-12px labels.</w:t>
      </w:r>
    </w:p>
    <w:p>
      <w:pPr>
        <w:pStyle w:val="ListBullet"/>
      </w:pPr>
      <w:r>
        <w:rPr>
          <w:b/>
        </w:rPr>
        <w:t xml:space="preserve">Holdings / Performance / Sectors. </w:t>
      </w:r>
      <w:r>
        <w:t>The data pages are the site's strongest asset; no peer student fund publishes this much live portfolio data. Accessible-name mismatches on the holdings movers are fixed; /sectors "View team" links now meet 24px.</w:t>
      </w:r>
    </w:p>
    <w:p>
      <w:pPr>
        <w:pStyle w:val="ListBullet"/>
      </w:pPr>
      <w:r>
        <w:rPr>
          <w:b/>
        </w:rPr>
        <w:t xml:space="preserve">Recruiting / Apply. </w:t>
      </w:r>
      <w:r>
        <w:t>Apply said "Applications are open" while Recruiting, which reads the event calendar, said the cycle had closed. Apply is now status-neutral and points to the calendar. Recruiting carries the most sub-12px text on the site (19 desktop, 29 mobile).</w:t>
      </w:r>
    </w:p>
    <w:p>
      <w:pPr>
        <w:pStyle w:val="ListBullet"/>
      </w:pPr>
      <w:r>
        <w:rPr>
          <w:b/>
        </w:rPr>
        <w:t xml:space="preserve">Theming. </w:t>
      </w:r>
      <w:r>
        <w:t>Heroes alternate between ink and cream without a rule. Buy-side sites pick one hero treatment and hold it.</w:t>
      </w:r>
    </w:p>
    <w:p>
      <w:pPr>
        <w:pStyle w:val="Heading1"/>
      </w:pPr>
      <w:r>
        <w:t>Best elements to borrow</w:t>
      </w:r>
    </w:p>
    <w:tbl>
      <w:tblPr>
        <w:tblStyle w:val="LightGrid-Accent1"/>
        <w:tblW w:type="auto" w:w="0"/>
        <w:tblLook w:firstColumn="1" w:firstRow="1" w:lastColumn="0" w:lastRow="0" w:noHBand="0" w:noVBand="1" w:val="04A0"/>
      </w:tblPr>
      <w:tblGrid>
        <w:gridCol w:w="2880"/>
        <w:gridCol w:w="2880"/>
        <w:gridCol w:w="2880"/>
      </w:tblGrid>
      <w:tr>
        <w:tc>
          <w:tcPr>
            <w:tcW w:type="dxa" w:w="4032"/>
          </w:tcPr>
          <w:p>
            <w:r>
              <w:rPr>
                <w:b/>
                <w:sz w:val="18"/>
              </w:rPr>
              <w:t>Element</w:t>
            </w:r>
          </w:p>
        </w:tc>
        <w:tc>
          <w:tcPr>
            <w:tcW w:type="dxa" w:w="3600"/>
          </w:tcPr>
          <w:p>
            <w:r>
              <w:rPr>
                <w:b/>
                <w:sz w:val="18"/>
              </w:rPr>
              <w:t>Source</w:t>
            </w:r>
          </w:p>
        </w:tc>
        <w:tc>
          <w:tcPr>
            <w:tcW w:type="dxa" w:w="1728"/>
          </w:tcPr>
          <w:p>
            <w:r>
              <w:rPr>
                <w:b/>
                <w:sz w:val="18"/>
              </w:rPr>
              <w:t>Status</w:t>
            </w:r>
          </w:p>
        </w:tc>
      </w:tr>
      <w:tr>
        <w:tc>
          <w:tcPr>
            <w:tcW w:type="dxa" w:w="4032"/>
          </w:tcPr>
          <w:p>
            <w:r>
              <w:rPr>
                <w:b w:val="0"/>
                <w:sz w:val="18"/>
              </w:rPr>
              <w:t>Latest research on the home page</w:t>
            </w:r>
          </w:p>
        </w:tc>
        <w:tc>
          <w:tcPr>
            <w:tcW w:type="dxa" w:w="3600"/>
          </w:tcPr>
          <w:p>
            <w:r>
              <w:rPr>
                <w:b w:val="0"/>
                <w:sz w:val="18"/>
              </w:rPr>
              <w:t>Bridgewater, Oaktree, AQR</w:t>
            </w:r>
          </w:p>
        </w:tc>
        <w:tc>
          <w:tcPr>
            <w:tcW w:type="dxa" w:w="1728"/>
          </w:tcPr>
          <w:p>
            <w:r>
              <w:rPr>
                <w:b w:val="0"/>
                <w:sz w:val="18"/>
              </w:rPr>
              <w:t>Shipped</w:t>
            </w:r>
          </w:p>
        </w:tc>
      </w:tr>
      <w:tr>
        <w:tc>
          <w:tcPr>
            <w:tcW w:type="dxa" w:w="4032"/>
          </w:tcPr>
          <w:p>
            <w:r>
              <w:rPr>
                <w:b w:val="0"/>
                <w:sz w:val="18"/>
              </w:rPr>
              <w:t>Pitch deck library with ticker-first rows and a not-advice notice</w:t>
            </w:r>
          </w:p>
        </w:tc>
        <w:tc>
          <w:tcPr>
            <w:tcW w:type="dxa" w:w="3600"/>
          </w:tcPr>
          <w:p>
            <w:r>
              <w:rPr>
                <w:b w:val="0"/>
                <w:sz w:val="18"/>
              </w:rPr>
              <w:t>South Hill Fund</w:t>
            </w:r>
          </w:p>
        </w:tc>
        <w:tc>
          <w:tcPr>
            <w:tcW w:type="dxa" w:w="1728"/>
          </w:tcPr>
          <w:p>
            <w:r>
              <w:rPr>
                <w:b w:val="0"/>
                <w:sz w:val="18"/>
              </w:rPr>
              <w:t>Shipped</w:t>
            </w:r>
          </w:p>
        </w:tc>
      </w:tr>
      <w:tr>
        <w:tc>
          <w:tcPr>
            <w:tcW w:type="dxa" w:w="4032"/>
          </w:tcPr>
          <w:p>
            <w:r>
              <w:rPr>
                <w:b w:val="0"/>
                <w:sz w:val="18"/>
              </w:rPr>
              <w:t>Category tabs over one research index</w:t>
            </w:r>
          </w:p>
        </w:tc>
        <w:tc>
          <w:tcPr>
            <w:tcW w:type="dxa" w:w="3600"/>
          </w:tcPr>
          <w:p>
            <w:r>
              <w:rPr>
                <w:b w:val="0"/>
                <w:sz w:val="18"/>
              </w:rPr>
              <w:t>Oaktree (All, Memos, Market Commentary, Education, Press)</w:t>
            </w:r>
          </w:p>
        </w:tc>
        <w:tc>
          <w:tcPr>
            <w:tcW w:type="dxa" w:w="1728"/>
          </w:tcPr>
          <w:p>
            <w:r>
              <w:rPr>
                <w:b w:val="0"/>
                <w:sz w:val="18"/>
              </w:rPr>
              <w:t>Already in place</w:t>
            </w:r>
          </w:p>
        </w:tc>
      </w:tr>
      <w:tr>
        <w:tc>
          <w:tcPr>
            <w:tcW w:type="dxa" w:w="4032"/>
          </w:tcPr>
          <w:p>
            <w:r>
              <w:rPr>
                <w:b w:val="0"/>
                <w:sz w:val="18"/>
              </w:rPr>
              <w:t>Primary/utility nav split</w:t>
            </w:r>
          </w:p>
        </w:tc>
        <w:tc>
          <w:tcPr>
            <w:tcW w:type="dxa" w:w="3600"/>
          </w:tcPr>
          <w:p>
            <w:r>
              <w:rPr>
                <w:b w:val="0"/>
                <w:sz w:val="18"/>
              </w:rPr>
              <w:t>Oaktree, Bridgewater, D. E. Shaw</w:t>
            </w:r>
          </w:p>
        </w:tc>
        <w:tc>
          <w:tcPr>
            <w:tcW w:type="dxa" w:w="1728"/>
          </w:tcPr>
          <w:p>
            <w:r>
              <w:rPr>
                <w:b w:val="0"/>
                <w:sz w:val="18"/>
              </w:rPr>
              <w:t>Proposed</w:t>
            </w:r>
          </w:p>
        </w:tc>
      </w:tr>
      <w:tr>
        <w:tc>
          <w:tcPr>
            <w:tcW w:type="dxa" w:w="4032"/>
          </w:tcPr>
          <w:p>
            <w:r>
              <w:rPr>
                <w:b w:val="0"/>
                <w:sz w:val="18"/>
              </w:rPr>
              <w:t>Short primary nav plus Apply pill</w:t>
            </w:r>
          </w:p>
        </w:tc>
        <w:tc>
          <w:tcPr>
            <w:tcW w:type="dxa" w:w="3600"/>
          </w:tcPr>
          <w:p>
            <w:r>
              <w:rPr>
                <w:b w:val="0"/>
                <w:sz w:val="18"/>
              </w:rPr>
              <w:t>McIntire Investment Institute, Nittany Lion Fund</w:t>
            </w:r>
          </w:p>
        </w:tc>
        <w:tc>
          <w:tcPr>
            <w:tcW w:type="dxa" w:w="1728"/>
          </w:tcPr>
          <w:p>
            <w:r>
              <w:rPr>
                <w:b w:val="0"/>
                <w:sz w:val="18"/>
              </w:rPr>
              <w:t>Proposed</w:t>
            </w:r>
          </w:p>
        </w:tc>
      </w:tr>
      <w:tr>
        <w:tc>
          <w:tcPr>
            <w:tcW w:type="dxa" w:w="4032"/>
          </w:tcPr>
          <w:p>
            <w:r>
              <w:rPr>
                <w:b w:val="0"/>
                <w:sz w:val="18"/>
              </w:rPr>
              <w:t>Section jump buttons on the team page</w:t>
            </w:r>
          </w:p>
        </w:tc>
        <w:tc>
          <w:tcPr>
            <w:tcW w:type="dxa" w:w="3600"/>
          </w:tcPr>
          <w:p>
            <w:r>
              <w:rPr>
                <w:b w:val="0"/>
                <w:sz w:val="18"/>
              </w:rPr>
              <w:t>Nittany Lion Fund</w:t>
            </w:r>
          </w:p>
        </w:tc>
        <w:tc>
          <w:tcPr>
            <w:tcW w:type="dxa" w:w="1728"/>
          </w:tcPr>
          <w:p>
            <w:r>
              <w:rPr>
                <w:b w:val="0"/>
                <w:sz w:val="18"/>
              </w:rPr>
              <w:t>Proposed</w:t>
            </w:r>
          </w:p>
        </w:tc>
      </w:tr>
      <w:tr>
        <w:tc>
          <w:tcPr>
            <w:tcW w:type="dxa" w:w="4032"/>
          </w:tcPr>
          <w:p>
            <w:r>
              <w:rPr>
                <w:b w:val="0"/>
                <w:sz w:val="18"/>
              </w:rPr>
              <w:t>Stats band inside the hero fold</w:t>
            </w:r>
          </w:p>
        </w:tc>
        <w:tc>
          <w:tcPr>
            <w:tcW w:type="dxa" w:w="3600"/>
          </w:tcPr>
          <w:p>
            <w:r>
              <w:rPr>
                <w:b w:val="0"/>
                <w:sz w:val="18"/>
              </w:rPr>
              <w:t>South Hill Fund</w:t>
            </w:r>
          </w:p>
        </w:tc>
        <w:tc>
          <w:tcPr>
            <w:tcW w:type="dxa" w:w="1728"/>
          </w:tcPr>
          <w:p>
            <w:r>
              <w:rPr>
                <w:b w:val="0"/>
                <w:sz w:val="18"/>
              </w:rPr>
              <w:t>Proposed</w:t>
            </w:r>
          </w:p>
        </w:tc>
      </w:tr>
      <w:tr>
        <w:tc>
          <w:tcPr>
            <w:tcW w:type="dxa" w:w="4032"/>
          </w:tcPr>
          <w:p>
            <w:r>
              <w:rPr>
                <w:b w:val="0"/>
                <w:sz w:val="18"/>
              </w:rPr>
              <w:t>Search in the header</w:t>
            </w:r>
          </w:p>
        </w:tc>
        <w:tc>
          <w:tcPr>
            <w:tcW w:type="dxa" w:w="3600"/>
          </w:tcPr>
          <w:p>
            <w:r>
              <w:rPr>
                <w:b w:val="0"/>
                <w:sz w:val="18"/>
              </w:rPr>
              <w:t>Two Sigma</w:t>
            </w:r>
          </w:p>
        </w:tc>
        <w:tc>
          <w:tcPr>
            <w:tcW w:type="dxa" w:w="1728"/>
          </w:tcPr>
          <w:p>
            <w:r>
              <w:rPr>
                <w:b w:val="0"/>
                <w:sz w:val="18"/>
              </w:rPr>
              <w:t>Proposed</w:t>
            </w:r>
          </w:p>
        </w:tc>
      </w:tr>
      <w:tr>
        <w:tc>
          <w:tcPr>
            <w:tcW w:type="dxa" w:w="4032"/>
          </w:tcPr>
          <w:p>
            <w:r>
              <w:rPr>
                <w:b w:val="0"/>
                <w:sz w:val="18"/>
              </w:rPr>
              <w:t>Filter sidebar plus sort on insights</w:t>
            </w:r>
          </w:p>
        </w:tc>
        <w:tc>
          <w:tcPr>
            <w:tcW w:type="dxa" w:w="3600"/>
          </w:tcPr>
          <w:p>
            <w:r>
              <w:rPr>
                <w:b w:val="0"/>
                <w:sz w:val="18"/>
              </w:rPr>
              <w:t>KKR</w:t>
            </w:r>
          </w:p>
        </w:tc>
        <w:tc>
          <w:tcPr>
            <w:tcW w:type="dxa" w:w="1728"/>
          </w:tcPr>
          <w:p>
            <w:r>
              <w:rPr>
                <w:b w:val="0"/>
                <w:sz w:val="18"/>
              </w:rPr>
              <w:t>Not needed at our volume</w:t>
            </w:r>
          </w:p>
        </w:tc>
      </w:tr>
    </w:tbl>
    <w:p/>
    <w:p>
      <w:r>
        <w:rPr>
          <w:b w:val="0"/>
          <w:i w:val="0"/>
        </w:rPr>
        <w:t>What not to copy: cookie walls and consent banners that cover a third of the fold on several buy-side homes, multi-megabyte hero video, and low-contrast gray-on-white text (Oaktree alone logged 32 contrast failures on its home page).</w:t>
      </w:r>
    </w:p>
    <w:p>
      <w:pPr>
        <w:pStyle w:val="Heading1"/>
      </w:pPr>
      <w:r>
        <w:t>Ranked recommendations</w:t>
      </w:r>
    </w:p>
    <w:tbl>
      <w:tblPr>
        <w:tblStyle w:val="LightGrid-Accent1"/>
        <w:tblW w:type="auto" w:w="0"/>
        <w:tblLook w:firstColumn="1" w:firstRow="1" w:lastColumn="0" w:lastRow="0" w:noHBand="0" w:noVBand="1" w:val="04A0"/>
      </w:tblPr>
      <w:tblGrid>
        <w:gridCol w:w="4320"/>
        <w:gridCol w:w="4320"/>
      </w:tblGrid>
      <w:tr>
        <w:tc>
          <w:tcPr>
            <w:tcW w:type="dxa" w:w="1440"/>
          </w:tcPr>
          <w:p>
            <w:r>
              <w:rPr>
                <w:b/>
                <w:sz w:val="18"/>
              </w:rPr>
              <w:t>Status</w:t>
            </w:r>
          </w:p>
        </w:tc>
        <w:tc>
          <w:tcPr>
            <w:tcW w:type="dxa" w:w="7920"/>
          </w:tcPr>
          <w:p>
            <w:r>
              <w:rPr>
                <w:b/>
                <w:sz w:val="18"/>
              </w:rPr>
              <w:t>Recommendation</w:t>
            </w:r>
          </w:p>
        </w:tc>
      </w:tr>
      <w:tr>
        <w:tc>
          <w:tcPr>
            <w:tcW w:type="dxa" w:w="1440"/>
          </w:tcPr>
          <w:p>
            <w:r>
              <w:rPr>
                <w:b w:val="0"/>
                <w:sz w:val="18"/>
              </w:rPr>
              <w:t>Shipped</w:t>
            </w:r>
          </w:p>
        </w:tc>
        <w:tc>
          <w:tcPr>
            <w:tcW w:type="dxa" w:w="7920"/>
          </w:tcPr>
          <w:p>
            <w:r>
              <w:rPr>
                <w:b w:val="0"/>
                <w:sz w:val="18"/>
              </w:rPr>
              <w:t>Home "Latest from the fund" strip pulling the three newest publications.</w:t>
            </w:r>
          </w:p>
        </w:tc>
      </w:tr>
      <w:tr>
        <w:tc>
          <w:tcPr>
            <w:tcW w:type="dxa" w:w="1440"/>
          </w:tcPr>
          <w:p>
            <w:r>
              <w:rPr>
                <w:b w:val="0"/>
                <w:sz w:val="18"/>
              </w:rPr>
              <w:t>Shipped</w:t>
            </w:r>
          </w:p>
        </w:tc>
        <w:tc>
          <w:tcPr>
            <w:tcW w:type="dxa" w:w="7920"/>
          </w:tcPr>
          <w:p>
            <w:r>
              <w:rPr>
                <w:b w:val="0"/>
                <w:sz w:val="18"/>
              </w:rPr>
              <w:t>Pitch Decks series on /research, plus npm run publish:research for one-command uploads.</w:t>
            </w:r>
          </w:p>
        </w:tc>
      </w:tr>
      <w:tr>
        <w:tc>
          <w:tcPr>
            <w:tcW w:type="dxa" w:w="1440"/>
          </w:tcPr>
          <w:p>
            <w:r>
              <w:rPr>
                <w:b w:val="0"/>
                <w:sz w:val="18"/>
              </w:rPr>
              <w:t>Shipped</w:t>
            </w:r>
          </w:p>
        </w:tc>
        <w:tc>
          <w:tcPr>
            <w:tcW w:type="dxa" w:w="7920"/>
          </w:tcPr>
          <w:p>
            <w:r>
              <w:rPr>
                <w:b w:val="0"/>
                <w:sz w:val="18"/>
              </w:rPr>
              <w:t>24px minimum targets on footer, member-card, home, and sector links; mobile undersized targets fell from a median of 17 to 1 per page (remaining hits are the skip link and inline text links).</w:t>
            </w:r>
          </w:p>
        </w:tc>
      </w:tr>
      <w:tr>
        <w:tc>
          <w:tcPr>
            <w:tcW w:type="dxa" w:w="1440"/>
          </w:tcPr>
          <w:p>
            <w:r>
              <w:rPr>
                <w:b w:val="0"/>
                <w:sz w:val="18"/>
              </w:rPr>
              <w:t>Shipped</w:t>
            </w:r>
          </w:p>
        </w:tc>
        <w:tc>
          <w:tcPr>
            <w:tcW w:type="dxa" w:w="7920"/>
          </w:tcPr>
          <w:p>
            <w:r>
              <w:rPr>
                <w:b w:val="0"/>
                <w:sz w:val="18"/>
              </w:rPr>
              <w:t>Accessible names now start with the visible label (holdings movers, recruiting calendar); fixes the axe label-content-name-mismatch failures.</w:t>
            </w:r>
          </w:p>
        </w:tc>
      </w:tr>
      <w:tr>
        <w:tc>
          <w:tcPr>
            <w:tcW w:type="dxa" w:w="1440"/>
          </w:tcPr>
          <w:p>
            <w:r>
              <w:rPr>
                <w:b w:val="0"/>
                <w:sz w:val="18"/>
              </w:rPr>
              <w:t>Shipped</w:t>
            </w:r>
          </w:p>
        </w:tc>
        <w:tc>
          <w:tcPr>
            <w:tcW w:type="dxa" w:w="7920"/>
          </w:tcPr>
          <w:p>
            <w:r>
              <w:rPr>
                <w:b w:val="0"/>
                <w:sz w:val="18"/>
              </w:rPr>
              <w:t>Apply hero no longer contradicts the recruiting calendar; line length capped for readability.</w:t>
            </w:r>
          </w:p>
        </w:tc>
      </w:tr>
      <w:tr>
        <w:tc>
          <w:tcPr>
            <w:tcW w:type="dxa" w:w="1440"/>
          </w:tcPr>
          <w:p>
            <w:r>
              <w:rPr>
                <w:b w:val="0"/>
                <w:sz w:val="18"/>
              </w:rPr>
              <w:t>Shipped</w:t>
            </w:r>
          </w:p>
        </w:tc>
        <w:tc>
          <w:tcPr>
            <w:tcW w:type="dxa" w:w="7920"/>
          </w:tcPr>
          <w:p>
            <w:r>
              <w:rPr>
                <w:b w:val="0"/>
                <w:sz w:val="18"/>
              </w:rPr>
              <w:t>Faculty advisor Larissa Adamic added to /team, /about, her profile page, and llms.txt.</w:t>
            </w:r>
          </w:p>
        </w:tc>
      </w:tr>
      <w:tr>
        <w:tc>
          <w:tcPr>
            <w:tcW w:type="dxa" w:w="1440"/>
          </w:tcPr>
          <w:p>
            <w:r>
              <w:rPr>
                <w:b w:val="0"/>
                <w:sz w:val="18"/>
              </w:rPr>
              <w:t>Proposed 1</w:t>
            </w:r>
          </w:p>
        </w:tc>
        <w:tc>
          <w:tcPr>
            <w:tcW w:type="dxa" w:w="7920"/>
          </w:tcPr>
          <w:p>
            <w:r>
              <w:rPr>
                <w:b w:val="0"/>
                <w:sz w:val="18"/>
              </w:rPr>
              <w:t>Cut primary nav from 10 to about 6: Portfolio dropdown (Holdings, Performance, Sectors), Join (Recruiting, Apply), with About, Team, Research, Learn. Highest simplicity gain; touches every page, so it needs your sign-off.</w:t>
            </w:r>
          </w:p>
        </w:tc>
      </w:tr>
      <w:tr>
        <w:tc>
          <w:tcPr>
            <w:tcW w:type="dxa" w:w="1440"/>
          </w:tcPr>
          <w:p>
            <w:r>
              <w:rPr>
                <w:b w:val="0"/>
                <w:sz w:val="18"/>
              </w:rPr>
              <w:t>Proposed 2</w:t>
            </w:r>
          </w:p>
        </w:tc>
        <w:tc>
          <w:tcPr>
            <w:tcW w:type="dxa" w:w="7920"/>
          </w:tcPr>
          <w:p>
            <w:r>
              <w:rPr>
                <w:b w:val="0"/>
                <w:sz w:val="18"/>
              </w:rPr>
              <w:t>Raise 10px eyebrow labels to 11 to 12px site-wide. Low risk, broad visual change.</w:t>
            </w:r>
          </w:p>
        </w:tc>
      </w:tr>
      <w:tr>
        <w:tc>
          <w:tcPr>
            <w:tcW w:type="dxa" w:w="1440"/>
          </w:tcPr>
          <w:p>
            <w:r>
              <w:rPr>
                <w:b w:val="0"/>
                <w:sz w:val="18"/>
              </w:rPr>
              <w:t>Proposed 3</w:t>
            </w:r>
          </w:p>
        </w:tc>
        <w:tc>
          <w:tcPr>
            <w:tcW w:type="dxa" w:w="7920"/>
          </w:tcPr>
          <w:p>
            <w:r>
              <w:rPr>
                <w:b w:val="0"/>
                <w:sz w:val="18"/>
              </w:rPr>
              <w:t>Team page jump links or collapsed sector groups to cut mobile length.</w:t>
            </w:r>
          </w:p>
        </w:tc>
      </w:tr>
      <w:tr>
        <w:tc>
          <w:tcPr>
            <w:tcW w:type="dxa" w:w="1440"/>
          </w:tcPr>
          <w:p>
            <w:r>
              <w:rPr>
                <w:b w:val="0"/>
                <w:sz w:val="18"/>
              </w:rPr>
              <w:t>Proposed 4</w:t>
            </w:r>
          </w:p>
        </w:tc>
        <w:tc>
          <w:tcPr>
            <w:tcW w:type="dxa" w:w="7920"/>
          </w:tcPr>
          <w:p>
            <w:r>
              <w:rPr>
                <w:b w:val="0"/>
                <w:sz w:val="18"/>
              </w:rPr>
              <w:t>Pick one hero treatment (ink or cream) and apply it consistently.</w:t>
            </w:r>
          </w:p>
        </w:tc>
      </w:tr>
      <w:tr>
        <w:tc>
          <w:tcPr>
            <w:tcW w:type="dxa" w:w="1440"/>
          </w:tcPr>
          <w:p>
            <w:r>
              <w:rPr>
                <w:b w:val="0"/>
                <w:sz w:val="18"/>
              </w:rPr>
              <w:t>Proposed 5</w:t>
            </w:r>
          </w:p>
        </w:tc>
        <w:tc>
          <w:tcPr>
            <w:tcW w:type="dxa" w:w="7920"/>
          </w:tcPr>
          <w:p>
            <w:r>
              <w:rPr>
                <w:b w:val="0"/>
                <w:sz w:val="18"/>
              </w:rPr>
              <w:t>Pull the home stats band into the first viewport.</w:t>
            </w:r>
          </w:p>
        </w:tc>
      </w:tr>
      <w:tr>
        <w:tc>
          <w:tcPr>
            <w:tcW w:type="dxa" w:w="1440"/>
          </w:tcPr>
          <w:p>
            <w:r>
              <w:rPr>
                <w:b w:val="0"/>
                <w:sz w:val="18"/>
              </w:rPr>
              <w:t>Proposed 6</w:t>
            </w:r>
          </w:p>
        </w:tc>
        <w:tc>
          <w:tcPr>
            <w:tcW w:type="dxa" w:w="7920"/>
          </w:tcPr>
          <w:p>
            <w:r>
              <w:rPr>
                <w:b w:val="0"/>
                <w:sz w:val="18"/>
              </w:rPr>
              <w:t>Newsletter capture for The Macro Brief on the home page.</w:t>
            </w:r>
          </w:p>
        </w:tc>
      </w:tr>
      <w:tr>
        <w:tc>
          <w:tcPr>
            <w:tcW w:type="dxa" w:w="1440"/>
          </w:tcPr>
          <w:p>
            <w:r>
              <w:rPr>
                <w:b w:val="0"/>
                <w:sz w:val="18"/>
              </w:rPr>
              <w:t>Proposed 7</w:t>
            </w:r>
          </w:p>
        </w:tc>
        <w:tc>
          <w:tcPr>
            <w:tcW w:type="dxa" w:w="7920"/>
          </w:tcPr>
          <w:p>
            <w:r>
              <w:rPr>
                <w:b w:val="0"/>
                <w:sz w:val="18"/>
              </w:rPr>
              <w:t>Header search across research and team.</w:t>
            </w:r>
          </w:p>
        </w:tc>
      </w:tr>
    </w:tbl>
    <w:p/>
    <w:p>
      <w:pPr>
        <w:pStyle w:val="Heading2"/>
      </w:pPr>
      <w:r>
        <w:t>Appendix: student fund contact sheets</w:t>
      </w:r>
    </w:p>
    <w:p>
      <w:r>
        <w:drawing>
          <wp:inline xmlns:a="http://schemas.openxmlformats.org/drawingml/2006/main" xmlns:pic="http://schemas.openxmlformats.org/drawingml/2006/picture">
            <wp:extent cx="5486400" cy="3889948"/>
            <wp:docPr id="2" name="Picture 2"/>
            <wp:cNvGraphicFramePr>
              <a:graphicFrameLocks noChangeAspect="1"/>
            </wp:cNvGraphicFramePr>
            <a:graphic>
              <a:graphicData uri="http://schemas.openxmlformats.org/drawingml/2006/picture">
                <pic:pic>
                  <pic:nvPicPr>
                    <pic:cNvPr id="0" name="peer-southhill.jpg"/>
                    <pic:cNvPicPr/>
                  </pic:nvPicPr>
                  <pic:blipFill>
                    <a:blip r:embed="rId10"/>
                    <a:stretch>
                      <a:fillRect/>
                    </a:stretch>
                  </pic:blipFill>
                  <pic:spPr>
                    <a:xfrm>
                      <a:off x="0" y="0"/>
                      <a:ext cx="5486400" cy="3889948"/>
                    </a:xfrm>
                    <a:prstGeom prst="rect"/>
                  </pic:spPr>
                </pic:pic>
              </a:graphicData>
            </a:graphic>
          </wp:inline>
        </w:drawing>
      </w:r>
    </w:p>
    <w:p>
      <w:r>
        <w:rPr>
          <w:b w:val="0"/>
          <w:i/>
        </w:rPr>
        <w:t>South Hill Fund (Ithaca)</w:t>
      </w:r>
    </w:p>
    <w:p>
      <w:r>
        <w:drawing>
          <wp:inline xmlns:a="http://schemas.openxmlformats.org/drawingml/2006/main" xmlns:pic="http://schemas.openxmlformats.org/drawingml/2006/picture">
            <wp:extent cx="5486400" cy="3889948"/>
            <wp:docPr id="3" name="Picture 3"/>
            <wp:cNvGraphicFramePr>
              <a:graphicFrameLocks noChangeAspect="1"/>
            </wp:cNvGraphicFramePr>
            <a:graphic>
              <a:graphicData uri="http://schemas.openxmlformats.org/drawingml/2006/picture">
                <pic:pic>
                  <pic:nvPicPr>
                    <pic:cNvPr id="0" name="peer-nlf.jpg"/>
                    <pic:cNvPicPr/>
                  </pic:nvPicPr>
                  <pic:blipFill>
                    <a:blip r:embed="rId11"/>
                    <a:stretch>
                      <a:fillRect/>
                    </a:stretch>
                  </pic:blipFill>
                  <pic:spPr>
                    <a:xfrm>
                      <a:off x="0" y="0"/>
                      <a:ext cx="5486400" cy="3889948"/>
                    </a:xfrm>
                    <a:prstGeom prst="rect"/>
                  </pic:spPr>
                </pic:pic>
              </a:graphicData>
            </a:graphic>
          </wp:inline>
        </w:drawing>
      </w:r>
    </w:p>
    <w:p>
      <w:r>
        <w:rPr>
          <w:b w:val="0"/>
          <w:i/>
        </w:rPr>
        <w:t>Nittany Lion Fund (Penn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