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talkdesk-the-reference-system-under-test"/>
    <w:p>
      <w:pPr>
        <w:pStyle w:val="Heading1"/>
      </w:pPr>
      <w:r>
        <w:t xml:space="preserve">TalkDesk — the reference System Under Test</w:t>
      </w:r>
    </w:p>
    <w:p>
      <w:pPr>
        <w:pStyle w:val="FirstParagraph"/>
      </w:pPr>
      <w:r>
        <w:t xml:space="preserve">A conference talk-submission desk, deliberately imperfect, supplied with the</w:t>
      </w:r>
      <w:r>
        <w:t xml:space="preserve"> </w:t>
      </w:r>
      <w:r>
        <w:t xml:space="preserve">program for two purposes: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safety net.</w:t>
      </w:r>
      <w:r>
        <w:t xml:space="preserve"> </w:t>
      </w:r>
      <w:r>
        <w:t xml:space="preserve">A learner whose own System Under Test collapses in Week 3 switches to this without losing the course.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demonstration vehicle.</w:t>
      </w:r>
      <w:r>
        <w:t xml:space="preserve"> </w:t>
      </w:r>
      <w:r>
        <w:t xml:space="preserve">Every worked example an instructor runs uses it, so demonstrations compound the same way learner projects do.</w:t>
      </w:r>
    </w:p>
    <w:p>
      <w:pPr>
        <w:pStyle w:val="FirstParagraph"/>
      </w:pPr>
      <w:r>
        <w:rPr>
          <w:bCs/>
          <w:b/>
        </w:rPr>
        <w:t xml:space="preserve">It is not a template for the learner’s own project.</w:t>
      </w:r>
      <w:r>
        <w:t xml:space="preserve"> </w:t>
      </w:r>
      <w:r>
        <w:t xml:space="preserve">They choose their own on</w:t>
      </w:r>
      <w:r>
        <w:t xml:space="preserve"> </w:t>
      </w:r>
      <w:r>
        <w:t xml:space="preserve">Week 1, Day 1 and keep it. This is the fallback and the demo.</w:t>
      </w:r>
    </w:p>
    <w:p>
      <w:r>
        <w:pict>
          <v:rect style="width:0;height:1.5pt" o:hralign="center" o:hrstd="t" o:hr="t"/>
        </w:pict>
      </w:r>
    </w:p>
    <w:bookmarkStart w:id="20" w:name="start-it"/>
    <w:p>
      <w:pPr>
        <w:pStyle w:val="Heading2"/>
      </w:pPr>
      <w:r>
        <w:t xml:space="preserve">Start it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python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or java, or dotnet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http://localhost:8080</w:t>
      </w:r>
    </w:p>
    <w:p>
      <w:pPr>
        <w:pStyle w:val="FirstParagraph"/>
      </w:pPr>
      <w:r>
        <w:t xml:space="preserve">Three implementations, one contract. Pick whichever matches the room.</w:t>
      </w:r>
    </w:p>
    <w:p>
      <w:pPr>
        <w:pStyle w:val="SourceCode"/>
      </w:pPr>
      <w:r>
        <w:rPr>
          <w:rStyle w:val="VariableTok"/>
        </w:rPr>
        <w:t xml:space="preserve">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http://localhost:8080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conformance/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36 tests. They prove the implementation matches the contract</w:t>
      </w:r>
      <w:r>
        <w:t xml:space="preserve"> </w:t>
      </w:r>
      <w:r>
        <w:rPr>
          <w:bCs/>
          <w:b/>
        </w:rPr>
        <w:t xml:space="preserve">and that the</w:t>
      </w:r>
      <w:r>
        <w:rPr>
          <w:bCs/>
          <w:b/>
        </w:rPr>
        <w:t xml:space="preserve"> </w:t>
      </w:r>
      <w:r>
        <w:rPr>
          <w:bCs/>
          <w:b/>
        </w:rPr>
        <w:t xml:space="preserve">planted defects are still present</w:t>
      </w:r>
      <w:r>
        <w:t xml:space="preserve"> </w:t>
      </w:r>
      <w:r>
        <w:t xml:space="preserve">— see below for why the second half matters.</w:t>
      </w:r>
    </w:p>
    <w:p>
      <w:pPr>
        <w:pStyle w:val="BodyText"/>
      </w:pPr>
      <w:r>
        <w:t xml:space="preserve">There is a second suite,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 which is a different thing: the tests that</w:t>
      </w:r>
      <w:r>
        <w:t xml:space="preserve"> </w:t>
      </w:r>
      <w:r>
        <w:t xml:space="preserve">ship</w:t>
      </w:r>
      <w:r>
        <w:t xml:space="preserve"> </w:t>
      </w:r>
      <w:r>
        <w:rPr>
          <w:iCs/>
          <w:i/>
        </w:rPr>
        <w:t xml:space="preserve">with</w:t>
      </w:r>
      <w:r>
        <w:t xml:space="preserve"> </w:t>
      </w:r>
      <w:r>
        <w:t xml:space="preserve">TalkDesk, as if its own team had written them. It is deliberately</w:t>
      </w:r>
      <w:r>
        <w:t xml:space="preserve"> </w:t>
      </w:r>
      <w:r>
        <w:t xml:space="preserve">incomplete, and that gap is defect D-9. Run it with coverage on: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db </w:t>
      </w:r>
      <w:r>
        <w:rPr>
          <w:rStyle w:val="AttributeTok"/>
        </w:rPr>
        <w:t xml:space="preserve">--wait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python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DB_URL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postgresql://talkdesk:talkdesk@localhost:5432/talkdesk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../tests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term-missing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--cov-branch</w:t>
      </w:r>
      <w:r>
        <w:t xml:space="preserve"> </w:t>
      </w:r>
      <w:r>
        <w:t xml:space="preserve">and read the</w:t>
      </w:r>
      <w:r>
        <w:t xml:space="preserve"> </w:t>
      </w:r>
      <w:r>
        <w:rPr>
          <w:iCs/>
          <w:i/>
        </w:rPr>
        <w:t xml:space="preserve">Missing</w:t>
      </w:r>
      <w:r>
        <w:t xml:space="preserve"> </w:t>
      </w:r>
      <w:r>
        <w:t xml:space="preserve">column rather than the percentage.</w:t>
      </w:r>
      <w:r>
        <w:t xml:space="preserve"> </w:t>
      </w:r>
      <w:r>
        <w:t xml:space="preserve">The suite scores a talk, so the validation line runs — but nothing ever sends a</w:t>
      </w:r>
      <w:r>
        <w:t xml:space="preserve"> </w:t>
      </w:r>
      <w:r>
        <w:t xml:space="preserve">score outside 1–10, so the rejection line beneath it never does. Line coverage</w:t>
      </w:r>
      <w:r>
        <w:t xml:space="preserve"> </w:t>
      </w:r>
      <w:r>
        <w:t xml:space="preserve">looks respectable; the branch is unverified. That is the Week 1 exercise, and it</w:t>
      </w:r>
      <w:r>
        <w:t xml:space="preserve"> </w:t>
      </w:r>
      <w:r>
        <w:t xml:space="preserve">is a better one than a number.</w:t>
      </w:r>
    </w:p>
    <w:p>
      <w:r>
        <w:pict>
          <v:rect style="width:0;height:1.5pt" o:hralign="center" o:hrstd="t" o:hr="t"/>
        </w:pict>
      </w:r>
    </w:p>
    <w:bookmarkEnd w:id="20"/>
    <w:bookmarkStart w:id="22" w:name="it-is-deliberately-imperfect"/>
    <w:p>
      <w:pPr>
        <w:pStyle w:val="Heading2"/>
      </w:pPr>
      <w:r>
        <w:t xml:space="preserve">⚠ It is deliberately imperfect</w:t>
      </w:r>
    </w:p>
    <w:p>
      <w:pPr>
        <w:pStyle w:val="FirstParagraph"/>
      </w:pPr>
      <w:r>
        <w:t xml:space="preserve">TalkDesk carries nine planted defects. They are the reason it exists: Week 3</w:t>
      </w:r>
      <w:r>
        <w:t xml:space="preserve"> </w:t>
      </w:r>
      <w:r>
        <w:t xml:space="preserve">needs something guaranteed to find, and a learner’s own project might not have</w:t>
      </w:r>
      <w:r>
        <w:t xml:space="preserve"> </w:t>
      </w:r>
      <w:r>
        <w:t xml:space="preserve">anything findable.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N+1 query on the list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Unindexed substring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rate limit on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Unlabelled form control — and no</w:t>
            </w:r>
            <w:r>
              <w:t xml:space="preserve"> </w:t>
            </w:r>
            <w:r>
              <w:rPr>
                <w:rStyle w:val="VerbatimChar"/>
              </w:rPr>
              <w:t xml:space="preserve">placeholder</w:t>
            </w:r>
            <w:r>
              <w:t xml:space="preserve"> </w:t>
            </w:r>
            <w:r>
              <w:t xml:space="preserve">either, which is the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axe-core (critical)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 colour 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axe-core (serious)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security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Verbose error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ZAP; unit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input length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 validation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lockText"/>
      </w:pPr>
      <w:r>
        <w:rPr>
          <w:bCs/>
          <w:b/>
        </w:rPr>
        <w:t xml:space="preserve">D-9 is Python-only, and that is a real limitation rather than an oversight.</w:t>
      </w:r>
      <w:r>
        <w:t xml:space="preserve"> </w:t>
      </w:r>
      <w:r>
        <w:t xml:space="preserve">The supplied suite at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is a pytest suite. A room running the Java or C#</w:t>
      </w:r>
      <w:r>
        <w:t xml:space="preserve"> </w:t>
      </w:r>
      <w:r>
        <w:t xml:space="preserve">profile has the branch — the conformance suite proves it — but no shipped test</w:t>
      </w:r>
      <w:r>
        <w:t xml:space="preserve"> </w:t>
      </w:r>
      <w:r>
        <w:t xml:space="preserve">suite whose coverage report shows the gap, so the Week 1 coverage exercise does</w:t>
      </w:r>
      <w:r>
        <w:t xml:space="preserve"> </w:t>
      </w:r>
      <w:r>
        <w:t xml:space="preserve">not work there. Until equivalent JUnit and xUnit suites exist, run the Week 1</w:t>
      </w:r>
      <w:r>
        <w:t xml:space="preserve"> </w:t>
      </w:r>
      <w:r>
        <w:t xml:space="preserve">coverage demonstration against the Python profile whatever language the room is</w:t>
      </w:r>
      <w:r>
        <w:t xml:space="preserve"> </w:t>
      </w:r>
      <w:r>
        <w:t xml:space="preserve">working in; the point being made is about coverage, not about the language.</w:t>
      </w:r>
    </w:p>
    <w:p>
      <w:pPr>
        <w:pStyle w:val="FirstParagraph"/>
      </w:pPr>
      <w:r>
        <w:rPr>
          <w:bCs/>
          <w:b/>
        </w:rPr>
        <w:t xml:space="preserve">Run it on localhost only.</w:t>
      </w:r>
      <w:r>
        <w:t xml:space="preserve"> </w:t>
      </w:r>
      <w:r>
        <w:t xml:space="preserve">The compose file binds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for exactly</w:t>
      </w:r>
      <w:r>
        <w:t xml:space="preserve"> </w:t>
      </w:r>
      <w:r>
        <w:t xml:space="preserve">this reason. Do not deploy it to a public address, and do not use it as the</w:t>
      </w:r>
      <w:r>
        <w:t xml:space="preserve"> </w:t>
      </w:r>
      <w:r>
        <w:t xml:space="preserve">basis for anything real.</w:t>
      </w:r>
    </w:p>
    <w:bookmarkStart w:id="21" w:name="what-is-deliberately-not-planted"/>
    <w:p>
      <w:pPr>
        <w:pStyle w:val="Heading3"/>
      </w:pPr>
      <w:r>
        <w:t xml:space="preserve">What is deliberately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planted</w:t>
      </w:r>
    </w:p>
    <w:p>
      <w:pPr>
        <w:pStyle w:val="FirstParagraph"/>
      </w:pPr>
      <w:r>
        <w:t xml:space="preserve">No exploitable injection sink, no authentication bypass, no dependency pinned to</w:t>
      </w:r>
      <w:r>
        <w:t xml:space="preserve"> </w:t>
      </w:r>
      <w:r>
        <w:t xml:space="preserve">a known CVE.</w:t>
      </w:r>
    </w:p>
    <w:p>
      <w:pPr>
        <w:pStyle w:val="BodyText"/>
      </w:pPr>
      <w:r>
        <w:t xml:space="preserve">That is a deliberate line. Every defect above is an</w:t>
      </w:r>
      <w:r>
        <w:t xml:space="preserve"> </w:t>
      </w:r>
      <w:r>
        <w:rPr>
          <w:iCs/>
          <w:i/>
        </w:rPr>
        <w:t xml:space="preserve">absence of good practice</w:t>
      </w:r>
      <w:r>
        <w:t xml:space="preserve"> </w:t>
      </w:r>
      <w:r>
        <w:t xml:space="preserve">—</w:t>
      </w:r>
      <w:r>
        <w:t xml:space="preserve"> </w:t>
      </w:r>
      <w:r>
        <w:t xml:space="preserve">the kind every real codebase carries. A working injection hole or a knowingly</w:t>
      </w:r>
      <w:r>
        <w:t xml:space="preserve"> </w:t>
      </w:r>
      <w:r>
        <w:t xml:space="preserve">vulnerable dependency is a different thing: it would make the container itself</w:t>
      </w:r>
      <w:r>
        <w:t xml:space="preserve"> </w:t>
      </w:r>
      <w:r>
        <w:t xml:space="preserve">hazardous, and this one is meant to sit on learner laptops for four weeks.</w:t>
      </w:r>
    </w:p>
    <w:p>
      <w:pPr>
        <w:pStyle w:val="BodyText"/>
      </w:pPr>
      <w:r>
        <w:t xml:space="preserve">Injection and vulnerable dependencies are still taught, in Week 3 §4 — through</w:t>
      </w:r>
      <w:r>
        <w:t xml:space="preserve"> </w:t>
      </w:r>
      <w:r>
        <w:t xml:space="preserve">the OWASP Top 10:2025 material, ZAP’s own test corpus, and a Snyk scan of the</w:t>
      </w:r>
      <w:r>
        <w:t xml:space="preserve"> </w:t>
      </w:r>
      <w:r>
        <w:t xml:space="preserve">learner’s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project, which will have genuine findings. You do not need a</w:t>
      </w:r>
      <w:r>
        <w:t xml:space="preserve"> </w:t>
      </w:r>
      <w:r>
        <w:t xml:space="preserve">planted hole to teach the technique.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eeing-the-n1-rather-than-inferring-it"/>
    <w:p>
      <w:pPr>
        <w:pStyle w:val="Heading2"/>
      </w:pPr>
      <w:r>
        <w:t xml:space="preserve">Seeing the N+1 rather than inferring it</w:t>
      </w:r>
    </w:p>
    <w:p>
      <w:pPr>
        <w:pStyle w:val="FirstParagraph"/>
      </w:pPr>
      <w:r>
        <w:t xml:space="preserve">The compose Postgres logs every statement. That turns D-1 from a latency</w:t>
      </w:r>
      <w:r>
        <w:t xml:space="preserve"> </w:t>
      </w:r>
      <w:r>
        <w:t xml:space="preserve">anomaly into something a learner can count: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db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10s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note the number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http://localhost:8080/api/talks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db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10s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101 more</w:t>
      </w:r>
    </w:p>
    <w:p>
      <w:pPr>
        <w:pStyle w:val="FirstParagraph"/>
      </w:pPr>
      <w:r>
        <w:t xml:space="preserve">One query for the page, then one per row. This is the single most useful five</w:t>
      </w:r>
      <w:r>
        <w:t xml:space="preserve"> </w:t>
      </w:r>
      <w:r>
        <w:t xml:space="preserve">minutes in Week 3 — most engineers have read about N+1 and never watched one</w:t>
      </w:r>
      <w:r>
        <w:t xml:space="preserve"> </w:t>
      </w:r>
      <w:r>
        <w:t xml:space="preserve">happen.</w:t>
      </w:r>
    </w:p>
    <w:p>
      <w:r>
        <w:pict>
          <v:rect style="width:0;height:1.5pt" o:hralign="center" o:hrstd="t" o:hr="t"/>
        </w:pict>
      </w:r>
    </w:p>
    <w:bookmarkEnd w:id="23"/>
    <w:bookmarkStart w:id="24" w:name="why-three-implementations-cannot-drift"/>
    <w:p>
      <w:pPr>
        <w:pStyle w:val="Heading2"/>
      </w:pPr>
      <w:r>
        <w:t xml:space="preserve">Why three implementations cannot drift</w:t>
      </w:r>
    </w:p>
    <w:p>
      <w:pPr>
        <w:pStyle w:val="FirstParagraph"/>
      </w:pPr>
      <w:r>
        <w:rPr>
          <w:rStyle w:val="VerbatimChar"/>
        </w:rPr>
        <w:t xml:space="preserve">contract/CONTRACT.md</w:t>
      </w:r>
      <w:r>
        <w:t xml:space="preserve"> </w:t>
      </w:r>
      <w:r>
        <w:t xml:space="preserve">is the single source of truth: endpoints, payloads,</w:t>
      </w:r>
      <w:r>
        <w:t xml:space="preserve"> </w:t>
      </w:r>
      <w:r>
        <w:t xml:space="preserve">status codes, the schema, the seed data, and the nine defects.</w:t>
      </w:r>
    </w:p>
    <w:p>
      <w:pPr>
        <w:pStyle w:val="BodyText"/>
      </w:pPr>
      <w:r>
        <w:rPr>
          <w:rStyle w:val="VerbatimChar"/>
        </w:rPr>
        <w:t xml:space="preserve">conformance/test_contract.py</w:t>
      </w:r>
      <w:r>
        <w:t xml:space="preserve"> </w:t>
      </w:r>
      <w:r>
        <w:t xml:space="preserve">tests</w:t>
      </w:r>
      <w:r>
        <w:t xml:space="preserve"> </w:t>
      </w:r>
      <w:r>
        <w:rPr>
          <w:bCs/>
          <w:b/>
        </w:rPr>
        <w:t xml:space="preserve">the contract</w:t>
      </w:r>
      <w:r>
        <w:t xml:space="preserve">, not any one</w:t>
      </w:r>
      <w:r>
        <w:t xml:space="preserve"> </w:t>
      </w:r>
      <w:r>
        <w:t xml:space="preserve">implementation. All three must pass it. If someone changes Java and the suite</w:t>
      </w:r>
      <w:r>
        <w:t xml:space="preserve"> </w:t>
      </w:r>
      <w:r>
        <w:t xml:space="preserve">still passes, the change was safe; if it fails, the suite names what broke.</w:t>
      </w:r>
    </w:p>
    <w:p>
      <w:pPr>
        <w:pStyle w:val="BodyText"/>
      </w:pPr>
      <w:r>
        <w:t xml:space="preserve">The defect tests are the unusual part. A well-meaning contributor who</w:t>
      </w:r>
      <w:r>
        <w:t xml:space="preserve"> </w:t>
      </w:r>
      <w:r>
        <w:t xml:space="preserve">“</w:t>
      </w:r>
      <w:r>
        <w:t xml:space="preserve">fixes</w:t>
      </w:r>
      <w:r>
        <w:t xml:space="preserve">”</w:t>
      </w:r>
      <w:r>
        <w:t xml:space="preserve"> </w:t>
      </w:r>
      <w:r>
        <w:t xml:space="preserve">the N+1 gets:</w:t>
      </w:r>
    </w:p>
    <w:p>
      <w:pPr>
        <w:pStyle w:val="SourceCode"/>
      </w:pPr>
      <w:r>
        <w:rPr>
          <w:rStyle w:val="VerbatimChar"/>
        </w:rPr>
        <w:t xml:space="preserve">D-1 (N+1) appears to be gone: list 6.2 ms vs single 5.3 ms.</w:t>
      </w:r>
      <w:r>
        <w:br/>
      </w:r>
      <w:r>
        <w:rPr>
          <w:rStyle w:val="VerbatimChar"/>
        </w:rPr>
        <w:t xml:space="preserve">A JOIN would make these comparable.</w:t>
      </w:r>
      <w:r>
        <w:br/>
      </w:r>
      <w:r>
        <w:br/>
      </w:r>
      <w:r>
        <w:rPr>
          <w:rStyle w:val="VerbatimChar"/>
        </w:rPr>
        <w:t xml:space="preserve">This test asserts a PLANTED DEFECT is still present. If it is failing because</w:t>
      </w:r>
      <w:r>
        <w:br/>
      </w:r>
      <w:r>
        <w:rPr>
          <w:rStyle w:val="VerbatimChar"/>
        </w:rPr>
        <w:t xml:space="preserve">someone improved the code, that improvement removed a Week 3 exercise.</w:t>
      </w:r>
    </w:p>
    <w:p>
      <w:pPr>
        <w:pStyle w:val="FirstParagraph"/>
      </w:pPr>
      <w:r>
        <w:t xml:space="preserve">That is the mechanism. Without it, the defects quietly decay and a cohort</w:t>
      </w:r>
      <w:r>
        <w:t xml:space="preserve"> </w:t>
      </w:r>
      <w:r>
        <w:t xml:space="preserve">eventually finds nothing to find.</w:t>
      </w:r>
    </w:p>
    <w:p>
      <w:r>
        <w:pict>
          <v:rect style="width:0;height:1.5pt" o:hralign="center" o:hrstd="t" o:hr="t"/>
        </w:pict>
      </w:r>
    </w:p>
    <w:bookmarkEnd w:id="24"/>
    <w:bookmarkStart w:id="25" w:name="what-has-actually-been-run"/>
    <w:p>
      <w:pPr>
        <w:pStyle w:val="Heading2"/>
      </w:pPr>
      <w:r>
        <w:t xml:space="preserve">What has actually been run</w:t>
      </w:r>
    </w:p>
    <w:p>
      <w:pPr>
        <w:pStyle w:val="FirstParagraph"/>
      </w:pPr>
      <w:r>
        <w:t xml:space="preserve">Honesty about verification, because the three implementations were not built</w:t>
      </w:r>
      <w:r>
        <w:t xml:space="preserve"> </w:t>
      </w:r>
      <w:r>
        <w:t xml:space="preserve">under equal conditions: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Built and executed end to end.</w:t>
            </w:r>
            <w:r>
              <w:t xml:space="preserve"> </w:t>
            </w:r>
            <w:r>
              <w:t xml:space="preserve">All 36 conformance tests pass against a live Postgres, and the supplied suite in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t xml:space="preserve">runs with coverage. D-1 measured at 15.9 ms against a 5.3 ms baseline; D-2 at 32.7 ms; the query plan confirms</w:t>
            </w:r>
            <w:r>
              <w:t xml:space="preserve"> </w:t>
            </w:r>
            <w:r>
              <w:rPr>
                <w:rStyle w:val="VerbatimChar"/>
              </w:rPr>
              <w:t xml:space="preserve">Seq Scan on talks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Written to the contract, not yet executed.</w:t>
            </w:r>
            <w:r>
              <w:t xml:space="preserve"> </w:t>
            </w:r>
            <w:r>
              <w:t xml:space="preserve">The environment it was authored in blocks Maven Central, so it has never been compiled. Reviewed by hand for the usual failure points — non-deprecated</w:t>
            </w:r>
            <w:r>
              <w:t xml:space="preserve"> </w:t>
            </w:r>
            <w:r>
              <w:rPr>
                <w:rStyle w:val="VerbatimChar"/>
              </w:rPr>
              <w:t xml:space="preserve">JdbcTemplate</w:t>
            </w:r>
            <w:r>
              <w:t xml:space="preserve"> </w:t>
            </w:r>
            <w:r>
              <w:t xml:space="preserve">overloads,</w:t>
            </w:r>
            <w:r>
              <w:t xml:space="preserve"> </w:t>
            </w:r>
            <w:r>
              <w:rPr>
                <w:rStyle w:val="VerbatimChar"/>
              </w:rPr>
              <w:t xml:space="preserve">Map.of</w:t>
            </w:r>
            <w:r>
              <w:t xml:space="preserve"> </w:t>
            </w:r>
            <w:r>
              <w:t xml:space="preserve">null handling, route ordering for</w:t>
            </w:r>
            <w:r>
              <w:t xml:space="preserve"> </w:t>
            </w:r>
            <w:r>
              <w:rPr>
                <w:rStyle w:val="VerbatimChar"/>
              </w:rPr>
              <w:t xml:space="preserve">/search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/{id}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Written to the contract, not yet executed.</w:t>
            </w:r>
            <w:r>
              <w:t xml:space="preserve"> </w:t>
            </w:r>
            <w:r>
              <w:t xml:space="preserve">No .NET SDK was available. Same review applied, plus two container faults found by inspection and fixed:</w:t>
            </w:r>
            <w:r>
              <w:t xml:space="preserve"> </w:t>
            </w:r>
            <w:r>
              <w:rPr>
                <w:rStyle w:val="VerbatimChar"/>
              </w:rPr>
              <w:t xml:space="preserve">useradd app</w:t>
            </w:r>
            <w:r>
              <w:t xml:space="preserve"> </w:t>
            </w:r>
            <w:r>
              <w:t xml:space="preserve">collided with the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user the aspnet image already ships, and the healthcheck called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, which that image does not contain — so the container could never build, and would never have reported healthy if it had.</w:t>
            </w:r>
          </w:p>
        </w:tc>
      </w:tr>
    </w:tbl>
    <w:p>
      <w:pPr>
        <w:pStyle w:val="BodyText"/>
      </w:pPr>
      <w:r>
        <w:t xml:space="preserve">Both were reviewed again in the fifth audit. D-7 turned out to be present in</w:t>
      </w:r>
      <w:r>
        <w:t xml:space="preserve"> </w:t>
      </w:r>
      <w:r>
        <w:t xml:space="preserve">both of them and</w:t>
      </w:r>
      <w:r>
        <w:t xml:space="preserve"> </w:t>
      </w:r>
      <w:r>
        <w:rPr>
          <w:bCs/>
          <w:b/>
        </w:rPr>
        <w:t xml:space="preserve">absent from Python</w:t>
      </w:r>
      <w:r>
        <w:t xml:space="preserve">, which was the implementation marked</w:t>
      </w:r>
      <w:r>
        <w:t xml:space="preserve"> </w:t>
      </w:r>
      <w:r>
        <w:t xml:space="preserve">verified — the conformance test checked only the status code, so a 500 with an</w:t>
      </w:r>
      <w:r>
        <w:t xml:space="preserve"> </w:t>
      </w:r>
      <w:r>
        <w:t xml:space="preserve">empty body passed it. Python now has an explicit verbose-error handler and the</w:t>
      </w:r>
      <w:r>
        <w:t xml:space="preserve"> </w:t>
      </w:r>
      <w:r>
        <w:t xml:space="preserve">test reads the body.</w:t>
      </w:r>
    </w:p>
    <w:p>
      <w:pPr>
        <w:pStyle w:val="BodyText"/>
      </w:pPr>
      <w:r>
        <w:rPr>
          <w:bCs/>
          <w:b/>
        </w:rPr>
        <w:t xml:space="preserve">First person to run Java or C#:</w:t>
      </w:r>
      <w:r>
        <w:t xml:space="preserve"> </w:t>
      </w:r>
      <w:r>
        <w:t xml:space="preserve">start it, run the conformance suite, and fix</w:t>
      </w:r>
      <w:r>
        <w:t xml:space="preserve"> </w:t>
      </w:r>
      <w:r>
        <w:t xml:space="preserve">whatever it reports. That is exactly the job the suite exists to make cheap —</w:t>
      </w:r>
      <w:r>
        <w:t xml:space="preserve"> </w:t>
      </w:r>
      <w:r>
        <w:t xml:space="preserve">you will get a named list of what does not match rather than a vague sense that</w:t>
      </w:r>
      <w:r>
        <w:t xml:space="preserve"> </w:t>
      </w:r>
      <w:r>
        <w:t xml:space="preserve">something is off. Please fold the corrections back into this repository.</w:t>
      </w:r>
    </w:p>
    <w:p>
      <w:r>
        <w:pict>
          <v:rect style="width:0;height:1.5pt" o:hralign="center" o:hrstd="t" o:hr="t"/>
        </w:pict>
      </w:r>
    </w:p>
    <w:bookmarkEnd w:id="25"/>
    <w:bookmarkStart w:id="26" w:name="layout"/>
    <w:p>
      <w:pPr>
        <w:pStyle w:val="Heading2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contract/CONTRACT.md      the single source of truth</w:t>
      </w:r>
      <w:r>
        <w:br/>
      </w:r>
      <w:r>
        <w:rPr>
          <w:rStyle w:val="VerbatimChar"/>
        </w:rPr>
        <w:t xml:space="preserve">db/01-schema.sql          shared schema — note the deliberately absent index</w:t>
      </w:r>
      <w:r>
        <w:br/>
      </w:r>
      <w:r>
        <w:rPr>
          <w:rStyle w:val="VerbatimChar"/>
        </w:rPr>
        <w:t xml:space="preserve">db/02-seed.sql            200 speakers, 50 000 talks, fixed seed</w:t>
      </w:r>
      <w:r>
        <w:br/>
      </w:r>
      <w:r>
        <w:rPr>
          <w:rStyle w:val="VerbatimChar"/>
        </w:rPr>
        <w:t xml:space="preserve">tests/                    the suite that ships WITH TalkDesk — D-9 lives in its gap</w:t>
      </w:r>
      <w:r>
        <w:br/>
      </w:r>
      <w:r>
        <w:rPr>
          <w:rStyle w:val="VerbatimChar"/>
        </w:rPr>
        <w:t xml:space="preserve">python/                   FastAPI implementation  ← verified</w:t>
      </w:r>
      <w:r>
        <w:br/>
      </w:r>
      <w:r>
        <w:rPr>
          <w:rStyle w:val="VerbatimChar"/>
        </w:rPr>
        <w:t xml:space="preserve">java/                     Spring Boot implementation</w:t>
      </w:r>
      <w:r>
        <w:br/>
      </w:r>
      <w:r>
        <w:rPr>
          <w:rStyle w:val="VerbatimChar"/>
        </w:rPr>
        <w:t xml:space="preserve">dotnet/                   ASP.NET Core implementation</w:t>
      </w:r>
      <w:r>
        <w:br/>
      </w:r>
      <w:r>
        <w:rPr>
          <w:rStyle w:val="VerbatimChar"/>
        </w:rPr>
        <w:t xml:space="preserve">conformance/              one suite, runs against any of them</w:t>
      </w:r>
      <w:r>
        <w:br/>
      </w:r>
      <w:r>
        <w:rPr>
          <w:rStyle w:val="VerbatimChar"/>
        </w:rPr>
        <w:t xml:space="preserve">docs/INSTRUCTOR-NOTES.md  the answer key — do not give this to learners</w:t>
      </w:r>
      <w:r>
        <w:br/>
      </w:r>
      <w:r>
        <w:rPr>
          <w:rStyle w:val="VerbatimChar"/>
        </w:rPr>
        <w:t xml:space="preserve">docker-compose.yml        one profile per implementation</w:t>
      </w:r>
    </w:p>
    <w:p>
      <w:r>
        <w:pict>
          <v:rect style="width:0;height:1.5pt" o:hralign="center" o:hrstd="t" o:hr="t"/>
        </w:pict>
      </w:r>
    </w:p>
    <w:bookmarkEnd w:id="26"/>
    <w:bookmarkStart w:id="27" w:name="sizing"/>
    <w:p>
      <w:pPr>
        <w:pStyle w:val="Heading2"/>
      </w:pPr>
      <w:r>
        <w:t xml:space="preserve">Sizing</w:t>
      </w:r>
    </w:p>
    <w:p>
      <w:pPr>
        <w:pStyle w:val="FirstParagraph"/>
      </w:pPr>
      <w:r>
        <w:t xml:space="preserve">200 speakers and 50 000 talks is a deliberate choice. At 500 rows the unindexed</w:t>
      </w:r>
      <w:r>
        <w:t xml:space="preserve"> </w:t>
      </w:r>
      <w:r>
        <w:t xml:space="preserve">search completed in under 7 ms and was not measurable —</w:t>
      </w:r>
      <w:r>
        <w:t xml:space="preserve"> </w:t>
      </w:r>
      <w:r>
        <w:rPr>
          <w:bCs/>
          <w:b/>
        </w:rPr>
        <w:t xml:space="preserve">a defect a learner</w:t>
      </w:r>
      <w:r>
        <w:rPr>
          <w:bCs/>
          <w:b/>
        </w:rPr>
        <w:t xml:space="preserve"> </w:t>
      </w:r>
      <w:r>
        <w:rPr>
          <w:bCs/>
          <w:b/>
        </w:rPr>
        <w:t xml:space="preserve">cannot detect is not a teaching defect.</w:t>
      </w:r>
      <w:r>
        <w:t xml:space="preserve"> </w:t>
      </w:r>
      <w:r>
        <w:t xml:space="preserve">At 50 000 the scan is an order of</w:t>
      </w:r>
      <w:r>
        <w:t xml:space="preserve"> </w:t>
      </w:r>
      <w:r>
        <w:t xml:space="preserve">magnitude worse than an indexed read, and the database still seeds in about half</w:t>
      </w:r>
      <w:r>
        <w:t xml:space="preserve"> </w:t>
      </w:r>
      <w:r>
        <w:t xml:space="preserve">a second.</w:t>
      </w:r>
    </w:p>
    <w:bookmarkEnd w:id="27"/>
    <w:bookmarkEnd w:id="28"/>
    <w:sectPr>
      <w:footerReference r:id="rId9" w:type="default"/>
      <w:pgSz w:h="15840" w:w="12240"/>
      <w:pgMar w:bottom="1440" w:footer="576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6" w:color="C9D2D6"/>
      </w:pBdr>
      <w:tabs>
        <w:tab w:val="right" w:pos="9360"/>
      </w:tabs>
      <w:spacing w:before="60" w:after="0"/>
      <w:rPr>
        <w:rFonts w:ascii="Calibri" w:hAnsi="Calibri"/>
        <w:color w:val="7A848C"/>
        <w:sz w:val="16"/>
      </w:rPr>
    </w:pPr>
    <w:r>
      <w:rPr>
        <w:rFonts w:ascii="Calibri" w:hAnsi="Calibri"/>
        <w:color w:val="7A848C"/>
        <w:sz w:val="16"/>
      </w:rPr>
      <w:t xml:space="preserve">Project Work Automation, Clean Code &amp; Software Quality Engineering · Canadian Edition 2025 · </w:t>
    </w:r>
    <w:r>
      <w:rPr>
        <w:rFonts w:ascii="Calibri" w:hAnsi="Calibri"/>
        <w:color w:val="7A848C"/>
        <w:sz w:val="16"/>
        <w:i/>
      </w:rPr>
      <w:t>Draft for review</w:t>
    </w:r>
    <w:r>
      <w:tab/>
    </w:r>
    <w:r>
      <w:rPr>
        <w:rFonts w:ascii="Calibri" w:hAnsi="Calibri"/>
        <w:color w:val="1F5F52"/>
        <w:sz w:val="16"/>
        <w:b/>
      </w:rPr>
      <w:fldChar w:fldCharType="begin"/>
    </w:r>
    <w:r>
      <w:rPr>
        <w:rFonts w:ascii="Calibri" w:hAnsi="Calibri"/>
        <w:color w:val="1F5F52"/>
        <w:sz w:val="16"/>
        <w:b/>
      </w:rPr>
      <w:instrText xml:space="preserve"> PAGE </w:instrText>
    </w:r>
    <w:r>
      <w:rPr>
        <w:rFonts w:ascii="Calibri" w:hAnsi="Calibri"/>
        <w:color w:val="1F5F52"/>
        <w:sz w:val="16"/>
        <w:b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40"/>
    </w:pPr>
    <w:qFormat/>
    <w:rPr>
      <w:rFonts w:ascii="Calibri" w:cs="Calibri" w:hAnsi="Calibri"/>
      <w:color w:val="1A1A1A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/>
      <w:jc w:val="center"/>
    </w:pPr>
    <w:rPr>
      <w:rFonts w:ascii="Cambria" w:cs="Cambria" w:hAnsi="Cambria"/>
      <w:b/>
      <w:color w:val="1F5F52"/>
      <w:sz w:val="60"/>
      <w:szCs w:val="60"/>
      <w:spacing w:val="-10"/>
    </w:rPr>
  </w:style>
  <w:style w:styleId="Subtitle" w:type="paragraph">
    <w:name w:val="Subtitle"/>
    <w:basedOn w:val="Title"/>
    <w:next w:val="BodyText"/>
    <w:qFormat/>
    <w:pPr>
      <w:keepNext/>
      <w:keepLines/>
      <w:spacing w:after="360"/>
      <w:jc w:val="center"/>
    </w:pPr>
    <w:rPr>
      <w:rFonts w:ascii="Cambria" w:cs="Cambria" w:hAnsi="Cambria"/>
      <w:b w:val="0"/>
      <w:color w:val="55606A"/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400"/>
      <w:outlineLvl w:val="0"/>
    </w:pPr>
    <w:rPr>
      <w:rFonts w:ascii="Cambria" w:cs="Cambria" w:hAnsi="Cambria"/>
      <w:b/>
      <w:color w:val="1F5F52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10" w:before="320"/>
      <w:outlineLvl w:val="1"/>
    </w:pPr>
    <w:rPr>
      <w:rFonts w:ascii="Cambria" w:cs="Cambria" w:hAnsi="Cambria"/>
      <w:b/>
      <w:color w:val="1A1A1A"/>
      <w:sz w:val="27"/>
      <w:szCs w:val="27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90" w:before="260"/>
      <w:outlineLvl w:val="2"/>
    </w:pPr>
    <w:rPr>
      <w:rFonts w:ascii="Calibri" w:cs="Calibri" w:hAnsi="Calibri"/>
      <w:b/>
      <w:color w:val="1F5F52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20"/>
      <w:outlineLvl w:val="3"/>
    </w:pPr>
    <w:rPr>
      <w:rFonts w:ascii="Calibri" w:cs="Calibri" w:hAnsi="Calibri"/>
      <w:b/>
      <w:color w:val="55606A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hAnsi="Calibri"/>
      <w:color w:val="55606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40" w:before="40"/>
    </w:pPr>
    <w:rPr>
      <w:rFonts w:ascii="Calibri" w:hAnsi="Calibri"/>
      <w:sz w:val="19"/>
    </w:rPr>
    <w:tblPr>
      <w:tblBorders>
        <w:top w:color="C9D2D6" w:sz="4" w:val="single"/>
        <w:bottom w:color="C9D2D6" w:sz="4" w:val="single"/>
        <w:insideH w:color="DDE3E6" w:sz="2" w:val="single"/>
      </w:tblBorders>
    </w:tblPr>
    <w:tblStylePr w:type="firstRow">
      <w:rPr>
        <w:b/>
        <w:color w:val="1F5F52"/>
        <w:sz w:val="17"/>
      </w:rPr>
      <w:tblPr/>
      <w:tcPr>
        <w:shd w:color="auto" w:fill="EDF2F1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7A3E12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2026-08-31T02:46:56Z</dcterms:created>
  <dcterms:modified xsi:type="dcterms:W3CDTF">2026-08-31T02:46:56Z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