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5802913"/>
      <w:bookmarkStart w:id="1" w:name="_Toc11014"/>
      <w:r>
        <w:t>4.4.2时间序列模型</w:t>
      </w:r>
      <w:bookmarkEnd w:id="0"/>
      <w:bookmarkEnd w:id="1"/>
    </w:p>
    <w:p>
      <w:pPr>
        <w:spacing w:line="360" w:lineRule="auto"/>
        <w:ind w:firstLine="480" w:firstLineChars="200"/>
        <w:rPr>
          <w:rFonts w:hint="eastAsia"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ARMA 模型</w:t>
      </w:r>
      <w:r>
        <w:rPr>
          <w:rFonts w:hint="eastAsia" w:ascii="Calibri" w:hAnsi="Calibri" w:eastAsia="宋体" w:cs="Times New Roman"/>
          <w:sz w:val="24"/>
          <w:szCs w:val="24"/>
        </w:rPr>
        <w:t>（</w:t>
      </w:r>
      <w:r>
        <w:rPr>
          <w:rFonts w:ascii="Calibri" w:hAnsi="Calibri" w:eastAsia="宋体" w:cs="Times New Roman"/>
          <w:sz w:val="24"/>
          <w:szCs w:val="24"/>
        </w:rPr>
        <w:t>Auto-Regressive and Moving Average Model</w:t>
      </w:r>
      <w:r>
        <w:rPr>
          <w:rFonts w:hint="eastAsia" w:ascii="Calibri" w:hAnsi="Calibri" w:eastAsia="宋体" w:cs="Times New Roman"/>
          <w:sz w:val="24"/>
          <w:szCs w:val="24"/>
        </w:rPr>
        <w:t>）</w:t>
      </w:r>
      <w:r>
        <w:rPr>
          <w:rFonts w:ascii="Calibri" w:hAnsi="Calibri" w:eastAsia="宋体" w:cs="Times New Roman"/>
          <w:sz w:val="24"/>
          <w:szCs w:val="24"/>
        </w:rPr>
        <w:t>是研究时间序列的重要方法由自回归模型简称AR模型与滑动平均模型简称MA模型为基础“混合”构成</w:t>
      </w:r>
      <w:r>
        <w:rPr>
          <w:rFonts w:hint="eastAsia" w:ascii="Calibri" w:hAnsi="Calibri" w:eastAsia="宋体" w:cs="Times New Roman"/>
          <w:sz w:val="24"/>
          <w:szCs w:val="24"/>
        </w:rPr>
        <w:t>，是时间序列模型的一种，是由美国统计学波克斯(Box)和金肯(Jenkins)在20世纪70年代提出，在预测领域有非常广泛的应用。</w:t>
      </w:r>
    </w:p>
    <w:p>
      <w:pPr>
        <w:numPr>
          <w:ilvl w:val="0"/>
          <w:numId w:val="1"/>
        </w:numPr>
        <w:spacing w:line="360" w:lineRule="auto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</w:rPr>
        <w:t>AR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Calibri" w:hAnsi="Calibri" w:eastAsia="宋体" w:cs="Times New Roman"/>
          <w:sz w:val="24"/>
          <w:szCs w:val="24"/>
        </w:rPr>
        <w:t>M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A油价预测模型</w:t>
      </w:r>
    </w:p>
    <w:p>
      <w:pPr>
        <w:spacing w:line="360" w:lineRule="auto"/>
        <w:ind w:firstLine="480" w:firstLineChars="200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</w:rPr>
        <w:t>我们以20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04</w:t>
      </w:r>
      <w:r>
        <w:rPr>
          <w:rFonts w:hint="eastAsia" w:ascii="Calibri" w:hAnsi="Calibri" w:eastAsia="宋体" w:cs="Times New Roman"/>
          <w:sz w:val="24"/>
          <w:szCs w:val="24"/>
        </w:rPr>
        <w:t>年3月-201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Calibri" w:hAnsi="Calibri" w:eastAsia="宋体" w:cs="Times New Roman"/>
          <w:sz w:val="24"/>
          <w:szCs w:val="24"/>
        </w:rPr>
        <w:t>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WTI月度原油价格</w:t>
      </w:r>
      <w:r>
        <w:rPr>
          <w:rFonts w:hint="eastAsia" w:ascii="Calibri" w:hAnsi="Calibri" w:eastAsia="宋体" w:cs="Times New Roman"/>
          <w:sz w:val="24"/>
          <w:szCs w:val="24"/>
        </w:rPr>
        <w:t>序列数据建立AR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Calibri" w:hAnsi="Calibri" w:eastAsia="宋体" w:cs="Times New Roman"/>
          <w:sz w:val="24"/>
          <w:szCs w:val="24"/>
        </w:rPr>
        <w:t>MA（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8</w:t>
      </w:r>
      <w:r>
        <w:rPr>
          <w:rFonts w:hint="eastAsia" w:ascii="Calibri" w:hAnsi="Calibri" w:eastAsia="宋体" w:cs="Times New Roman"/>
          <w:sz w:val="24"/>
          <w:szCs w:val="24"/>
        </w:rPr>
        <w:t>,1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,0</w:t>
      </w:r>
      <w:r>
        <w:rPr>
          <w:rFonts w:hint="eastAsia" w:ascii="Calibri" w:hAnsi="Calibri" w:eastAsia="宋体" w:cs="Times New Roman"/>
          <w:sz w:val="24"/>
          <w:szCs w:val="24"/>
        </w:rPr>
        <w:t>）模型来预测201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7</w:t>
      </w:r>
      <w:r>
        <w:rPr>
          <w:rFonts w:hint="eastAsia" w:ascii="Calibri" w:hAnsi="Calibri" w:eastAsia="宋体" w:cs="Times New Roman"/>
          <w:sz w:val="24"/>
          <w:szCs w:val="24"/>
        </w:rPr>
        <w:t>月至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11</w:t>
      </w:r>
      <w:r>
        <w:rPr>
          <w:rFonts w:hint="eastAsia" w:ascii="Calibri" w:hAnsi="Calibri" w:eastAsia="宋体" w:cs="Times New Roman"/>
          <w:sz w:val="24"/>
          <w:szCs w:val="24"/>
        </w:rPr>
        <w:t>月期间内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原油</w:t>
      </w:r>
      <w:r>
        <w:rPr>
          <w:rFonts w:hint="eastAsia" w:ascii="Calibri" w:hAnsi="Calibri" w:eastAsia="宋体" w:cs="Times New Roman"/>
          <w:sz w:val="24"/>
          <w:szCs w:val="24"/>
        </w:rPr>
        <w:t>价格。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模型方程如下：</w:t>
      </w:r>
    </w:p>
    <w:p>
      <w:pPr>
        <w:spacing w:line="360" w:lineRule="auto"/>
        <w:ind w:firstLine="480" w:firstLineChars="200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position w:val="-12"/>
          <w:sz w:val="24"/>
          <w:szCs w:val="24"/>
          <w:lang w:val="en-US" w:eastAsia="zh-CN"/>
        </w:rPr>
        <w:object>
          <v:shape id="_x0000_i1030" o:spt="75" type="#_x0000_t75" style="height:20.7pt;width:133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模型估计结果如表所示。</w:t>
      </w:r>
    </w:p>
    <w:tbl>
      <w:tblPr>
        <w:tblStyle w:val="7"/>
        <w:tblpPr w:leftFromText="180" w:rightFromText="180" w:vertAnchor="text" w:horzAnchor="page" w:tblpX="1952" w:tblpY="13"/>
        <w:tblOverlap w:val="never"/>
        <w:tblW w:w="90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815"/>
        <w:gridCol w:w="734"/>
        <w:gridCol w:w="591"/>
        <w:gridCol w:w="590"/>
        <w:gridCol w:w="591"/>
        <w:gridCol w:w="591"/>
        <w:gridCol w:w="590"/>
        <w:gridCol w:w="591"/>
        <w:gridCol w:w="698"/>
        <w:gridCol w:w="599"/>
        <w:gridCol w:w="591"/>
        <w:gridCol w:w="592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3" w:hRule="atLeast"/>
        </w:trPr>
        <w:tc>
          <w:tcPr>
            <w:tcW w:w="9040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b/>
                <w:sz w:val="18"/>
              </w:rPr>
              <w:t>模型統計資料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9" w:hRule="atLeast"/>
        </w:trPr>
        <w:tc>
          <w:tcPr>
            <w:tcW w:w="760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模型</w:t>
            </w:r>
          </w:p>
        </w:tc>
        <w:tc>
          <w:tcPr>
            <w:tcW w:w="815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預測變數數目</w:t>
            </w:r>
          </w:p>
        </w:tc>
        <w:tc>
          <w:tcPr>
            <w:tcW w:w="4976" w:type="dxa"/>
            <w:gridSpan w:val="8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模型適合度統計資料</w:t>
            </w:r>
          </w:p>
        </w:tc>
        <w:tc>
          <w:tcPr>
            <w:tcW w:w="1782" w:type="dxa"/>
            <w:gridSpan w:val="3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Ljung-Box Q(18)</w:t>
            </w:r>
          </w:p>
        </w:tc>
        <w:tc>
          <w:tcPr>
            <w:tcW w:w="707" w:type="dxa"/>
            <w:vMerge w:val="restart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離群值數目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3" w:hRule="atLeast"/>
        </w:trPr>
        <w:tc>
          <w:tcPr>
            <w:tcW w:w="760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5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平穩 R 平方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 平方</w:t>
            </w:r>
          </w:p>
        </w:tc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RMSE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MAPE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MAE</w:t>
            </w:r>
          </w:p>
        </w:tc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MaxAPE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MaxAE</w:t>
            </w:r>
          </w:p>
        </w:tc>
        <w:tc>
          <w:tcPr>
            <w:tcW w:w="69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標準化 BIC</w:t>
            </w: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統計資料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顯著性</w:t>
            </w:r>
          </w:p>
        </w:tc>
        <w:tc>
          <w:tcPr>
            <w:tcW w:w="707" w:type="dxa"/>
            <w:vMerge w:val="continue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4" w:hRule="atLeast"/>
        </w:trPr>
        <w:tc>
          <w:tcPr>
            <w:tcW w:w="76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油价-模型_1</w:t>
            </w:r>
          </w:p>
        </w:tc>
        <w:tc>
          <w:tcPr>
            <w:tcW w:w="8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73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.078</w:t>
            </w:r>
          </w:p>
        </w:tc>
        <w:tc>
          <w:tcPr>
            <w:tcW w:w="59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.982</w:t>
            </w:r>
          </w:p>
        </w:tc>
        <w:tc>
          <w:tcPr>
            <w:tcW w:w="59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2.967</w:t>
            </w:r>
          </w:p>
        </w:tc>
        <w:tc>
          <w:tcPr>
            <w:tcW w:w="59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3.091</w:t>
            </w:r>
          </w:p>
        </w:tc>
        <w:tc>
          <w:tcPr>
            <w:tcW w:w="59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2.200</w:t>
            </w:r>
          </w:p>
        </w:tc>
        <w:tc>
          <w:tcPr>
            <w:tcW w:w="59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17.916</w:t>
            </w:r>
          </w:p>
        </w:tc>
        <w:tc>
          <w:tcPr>
            <w:tcW w:w="59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13.938</w:t>
            </w:r>
          </w:p>
        </w:tc>
        <w:tc>
          <w:tcPr>
            <w:tcW w:w="69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2.315</w:t>
            </w:r>
          </w:p>
        </w:tc>
        <w:tc>
          <w:tcPr>
            <w:tcW w:w="599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7.916</w:t>
            </w:r>
          </w:p>
        </w:tc>
        <w:tc>
          <w:tcPr>
            <w:tcW w:w="591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592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.637</w:t>
            </w:r>
          </w:p>
        </w:tc>
        <w:tc>
          <w:tcPr>
            <w:tcW w:w="707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7"/>
        <w:tblW w:w="87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029"/>
        <w:gridCol w:w="845"/>
        <w:gridCol w:w="737"/>
        <w:gridCol w:w="814"/>
        <w:gridCol w:w="1014"/>
        <w:gridCol w:w="1014"/>
        <w:gridCol w:w="1014"/>
        <w:gridCol w:w="10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b/>
                <w:sz w:val="18"/>
              </w:rPr>
              <w:t>ARIMA 模型參數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31" w:type="dxa"/>
            <w:gridSpan w:val="5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估計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顯著性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油价-模型_1</w:t>
            </w:r>
          </w:p>
        </w:tc>
        <w:tc>
          <w:tcPr>
            <w:tcW w:w="1029" w:type="dxa"/>
            <w:vMerge w:val="restart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</w:t>
            </w:r>
          </w:p>
        </w:tc>
        <w:tc>
          <w:tcPr>
            <w:tcW w:w="845" w:type="dxa"/>
            <w:vMerge w:val="restart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無轉換</w:t>
            </w:r>
          </w:p>
        </w:tc>
        <w:tc>
          <w:tcPr>
            <w:tcW w:w="1551" w:type="dxa"/>
            <w:gridSpan w:val="2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常數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4.711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11.648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.404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AR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.187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3.884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.014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.296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.767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.222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.824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.036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.730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.466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.318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.750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.027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.559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.577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.004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.078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.170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3.515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差異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时间序列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無轉換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分子</w:t>
            </w:r>
          </w:p>
        </w:tc>
        <w:tc>
          <w:tcPr>
            <w:tcW w:w="814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-.395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.693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对样本内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原油</w:t>
      </w:r>
      <w:r>
        <w:rPr>
          <w:rFonts w:hint="eastAsia" w:ascii="Times New Roman" w:hAnsi="Times New Roman" w:eastAsia="宋体" w:cs="Times New Roman"/>
          <w:sz w:val="24"/>
        </w:rPr>
        <w:t>价格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sz w:val="24"/>
        </w:rPr>
        <w:t>度数据进行预测，得到样本区间内即</w:t>
      </w:r>
      <w:r>
        <w:rPr>
          <w:rFonts w:hint="eastAsia" w:ascii="Calibri" w:hAnsi="Calibri" w:eastAsia="宋体" w:cs="Times New Roman"/>
          <w:sz w:val="24"/>
          <w:szCs w:val="24"/>
        </w:rPr>
        <w:t>20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04</w:t>
      </w:r>
      <w:r>
        <w:rPr>
          <w:rFonts w:hint="eastAsia" w:ascii="Calibri" w:hAnsi="Calibri" w:eastAsia="宋体" w:cs="Times New Roman"/>
          <w:sz w:val="24"/>
          <w:szCs w:val="24"/>
        </w:rPr>
        <w:t>年3月-201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Calibri" w:hAnsi="Calibri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sz w:val="24"/>
        </w:rPr>
        <w:t>度结果，如图4.9所示，从样本内预测精度的指标上看，样本容量共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436</w:t>
      </w:r>
      <w:r>
        <w:rPr>
          <w:rFonts w:hint="eastAsia" w:ascii="Times New Roman" w:hAnsi="Times New Roman" w:eastAsia="宋体" w:cs="Times New Roman"/>
          <w:sz w:val="24"/>
        </w:rPr>
        <w:t>，该模型样本内的预测误差是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2.97</w:t>
      </w:r>
      <w:r>
        <w:rPr>
          <w:rFonts w:hint="eastAsia" w:ascii="Times New Roman" w:hAnsi="Times New Roman" w:eastAsia="宋体" w:cs="Times New Roman"/>
          <w:sz w:val="24"/>
        </w:rPr>
        <w:t>%左右，可以看出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时间序列</w:t>
      </w:r>
      <w:r>
        <w:rPr>
          <w:rFonts w:hint="eastAsia" w:ascii="Times New Roman" w:hAnsi="Times New Roman" w:eastAsia="宋体" w:cs="Times New Roman"/>
          <w:sz w:val="24"/>
        </w:rPr>
        <w:t>模型样本期内拟合效果较好。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highlight w:val="none"/>
        </w:rPr>
      </w:pPr>
      <w:r>
        <w:rPr>
          <w:rFonts w:hint="eastAsia" w:ascii="Times New Roman" w:hAnsi="Times New Roman" w:eastAsia="宋体" w:cs="Times New Roman"/>
          <w:sz w:val="24"/>
        </w:rPr>
        <w:t>为检验该模型的预测效果，对样本外的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原油</w:t>
      </w:r>
      <w:r>
        <w:rPr>
          <w:rFonts w:hint="eastAsia" w:ascii="Times New Roman" w:hAnsi="Times New Roman" w:eastAsia="宋体" w:cs="Times New Roman"/>
          <w:sz w:val="24"/>
        </w:rPr>
        <w:t>价格进行预测，预测结果如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下表</w:t>
      </w:r>
      <w:r>
        <w:rPr>
          <w:rFonts w:hint="eastAsia" w:ascii="Times New Roman" w:hAnsi="Times New Roman" w:eastAsia="宋体" w:cs="Times New Roman"/>
          <w:sz w:val="24"/>
        </w:rPr>
        <w:t>所示。从预测精度的指标上看，样本外的预测误差为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6.70</w:t>
      </w:r>
      <w:r>
        <w:rPr>
          <w:rFonts w:hint="eastAsia" w:ascii="Times New Roman" w:hAnsi="Times New Roman" w:eastAsia="宋体" w:cs="Times New Roman"/>
          <w:sz w:val="24"/>
        </w:rPr>
        <w:t>%。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预测精度显示无论样本内拟合情况还是样本外的预测情况，该回归模型的预测精度均在9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%以上</w:t>
      </w:r>
      <w:r>
        <w:rPr>
          <w:rFonts w:hint="eastAsia" w:ascii="Times New Roman" w:hAnsi="Times New Roman" w:eastAsia="宋体" w:cs="Times New Roman"/>
          <w:sz w:val="24"/>
          <w:highlight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预测效果较好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。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加入搜索指数的ARIMA油价预测模型</w:t>
      </w:r>
    </w:p>
    <w:p>
      <w:pPr>
        <w:numPr>
          <w:numId w:val="0"/>
        </w:numPr>
        <w:spacing w:line="360" w:lineRule="auto"/>
        <w:rPr>
          <w:rFonts w:hint="eastAsia" w:ascii="Calibri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搜索数据准备：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为了准确反映互联网中对于原油价格的关注度，采用人工范围划定的方式选取了若干关键词，包括</w:t>
      </w:r>
      <w:r>
        <w:rPr>
          <w:rFonts w:ascii="宋体" w:hAnsi="宋体" w:eastAsia="宋体" w:cs="宋体"/>
          <w:sz w:val="24"/>
          <w:szCs w:val="24"/>
        </w:rPr>
        <w:t>‘crude oil’, ‘WTI’, ‘crude oil price’, ‘NYMEX oil price’,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</w:t>
      </w:r>
      <w:r>
        <w:rPr>
          <w:rFonts w:ascii="宋体" w:hAnsi="宋体" w:eastAsia="宋体" w:cs="宋体"/>
          <w:sz w:val="24"/>
          <w:szCs w:val="24"/>
        </w:rPr>
        <w:t>‘NYMEX crude oil’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时间与油价的选取时间相同，为</w:t>
      </w:r>
      <w:r>
        <w:rPr>
          <w:rFonts w:hint="eastAsia" w:ascii="Calibri" w:hAnsi="Calibri" w:eastAsia="宋体" w:cs="Times New Roman"/>
          <w:sz w:val="24"/>
          <w:szCs w:val="24"/>
        </w:rPr>
        <w:t>20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04</w:t>
      </w:r>
      <w:r>
        <w:rPr>
          <w:rFonts w:hint="eastAsia" w:ascii="Calibri" w:hAnsi="Calibri" w:eastAsia="宋体" w:cs="Times New Roman"/>
          <w:sz w:val="24"/>
          <w:szCs w:val="24"/>
        </w:rPr>
        <w:t>年3月-201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11</w:t>
      </w:r>
      <w:r>
        <w:rPr>
          <w:rFonts w:hint="eastAsia" w:ascii="Calibri" w:hAnsi="Calibri" w:eastAsia="宋体" w:cs="Times New Roman"/>
          <w:sz w:val="24"/>
          <w:szCs w:val="24"/>
        </w:rPr>
        <w:t>月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经过统计分析，发现各个关键词得到的搜索指数序列较为相似，序列间的线性相关系数较高。其中，</w:t>
      </w:r>
      <w:r>
        <w:rPr>
          <w:rFonts w:ascii="宋体" w:hAnsi="宋体" w:eastAsia="宋体" w:cs="宋体"/>
          <w:sz w:val="24"/>
          <w:szCs w:val="24"/>
        </w:rPr>
        <w:t>‘crude oil’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对应的搜索量最大，且包含更多的具体信息，因此选取</w:t>
      </w:r>
      <w:r>
        <w:rPr>
          <w:rFonts w:ascii="宋体" w:hAnsi="宋体" w:eastAsia="宋体" w:cs="宋体"/>
          <w:sz w:val="24"/>
          <w:szCs w:val="24"/>
        </w:rPr>
        <w:t>‘crude oil’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作为最能代表互联网搜索关注度的关键词。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图为搜索指数以及原油价格波动的变化趋势，可以看到，搜索指数序列与原油价格波动序列具有一定的相似性，在2008年9月全球金融危机期间，油价变动值达到了一个高点，而期间的搜索指数也出现了明显的升高，表现了类似的趋势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96535" cy="3242310"/>
            <wp:effectExtent l="0" t="0" r="1841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drawing>
          <wp:inline distT="0" distB="0" distL="114300" distR="114300">
            <wp:extent cx="7045960" cy="4181475"/>
            <wp:effectExtent l="0" t="0" r="254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采用加入了搜索指数的ARIMA(8,1,0)模型</w:t>
      </w:r>
      <w:r>
        <w:rPr>
          <w:rFonts w:hint="eastAsia" w:ascii="Calibri" w:hAnsi="Calibri" w:eastAsia="宋体" w:cs="Times New Roman"/>
          <w:sz w:val="24"/>
          <w:szCs w:val="24"/>
        </w:rPr>
        <w:t>来预测201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7</w:t>
      </w:r>
      <w:r>
        <w:rPr>
          <w:rFonts w:hint="eastAsia" w:ascii="Calibri" w:hAnsi="Calibri" w:eastAsia="宋体" w:cs="Times New Roman"/>
          <w:sz w:val="24"/>
          <w:szCs w:val="24"/>
        </w:rPr>
        <w:t>月至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11</w:t>
      </w:r>
      <w:r>
        <w:rPr>
          <w:rFonts w:hint="eastAsia" w:ascii="Calibri" w:hAnsi="Calibri" w:eastAsia="宋体" w:cs="Times New Roman"/>
          <w:sz w:val="24"/>
          <w:szCs w:val="24"/>
        </w:rPr>
        <w:t>月期间内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原油</w:t>
      </w:r>
      <w:r>
        <w:rPr>
          <w:rFonts w:hint="eastAsia" w:ascii="Calibri" w:hAnsi="Calibri" w:eastAsia="宋体" w:cs="Times New Roman"/>
          <w:sz w:val="24"/>
          <w:szCs w:val="24"/>
        </w:rPr>
        <w:t>价格。</w:t>
      </w:r>
      <w:r>
        <w:rPr>
          <w:rFonts w:hint="eastAsia"/>
          <w:sz w:val="24"/>
          <w:lang w:val="en-US" w:eastAsia="zh-CN"/>
        </w:rPr>
        <w:t>其模型方程为：</w:t>
      </w:r>
    </w:p>
    <w:p>
      <w:pPr>
        <w:spacing w:beforeLines="0" w:afterLines="0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 w:ascii="Calibri" w:hAnsi="Calibri" w:eastAsia="宋体" w:cs="Times New Roman"/>
          <w:position w:val="-12"/>
          <w:sz w:val="24"/>
          <w:szCs w:val="24"/>
          <w:lang w:val="en-US" w:eastAsia="zh-CN"/>
        </w:rPr>
        <w:object>
          <v:shape id="_x0000_i1031" o:spt="75" alt="" type="#_x0000_t75" style="height:20.7pt;width:20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8">
            <o:LockedField>false</o:LockedField>
          </o:OLEObject>
        </w:object>
      </w:r>
    </w:p>
    <w:p>
      <w:pPr>
        <w:spacing w:beforeLines="0" w:afterLines="0"/>
        <w:ind w:firstLine="420" w:firstLineChars="0"/>
        <w:jc w:val="left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对样本内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原油</w:t>
      </w:r>
      <w:r>
        <w:rPr>
          <w:rFonts w:hint="eastAsia" w:ascii="Times New Roman" w:hAnsi="Times New Roman" w:eastAsia="宋体" w:cs="Times New Roman"/>
          <w:sz w:val="24"/>
        </w:rPr>
        <w:t>价格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sz w:val="24"/>
        </w:rPr>
        <w:t>度数据进行预测，得到样本区间内即</w:t>
      </w:r>
      <w:r>
        <w:rPr>
          <w:rFonts w:hint="eastAsia" w:ascii="Calibri" w:hAnsi="Calibri" w:eastAsia="宋体" w:cs="Times New Roman"/>
          <w:sz w:val="24"/>
          <w:szCs w:val="24"/>
        </w:rPr>
        <w:t>20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04</w:t>
      </w:r>
      <w:r>
        <w:rPr>
          <w:rFonts w:hint="eastAsia" w:ascii="Calibri" w:hAnsi="Calibri" w:eastAsia="宋体" w:cs="Times New Roman"/>
          <w:sz w:val="24"/>
          <w:szCs w:val="24"/>
        </w:rPr>
        <w:t>年3月-201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</w:rPr>
        <w:t>年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Calibri" w:hAnsi="Calibri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sz w:val="24"/>
        </w:rPr>
        <w:t>度结果，如图4.9所示，从样本内预测精度的指标上看，样本容量共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436</w:t>
      </w:r>
      <w:r>
        <w:rPr>
          <w:rFonts w:hint="eastAsia" w:ascii="Times New Roman" w:hAnsi="Times New Roman" w:eastAsia="宋体" w:cs="Times New Roman"/>
          <w:sz w:val="24"/>
        </w:rPr>
        <w:t>，该模型样本内的预测误差是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2.95</w:t>
      </w:r>
      <w:r>
        <w:rPr>
          <w:rFonts w:hint="eastAsia" w:ascii="Times New Roman" w:hAnsi="Times New Roman" w:eastAsia="宋体" w:cs="Times New Roman"/>
          <w:sz w:val="24"/>
        </w:rPr>
        <w:t>%左右，可以看出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时间序列</w:t>
      </w:r>
      <w:r>
        <w:rPr>
          <w:rFonts w:hint="eastAsia" w:ascii="Times New Roman" w:hAnsi="Times New Roman" w:eastAsia="宋体" w:cs="Times New Roman"/>
          <w:sz w:val="24"/>
        </w:rPr>
        <w:t>模型样本期内拟合效果较好。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812"/>
        <w:gridCol w:w="730"/>
        <w:gridCol w:w="589"/>
        <w:gridCol w:w="588"/>
        <w:gridCol w:w="587"/>
        <w:gridCol w:w="589"/>
        <w:gridCol w:w="588"/>
        <w:gridCol w:w="587"/>
        <w:gridCol w:w="696"/>
        <w:gridCol w:w="598"/>
        <w:gridCol w:w="588"/>
        <w:gridCol w:w="587"/>
        <w:gridCol w:w="70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4" w:hRule="atLeast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b/>
                <w:sz w:val="18"/>
              </w:rPr>
              <w:t>模型統計資料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3" w:hRule="atLeast"/>
        </w:trPr>
        <w:tc>
          <w:tcPr>
            <w:tcW w:w="75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模型</w:t>
            </w:r>
          </w:p>
        </w:tc>
        <w:tc>
          <w:tcPr>
            <w:tcW w:w="812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預測變數數目</w:t>
            </w:r>
          </w:p>
        </w:tc>
        <w:tc>
          <w:tcPr>
            <w:tcW w:w="4954" w:type="dxa"/>
            <w:gridSpan w:val="8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模型適合度統計資料</w:t>
            </w:r>
          </w:p>
        </w:tc>
        <w:tc>
          <w:tcPr>
            <w:tcW w:w="1773" w:type="dxa"/>
            <w:gridSpan w:val="3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Ljung-Box Q(18)</w:t>
            </w:r>
          </w:p>
        </w:tc>
        <w:tc>
          <w:tcPr>
            <w:tcW w:w="704" w:type="dxa"/>
            <w:vMerge w:val="restart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離群值數目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8" w:hRule="atLeast"/>
        </w:trPr>
        <w:tc>
          <w:tcPr>
            <w:tcW w:w="75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2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平穩 R 平方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 平方</w:t>
            </w:r>
          </w:p>
        </w:tc>
        <w:tc>
          <w:tcPr>
            <w:tcW w:w="58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RMSE</w:t>
            </w:r>
          </w:p>
        </w:tc>
        <w:tc>
          <w:tcPr>
            <w:tcW w:w="587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MAPE</w:t>
            </w:r>
          </w:p>
        </w:tc>
        <w:tc>
          <w:tcPr>
            <w:tcW w:w="589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MAE</w:t>
            </w:r>
          </w:p>
        </w:tc>
        <w:tc>
          <w:tcPr>
            <w:tcW w:w="58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MaxAPE</w:t>
            </w:r>
          </w:p>
        </w:tc>
        <w:tc>
          <w:tcPr>
            <w:tcW w:w="587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MaxAE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標準化 BIC</w:t>
            </w:r>
          </w:p>
        </w:tc>
        <w:tc>
          <w:tcPr>
            <w:tcW w:w="59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統計資料</w:t>
            </w:r>
          </w:p>
        </w:tc>
        <w:tc>
          <w:tcPr>
            <w:tcW w:w="58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</w:t>
            </w:r>
          </w:p>
        </w:tc>
        <w:tc>
          <w:tcPr>
            <w:tcW w:w="587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顯著性</w:t>
            </w:r>
          </w:p>
        </w:tc>
        <w:tc>
          <w:tcPr>
            <w:tcW w:w="704" w:type="dxa"/>
            <w:vMerge w:val="continue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32" w:hRule="atLeast"/>
        </w:trPr>
        <w:tc>
          <w:tcPr>
            <w:tcW w:w="757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油价-模型_1</w:t>
            </w:r>
          </w:p>
        </w:tc>
        <w:tc>
          <w:tcPr>
            <w:tcW w:w="812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73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.090</w:t>
            </w:r>
          </w:p>
        </w:tc>
        <w:tc>
          <w:tcPr>
            <w:tcW w:w="589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.983</w:t>
            </w:r>
          </w:p>
        </w:tc>
        <w:tc>
          <w:tcPr>
            <w:tcW w:w="58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2.947</w:t>
            </w:r>
          </w:p>
        </w:tc>
        <w:tc>
          <w:tcPr>
            <w:tcW w:w="587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3.115</w:t>
            </w:r>
          </w:p>
        </w:tc>
        <w:tc>
          <w:tcPr>
            <w:tcW w:w="589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2.210</w:t>
            </w:r>
          </w:p>
        </w:tc>
        <w:tc>
          <w:tcPr>
            <w:tcW w:w="58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18.007</w:t>
            </w:r>
          </w:p>
        </w:tc>
        <w:tc>
          <w:tcPr>
            <w:tcW w:w="587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13.775</w:t>
            </w:r>
          </w:p>
        </w:tc>
        <w:tc>
          <w:tcPr>
            <w:tcW w:w="696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2.301</w:t>
            </w:r>
          </w:p>
        </w:tc>
        <w:tc>
          <w:tcPr>
            <w:tcW w:w="59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6.671</w:t>
            </w:r>
          </w:p>
        </w:tc>
        <w:tc>
          <w:tcPr>
            <w:tcW w:w="58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</w:t>
            </w:r>
          </w:p>
        </w:tc>
        <w:tc>
          <w:tcPr>
            <w:tcW w:w="587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.756</w:t>
            </w:r>
          </w:p>
        </w:tc>
        <w:tc>
          <w:tcPr>
            <w:tcW w:w="70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7"/>
        <w:tblW w:w="89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183"/>
        <w:gridCol w:w="845"/>
        <w:gridCol w:w="737"/>
        <w:gridCol w:w="814"/>
        <w:gridCol w:w="1014"/>
        <w:gridCol w:w="1014"/>
        <w:gridCol w:w="1014"/>
        <w:gridCol w:w="10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41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b/>
                <w:sz w:val="18"/>
              </w:rPr>
              <w:t>ARIMA 模型參數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885" w:type="dxa"/>
            <w:gridSpan w:val="5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估計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顯著性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油价-模型_1</w:t>
            </w:r>
          </w:p>
        </w:tc>
        <w:tc>
          <w:tcPr>
            <w:tcW w:w="1183" w:type="dxa"/>
            <w:vMerge w:val="restart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油价</w:t>
            </w:r>
          </w:p>
        </w:tc>
        <w:tc>
          <w:tcPr>
            <w:tcW w:w="845" w:type="dxa"/>
            <w:vMerge w:val="restart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無轉換</w:t>
            </w:r>
          </w:p>
        </w:tc>
        <w:tc>
          <w:tcPr>
            <w:tcW w:w="1551" w:type="dxa"/>
            <w:gridSpan w:val="2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常數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1.369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.550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2.490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AR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.169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3.507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.012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.253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.801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.131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.895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.026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.543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.588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.004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.075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.359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.720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-.004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.049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-.091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.161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.048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3.328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45" w:type="dxa"/>
            <w:vMerge w:val="continue"/>
            <w:tcBorders>
              <w:top w:val="single" w:color="000000" w:sz="1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差異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0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搜索指数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無轉換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分子</w:t>
            </w:r>
          </w:p>
        </w:tc>
        <w:tc>
          <w:tcPr>
            <w:tcW w:w="814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落後 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-.027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.011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-2.526</w:t>
            </w:r>
          </w:p>
        </w:tc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.012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314515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line="360" w:lineRule="auto"/>
        <w:rPr>
          <w:rFonts w:ascii="Calibri" w:hAnsi="Calibri" w:eastAsia="宋体" w:cs="Times New Roman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为检验该模型的预测效果，对样本外的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原油</w:t>
      </w:r>
      <w:r>
        <w:rPr>
          <w:rFonts w:hint="eastAsia" w:ascii="Times New Roman" w:hAnsi="Times New Roman" w:eastAsia="宋体" w:cs="Times New Roman"/>
          <w:sz w:val="24"/>
        </w:rPr>
        <w:t>价格进行预测，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并与不加入搜索指数的模型对比，</w:t>
      </w:r>
      <w:r>
        <w:rPr>
          <w:rFonts w:hint="eastAsia" w:ascii="Times New Roman" w:hAnsi="Times New Roman" w:eastAsia="宋体" w:cs="Times New Roman"/>
          <w:sz w:val="24"/>
        </w:rPr>
        <w:t>预测结果如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下表</w:t>
      </w:r>
      <w:r>
        <w:rPr>
          <w:rFonts w:hint="eastAsia" w:ascii="Times New Roman" w:hAnsi="Times New Roman" w:eastAsia="宋体" w:cs="Times New Roman"/>
          <w:sz w:val="24"/>
        </w:rPr>
        <w:t>所示。</w:t>
      </w:r>
      <w:bookmarkStart w:id="2" w:name="_GoBack"/>
      <w:bookmarkEnd w:id="2"/>
    </w:p>
    <w:p>
      <w:pPr>
        <w:pStyle w:val="5"/>
      </w:pPr>
      <w:r>
        <w:rPr>
          <w:rFonts w:hint="eastAsia"/>
        </w:rPr>
        <w:t xml:space="preserve">表4.21: </w:t>
      </w:r>
      <w:r>
        <w:rPr>
          <w:rFonts w:hint="eastAsia"/>
          <w:lang w:val="en-US" w:eastAsia="zh-CN"/>
        </w:rPr>
        <w:t>原油</w:t>
      </w:r>
      <w:r>
        <w:rPr>
          <w:rFonts w:hint="eastAsia"/>
        </w:rPr>
        <w:t>价格序列的AR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MA模型估计结果</w:t>
      </w:r>
      <w:r>
        <w:rPr>
          <w:rFonts w:hint="eastAsia"/>
          <w:lang w:val="en-US" w:eastAsia="zh-CN"/>
        </w:rPr>
        <w:t>-样本外</w:t>
      </w:r>
    </w:p>
    <w:tbl>
      <w:tblPr>
        <w:tblStyle w:val="7"/>
        <w:tblW w:w="4819" w:type="dxa"/>
        <w:jc w:val="center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8"/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模型1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模型2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i/>
                <w:lang w:eastAsia="zh-CN"/>
              </w:rPr>
            </w:pPr>
            <w:r>
              <w:rPr>
                <w:rFonts w:hint="eastAsia"/>
                <w:i/>
                <w:lang w:val="en-US" w:eastAsia="zh-CN"/>
              </w:rPr>
              <w:t>MAE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4.95</w:t>
            </w: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MAPE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i/>
                <w:lang w:eastAsia="zh-CN"/>
              </w:rPr>
            </w:pPr>
            <w:r>
              <w:rPr>
                <w:rFonts w:hint="eastAsia"/>
                <w:i/>
                <w:lang w:val="en-US" w:eastAsia="zh-CN"/>
              </w:rPr>
              <w:t>RMSE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6.70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pStyle w:val="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5.73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highlight w:val="none"/>
        </w:rPr>
      </w:pPr>
      <w:r>
        <w:rPr>
          <w:rFonts w:hint="eastAsia" w:ascii="Times New Roman" w:hAnsi="Times New Roman" w:eastAsia="宋体" w:cs="Times New Roman"/>
          <w:sz w:val="24"/>
        </w:rPr>
        <w:t>从预测精度的指标上看，样本外的预测误差为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5.73</w:t>
      </w:r>
      <w:r>
        <w:rPr>
          <w:rFonts w:hint="eastAsia" w:ascii="Times New Roman" w:hAnsi="Times New Roman" w:eastAsia="宋体" w:cs="Times New Roman"/>
          <w:sz w:val="24"/>
        </w:rPr>
        <w:t>%。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预测精度显示无论样本内拟合情况还是样本外的预测情况，该回归模型的预测精度均在9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%以</w:t>
      </w:r>
      <w:r>
        <w:rPr>
          <w:rFonts w:hint="eastAsia" w:ascii="Times New Roman" w:hAnsi="Times New Roman" w:eastAsia="宋体" w:cs="Times New Roman"/>
          <w:sz w:val="24"/>
          <w:highlight w:val="none"/>
          <w:lang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与不加入搜索指数的模型相比样本外的预测精度提升了近1%，并且模型平稳的R方从0.73提升到0.90，说明了加入搜索的模型能更好刻画原油价格序列，搜索数据对于预测原油价格具有一定作用。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9616B"/>
    <w:multiLevelType w:val="singleLevel"/>
    <w:tmpl w:val="F199616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515AAB3"/>
    <w:multiLevelType w:val="singleLevel"/>
    <w:tmpl w:val="4515AAB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235FED"/>
    <w:rsid w:val="2D12745F"/>
    <w:rsid w:val="45242EA7"/>
    <w:rsid w:val="4738389A"/>
    <w:rsid w:val="5CC6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next w:val="1"/>
    <w:semiHidden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ind w:left="426" w:hanging="375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widowControl/>
      <w:spacing w:line="360" w:lineRule="auto"/>
      <w:jc w:val="center"/>
    </w:pPr>
    <w:rPr>
      <w:rFonts w:ascii="Times New Roman" w:hAnsi="Times New Roman" w:eastAsia="黑体" w:cs="Times New Roman"/>
      <w:bCs/>
      <w:smallCaps/>
      <w:kern w:val="0"/>
      <w:sz w:val="24"/>
      <w:szCs w:val="24"/>
    </w:rPr>
  </w:style>
  <w:style w:type="paragraph" w:customStyle="1" w:styleId="8">
    <w:name w:val="表格文字"/>
    <w:basedOn w:val="1"/>
    <w:qFormat/>
    <w:uiPriority w:val="0"/>
    <w:rPr>
      <w:rFonts w:ascii="Times New Roman" w:hAnsi="Times New Roman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2018-03-27T03:14:08Z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