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Lines="0" w:afterLines="0" w:line="400" w:lineRule="atLeast"/>
        <w:ind w:left="0" w:leftChars="0" w:firstLine="0" w:firstLineChars="0"/>
        <w:jc w:val="left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石油走势与新闻情感格兰杰因果关系分析</w:t>
      </w:r>
    </w:p>
    <w:p>
      <w:pPr>
        <w:numPr>
          <w:ilvl w:val="0"/>
          <w:numId w:val="0"/>
        </w:numPr>
        <w:spacing w:beforeLines="0" w:afterLines="0" w:line="400" w:lineRule="atLeast"/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情感分析和WTI价格序列归一化之后，本文采用HP滤波法去掉这两个序列的噪音，保留趋势，然后把去掉噪音后的两个序列画在了图3．4中。为了验证新闻情感的变化是否真正与石油价格变化相关，本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节</w:t>
      </w:r>
      <w:r>
        <w:rPr>
          <w:rFonts w:ascii="宋体" w:hAnsi="宋体" w:eastAsia="宋体" w:cs="宋体"/>
          <w:sz w:val="24"/>
          <w:szCs w:val="24"/>
        </w:rPr>
        <w:t>采用了格兰杰因果检验。</w:t>
      </w:r>
    </w:p>
    <w:p>
      <w:pPr>
        <w:numPr>
          <w:ilvl w:val="0"/>
          <w:numId w:val="0"/>
        </w:numPr>
        <w:spacing w:beforeLines="0" w:afterLines="0" w:line="400" w:lineRule="atLeast"/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beforeLines="0" w:afterLines="0" w:line="400" w:lineRule="atLeast"/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结果见表3—6。可以看到，新闻情感和石油价格在滞后期为1，2和3的时候(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p-</w:t>
      </w:r>
      <w:r>
        <w:rPr>
          <w:rFonts w:ascii="宋体" w:hAnsi="宋体" w:eastAsia="宋体" w:cs="宋体"/>
          <w:sz w:val="24"/>
          <w:szCs w:val="24"/>
        </w:rPr>
        <w:t>value&lt;0．01)，具有明显的格兰杰因果关系，而在其他滞后期的时候，没有显 著的格兰杰因果关系。因此，这也验证了之前在前面一小节内得到的结论，即新闻情 感的变化同石油价格走势的变化具有很大的相关度，这表明新闻情感相对于石油价格 来说有重要的参照作用，新闻情感的变化早于石油价格的变化，并且在短时间(3-4 周)内新闻情感对石油价格具有预测能力。同时，在后面的基于新闻情感和人工智能 模型预测石油价格走势预测时，本文基于AIC最小原则选择3作为滞后期。</w:t>
      </w:r>
    </w:p>
    <w:p>
      <w:pPr>
        <w:numPr>
          <w:ilvl w:val="0"/>
          <w:numId w:val="0"/>
        </w:numPr>
        <w:spacing w:beforeLines="0" w:afterLines="0" w:line="400" w:lineRule="atLeast"/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1"/>
          <w:numId w:val="1"/>
        </w:numPr>
        <w:spacing w:beforeLines="0" w:afterLines="0"/>
        <w:jc w:val="left"/>
        <w:rPr>
          <w:rFonts w:hint="eastAsia"/>
          <w:sz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格兰杰因果检验</w:t>
      </w:r>
    </w:p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格兰杰因果检验(The Granger causality是一种基于预测的因果关系的统计概念， 是由经济学家克莱夫·格兰杰(Clive W．J．Granger)在1969年提出。基于格兰杰因果检验，可以判定一个时间序列是否能辅助预测另一个时间序列。</w:t>
      </w:r>
      <w:bookmarkStart w:id="0" w:name="OLE_LINK16"/>
    </w:p>
    <w:bookmarkEnd w:id="0"/>
    <w:p>
      <w:pPr>
        <w:numPr>
          <w:ilvl w:val="0"/>
          <w:numId w:val="0"/>
        </w:numPr>
        <w:spacing w:beforeLines="0" w:afterLines="0"/>
        <w:ind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根据格兰杰因果检验的定义，如果在包含时间序列</w:t>
      </w:r>
      <w:bookmarkStart w:id="1" w:name="OLE_LINK17"/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25" o:spt="75" type="#_x0000_t75" style="height:17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bookmarkEnd w:id="1"/>
      <w:r>
        <w:rPr>
          <w:rFonts w:ascii="宋体" w:hAnsi="宋体" w:eastAsia="宋体" w:cs="宋体"/>
          <w:sz w:val="24"/>
          <w:szCs w:val="24"/>
        </w:rPr>
        <w:t>和时间序列</w:t>
      </w:r>
      <w:bookmarkStart w:id="2" w:name="OLE_LINK18"/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26" o:spt="75" type="#_x0000_t75" style="height:17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bookmarkEnd w:id="2"/>
      <w:r>
        <w:rPr>
          <w:rFonts w:ascii="宋体" w:hAnsi="宋体" w:eastAsia="宋体" w:cs="宋体"/>
          <w:sz w:val="24"/>
          <w:szCs w:val="24"/>
        </w:rPr>
        <w:t>的历史信息的条件下，引入时间序列</w:t>
      </w:r>
      <w:bookmarkStart w:id="3" w:name="OLE_LINK19"/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27" o:spt="75" type="#_x0000_t75" style="height:17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bookmarkEnd w:id="3"/>
      <w:r>
        <w:rPr>
          <w:rFonts w:ascii="宋体" w:hAnsi="宋体" w:eastAsia="宋体" w:cs="宋体"/>
          <w:sz w:val="24"/>
          <w:szCs w:val="24"/>
        </w:rPr>
        <w:t>的历史信息预测序列</w:t>
      </w:r>
      <w:bookmarkStart w:id="4" w:name="OLE_LINK20"/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28" o:spt="75" type="#_x0000_t75" style="height:17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9">
            <o:LockedField>false</o:LockedField>
          </o:OLEObject>
        </w:object>
      </w:r>
      <w:bookmarkEnd w:id="4"/>
      <w:r>
        <w:rPr>
          <w:rFonts w:ascii="宋体" w:hAnsi="宋体" w:eastAsia="宋体" w:cs="宋体"/>
          <w:sz w:val="24"/>
          <w:szCs w:val="24"/>
        </w:rPr>
        <w:t>的效果好于仅有序列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29" o:spt="75" type="#_x0000_t75" style="height:17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0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的历史信息预测序列局的效果，那么就认为序列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30" o:spt="75" type="#_x0000_t75" style="height:17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1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是序列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31" o:spt="75" type="#_x0000_t75" style="height:17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2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的格兰杰原因，即序列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32" o:spt="75" type="#_x0000_t75" style="height:17pt;width: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3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对于序列</w:t>
      </w:r>
      <w:r>
        <w:rPr>
          <w:rFonts w:ascii="宋体" w:hAnsi="宋体" w:eastAsia="宋体" w:cs="宋体"/>
          <w:position w:val="-10"/>
          <w:sz w:val="24"/>
          <w:szCs w:val="24"/>
        </w:rPr>
        <w:object>
          <v:shape id="_x0000_i1033" o:spt="75" type="#_x0000_t75" style="height:17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4">
            <o:LockedField>false</o:LockedField>
          </o:OLEObject>
        </w:object>
      </w:r>
      <w:r>
        <w:rPr>
          <w:rFonts w:ascii="宋体" w:hAnsi="宋体" w:eastAsia="宋体" w:cs="宋体"/>
          <w:sz w:val="24"/>
          <w:szCs w:val="24"/>
        </w:rPr>
        <w:t>具有预测能力。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102361"/>
    <w:multiLevelType w:val="multilevel"/>
    <w:tmpl w:val="F31023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37226"/>
    <w:rsid w:val="1673722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oleObject" Target="embeddings/oleObject7.bin"/><Relationship Id="rId11" Type="http://schemas.openxmlformats.org/officeDocument/2006/relationships/oleObject" Target="embeddings/oleObject6.bin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2018-04-04T03:25:00Z</dcterms:created>
  <dc:creator>user</dc:creator>
  <cp:lastModifiedBy>user</cp:lastModifiedBy>
  <dcterms:modified xsi:type="dcterms:W3CDTF">2018-04-04T03:26:16Z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