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王雪蓉, 万年红. 基于跨境电商可控关联性大数据的出口产品销量动态预测模型[J]. 计算机应用, 2017, 37(4):1038-1043.</w:t>
      </w:r>
    </w:p>
    <w:p>
      <w:pPr>
        <w:rPr>
          <w:rFonts w:hint="eastAsia"/>
          <w:lang w:val="en-US" w:eastAsia="zh-CN"/>
        </w:rPr>
      </w:pPr>
      <w:r>
        <w:rPr>
          <w:rFonts w:hint="eastAsia"/>
          <w:lang w:val="en-US" w:eastAsia="zh-CN"/>
        </w:rPr>
        <w:t>目前流行的外贸产品销量预测方法单纯地分别从第三方平台或大数据角度研究预测问题,对互联网平台、跨境电商、大数据融合应用于产品销量动态演化预测的考虑不足。为提高出口产品销量预测效果,实现预测系统的伸缩性和动态演化性,基于研究"互联网+外贸"环境下跨境电商出口产品销量可控关联性大数据挖掘、个性化预测机制、智慧预测算法,改进分布式定量、集中式定性计算等相应算法,提出一个"互联网+外贸"驱动下基于跨境电商可控关联性大数据的出口产品销量动态预测模型,并进行了应用实验,对各种模型的实验结果进行对比分析。实验结果表明,该模型充分融合了"互联网+"的开放性、可延伸性和大数据动态预测优势,实现了"互联网+外贸"环境下基于跨境电商可控关联性大数据的出口产品销量动态、智慧、定量定性预测。该模型综合预测效果明显优于传统模型,具有较强的动态演化性和较高的实用价值。</w:t>
      </w:r>
    </w:p>
    <w:p>
      <w:pPr>
        <w:rPr>
          <w:rFonts w:hint="eastAsia"/>
          <w:lang w:val="en-US" w:eastAsia="zh-CN"/>
        </w:rPr>
      </w:pPr>
      <w:bookmarkStart w:id="0" w:name="_GoBack"/>
      <w:r>
        <w:rPr>
          <w:rFonts w:hint="eastAsia"/>
          <w:lang w:val="en-US" w:eastAsia="zh-CN"/>
        </w:rPr>
        <w:drawing>
          <wp:inline distT="0" distB="0" distL="114300" distR="114300">
            <wp:extent cx="5647690" cy="351917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47690" cy="3519170"/>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6621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2018-02-26T12:58:20Z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