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李新（2015）构建反映投资者对国际原油市场关注度的衡量指标，探讨投资者关注与国际原油市场上不同类型的投资者交易持仓关系。采用网络挖掘-特征选择-广义动态因子模型</w:t>
      </w:r>
      <w:bookmarkStart w:id="0" w:name="_GoBack"/>
      <w:bookmarkEnd w:id="0"/>
      <w:r>
        <w:rPr>
          <w:rFonts w:hint="eastAsia"/>
          <w:sz w:val="24"/>
          <w:szCs w:val="24"/>
          <w:lang w:val="en-US" w:eastAsia="zh-CN"/>
        </w:rPr>
        <w:t>(WM-FS-FHLR)提取互联网搜索关键词，进行特征选择筛选变量，并构建反映互联网关注的“一致指数”。引入生物信息领域的因果分析方法Partial Directed Coherence(PDC)分析因果关系对所构建的指数进行综合评价。该指数是一个基于互联网数据所构建的综合指数，可用于更全面地衡量原油市场中部分投资者的关注，更及时且准确的表征原油市场的动态变化。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进一步构建经济计量模型分析投资者关注对国际原油价格及价格波动的影响程度。构建多组VAR模型来研究投资者关注指数对非商业投资者、商业投资者及散户的持仓关系，从而分析投资者关注指数与投机活动的领先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906D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2018-01-26T03:32:03Z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