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5538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highlight w:val="yellow"/>
          <w:lang w:val="en-US" w:eastAsia="zh-CN"/>
        </w:rPr>
      </w:pPr>
      <w:r>
        <w:rPr>
          <w:rFonts w:hint="eastAsia" w:ascii="宋体" w:hAnsi="宋体" w:eastAsia="宋体" w:cs="宋体"/>
          <w:sz w:val="24"/>
        </w:rPr>
        <w:t>• 步骤1：模型构建和比较。经过数据收集和预处理后，数据集被随机分为训练集（80%的样本）、验证集（10%的样本）和测试集</w:t>
      </w:r>
      <w:r>
        <w:rPr>
          <w:rFonts w:hint="eastAsia" w:ascii="宋体" w:hAnsi="宋体" w:eastAsia="宋体" w:cs="宋体"/>
          <w:sz w:val="24"/>
          <w:lang w:val="en-US" w:eastAsia="zh-CN"/>
        </w:rPr>
        <w:t>(</w:t>
      </w:r>
      <w:r>
        <w:rPr>
          <w:rFonts w:hint="eastAsia" w:ascii="宋体" w:hAnsi="宋体" w:eastAsia="宋体" w:cs="宋体"/>
          <w:sz w:val="24"/>
        </w:rPr>
        <w:t>10%的样本）。应用</w:t>
      </w:r>
      <w:r>
        <w:rPr>
          <w:rFonts w:hint="eastAsia" w:ascii="宋体" w:hAnsi="宋体" w:eastAsia="宋体" w:cs="宋体"/>
          <w:sz w:val="24"/>
          <w:highlight w:val="cyan"/>
          <w:lang w:val="en-US" w:eastAsia="zh-CN"/>
        </w:rPr>
        <w:t>多元线性回归，RF,XGBoost,LSTM,DNN+LSTM,DNN+LSTM</w:t>
      </w:r>
      <w:r>
        <w:rPr>
          <w:rFonts w:hint="eastAsia" w:ascii="宋体" w:hAnsi="宋体" w:eastAsia="宋体" w:cs="宋体"/>
          <w:sz w:val="24"/>
          <w:lang w:val="en-US" w:eastAsia="zh-CN"/>
        </w:rPr>
        <w:t>多个</w:t>
      </w:r>
      <w:r>
        <w:rPr>
          <w:rFonts w:hint="eastAsia" w:ascii="宋体" w:hAnsi="宋体" w:eastAsia="宋体" w:cs="宋体"/>
          <w:sz w:val="24"/>
        </w:rPr>
        <w:t>模型对训练集进行学习，建立长距离缺陷管道疲劳寿命预测模型。为了评估</w:t>
      </w:r>
      <w:r>
        <w:rPr>
          <w:rFonts w:hint="eastAsia" w:ascii="宋体" w:hAnsi="宋体" w:eastAsia="宋体" w:cs="宋体"/>
          <w:sz w:val="24"/>
          <w:lang w:val="en-US" w:eastAsia="zh-CN"/>
        </w:rPr>
        <w:t>DNN+LSTM</w:t>
      </w:r>
      <w:r>
        <w:rPr>
          <w:rFonts w:hint="eastAsia" w:ascii="宋体" w:hAnsi="宋体" w:eastAsia="宋体" w:cs="宋体"/>
          <w:sz w:val="24"/>
        </w:rPr>
        <w:t>模型的适用性，将其预测结果和性能指标与测试集上其他常见模型的预测结果和性能指标进行比较</w:t>
      </w:r>
      <w:r>
        <w:rPr>
          <w:rFonts w:hint="eastAsia" w:ascii="宋体" w:hAnsi="宋体" w:eastAsia="宋体" w:cs="宋体"/>
          <w:sz w:val="24"/>
          <w:lang w:eastAsia="zh-CN"/>
        </w:rPr>
        <w:t>，</w:t>
      </w:r>
      <w:r>
        <w:rPr>
          <w:rFonts w:hint="eastAsia" w:ascii="宋体" w:hAnsi="宋体" w:eastAsia="宋体" w:cs="宋体"/>
          <w:sz w:val="24"/>
          <w:lang w:val="en-US" w:eastAsia="zh-CN"/>
        </w:rPr>
        <w:t>要用来画类似下面的图</w:t>
      </w:r>
      <w:r>
        <w:rPr>
          <w:rFonts w:hint="eastAsia" w:ascii="宋体" w:hAnsi="宋体" w:eastAsia="宋体" w:cs="宋体"/>
          <w:sz w:val="24"/>
        </w:rPr>
        <w:t>；</w:t>
      </w:r>
      <w:r>
        <w:rPr>
          <w:rFonts w:hint="eastAsia" w:ascii="宋体" w:hAnsi="宋体" w:eastAsia="宋体" w:cs="宋体"/>
          <w:sz w:val="24"/>
          <w:highlight w:val="yellow"/>
          <w:lang w:eastAsia="zh-CN"/>
        </w:rPr>
        <w:t>（</w:t>
      </w:r>
      <w:r>
        <w:rPr>
          <w:rFonts w:hint="eastAsia" w:ascii="宋体" w:hAnsi="宋体" w:eastAsia="宋体" w:cs="宋体"/>
          <w:sz w:val="24"/>
          <w:highlight w:val="yellow"/>
          <w:lang w:val="en-US" w:eastAsia="zh-CN"/>
        </w:rPr>
        <w:t>需要每个模型的具体预测结果表和三个指标的计算结果）（多个模型对比只需要间隔为一小时的一次网供回水的预测数据）</w:t>
      </w:r>
    </w:p>
    <w:p w14:paraId="67C81B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highlight w:val="yellow"/>
          <w:lang w:val="en-US" w:eastAsia="zh-CN"/>
        </w:rPr>
      </w:pPr>
      <w:r>
        <w:rPr>
          <w:rFonts w:hint="eastAsia" w:ascii="宋体" w:hAnsi="宋体" w:eastAsia="宋体" w:cs="宋体"/>
          <w:sz w:val="24"/>
          <w:lang w:val="en-US" w:eastAsia="zh-CN"/>
        </w:rPr>
        <w:t>上述</w:t>
      </w:r>
      <w:r>
        <w:rPr>
          <w:rFonts w:hint="eastAsia" w:ascii="宋体" w:hAnsi="宋体" w:eastAsia="宋体" w:cs="宋体"/>
          <w:sz w:val="24"/>
        </w:rPr>
        <w:t>模型</w:t>
      </w:r>
      <w:r>
        <w:rPr>
          <w:rFonts w:hint="eastAsia" w:ascii="宋体" w:hAnsi="宋体" w:eastAsia="宋体" w:cs="宋体"/>
          <w:sz w:val="24"/>
          <w:lang w:val="en-US" w:eastAsia="zh-CN"/>
        </w:rPr>
        <w:t>的</w:t>
      </w:r>
      <w:r>
        <w:rPr>
          <w:rFonts w:hint="eastAsia" w:ascii="宋体" w:hAnsi="宋体" w:eastAsia="宋体" w:cs="宋体"/>
          <w:sz w:val="24"/>
          <w:highlight w:val="yellow"/>
          <w:lang w:val="en-US" w:eastAsia="zh-CN"/>
        </w:rPr>
        <w:t>三个指标的表格</w:t>
      </w:r>
    </w:p>
    <w:p w14:paraId="1C76AF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MAPE（平均绝对百分比误差，Mean Absolute Percentage Error）</w:t>
      </w:r>
    </w:p>
    <w:p w14:paraId="2DA5DD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R²（决定系数，Coefficient of Determination）</w:t>
      </w:r>
    </w:p>
    <w:p w14:paraId="10EC02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lang w:val="en-US" w:eastAsia="zh-CN"/>
        </w:rPr>
      </w:pPr>
      <w:r>
        <w:rPr>
          <w:rFonts w:hint="eastAsia" w:ascii="宋体" w:hAnsi="宋体" w:eastAsia="宋体" w:cs="宋体"/>
          <w:sz w:val="24"/>
          <w:lang w:val="en-US" w:eastAsia="zh-CN"/>
        </w:rPr>
        <w:t>RMSE（均方根误差，Root Mean Square Error）</w:t>
      </w:r>
    </w:p>
    <w:p w14:paraId="6033DD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4"/>
          <w:lang w:val="en-US" w:eastAsia="zh-CN"/>
        </w:rPr>
      </w:pPr>
      <w:r>
        <w:drawing>
          <wp:anchor distT="0" distB="0" distL="114300" distR="114300" simplePos="0" relativeHeight="251660288" behindDoc="0" locked="0" layoutInCell="1" allowOverlap="1">
            <wp:simplePos x="0" y="0"/>
            <wp:positionH relativeFrom="column">
              <wp:posOffset>-590550</wp:posOffset>
            </wp:positionH>
            <wp:positionV relativeFrom="paragraph">
              <wp:posOffset>175260</wp:posOffset>
            </wp:positionV>
            <wp:extent cx="3658870" cy="2916555"/>
            <wp:effectExtent l="0" t="0" r="17780" b="1714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3658870" cy="291655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3019425</wp:posOffset>
            </wp:positionH>
            <wp:positionV relativeFrom="paragraph">
              <wp:posOffset>186690</wp:posOffset>
            </wp:positionV>
            <wp:extent cx="2573655" cy="2520315"/>
            <wp:effectExtent l="0" t="0" r="17145" b="1333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573655" cy="2520315"/>
                    </a:xfrm>
                    <a:prstGeom prst="rect">
                      <a:avLst/>
                    </a:prstGeom>
                    <a:noFill/>
                    <a:ln>
                      <a:noFill/>
                    </a:ln>
                  </pic:spPr>
                </pic:pic>
              </a:graphicData>
            </a:graphic>
          </wp:anchor>
        </w:drawing>
      </w:r>
      <w:r>
        <w:rPr>
          <w:rFonts w:hint="eastAsia" w:ascii="宋体" w:hAnsi="宋体" w:eastAsia="宋体" w:cs="宋体"/>
          <w:sz w:val="24"/>
          <w:lang w:val="en-US" w:eastAsia="zh-CN"/>
        </w:rPr>
        <w:t>对比结果选出三个预测结果精度高的模型（最好为RF,XGBoost，DNN+LSTM)</w:t>
      </w:r>
    </w:p>
    <w:p w14:paraId="44FAAF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highlight w:val="yellow"/>
          <w:lang w:val="en-US" w:eastAsia="zh-CN"/>
        </w:rPr>
      </w:pPr>
      <w:r>
        <w:rPr>
          <w:rFonts w:hint="eastAsia" w:ascii="宋体" w:hAnsi="宋体" w:eastAsia="宋体" w:cs="宋体"/>
          <w:sz w:val="24"/>
          <w:lang w:val="en-US" w:eastAsia="zh-CN"/>
        </w:rPr>
        <w:t>再用这三个模型预测间隔为一小时的二次网五个分区供回水温度进行对比</w:t>
      </w:r>
      <w:r>
        <w:rPr>
          <w:rFonts w:hint="eastAsia" w:ascii="宋体" w:hAnsi="宋体" w:eastAsia="宋体" w:cs="宋体"/>
          <w:sz w:val="24"/>
          <w:highlight w:val="yellow"/>
          <w:lang w:eastAsia="zh-CN"/>
        </w:rPr>
        <w:t>（</w:t>
      </w:r>
      <w:r>
        <w:rPr>
          <w:rFonts w:hint="eastAsia" w:ascii="宋体" w:hAnsi="宋体" w:eastAsia="宋体" w:cs="宋体"/>
          <w:sz w:val="24"/>
          <w:highlight w:val="yellow"/>
          <w:lang w:val="en-US" w:eastAsia="zh-CN"/>
        </w:rPr>
        <w:t>需要每个模型的具体预测结果表和三个指标的计算结果）;选出精度最高的模型（应该为DNN+LSTM)</w:t>
      </w:r>
    </w:p>
    <w:p w14:paraId="181FB7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 xml:space="preserve"> • 步骤2：模型优化。机器学习模型的性能受到数据质量和超参数设置等多种因素的影响。这一步重点是通过 PSO 算法优化</w:t>
      </w:r>
      <w:r>
        <w:rPr>
          <w:rFonts w:hint="eastAsia" w:ascii="宋体" w:hAnsi="宋体" w:eastAsia="宋体" w:cs="宋体"/>
          <w:sz w:val="24"/>
          <w:lang w:val="en-US" w:eastAsia="zh-CN"/>
        </w:rPr>
        <w:t>DNN+LSTM</w:t>
      </w:r>
      <w:r>
        <w:rPr>
          <w:rFonts w:hint="eastAsia" w:ascii="宋体" w:hAnsi="宋体" w:eastAsia="宋体" w:cs="宋体"/>
          <w:sz w:val="24"/>
        </w:rPr>
        <w:t xml:space="preserve"> 模型，</w:t>
      </w:r>
      <w:r>
        <w:rPr>
          <w:rFonts w:hint="eastAsia" w:ascii="宋体" w:hAnsi="宋体" w:eastAsia="宋体" w:cs="宋体"/>
          <w:sz w:val="24"/>
          <w:lang w:val="en-US" w:eastAsia="zh-CN"/>
        </w:rPr>
        <w:t>将PSO应用于DNN+LSTM模型）并</w:t>
      </w:r>
      <w:r>
        <w:rPr>
          <w:rFonts w:hint="eastAsia" w:ascii="宋体" w:hAnsi="宋体" w:eastAsia="宋体" w:cs="宋体"/>
          <w:sz w:val="24"/>
        </w:rPr>
        <w:t>微调其超参数以增强预测性能。分析关键PSO参数对模型性能的影响，评估</w:t>
      </w:r>
      <w:r>
        <w:rPr>
          <w:rFonts w:hint="eastAsia" w:ascii="宋体" w:hAnsi="宋体" w:eastAsia="宋体" w:cs="宋体"/>
          <w:sz w:val="24"/>
          <w:lang w:val="en-US" w:eastAsia="zh-CN"/>
        </w:rPr>
        <w:t>DNN+LSTM</w:t>
      </w:r>
      <w:r>
        <w:rPr>
          <w:rFonts w:hint="eastAsia" w:ascii="宋体" w:hAnsi="宋体" w:eastAsia="宋体" w:cs="宋体"/>
          <w:sz w:val="24"/>
        </w:rPr>
        <w:t>超参数对预测性能的敏感性以确定最优配置；</w:t>
      </w:r>
    </w:p>
    <w:p w14:paraId="1C28DF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t>本研究中</w:t>
      </w:r>
      <w:r>
        <w:rPr>
          <w:rFonts w:hint="eastAsia" w:ascii="宋体" w:hAnsi="宋体" w:eastAsia="宋体" w:cs="宋体"/>
          <w:sz w:val="24"/>
          <w:lang w:val="en-US" w:eastAsia="zh-CN"/>
        </w:rPr>
        <w:t>PSO.DNN+LSTM</w:t>
      </w:r>
      <w:r>
        <w:rPr>
          <w:rFonts w:hint="eastAsia" w:ascii="宋体" w:hAnsi="宋体" w:eastAsia="宋体" w:cs="宋体"/>
          <w:sz w:val="24"/>
        </w:rPr>
        <w:t>模型的超参数优化过程是通过 PSO 算法实现的。在实践中，使用K折交叉验证方法将原始训练数据集划分为10个互斥的子集。</w:t>
      </w:r>
    </w:p>
    <w:p w14:paraId="60D7AF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color w:val="0000FF"/>
          <w:sz w:val="24"/>
          <w:lang w:val="en-US" w:eastAsia="zh-CN"/>
        </w:rPr>
      </w:pPr>
      <w:r>
        <w:rPr>
          <w:rFonts w:hint="eastAsia" w:ascii="宋体" w:hAnsi="宋体" w:eastAsia="宋体" w:cs="宋体"/>
          <w:sz w:val="24"/>
        </w:rPr>
        <w:t>依次将9折作为二次训练集，剩余1折作为二次测试集，从而构建了超参数搜索的评估框架。</w:t>
      </w:r>
      <w:r>
        <w:rPr>
          <w:rFonts w:hint="eastAsia" w:ascii="宋体" w:hAnsi="宋体" w:eastAsia="宋体" w:cs="宋体"/>
          <w:color w:val="0000FF"/>
          <w:sz w:val="24"/>
        </w:rPr>
        <w:t xml:space="preserve"> PSO算法的主要参数设置如下：种群规模为20，迭代次数为12，惯性权重范围为[0.4，0.9]，认知权重为2.0，社会权重为2.0。通过多次尝试，我们发现15个粒子和11次迭代就足以实现稳定收敛。进一步增加迭代或粒子数量对结果的改善可以忽略不计，但显着增加了计算时间，如图 10 所示。为了在优化效果和计算成本之间取得平衡，我们最终将粒子数量设置为 20，迭代次数设置为 12</w:t>
      </w:r>
      <w:r>
        <w:rPr>
          <w:rFonts w:hint="eastAsia" w:ascii="宋体" w:hAnsi="宋体" w:eastAsia="宋体" w:cs="宋体"/>
          <w:color w:val="0000FF"/>
          <w:sz w:val="24"/>
          <w:lang w:val="en-US" w:eastAsia="zh-CN"/>
        </w:rPr>
        <w:t>.（</w:t>
      </w:r>
      <w:r>
        <w:rPr>
          <w:rFonts w:hint="eastAsia" w:ascii="宋体" w:hAnsi="宋体" w:eastAsia="宋体" w:cs="宋体"/>
          <w:color w:val="auto"/>
          <w:sz w:val="24"/>
          <w:highlight w:val="yellow"/>
          <w:lang w:val="en-US" w:eastAsia="zh-CN"/>
        </w:rPr>
        <w:t>用本研究真实的数据替换）</w:t>
      </w:r>
    </w:p>
    <w:p w14:paraId="5B6D68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4"/>
        </w:rPr>
      </w:pPr>
      <w:r>
        <w:drawing>
          <wp:inline distT="0" distB="0" distL="114300" distR="114300">
            <wp:extent cx="5267960" cy="2569845"/>
            <wp:effectExtent l="0" t="0" r="889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7960" cy="2569845"/>
                    </a:xfrm>
                    <a:prstGeom prst="rect">
                      <a:avLst/>
                    </a:prstGeom>
                    <a:noFill/>
                    <a:ln>
                      <a:noFill/>
                    </a:ln>
                  </pic:spPr>
                </pic:pic>
              </a:graphicData>
            </a:graphic>
          </wp:inline>
        </w:drawing>
      </w:r>
    </w:p>
    <w:p w14:paraId="3BCCAC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color w:val="4874CB" w:themeColor="accent1"/>
          <w:sz w:val="24"/>
          <w:lang w:val="en-US" w:eastAsia="zh-CN"/>
          <w14:textFill>
            <w14:solidFill>
              <w14:schemeClr w14:val="accent1"/>
            </w14:solidFill>
          </w14:textFill>
        </w:rPr>
      </w:pPr>
      <w:r>
        <w:rPr>
          <w:rFonts w:hint="eastAsia" w:ascii="宋体" w:hAnsi="宋体" w:eastAsia="宋体" w:cs="宋体"/>
          <w:sz w:val="24"/>
        </w:rPr>
        <w:t>优化过程中，以MA</w:t>
      </w:r>
      <w:r>
        <w:rPr>
          <w:rFonts w:hint="eastAsia" w:ascii="宋体" w:hAnsi="宋体" w:eastAsia="宋体" w:cs="宋体"/>
          <w:sz w:val="24"/>
          <w:lang w:val="en-US" w:eastAsia="zh-CN"/>
        </w:rPr>
        <w:t>P</w:t>
      </w:r>
      <w:r>
        <w:rPr>
          <w:rFonts w:hint="eastAsia" w:ascii="宋体" w:hAnsi="宋体" w:eastAsia="宋体" w:cs="宋体"/>
          <w:sz w:val="24"/>
        </w:rPr>
        <w:t>E为优化目标，基于最小化交叉验证误差的原则，在二次训练集中搜索最优超参数组合，并在二次测试集中验证性能。</w:t>
      </w:r>
      <w:r>
        <w:rPr>
          <w:rFonts w:hint="eastAsia" w:ascii="宋体" w:hAnsi="宋体" w:eastAsia="宋体" w:cs="宋体"/>
          <w:color w:val="4874CB" w:themeColor="accent1"/>
          <w:sz w:val="24"/>
          <w14:textFill>
            <w14:solidFill>
              <w14:schemeClr w14:val="accent1"/>
            </w14:solidFill>
          </w14:textFill>
        </w:rPr>
        <w:t>最终确定的超参数值如表4所示</w:t>
      </w:r>
      <w:r>
        <w:rPr>
          <w:rFonts w:hint="eastAsia" w:ascii="宋体" w:hAnsi="宋体" w:eastAsia="宋体" w:cs="宋体"/>
          <w:color w:val="4874CB" w:themeColor="accent1"/>
          <w:sz w:val="24"/>
          <w:lang w:val="en-US" w:eastAsia="zh-CN"/>
          <w14:textFill>
            <w14:solidFill>
              <w14:schemeClr w14:val="accent1"/>
            </w14:solidFill>
          </w14:textFill>
        </w:rPr>
        <w:t xml:space="preserve"> </w:t>
      </w:r>
      <w:r>
        <w:rPr>
          <w:rFonts w:hint="eastAsia" w:ascii="宋体" w:hAnsi="宋体" w:eastAsia="宋体" w:cs="宋体"/>
          <w:color w:val="0000FF"/>
          <w:sz w:val="24"/>
          <w:lang w:val="en-US" w:eastAsia="zh-CN"/>
        </w:rPr>
        <w:t>（</w:t>
      </w:r>
      <w:r>
        <w:rPr>
          <w:rFonts w:hint="eastAsia" w:ascii="宋体" w:hAnsi="宋体" w:eastAsia="宋体" w:cs="宋体"/>
          <w:color w:val="auto"/>
          <w:sz w:val="24"/>
          <w:highlight w:val="yellow"/>
          <w:lang w:val="en-US" w:eastAsia="zh-CN"/>
        </w:rPr>
        <w:t>用本研究真实的数据替换）</w:t>
      </w:r>
    </w:p>
    <w:p w14:paraId="11C662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drawing>
          <wp:inline distT="0" distB="0" distL="114300" distR="114300">
            <wp:extent cx="5271135" cy="1488440"/>
            <wp:effectExtent l="0" t="0" r="5715" b="165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1135" cy="1488440"/>
                    </a:xfrm>
                    <a:prstGeom prst="rect">
                      <a:avLst/>
                    </a:prstGeom>
                    <a:noFill/>
                    <a:ln>
                      <a:noFill/>
                    </a:ln>
                  </pic:spPr>
                </pic:pic>
              </a:graphicData>
            </a:graphic>
          </wp:inline>
        </w:drawing>
      </w:r>
    </w:p>
    <w:p w14:paraId="4D149B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rPr>
      </w:pPr>
      <w:r>
        <w:rPr>
          <w:rFonts w:hint="default" w:asciiTheme="minorAscii" w:hAnsiTheme="minorAscii" w:eastAsiaTheme="minorEastAsia"/>
          <w:sz w:val="24"/>
          <w:lang w:val="en-US" w:eastAsia="zh-CN"/>
        </w:rPr>
        <w:t>确定最终的超参数数值表，得出最终预测结果和残差直方图的</w:t>
      </w:r>
      <w:r>
        <w:rPr>
          <w:rFonts w:hint="default" w:asciiTheme="minorAscii" w:hAnsiTheme="minorAscii" w:eastAsiaTheme="minorEastAsia"/>
          <w:sz w:val="24"/>
          <w:highlight w:val="yellow"/>
          <w:lang w:val="en-US" w:eastAsia="zh-CN"/>
        </w:rPr>
        <w:t>（间隔为一小时的一二次网供回水预测具体的表格）</w:t>
      </w:r>
      <w:r>
        <w:rPr>
          <w:rFonts w:hint="default" w:asciiTheme="minorAscii" w:hAnsiTheme="minorAscii" w:eastAsiaTheme="minorEastAsia"/>
          <w:sz w:val="24"/>
          <w:lang w:val="en-US" w:eastAsia="zh-CN"/>
        </w:rPr>
        <w:t>，分别绘制训练集和测试集的散点对比图和误差带为5%的图像和（类似下图，我自己画）</w:t>
      </w:r>
    </w:p>
    <w:p w14:paraId="6E8E2D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drawing>
          <wp:inline distT="0" distB="0" distL="114300" distR="114300">
            <wp:extent cx="5265420" cy="1972310"/>
            <wp:effectExtent l="0" t="0" r="1143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65420" cy="1972310"/>
                    </a:xfrm>
                    <a:prstGeom prst="rect">
                      <a:avLst/>
                    </a:prstGeom>
                    <a:noFill/>
                    <a:ln>
                      <a:noFill/>
                    </a:ln>
                  </pic:spPr>
                </pic:pic>
              </a:graphicData>
            </a:graphic>
          </wp:inline>
        </w:drawing>
      </w:r>
    </w:p>
    <w:p w14:paraId="3238B7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drawing>
          <wp:inline distT="0" distB="0" distL="114300" distR="114300">
            <wp:extent cx="5029200" cy="46577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029200" cy="4657725"/>
                    </a:xfrm>
                    <a:prstGeom prst="rect">
                      <a:avLst/>
                    </a:prstGeom>
                    <a:noFill/>
                    <a:ln>
                      <a:noFill/>
                    </a:ln>
                  </pic:spPr>
                </pic:pic>
              </a:graphicData>
            </a:graphic>
          </wp:inline>
        </w:drawing>
      </w:r>
    </w:p>
    <w:p w14:paraId="0307B5B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lang w:val="en-US" w:eastAsia="zh-CN"/>
        </w:rPr>
      </w:pPr>
      <w:r>
        <w:rPr>
          <w:rFonts w:hint="eastAsia" w:ascii="宋体" w:hAnsi="宋体" w:eastAsia="宋体" w:cs="宋体"/>
          <w:sz w:val="24"/>
          <w:lang w:val="en-US" w:eastAsia="zh-CN"/>
        </w:rPr>
        <w:t>然后</w:t>
      </w:r>
      <w:r>
        <w:rPr>
          <w:rFonts w:hint="default" w:ascii="宋体" w:hAnsi="宋体" w:eastAsia="宋体" w:cs="宋体"/>
          <w:sz w:val="24"/>
          <w:lang w:val="en-US" w:eastAsia="zh-CN"/>
        </w:rPr>
        <w:t>单独输入24年数据，分两次预测，一次的时间间隔为15分钟，一次为1h，将结果进行对比</w:t>
      </w:r>
      <w:r>
        <w:rPr>
          <w:rFonts w:hint="eastAsia" w:ascii="宋体" w:hAnsi="宋体" w:eastAsia="宋体" w:cs="宋体"/>
          <w:sz w:val="24"/>
          <w:lang w:val="en-US" w:eastAsia="zh-CN"/>
        </w:rPr>
        <w:t>；</w:t>
      </w:r>
      <w:r>
        <w:rPr>
          <w:rFonts w:hint="default" w:ascii="宋体" w:hAnsi="宋体" w:eastAsia="宋体" w:cs="宋体"/>
          <w:sz w:val="24"/>
          <w:lang w:val="en-US" w:eastAsia="zh-CN"/>
        </w:rPr>
        <w:t>单独输入15年</w:t>
      </w:r>
      <w:r>
        <w:rPr>
          <w:rFonts w:hint="eastAsia" w:ascii="宋体" w:hAnsi="宋体" w:eastAsia="宋体" w:cs="宋体"/>
          <w:sz w:val="24"/>
          <w:lang w:val="en-US" w:eastAsia="zh-CN"/>
        </w:rPr>
        <w:t>数据</w:t>
      </w:r>
      <w:r>
        <w:rPr>
          <w:rFonts w:hint="default" w:ascii="宋体" w:hAnsi="宋体" w:eastAsia="宋体" w:cs="宋体"/>
          <w:sz w:val="24"/>
          <w:lang w:val="en-US" w:eastAsia="zh-CN"/>
        </w:rPr>
        <w:t>的预测一次，再输入24年的预测一次，输出结果对比</w:t>
      </w:r>
    </w:p>
    <w:p w14:paraId="5D68CF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bookmarkStart w:id="0" w:name="_GoBack"/>
      <w:bookmarkEnd w:id="0"/>
    </w:p>
    <w:p w14:paraId="21870D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color w:val="4874CB" w:themeColor="accent1"/>
          <w:sz w:val="24"/>
          <w:lang w:val="en-US" w:eastAsia="zh-CN"/>
          <w14:textFill>
            <w14:solidFill>
              <w14:schemeClr w14:val="accent1"/>
            </w14:solidFill>
          </w14:textFill>
        </w:rPr>
      </w:pPr>
      <w:r>
        <w:rPr>
          <w:rFonts w:hint="eastAsia" w:ascii="宋体" w:hAnsi="宋体" w:eastAsia="宋体" w:cs="宋体"/>
          <w:sz w:val="24"/>
        </w:rPr>
        <w:t>步骤3：利用SHAP 增强可解释性。采用SHAP方法来量化每个特征对模型预测的贡献。通过计算每个特征的SHAP值，评估每个变量对最终预测的影响，确定它是推动还是抑制模型输出。</w:t>
      </w:r>
      <w:r>
        <w:rPr>
          <w:rFonts w:hint="eastAsia" w:ascii="宋体" w:hAnsi="宋体" w:eastAsia="宋体" w:cs="宋体"/>
          <w:sz w:val="24"/>
          <w:lang w:val="en-US" w:eastAsia="zh-CN"/>
        </w:rPr>
        <w:t>SHAP</w:t>
      </w:r>
      <w:r>
        <w:rPr>
          <w:rFonts w:hint="eastAsia" w:ascii="宋体" w:hAnsi="宋体" w:eastAsia="宋体" w:cs="宋体"/>
          <w:sz w:val="24"/>
        </w:rPr>
        <w:t>分析与前面提到的皮尔逊相关系数结果进行比较，以确认模型预测的可靠性。</w:t>
      </w:r>
      <w:r>
        <w:rPr>
          <w:rFonts w:hint="eastAsia" w:ascii="宋体" w:hAnsi="宋体" w:eastAsia="宋体" w:cs="宋体"/>
          <w:color w:val="4874CB" w:themeColor="accent1"/>
          <w:sz w:val="24"/>
          <w14:textFill>
            <w14:solidFill>
              <w14:schemeClr w14:val="accent1"/>
            </w14:solidFill>
          </w14:textFill>
        </w:rPr>
        <w:t>模型输入由 9 个特征变量组成：D、δ、P、σy、σu、k1、k2、k3 和 k2/k3，输出为 Tyear。应用 SHAP 方法解释该模型的预测机制，得到如图 12 所示的结果。</w:t>
      </w:r>
      <w:r>
        <w:rPr>
          <w:rFonts w:hint="eastAsia" w:ascii="宋体" w:hAnsi="宋体" w:eastAsia="宋体" w:cs="宋体"/>
          <w:color w:val="4874CB" w:themeColor="accent1"/>
          <w:sz w:val="24"/>
          <w:highlight w:val="yellow"/>
          <w:lang w:eastAsia="zh-CN"/>
          <w14:textFill>
            <w14:solidFill>
              <w14:schemeClr w14:val="accent1"/>
            </w14:solidFill>
          </w14:textFill>
        </w:rPr>
        <w:t>（</w:t>
      </w:r>
      <w:r>
        <w:rPr>
          <w:rFonts w:hint="eastAsia" w:ascii="宋体" w:hAnsi="宋体" w:eastAsia="宋体" w:cs="宋体"/>
          <w:color w:val="4874CB" w:themeColor="accent1"/>
          <w:sz w:val="24"/>
          <w:highlight w:val="yellow"/>
          <w:lang w:val="en-US" w:eastAsia="zh-CN"/>
          <w14:textFill>
            <w14:solidFill>
              <w14:schemeClr w14:val="accent1"/>
            </w14:solidFill>
          </w14:textFill>
        </w:rPr>
        <w:t>用本研究输入特征替换）</w:t>
      </w:r>
    </w:p>
    <w:p w14:paraId="154341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4"/>
        </w:rPr>
      </w:pPr>
      <w:r>
        <w:drawing>
          <wp:inline distT="0" distB="0" distL="114300" distR="114300">
            <wp:extent cx="5268595" cy="4514850"/>
            <wp:effectExtent l="0" t="0" r="825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68595" cy="4514850"/>
                    </a:xfrm>
                    <a:prstGeom prst="rect">
                      <a:avLst/>
                    </a:prstGeom>
                    <a:noFill/>
                    <a:ln>
                      <a:noFill/>
                    </a:ln>
                  </pic:spPr>
                </pic:pic>
              </a:graphicData>
            </a:graphic>
          </wp:inline>
        </w:drawing>
      </w:r>
    </w:p>
    <w:p w14:paraId="6FDC23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p>
    <w:p w14:paraId="40AB29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drawing>
          <wp:anchor distT="0" distB="0" distL="114300" distR="114300" simplePos="0" relativeHeight="251661312" behindDoc="0" locked="0" layoutInCell="1" allowOverlap="1">
            <wp:simplePos x="0" y="0"/>
            <wp:positionH relativeFrom="column">
              <wp:posOffset>238125</wp:posOffset>
            </wp:positionH>
            <wp:positionV relativeFrom="paragraph">
              <wp:posOffset>533400</wp:posOffset>
            </wp:positionV>
            <wp:extent cx="5273040" cy="3354705"/>
            <wp:effectExtent l="0" t="0" r="3810" b="17145"/>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73040" cy="3354705"/>
                    </a:xfrm>
                    <a:prstGeom prst="rect">
                      <a:avLst/>
                    </a:prstGeom>
                    <a:noFill/>
                    <a:ln>
                      <a:noFill/>
                    </a:ln>
                  </pic:spPr>
                </pic:pic>
              </a:graphicData>
            </a:graphic>
          </wp:anchor>
        </w:drawing>
      </w:r>
      <w:r>
        <w:rPr>
          <w:rFonts w:hint="eastAsia"/>
          <w:lang w:val="en-US" w:eastAsia="zh-CN"/>
        </w:rPr>
        <w:t>上</w:t>
      </w:r>
      <w:r>
        <w:rPr>
          <w:rFonts w:hint="eastAsia"/>
        </w:rPr>
        <w:t>图 12a 显示了不同特征变量</w:t>
      </w:r>
      <w:r>
        <w:rPr>
          <w:rFonts w:hint="eastAsia"/>
          <w:lang w:eastAsia="zh-CN"/>
        </w:rPr>
        <w:t>（</w:t>
      </w:r>
      <w:r>
        <w:rPr>
          <w:rFonts w:hint="eastAsia"/>
          <w:lang w:val="en-US" w:eastAsia="zh-CN"/>
        </w:rPr>
        <w:t>输入参数）</w:t>
      </w:r>
      <w:r>
        <w:rPr>
          <w:rFonts w:hint="eastAsia"/>
        </w:rPr>
        <w:t>的 SHAP 值在所有样本的值中的分布</w:t>
      </w:r>
      <w:r>
        <w:rPr>
          <w:rFonts w:hint="eastAsia"/>
          <w:highlight w:val="yellow"/>
          <w:lang w:eastAsia="zh-CN"/>
        </w:rPr>
        <w:t>（</w:t>
      </w:r>
      <w:r>
        <w:rPr>
          <w:rFonts w:hint="eastAsia"/>
          <w:highlight w:val="yellow"/>
          <w:lang w:val="en-US" w:eastAsia="zh-CN"/>
        </w:rPr>
        <w:t>需要具体表格）</w:t>
      </w:r>
      <w:r>
        <w:rPr>
          <w:rFonts w:hint="eastAsia"/>
        </w:rPr>
        <w:t>。该图清楚地展示了不同特征变量对全局模型预测过程的影响模式。特征变量</w:t>
      </w:r>
      <w:r>
        <w:rPr>
          <w:rFonts w:hint="eastAsia"/>
          <w:color w:val="4874CB" w:themeColor="accent1"/>
          <w14:textFill>
            <w14:solidFill>
              <w14:schemeClr w14:val="accent1"/>
            </w14:solidFill>
          </w14:textFill>
        </w:rPr>
        <w:t>k1和D的SHAP</w:t>
      </w:r>
      <w:r>
        <w:rPr>
          <w:rFonts w:hint="eastAsia"/>
        </w:rPr>
        <w:t>值分布范围最广，位于图表顶部，显示出显着的正向和负向影响，表明它们对于不同观测值对模型的预测结果有很大不同的影响</w:t>
      </w:r>
    </w:p>
    <w:p w14:paraId="45D131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rPr>
        <w:t>根据每个样本预测中特征变量的 SHAP 值的绝对值，计算所有样本的平均值作为该特征的 SHAP 重要性</w:t>
      </w:r>
      <w:r>
        <w:rPr>
          <w:rFonts w:hint="eastAsia"/>
          <w:color w:val="4874CB" w:themeColor="accent1"/>
          <w14:textFill>
            <w14:solidFill>
              <w14:schemeClr w14:val="accent1"/>
            </w14:solidFill>
          </w14:textFill>
        </w:rPr>
        <w:t>，如图 12b</w:t>
      </w:r>
      <w:r>
        <w:rPr>
          <w:rFonts w:hint="eastAsia"/>
          <w:color w:val="4874CB" w:themeColor="accent1"/>
          <w:lang w:eastAsia="zh-CN"/>
          <w14:textFill>
            <w14:solidFill>
              <w14:schemeClr w14:val="accent1"/>
            </w14:solidFill>
          </w14:textFill>
        </w:rPr>
        <w:t>（</w:t>
      </w:r>
      <w:r>
        <w:rPr>
          <w:rFonts w:hint="eastAsia"/>
          <w:color w:val="4874CB" w:themeColor="accent1"/>
          <w:lang w:val="en-US" w:eastAsia="zh-CN"/>
          <w14:textFill>
            <w14:solidFill>
              <w14:schemeClr w14:val="accent1"/>
            </w14:solidFill>
          </w14:textFill>
        </w:rPr>
        <w:t>第二个图）</w:t>
      </w:r>
      <w:r>
        <w:rPr>
          <w:rFonts w:hint="eastAsia"/>
          <w:color w:val="4874CB" w:themeColor="accent1"/>
          <w14:textFill>
            <w14:solidFill>
              <w14:schemeClr w14:val="accent1"/>
            </w14:solidFill>
          </w14:textFill>
        </w:rPr>
        <w:t xml:space="preserve"> 所示。结果表明，特征变量k1和D对预测结果贡献最大，平均绝对SHAP值为0.2756</w:t>
      </w:r>
      <w:r>
        <w:rPr>
          <w:rFonts w:hint="eastAsia"/>
          <w:highlight w:val="yellow"/>
          <w:lang w:eastAsia="zh-CN"/>
        </w:rPr>
        <w:t>（</w:t>
      </w:r>
      <w:r>
        <w:rPr>
          <w:rFonts w:hint="eastAsia"/>
          <w:highlight w:val="yellow"/>
          <w:lang w:val="en-US" w:eastAsia="zh-CN"/>
        </w:rPr>
        <w:t>用本研究数据替换</w:t>
      </w:r>
      <w:r>
        <w:rPr>
          <w:rFonts w:hint="eastAsia"/>
          <w:lang w:val="en-US" w:eastAsia="zh-CN"/>
        </w:rPr>
        <w:t>）</w:t>
      </w:r>
    </w:p>
    <w:p w14:paraId="1F1FBD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由于算法对特征间多重共线性的处理，</w:t>
      </w:r>
      <w:r>
        <w:rPr>
          <w:rFonts w:hint="default"/>
          <w:color w:val="4874CB" w:themeColor="accent1"/>
          <w:lang w:val="en-US" w:eastAsia="zh-CN"/>
          <w14:textFill>
            <w14:solidFill>
              <w14:schemeClr w14:val="accent1"/>
            </w14:solidFill>
          </w14:textFill>
        </w:rPr>
        <w:t>特征变量P对预测结果的贡献最小，平均绝对SHAP值为0.0182。所有特征变量按SHAP重要性排序为：k1 &gt; D &gt; δ &gt; k2 &gt; σy &gt; k3 &gt; k2/k3 &gt; σu &gt; P。</w:t>
      </w:r>
      <w:r>
        <w:rPr>
          <w:rFonts w:hint="default"/>
          <w:lang w:val="en-US" w:eastAsia="zh-CN"/>
        </w:rPr>
        <w:t>这样的全局解释结论以及SHAP特征重要性排序与2.3节关于输入变量之间相关系数结果的讨论一致，证明了所建立的组合智能预测模型的可靠性</w:t>
      </w:r>
      <w:r>
        <w:rPr>
          <w:rFonts w:hint="eastAsia"/>
          <w:highlight w:val="yellow"/>
          <w:lang w:eastAsia="zh-CN"/>
        </w:rPr>
        <w:t>（</w:t>
      </w:r>
      <w:r>
        <w:rPr>
          <w:rFonts w:hint="eastAsia"/>
          <w:highlight w:val="yellow"/>
          <w:lang w:val="en-US" w:eastAsia="zh-CN"/>
        </w:rPr>
        <w:t>用本研究数据替换</w:t>
      </w:r>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KaTeX_Math">
    <w:altName w:val="AMGDT"/>
    <w:panose1 w:val="00000000000000000000"/>
    <w:charset w:val="00"/>
    <w:family w:val="auto"/>
    <w:pitch w:val="default"/>
    <w:sig w:usb0="00000000" w:usb1="00000000" w:usb2="00000000" w:usb3="00000000" w:csb0="00000000" w:csb1="00000000"/>
  </w:font>
  <w:font w:name="KaTeX_Size1">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FF1363"/>
    <w:rsid w:val="6DFF1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28</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2026-06-26T07:51:00Z</dcterms:created>
  <dc:creator>洛神殿下</dc:creator>
  <cp:lastModifiedBy>洛神殿下</cp:lastModifiedBy>
  <dcterms:modified xsi:type="dcterms:W3CDTF">2026-06-26T13:06:35Z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E945D052EB8248E88B39B7C92B20F7C2_11</vt:lpwstr>
  </property>
  <property fmtid="{D5CDD505-2E9C-101B-9397-08002B2CF9AE}" pid="4" name="KSOTemplateDocerSaveRecord">
    <vt:lpwstr>eyJoZGlkIjoiNjBhMmQ0ZTg1OWM2OWE2OGE4ZWE5ZWUwMzMxNjg0NDAiLCJ1c2VySWQiOiIzOTc3NTQxMjgifQ==</vt:lpwstr>
  </property>
</Properties>
</file>