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销售部 2026 年第三季度激励方案</w:t>
      </w:r>
    </w:p>
    <w:p>
      <w:pPr>
        <w:pStyle w:val="Heading1"/>
      </w:pPr>
      <w:r>
        <w:t>一、激励总包</w:t>
      </w:r>
    </w:p>
    <w:p>
      <w:r>
        <w:t>部门激励总包由销售额提成和净利润提成两部分相加构成。</w:t>
      </w:r>
    </w:p>
    <w:p>
      <w:r>
        <w:t>1. 销售额提成：以部门本季度合同销售额合计为基数，按下图阶梯比例计提。</w:t>
      </w:r>
    </w:p>
    <w:p>
      <w:r>
        <w:drawing>
          <wp:inline xmlns:a="http://schemas.openxmlformats.org/drawingml/2006/main" xmlns:pic="http://schemas.openxmlformats.org/drawingml/2006/picture">
            <wp:extent cx="5040000" cy="31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净利润提成：部门本季度净利润达到1千万元的，按5%计提。</w:t>
      </w:r>
    </w:p>
    <w:p>
      <w:pPr>
        <w:pStyle w:val="Heading1"/>
      </w:pPr>
      <w:r>
        <w:t>二、分配到小组</w:t>
      </w:r>
    </w:p>
    <w:p>
      <w:r>
        <w:t>激励总包按各小组的部门绩效评分占比分配到小组。</w:t>
      </w:r>
    </w:p>
    <w:p>
      <w:pPr>
        <w:pStyle w:val="Heading1"/>
      </w:pPr>
      <w:r>
        <w:t>三、分配到个人</w:t>
      </w:r>
    </w:p>
    <w:p>
      <w:r>
        <w:t>小组奖金在组内按以下四项指标的组内占比加权分配：工龄占20%，付出程度评分占20%，折算销售额占40%，处理的项目数量占20%。</w:t>
      </w:r>
    </w:p>
    <w:p>
      <w:r>
        <w:t>折算销售额 = 各合同销售额 × 区域系数 × 新项目系数 × 毛利率系数，区域系数和毛利率系数见附件 PPT。新项目系数为1.2，老项目为1。</w:t>
      </w:r>
    </w:p>
    <w:p>
      <w:pPr>
        <w:pStyle w:val="Heading1"/>
      </w:pPr>
      <w:r>
        <w:t>四、发放</w:t>
      </w:r>
    </w:p>
    <w:p>
      <w:r>
        <w:t>未收款不发放：个人奖金按其负责合同的未回款比例暂缓发放，回款后按本方案补发。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