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奖金计算样例制度</w:t>
      </w:r>
    </w:p>
    <w:p>
      <w:pPr>
        <w:pStyle w:val="Subtitle"/>
      </w:pPr>
      <w:r>
        <w:rPr>
          <w:rFonts w:ascii="Noto Sans CJK SC" w:hAnsi="Noto Sans CJK SC" w:eastAsia="Noto Sans CJK SC" w:cs="Noto Sans CJK SC"/>
        </w:rPr>
        <w:t>SYN BONUS 1.0　2026 年功能验收样例</w:t>
      </w:r>
    </w:p>
    <w:p>
      <w:r>
        <w:rPr>
          <w:rFonts w:ascii="Noto Sans CJK SC" w:hAnsi="Noto Sans CJK SC" w:eastAsia="Noto Sans CJK SC" w:cs="Noto Sans CJK SC"/>
        </w:rPr>
        <w:t>本制度与配套业务数据全部为虚构测试材料。用于验证从多种文件提取规则、财务澄清、批量计算、分层调整和结果追溯的完整流程。金额统一使用人民币元。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适用范围与数据口径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752"/>
        <w:gridCol w:w="3096"/>
      </w:tblGrid>
      <w:tr>
        <w:trPr>
          <w:tblHeader/>
        </w:trPr>
        <w:tc>
          <w:tcPr>
            <w:tcW w:type="dxa" w:w="237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475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统计范围</w:t>
            </w:r>
          </w:p>
        </w:tc>
        <w:tc>
          <w:tcPr>
            <w:tcW w:type="dxa" w:w="309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计算截止日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QUARTER 季度奖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2026 年 7 月 1 日至 9 月 30 日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2026 年 9 月 30 日</w:t>
            </w:r>
          </w:p>
        </w:tc>
      </w:tr>
      <w:tr>
        <w:tc>
          <w:tcPr>
            <w:tcW w:type="dxa" w:w="237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PROCESS 过程奖</w:t>
            </w:r>
          </w:p>
        </w:tc>
        <w:tc>
          <w:tcPr>
            <w:tcW w:type="dxa" w:w="475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本季度验收的里程碑</w:t>
            </w:r>
          </w:p>
        </w:tc>
        <w:tc>
          <w:tcPr>
            <w:tcW w:type="dxa" w:w="309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2026 年 9 月 30 日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ANNUAL 年度奖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2026 年 1 月 1 日至 12 月 31 日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2026 年 12 月 31 日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</w:rPr>
        <w:t>销售额按销售明细的 recognition_date 归入期间。销售额均为不含税人民币收入。毛利等于销售额减成本，净利润等于销售额减成本再减费用。净利润以部门合计后取不小于零的数计算利润激励，不能先剔除单个亏损项目。</w:t>
      </w:r>
    </w:p>
    <w:p>
      <w:r>
        <w:rPr>
          <w:rFonts w:ascii="Noto Sans CJK SC" w:hAnsi="Noto Sans CJK SC" w:eastAsia="Noto Sans CJK SC" w:cs="Noto Sans CJK SC"/>
        </w:rPr>
        <w:t>新项目：合同日期大于或等于 2026 年 1 月 1 日。老项目：合同日期早于该日期。新老系数分别为 1.10 和 0.95。项目在同一统计期只归属一个小组和部门。组织归属在本样例中全年固定。</w:t>
      </w:r>
    </w:p>
    <w:p>
      <w:r>
        <w:rPr>
          <w:rFonts w:ascii="Noto Sans CJK SC" w:hAnsi="Noto Sans CJK SC" w:eastAsia="Noto Sans CJK SC" w:cs="Noto Sans CJK SC"/>
        </w:rPr>
        <w:t>以 project_id、employee_id、sales_id 等编号关联。回款以 sales_id 关联销售单，先分别汇总销售与回款，禁止将两张明细表直接连接后重复累计。参与比例 share 在每个项目内必须合计为 1。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配套规则来源</w:t>
      </w:r>
    </w:p>
    <w:p>
      <w:r>
        <w:rPr>
          <w:rFonts w:ascii="Noto Sans CJK SC" w:hAnsi="Noto Sans CJK SC" w:eastAsia="Noto Sans CJK SC" w:cs="Noto Sans CJK SC"/>
        </w:rPr>
        <w:t>区域、毛利率和项目难度系数见规则补充 PPT 与系数图。阶梯、指标权重和目标值分别见参数 Excel 与业务 Excel。多处出现的同一参数必须一致，存在冲突时应要求财务确认。</w:t>
      </w:r>
    </w:p>
    <w:p>
      <w:r>
        <w:rPr>
          <w:rFonts w:ascii="Noto Sans CJK SC" w:hAnsi="Noto Sans CJK SC" w:eastAsia="Noto Sans CJK SC" w:cs="Noto Sans CJK SC"/>
        </w:rPr>
        <w:t>本制度的收款与跨期条款保留两项待澄清问题。正式运行必须应用 finance_answers.json 中的样例确认答复，答复缺失时阻止发布规则。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部门奖金总包</w:t>
      </w:r>
    </w:p>
    <w:p>
      <w:r>
        <w:rPr>
          <w:rFonts w:ascii="Noto Sans CJK SC" w:hAnsi="Noto Sans CJK SC" w:eastAsia="Noto Sans CJK SC" w:cs="Noto Sans CJK SC"/>
        </w:rPr>
        <w:t>先逐项目计算：有效销售额 = 期间销售额 × 区域系数 × 新老项目系数 × 毛利率系数。毛利率以项目在该统计期内的合计毛利除以合计销售额计算。中间有效销售额保留精度，部门汇总前不按项目舍入。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季度奖金采用全额阶梯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312"/>
      </w:tblGrid>
      <w:tr>
        <w:trPr>
          <w:tblHeader/>
        </w:trPr>
        <w:tc>
          <w:tcPr>
            <w:tcW w:type="dxa" w:w="69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部门有效销售额</w:t>
            </w:r>
          </w:p>
        </w:tc>
        <w:tc>
          <w:tcPr>
            <w:tcW w:type="dxa" w:w="3312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全额比例</w:t>
            </w:r>
          </w:p>
        </w:tc>
      </w:tr>
      <w:tr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0 至不足 1000 万元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8%</w:t>
            </w:r>
          </w:p>
        </w:tc>
      </w:tr>
      <w:tr>
        <w:tc>
          <w:tcPr>
            <w:tcW w:type="dxa" w:w="69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1000 万元至不足 2000 万元</w:t>
            </w:r>
          </w:p>
        </w:tc>
        <w:tc>
          <w:tcPr>
            <w:tcW w:type="dxa" w:w="3312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10%</w:t>
            </w:r>
          </w:p>
        </w:tc>
      </w:tr>
      <w:tr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2000 万元及以上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12%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</w:rPr>
        <w:t>季度销售激励 = 部门全部有效销售额 × 命中档比例。季度利润激励 = MAX(部门净利润, 0) × 5%。季度奖金包 = ROUND((销售激励 + 利润激励) × 完成系数, 2)。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年度奖金采用分段阶梯</w:t>
      </w:r>
    </w:p>
    <w:p>
      <w:r>
        <w:rPr>
          <w:rFonts w:ascii="Noto Sans CJK SC" w:hAnsi="Noto Sans CJK SC" w:eastAsia="Noto Sans CJK SC" w:cs="Noto Sans CJK SC"/>
        </w:rPr>
        <w:t>有效销售额前 1000 万元按 5%，超过 1000 万至 2000 万元的部分按 8%，超过 2000 万元的部分按 10%。每一段分别计算后相加。年度利润激励 = MAX(年度部门净利润, 0) × 5%。年度应得总包 = ROUND((年度销售激励 + 年度利润激励) × 完成系数, 2)。</w:t>
      </w:r>
    </w:p>
    <w:p>
      <w:r>
        <w:rPr>
          <w:rFonts w:ascii="Noto Sans CJK SC" w:hAnsi="Noto Sans CJK SC" w:eastAsia="Noto Sans CJK SC" w:cs="Noto Sans CJK SC"/>
        </w:rPr>
        <w:t>完成率 = 部门实际销售额 ÷ 同周期部门目标。完成率不足 80% 时系数为 0.80，达到 80% 但不足 100% 时为 1.00，达到 100% 时为 1.10。实际销售额包含低毛利项目，不能用有效销售额替代。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过程奖按里程碑计算</w:t>
      </w:r>
    </w:p>
    <w:p>
      <w:r>
        <w:rPr>
          <w:rFonts w:ascii="Noto Sans CJK SC" w:hAnsi="Noto Sans CJK SC" w:eastAsia="Noto Sans CJK SC" w:cs="Noto Sans CJK SC"/>
        </w:rPr>
        <w:t>只纳入状态为“已验收”且验收日期在第三季度内的里程碑。单条里程碑奖金 = ROUND(基础奖金 × 区域系数 × 新老系数 × 难度系数, 2)。部门过程奖金包为合格里程碑奖金合计。过程奖不使用毛利率系数、净利润激励和部门完成系数。难度等级 1、2、3 对应系数 1.00、1.10、1.25。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小组与个人分配</w:t>
      </w:r>
    </w:p>
    <w:p>
      <w:r>
        <w:rPr>
          <w:rFonts w:ascii="Noto Sans CJK SC" w:hAnsi="Noto Sans CJK SC" w:eastAsia="Noto Sans CJK SC" w:cs="Noto Sans CJK SC"/>
        </w:rPr>
        <w:t>每个方案先在部门内分配至小组，再在小组内分配至个人。小组权重 = ROUND(同周期小组绩效评分 ÷ 100 × MIN(小组实际销售额 ÷ 小组目标, 1.20), 6)。过程奖使用第三季度评分、销售额与目标。年度奖使用全年数据。</w:t>
      </w:r>
    </w:p>
    <w:p>
      <w:r>
        <w:rPr>
          <w:rFonts w:ascii="Noto Sans CJK SC" w:hAnsi="Noto Sans CJK SC" w:eastAsia="Noto Sans CJK SC" w:cs="Noto Sans CJK SC"/>
        </w:rPr>
        <w:t>个人原始权重由下表各项归一化指标乘权重后求和，最后按四舍五入保留 6 位小数。只能使用 approved 为 true 的人工确认评分，AI 建议分单独保存。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128"/>
        <w:gridCol w:w="1440"/>
      </w:tblGrid>
      <w:tr>
        <w:trPr>
          <w:tblHeader/>
        </w:trPr>
        <w:tc>
          <w:tcPr>
            <w:tcW w:type="dxa" w:w="1656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128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归一化方法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权重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工龄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截止日已满整年数，MIN(工龄, 5) ÷ 5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10%</w:t>
            </w:r>
          </w:p>
        </w:tc>
      </w:tr>
      <w:tr>
        <w:tc>
          <w:tcPr>
            <w:tcW w:type="dxa" w:w="165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贡献评分</w:t>
            </w:r>
          </w:p>
        </w:tc>
        <w:tc>
          <w:tcPr>
            <w:tcW w:type="dxa" w:w="71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人工确认贡献评分 ÷ 100</w:t>
            </w:r>
          </w:p>
        </w:tc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20%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项目难度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按参与比例加权平均项目难度，再除以 3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15%</w:t>
            </w:r>
          </w:p>
        </w:tc>
      </w:tr>
      <w:tr>
        <w:tc>
          <w:tcPr>
            <w:tcW w:type="dxa" w:w="165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销售完成</w:t>
            </w:r>
          </w:p>
        </w:tc>
        <w:tc>
          <w:tcPr>
            <w:tcW w:type="dxa" w:w="71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MIN(归属销售额 ÷ 个人目标, 1.5) ÷ 1.5</w:t>
            </w:r>
          </w:p>
        </w:tc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30%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项目数量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MIN(有参与关系的不同项目数, 8) ÷ 8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10%</w:t>
            </w:r>
          </w:p>
        </w:tc>
      </w:tr>
      <w:tr>
        <w:tc>
          <w:tcPr>
            <w:tcW w:type="dxa" w:w="1656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产出评分</w:t>
            </w:r>
          </w:p>
        </w:tc>
        <w:tc>
          <w:tcPr>
            <w:tcW w:type="dxa" w:w="7128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人工确认产出评分 ÷ 100</w:t>
            </w:r>
          </w:p>
        </w:tc>
        <w:tc>
          <w:tcPr>
            <w:tcW w:type="dxa" w:w="144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15%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</w:rPr>
        <w:t>个人归属销售额 = SUM(所参与项目销售额 × share)。个人归属回款额采用相同参与比例。难度加权平均以该员工参与比例之和为分母。项目数不按 share 折算，本样例的项目在两个期间均有销售。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金额分配与尾差</w:t>
      </w:r>
    </w:p>
    <w:p>
      <w:r>
        <w:rPr>
          <w:rFonts w:ascii="Noto Sans CJK SC" w:hAnsi="Noto Sans CJK SC" w:eastAsia="Noto Sans CJK SC" w:cs="Noto Sans CJK SC"/>
        </w:rPr>
        <w:t>上级总包统一为分位金额。先计算各对象理论应得的分数值，向下取整到分。剩余分按未舍入余数由大到小补发，每个对象最多补 1 分。余数完全相同时按小组编号或员工编号升序。</w:t>
      </w:r>
    </w:p>
    <w:p>
      <w:r>
        <w:rPr>
          <w:rFonts w:ascii="Noto Sans CJK SC" w:hAnsi="Noto Sans CJK SC" w:eastAsia="Noto Sans CJK SC" w:cs="Noto Sans CJK SC"/>
        </w:rPr>
        <w:t>人工指定金额先从父级总包扣除，剩余对象按各自原始权重重新归一化分配。人工指定 0 元有效。调整小组只影响同一部门及受影响小组的个人分配。调整个人只影响所属小组。</w:t>
      </w:r>
    </w:p>
    <w:p>
      <w:r>
        <w:rPr>
          <w:rFonts w:ascii="Noto Sans CJK SC" w:hAnsi="Noto Sans CJK SC" w:eastAsia="Noto Sans CJK SC" w:cs="Noto Sans CJK SC"/>
        </w:rPr>
        <w:t>修订 R1 应用 ADJ001，将 G01 指定为 900000.00 元。修订 R2 保留 ADJ001，并应用 ADJ002，将 E001 指定为 150000.00 元。每个修订都保留完整结果。人工指定金额超过父级总包或剩余权重为零时阻止调整。</w:t>
      </w: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待财务确认的发放条款</w:t>
      </w:r>
    </w:p>
    <w:p>
      <w:r>
        <w:rPr>
          <w:rFonts w:ascii="Noto Sans CJK SC" w:hAnsi="Noto Sans CJK SC" w:eastAsia="Noto Sans CJK SC" w:cs="Noto Sans CJK SC"/>
        </w:rPr>
        <w:t>Q_CASH：未收款不发放。需要明确收款影响计算基数还是发放资格、部分回款比例如何计算、迟到回款如何归期。财务确认之前，该规则不得用于正式计算。</w:t>
      </w:r>
    </w:p>
    <w:p>
      <w:r>
        <w:rPr>
          <w:rFonts w:ascii="Noto Sans CJK SC" w:hAnsi="Noto Sans CJK SC" w:eastAsia="Noto Sans CJK SC" w:cs="Noto Sans CJK SC"/>
        </w:rPr>
        <w:t>Q_OFFSET：年度奖金需要考虑此前已发金额。需要明确抵扣项目、版本、抵扣粒度、负差额处理，以及年度回款不足时是否追回。财务确认之前，年度发放不得执行。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样例确认单的处理约定</w:t>
      </w:r>
    </w:p>
    <w:p>
      <w:r>
        <w:rPr>
          <w:rFonts w:ascii="Noto Sans CJK SC" w:hAnsi="Noto Sans CJK SC" w:eastAsia="Noto Sans CJK SC" w:cs="Noto Sans CJK SC"/>
        </w:rPr>
        <w:t>完整确认答复位于 finance_answers.json。系统应读取该文件中的审批身份与答复，再形成冻结规则版本。若测试未确认场景，应移除对应答复，期望状态为 NEEDS_CONFIRMATION，不能自动选择口径。</w:t>
      </w:r>
    </w:p>
    <w:p>
      <w:r>
        <w:rPr>
          <w:rFonts w:ascii="Noto Sans CJK SC" w:hAnsi="Noto Sans CJK SC" w:eastAsia="Noto Sans CJK SC" w:cs="Noto Sans CJK SC"/>
        </w:rPr>
        <w:t>确认单需要明确归属层级、关联销售单范围、到账截止日、部分回款算法、零分母处理以及暂缓金额是否重新分配。答复未明确之前，不得依据文档标题或历史习惯补出算法。</w:t>
      </w:r>
    </w:p>
    <w:p>
      <w:r>
        <w:rPr>
          <w:rFonts w:ascii="Noto Sans CJK SC" w:hAnsi="Noto Sans CJK SC" w:eastAsia="Noto Sans CJK SC" w:cs="Noto Sans CJK SC"/>
        </w:rPr>
        <w:t>季度 R0、R1、R2 是同一次计算的不同修订，不能将其合计为三个季度奖金。年度抵扣是否引用其中一个修订、如何确认实际支付，以及过程奖是否独立，均以 Q_OFFSET 的财务答复为准。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发布前校验与结果核对</w:t>
      </w:r>
    </w:p>
    <w:p>
      <w:r>
        <w:rPr>
          <w:rFonts w:ascii="Noto Sans CJK SC" w:hAnsi="Noto Sans CJK SC" w:eastAsia="Noto Sans CJK SC" w:cs="Noto Sans CJK SC"/>
        </w:rPr>
        <w:t>校验主键、关联编号、参与比例、非零目标、评分范围及审批状态、累计回款不超过销售额。含政策歧义或数据错误时阻止正式计算。</w:t>
      </w:r>
    </w:p>
    <w:p>
      <w:r>
        <w:rPr>
          <w:rFonts w:ascii="Noto Sans CJK SC" w:hAnsi="Noto Sans CJK SC" w:eastAsia="Noto Sans CJK SC" w:cs="Noto Sans CJK SC"/>
        </w:rPr>
        <w:t>所有方案满足：部门应得 = 小组应得合计 = 个人应得合计。具体发放、暂缓、历史抵扣与超发的金额勾稽关系须与财务确认口径一致。金额统一四舍五入到分。中间比例保留精度，只有个人权重和小组权重固定为 6 位小数。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tblHeader/>
        </w:trPr>
        <w:tc>
          <w:tcPr>
            <w:tcW w:type="dxa" w:w="2880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7344"/>
            <w:vAlign w:val="center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反馈要求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主键重复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指出文件表名和冲突记录</w:t>
            </w:r>
          </w:p>
        </w:tc>
      </w:tr>
      <w:tr>
        <w:tc>
          <w:tcPr>
            <w:tcW w:type="dxa" w:w="288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参与比例不合计为 1</w:t>
            </w:r>
          </w:p>
        </w:tc>
        <w:tc>
          <w:tcPr>
            <w:tcW w:type="dxa" w:w="734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列出项目编号与比例合计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AI 评分未审批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指出员工与周期，等待人工确认</w:t>
            </w:r>
          </w:p>
        </w:tc>
      </w:tr>
      <w:tr>
        <w:tc>
          <w:tcPr>
            <w:tcW w:type="dxa" w:w="2880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目标值为零</w:t>
            </w:r>
          </w:p>
        </w:tc>
        <w:tc>
          <w:tcPr>
            <w:tcW w:type="dxa" w:w="7344"/>
            <w:vAlign w:val="center"/>
            <w:shd w:fill="F0F4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52" w:lineRule="auto"/>
            </w:pPr>
            <w:r>
              <w:rPr>
                <w:rFonts w:ascii="Noto Sans CJK SC" w:hAnsi="Noto Sans CJK SC" w:eastAsia="Noto Sans CJK SC" w:cs="Noto Sans CJK SC"/>
                <w:sz w:val="20"/>
              </w:rPr>
              <w:t>阻止除法运算并要求修正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奖金计算样例制度</dc:title>
  <dc:subject/>
  <dc:creator>财务服务测试样例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