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60"/>
      </w:pPr>
      <w:r>
        <w:rPr>
          <w:b/>
          <w:sz w:val="32"/>
        </w:rPr>
        <w:t xml:space="preserve">Сделка № {SOURCE.ID}</w:t>
      </w:r>
    </w:p>
    <w:p>
      <w:pPr>
        <w:spacing w:after="120"/>
      </w:pPr>
      <w:r>
        <w:rPr>
          <w:sz w:val="20"/>
        </w:rPr>
        <w:t xml:space="preserve">{DOCUMENT.DOCUMENT_NUMBER} от {DOCUMENT.DOCUMENT_CREATE_TIME~format=DD.MM.YYYY}</w:t>
      </w:r>
    </w:p>
    <w:tbl>
      <w:tblPr>
        <w:tblW w:w="9400" w:type="dxa"/>
        <w:tblBorders>
          <w:top w:val="single" w:sz="4" w:color="BFC8D6"/>
          <w:left w:val="single" w:sz="4" w:color="BFC8D6"/>
          <w:bottom w:val="single" w:sz="4" w:color="BFC8D6"/>
          <w:right w:val="single" w:sz="4" w:color="BFC8D6"/>
          <w:insideH w:val="single" w:sz="4" w:color="BFC8D6"/>
          <w:insideV w:val="single" w:sz="4" w:color="BFC8D6"/>
        </w:tblBorders>
      </w:tblPr>
      <w:tblGrid>
        <w:gridCol w:w="3600"/>
        <w:gridCol w:w="5800"/>
      </w:tblGrid>
      <w:tr>
        <w:tc>
          <w:tcPr>
            <w:tcW w:w="3600" w:type="dxa"/>
          </w:tcPr>
          <w:p>
            <w:pPr>
              <w:spacing w:after="120"/>
            </w:pPr>
            <w:r>
              <w:t xml:space="preserve">Сделка</w:t>
            </w:r>
          </w:p>
        </w:tc>
        <w:tc>
          <w:tcPr>
            <w:tcW w:w="5800" w:type="dxa"/>
          </w:tcPr>
          <w:p>
            <w:pPr>
              <w:spacing w:after="120"/>
            </w:pPr>
            <w:r>
              <w:t xml:space="preserve">{SOURCE.TITLE}</w:t>
            </w:r>
          </w:p>
        </w:tc>
      </w:tr>
      <w:tr>
        <w:tc>
          <w:tcPr>
            <w:tcW w:w="3600" w:type="dxa"/>
          </w:tcPr>
          <w:p>
            <w:pPr>
              <w:spacing w:after="120"/>
            </w:pPr>
            <w:r>
              <w:t xml:space="preserve">Клиент</w:t>
            </w:r>
          </w:p>
        </w:tc>
        <w:tc>
          <w:tcPr>
            <w:tcW w:w="5800" w:type="dxa"/>
          </w:tcPr>
          <w:p>
            <w:pPr>
              <w:spacing w:after="120"/>
            </w:pPr>
            <w:r>
              <w:t xml:space="preserve">{SOURCE.CLIENT.NAME}</w:t>
            </w:r>
          </w:p>
        </w:tc>
      </w:tr>
      <w:tr>
        <w:tc>
          <w:tcPr>
            <w:tcW w:w="3600" w:type="dxa"/>
          </w:tcPr>
          <w:p>
            <w:pPr>
              <w:spacing w:after="120"/>
            </w:pPr>
            <w:r>
              <w:t xml:space="preserve">Сумма</w:t>
            </w:r>
          </w:p>
        </w:tc>
        <w:tc>
          <w:tcPr>
            <w:tcW w:w="5800" w:type="dxa"/>
          </w:tcPr>
          <w:p>
            <w:pPr>
              <w:spacing w:after="120"/>
            </w:pPr>
            <w:r>
              <w:rPr>
                <w:b/>
              </w:rPr>
              <w:t xml:space="preserve">{SOURCE.OPPORTUNITY~WZ=Y,NS=Y}</w:t>
            </w:r>
            <w:r>
              <w:t xml:space="preserve"> </w:t>
            </w:r>
            <w:r>
              <w:drawing>
                <wp:inline distT="0" distB="0" distL="0" distR="0">
                  <wp:extent cx="82020" cy="101600"/>
                  <wp:docPr id="1" name="Знак BYN 1" descr="BYN"/>
                  <a:graphic>
                    <a:graphicData uri="http://schemas.openxmlformats.org/drawingml/2006/picture">
                      <pic:pic>
                        <pic:nvPicPr>
                          <pic:cNvPr id="1" name="byn.png" descr="BYN"/>
                          <pic:cNvPicPr/>
                        </pic:nvPicPr>
                        <pic:blipFill>
                          <a:blip r:embed="rIdSig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2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600" w:type="dxa"/>
          </w:tcPr>
          <w:p>
            <w:pPr>
              <w:spacing w:after="120"/>
            </w:pPr>
            <w:r>
              <w:t xml:space="preserve">Сумма прописью</w:t>
            </w:r>
          </w:p>
        </w:tc>
        <w:tc>
          <w:tcPr>
            <w:tcW w:w="5800" w:type="dxa"/>
          </w:tcPr>
          <w:p>
            <w:pPr>
              <w:spacing w:after="120"/>
            </w:pPr>
            <w:r>
              <w:t xml:space="preserve">{SOURCE.OPPORTUNITY~W=Y}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sz w:val="16"/>
        </w:rPr>
        <w:t xml:space="preserve">Знак белорусского рубля — Национальный банк Республики Беларусь (постановление № 25 от 27.01.2026).</w:t>
      </w:r>
    </w:p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ign" Type="http://schemas.openxmlformats.org/officeDocument/2006/relationships/image" Target="media/byn.png"/></Relationships>
</file>