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DB" w:rsidRPr="00C666DB" w:rsidRDefault="00C666DB" w:rsidP="00FA0D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666DB">
        <w:rPr>
          <w:rFonts w:ascii="Times New Roman" w:hAnsi="Times New Roman" w:cs="Times New Roman"/>
          <w:b/>
          <w:sz w:val="32"/>
          <w:szCs w:val="32"/>
        </w:rPr>
        <w:t>Prediction of laboratory origin of sequencing runs by machine learning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54102A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Data</w:t>
      </w:r>
    </w:p>
    <w:p w:rsidR="00FA0D84" w:rsidRDefault="00100B4B" w:rsidP="00100B4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359 </w:t>
      </w:r>
      <w:r w:rsidR="00192979">
        <w:rPr>
          <w:rFonts w:ascii="Times New Roman" w:hAnsi="Times New Roman" w:cs="Times New Roman"/>
          <w:sz w:val="24"/>
          <w:szCs w:val="24"/>
        </w:rPr>
        <w:t xml:space="preserve">paired-end </w:t>
      </w:r>
      <w:r w:rsidR="00FA0D84">
        <w:rPr>
          <w:rFonts w:ascii="Times New Roman" w:hAnsi="Times New Roman" w:cs="Times New Roman"/>
          <w:sz w:val="24"/>
          <w:szCs w:val="24"/>
        </w:rPr>
        <w:t xml:space="preserve">sequencing runs were downloaded from the </w:t>
      </w:r>
      <w:r w:rsidR="00192979" w:rsidRPr="00192979">
        <w:rPr>
          <w:rFonts w:ascii="Times New Roman" w:hAnsi="Times New Roman" w:cs="Times New Roman"/>
          <w:sz w:val="24"/>
          <w:szCs w:val="24"/>
        </w:rPr>
        <w:t>Na</w:t>
      </w:r>
      <w:r w:rsidR="00192979">
        <w:rPr>
          <w:rFonts w:ascii="Times New Roman" w:hAnsi="Times New Roman" w:cs="Times New Roman"/>
          <w:sz w:val="24"/>
          <w:szCs w:val="24"/>
        </w:rPr>
        <w:t xml:space="preserve">tional Center for Biotechnology </w:t>
      </w:r>
      <w:r w:rsidR="00192979" w:rsidRPr="00192979">
        <w:rPr>
          <w:rFonts w:ascii="Times New Roman" w:hAnsi="Times New Roman" w:cs="Times New Roman"/>
          <w:sz w:val="24"/>
          <w:szCs w:val="24"/>
        </w:rPr>
        <w:t>Information</w:t>
      </w:r>
      <w:r w:rsidR="00192979">
        <w:rPr>
          <w:rFonts w:ascii="Times New Roman" w:hAnsi="Times New Roman" w:cs="Times New Roman"/>
          <w:sz w:val="24"/>
          <w:szCs w:val="24"/>
        </w:rPr>
        <w:t xml:space="preserve"> (NCB</w:t>
      </w:r>
      <w:r>
        <w:rPr>
          <w:rFonts w:ascii="Times New Roman" w:hAnsi="Times New Roman" w:cs="Times New Roman"/>
          <w:sz w:val="24"/>
          <w:szCs w:val="24"/>
        </w:rPr>
        <w:t xml:space="preserve">I) Sequence Read Archive (SRA). 174 of the 359 </w:t>
      </w:r>
      <w:r w:rsidR="00192979">
        <w:rPr>
          <w:rFonts w:ascii="Times New Roman" w:hAnsi="Times New Roman" w:cs="Times New Roman"/>
          <w:sz w:val="24"/>
          <w:szCs w:val="24"/>
        </w:rPr>
        <w:t>datasets were submitted to the SRA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B4B">
        <w:rPr>
          <w:rFonts w:ascii="Times New Roman" w:hAnsi="Times New Roman" w:cs="Times New Roman"/>
          <w:sz w:val="24"/>
          <w:szCs w:val="24"/>
        </w:rPr>
        <w:t>Centers for Disease Control and Prevention Ent</w:t>
      </w:r>
      <w:r>
        <w:rPr>
          <w:rFonts w:ascii="Times New Roman" w:hAnsi="Times New Roman" w:cs="Times New Roman"/>
          <w:sz w:val="24"/>
          <w:szCs w:val="24"/>
        </w:rPr>
        <w:t xml:space="preserve">eric Diseases Laboratory Branch </w:t>
      </w:r>
      <w:r w:rsidR="0019297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May 2017</w:t>
      </w:r>
      <w:r w:rsidR="00192979">
        <w:rPr>
          <w:rFonts w:ascii="Times New Roman" w:hAnsi="Times New Roman" w:cs="Times New Roman"/>
          <w:sz w:val="24"/>
          <w:szCs w:val="24"/>
        </w:rPr>
        <w:t>. The remaining datasets were submitted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="008C46CD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="008C46CD">
        <w:rPr>
          <w:rFonts w:ascii="Times New Roman" w:hAnsi="Times New Roman" w:cs="Times New Roman"/>
          <w:sz w:val="24"/>
          <w:szCs w:val="24"/>
        </w:rPr>
        <w:t xml:space="preserve"> in Denmark in May 2017</w:t>
      </w:r>
      <w:r w:rsidR="00192979">
        <w:rPr>
          <w:rFonts w:ascii="Times New Roman" w:hAnsi="Times New Roman" w:cs="Times New Roman"/>
          <w:sz w:val="24"/>
          <w:szCs w:val="24"/>
        </w:rPr>
        <w:t xml:space="preserve">. All of the datasets used Illumina </w:t>
      </w:r>
      <w:proofErr w:type="spellStart"/>
      <w:r w:rsidR="00192979">
        <w:rPr>
          <w:rFonts w:ascii="Times New Roman" w:hAnsi="Times New Roman" w:cs="Times New Roman"/>
          <w:sz w:val="24"/>
          <w:szCs w:val="24"/>
        </w:rPr>
        <w:t>MiSeqs</w:t>
      </w:r>
      <w:proofErr w:type="spellEnd"/>
      <w:r w:rsidR="00192979">
        <w:rPr>
          <w:rFonts w:ascii="Times New Roman" w:hAnsi="Times New Roman" w:cs="Times New Roman"/>
          <w:sz w:val="24"/>
          <w:szCs w:val="24"/>
        </w:rPr>
        <w:t xml:space="preserve"> to sequence </w:t>
      </w:r>
      <w:r w:rsidR="00192979" w:rsidRPr="00192979">
        <w:rPr>
          <w:rFonts w:ascii="Times New Roman" w:hAnsi="Times New Roman" w:cs="Times New Roman"/>
          <w:i/>
          <w:sz w:val="24"/>
          <w:szCs w:val="24"/>
        </w:rPr>
        <w:t>Escherichia coli</w:t>
      </w:r>
      <w:r w:rsidR="00192979">
        <w:rPr>
          <w:rFonts w:ascii="Times New Roman" w:hAnsi="Times New Roman" w:cs="Times New Roman"/>
          <w:sz w:val="24"/>
          <w:szCs w:val="24"/>
        </w:rPr>
        <w:t>.</w:t>
      </w:r>
    </w:p>
    <w:p w:rsidR="00C666DB" w:rsidRDefault="00C666DB" w:rsidP="00C666D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SRA Toolkit (version 2.8.2-1) was used to download SRA files from the Sequence Read Archive. The same toolkit was used to convert the SRA files into FASTQ files.</w:t>
      </w:r>
      <w:r w:rsidR="00D55D46">
        <w:rPr>
          <w:rFonts w:ascii="Times New Roman" w:hAnsi="Times New Roman" w:cs="Times New Roman"/>
          <w:sz w:val="24"/>
          <w:szCs w:val="24"/>
        </w:rPr>
        <w:t xml:space="preserve"> Custom Python scripts (version 3.6.0</w:t>
      </w:r>
      <w:r>
        <w:rPr>
          <w:rFonts w:ascii="Times New Roman" w:hAnsi="Times New Roman" w:cs="Times New Roman"/>
          <w:sz w:val="24"/>
          <w:szCs w:val="24"/>
        </w:rPr>
        <w:t xml:space="preserve">) were used to preprocess the data into a useable format as input into the machine learning algorithms. </w:t>
      </w:r>
    </w:p>
    <w:p w:rsidR="00192979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2979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  <w:r w:rsidR="00C666DB">
        <w:rPr>
          <w:rFonts w:ascii="Times New Roman" w:hAnsi="Times New Roman" w:cs="Times New Roman"/>
          <w:sz w:val="24"/>
          <w:szCs w:val="24"/>
        </w:rPr>
        <w:t xml:space="preserve"> where</w:t>
      </w:r>
      <w:r>
        <w:rPr>
          <w:rFonts w:ascii="Times New Roman" w:hAnsi="Times New Roman" w:cs="Times New Roman"/>
          <w:sz w:val="24"/>
          <w:szCs w:val="24"/>
        </w:rPr>
        <w:t xml:space="preserve"> the experiment data came from</w:t>
      </w:r>
    </w:p>
    <w:p w:rsidR="00192979" w:rsidRPr="00FA0D84" w:rsidRDefault="00192979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192979" w:rsidRDefault="00192979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C4B58" w:rsidRDefault="00C666DB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B203AD" w:rsidRDefault="00C666DB" w:rsidP="00C666D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three different feature types to infer the laboratory origin of sequencing runs. </w:t>
      </w:r>
      <w:r w:rsidR="007E11AA">
        <w:rPr>
          <w:rFonts w:ascii="Times New Roman" w:hAnsi="Times New Roman" w:cs="Times New Roman"/>
          <w:sz w:val="24"/>
          <w:szCs w:val="24"/>
        </w:rPr>
        <w:t>The first set of features</w:t>
      </w:r>
      <w:r>
        <w:rPr>
          <w:rFonts w:ascii="Times New Roman" w:hAnsi="Times New Roman" w:cs="Times New Roman"/>
          <w:sz w:val="24"/>
          <w:szCs w:val="24"/>
        </w:rPr>
        <w:t xml:space="preserve"> was the proportion of </w:t>
      </w:r>
      <w:r w:rsidR="006D64FA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4-mer in</w:t>
      </w:r>
      <w:r w:rsidR="006C2F20">
        <w:rPr>
          <w:rFonts w:ascii="Times New Roman" w:hAnsi="Times New Roman" w:cs="Times New Roman"/>
          <w:sz w:val="24"/>
          <w:szCs w:val="24"/>
        </w:rPr>
        <w:t xml:space="preserve"> the reads of a sequencing run. Prior to sequencing, genomic DNA must randomly sheared into smaller pieces. There are several </w:t>
      </w:r>
      <w:r w:rsidR="00490125">
        <w:rPr>
          <w:rFonts w:ascii="Times New Roman" w:hAnsi="Times New Roman" w:cs="Times New Roman"/>
          <w:sz w:val="24"/>
          <w:szCs w:val="24"/>
        </w:rPr>
        <w:t xml:space="preserve">types of </w:t>
      </w:r>
      <w:r w:rsidR="006C2F20">
        <w:rPr>
          <w:rFonts w:ascii="Times New Roman" w:hAnsi="Times New Roman" w:cs="Times New Roman"/>
          <w:sz w:val="24"/>
          <w:szCs w:val="24"/>
        </w:rPr>
        <w:t>methods for shearing DNA</w:t>
      </w:r>
      <w:r w:rsidR="00490125">
        <w:rPr>
          <w:rFonts w:ascii="Times New Roman" w:hAnsi="Times New Roman" w:cs="Times New Roman"/>
          <w:sz w:val="24"/>
          <w:szCs w:val="24"/>
        </w:rPr>
        <w:t xml:space="preserve">, which include </w:t>
      </w:r>
      <w:r w:rsidR="006C2F20">
        <w:rPr>
          <w:rFonts w:ascii="Times New Roman" w:hAnsi="Times New Roman" w:cs="Times New Roman"/>
          <w:sz w:val="24"/>
          <w:szCs w:val="24"/>
        </w:rPr>
        <w:t>ph</w:t>
      </w:r>
      <w:r w:rsidR="00490125">
        <w:rPr>
          <w:rFonts w:ascii="Times New Roman" w:hAnsi="Times New Roman" w:cs="Times New Roman"/>
          <w:sz w:val="24"/>
          <w:szCs w:val="24"/>
        </w:rPr>
        <w:t>ysical, enzymatic, and chemical</w:t>
      </w:r>
      <w:r w:rsidR="006C2F20">
        <w:rPr>
          <w:rFonts w:ascii="Times New Roman" w:hAnsi="Times New Roman" w:cs="Times New Roman"/>
          <w:sz w:val="24"/>
          <w:szCs w:val="24"/>
        </w:rPr>
        <w:t xml:space="preserve">. </w:t>
      </w:r>
      <w:r w:rsidR="00490125">
        <w:rPr>
          <w:rFonts w:ascii="Times New Roman" w:hAnsi="Times New Roman" w:cs="Times New Roman"/>
          <w:sz w:val="24"/>
          <w:szCs w:val="24"/>
        </w:rPr>
        <w:t xml:space="preserve">Since these methods fragment DNA differently, it is possible </w:t>
      </w:r>
      <w:r w:rsidR="00C3538B">
        <w:rPr>
          <w:rFonts w:ascii="Times New Roman" w:hAnsi="Times New Roman" w:cs="Times New Roman"/>
          <w:sz w:val="24"/>
          <w:szCs w:val="24"/>
        </w:rPr>
        <w:t>these methods have biases at where they fragment DNA.</w:t>
      </w:r>
      <w:r w:rsidR="00490125">
        <w:rPr>
          <w:rFonts w:ascii="Times New Roman" w:hAnsi="Times New Roman" w:cs="Times New Roman"/>
          <w:sz w:val="24"/>
          <w:szCs w:val="24"/>
        </w:rPr>
        <w:t xml:space="preserve"> </w:t>
      </w:r>
      <w:r w:rsidR="005D740A">
        <w:rPr>
          <w:rFonts w:ascii="Times New Roman" w:hAnsi="Times New Roman" w:cs="Times New Roman"/>
          <w:sz w:val="24"/>
          <w:szCs w:val="24"/>
        </w:rPr>
        <w:t>In addition different sequencing methods may preferentially sequenced particular subset of the generated DNA fragment. These</w:t>
      </w:r>
      <w:r w:rsidR="00C3538B">
        <w:rPr>
          <w:rFonts w:ascii="Times New Roman" w:hAnsi="Times New Roman" w:cs="Times New Roman"/>
          <w:sz w:val="24"/>
          <w:szCs w:val="24"/>
        </w:rPr>
        <w:t xml:space="preserve"> bias</w:t>
      </w:r>
      <w:r w:rsidR="005D740A">
        <w:rPr>
          <w:rFonts w:ascii="Times New Roman" w:hAnsi="Times New Roman" w:cs="Times New Roman"/>
          <w:sz w:val="24"/>
          <w:szCs w:val="24"/>
        </w:rPr>
        <w:t>es</w:t>
      </w:r>
      <w:r w:rsidR="00C3538B">
        <w:rPr>
          <w:rFonts w:ascii="Times New Roman" w:hAnsi="Times New Roman" w:cs="Times New Roman"/>
          <w:sz w:val="24"/>
          <w:szCs w:val="24"/>
        </w:rPr>
        <w:t xml:space="preserve"> may be ascertained by comparing the proportion of different 4-mers across sequencing runs.</w:t>
      </w:r>
      <w:r w:rsidR="00DA70AA">
        <w:rPr>
          <w:rFonts w:ascii="Times New Roman" w:hAnsi="Times New Roman" w:cs="Times New Roman"/>
          <w:sz w:val="24"/>
          <w:szCs w:val="24"/>
        </w:rPr>
        <w:t xml:space="preserve"> To calculate the proportion of 4-mers in a sequencing run, we slid a four DNA base size window down each read. At every position in the reads, we then would inc</w:t>
      </w:r>
      <w:r w:rsidR="00B203AD">
        <w:rPr>
          <w:rFonts w:ascii="Times New Roman" w:hAnsi="Times New Roman" w:cs="Times New Roman"/>
          <w:sz w:val="24"/>
          <w:szCs w:val="24"/>
        </w:rPr>
        <w:t xml:space="preserve">rement the corresponding 4-mer. Following normalization, this results in the proportion of each 4-mer in each sequencing run. There are either 256 or 625 features that result from this process, depending on whether ‘N’ is considered a unique nucleotide or not. </w:t>
      </w:r>
    </w:p>
    <w:p w:rsidR="007E4E3C" w:rsidRDefault="00DA70AA" w:rsidP="002F2CE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set of features we used is </w:t>
      </w:r>
      <w:r w:rsidR="000B4C70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to the quality of the sequencing reads. </w:t>
      </w:r>
      <w:r w:rsidR="0089488C">
        <w:rPr>
          <w:rFonts w:ascii="Times New Roman" w:hAnsi="Times New Roman" w:cs="Times New Roman"/>
          <w:sz w:val="24"/>
          <w:szCs w:val="24"/>
        </w:rPr>
        <w:t>Depending on the</w:t>
      </w:r>
      <w:r w:rsidR="000A5CE3">
        <w:rPr>
          <w:rFonts w:ascii="Times New Roman" w:hAnsi="Times New Roman" w:cs="Times New Roman"/>
          <w:sz w:val="24"/>
          <w:szCs w:val="24"/>
        </w:rPr>
        <w:t xml:space="preserve"> protocol used and the</w:t>
      </w:r>
      <w:r w:rsidR="0089488C">
        <w:rPr>
          <w:rFonts w:ascii="Times New Roman" w:hAnsi="Times New Roman" w:cs="Times New Roman"/>
          <w:sz w:val="24"/>
          <w:szCs w:val="24"/>
        </w:rPr>
        <w:t xml:space="preserve"> skill of the technician </w:t>
      </w:r>
      <w:r w:rsidR="000A5CE3">
        <w:rPr>
          <w:rFonts w:ascii="Times New Roman" w:hAnsi="Times New Roman" w:cs="Times New Roman"/>
          <w:sz w:val="24"/>
          <w:szCs w:val="24"/>
        </w:rPr>
        <w:t>processing the sample</w:t>
      </w:r>
      <w:r w:rsidR="0089488C">
        <w:rPr>
          <w:rFonts w:ascii="Times New Roman" w:hAnsi="Times New Roman" w:cs="Times New Roman"/>
          <w:sz w:val="24"/>
          <w:szCs w:val="24"/>
        </w:rPr>
        <w:t>, there can be differences in</w:t>
      </w:r>
      <w:r w:rsidR="000A5CE3">
        <w:rPr>
          <w:rFonts w:ascii="Times New Roman" w:hAnsi="Times New Roman" w:cs="Times New Roman"/>
          <w:sz w:val="24"/>
          <w:szCs w:val="24"/>
        </w:rPr>
        <w:t xml:space="preserve"> the quality of the sequencing run. Each base in a sequencing read </w:t>
      </w:r>
      <w:r w:rsidR="007B4861">
        <w:rPr>
          <w:rFonts w:ascii="Times New Roman" w:hAnsi="Times New Roman" w:cs="Times New Roman"/>
          <w:sz w:val="24"/>
          <w:szCs w:val="24"/>
        </w:rPr>
        <w:t>has an associated quality score with it.</w:t>
      </w:r>
      <w:r w:rsidR="00F524C3">
        <w:rPr>
          <w:rFonts w:ascii="Times New Roman" w:hAnsi="Times New Roman" w:cs="Times New Roman"/>
          <w:sz w:val="24"/>
          <w:szCs w:val="24"/>
        </w:rPr>
        <w:t xml:space="preserve"> The distribution of quality scores and the </w:t>
      </w:r>
      <w:proofErr w:type="gramStart"/>
      <w:r w:rsidR="00F524C3">
        <w:rPr>
          <w:rFonts w:ascii="Times New Roman" w:hAnsi="Times New Roman" w:cs="Times New Roman"/>
          <w:sz w:val="24"/>
          <w:szCs w:val="24"/>
        </w:rPr>
        <w:t>drop in</w:t>
      </w:r>
      <w:proofErr w:type="gramEnd"/>
      <w:r w:rsidR="00F524C3">
        <w:rPr>
          <w:rFonts w:ascii="Times New Roman" w:hAnsi="Times New Roman" w:cs="Times New Roman"/>
          <w:sz w:val="24"/>
          <w:szCs w:val="24"/>
        </w:rPr>
        <w:t xml:space="preserve"> quality as a function of read length may differ between laboratories as a result of technician idiosyncrasies and protocol differences. To </w:t>
      </w:r>
      <w:r w:rsidR="002F2CEA">
        <w:rPr>
          <w:rFonts w:ascii="Times New Roman" w:hAnsi="Times New Roman" w:cs="Times New Roman"/>
          <w:sz w:val="24"/>
          <w:szCs w:val="24"/>
        </w:rPr>
        <w:t>investigate whether quality scores can be used as a signature of laboratory origin, we calculated the proportion of quality score over all the reads in a sequencing run to use as features.</w:t>
      </w:r>
      <w:bookmarkStart w:id="0" w:name="_GoBack"/>
      <w:bookmarkEnd w:id="0"/>
    </w:p>
    <w:p w:rsidR="009E59BB" w:rsidRDefault="007E4E3C" w:rsidP="00A118F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set of features used as input into the machine learning algorithms is the fragment size distribution of each sequencing run. </w:t>
      </w:r>
      <w:r w:rsidR="00A118FB">
        <w:rPr>
          <w:rFonts w:ascii="Times New Roman" w:hAnsi="Times New Roman" w:cs="Times New Roman"/>
          <w:sz w:val="24"/>
          <w:szCs w:val="24"/>
        </w:rPr>
        <w:t xml:space="preserve">Due to the various methods for fragmenting DNA prior to sequencing, it is possible that there is a signature each laboratory imparts on </w:t>
      </w:r>
      <w:r w:rsidR="00A118FB">
        <w:rPr>
          <w:rFonts w:ascii="Times New Roman" w:hAnsi="Times New Roman" w:cs="Times New Roman"/>
          <w:sz w:val="24"/>
          <w:szCs w:val="24"/>
        </w:rPr>
        <w:lastRenderedPageBreak/>
        <w:t>fragment length distribution. To determine whether fragment length distribution can differentiate between laboratory sources, w</w:t>
      </w:r>
      <w:r w:rsidR="00456882">
        <w:rPr>
          <w:rFonts w:ascii="Times New Roman" w:hAnsi="Times New Roman" w:cs="Times New Roman"/>
          <w:sz w:val="24"/>
          <w:szCs w:val="24"/>
        </w:rPr>
        <w:t xml:space="preserve">e aligned paired-end reads together against a reference genome to determine fragment length. </w:t>
      </w:r>
      <w:r w:rsidR="001227D6">
        <w:rPr>
          <w:rFonts w:ascii="Times New Roman" w:hAnsi="Times New Roman" w:cs="Times New Roman"/>
          <w:sz w:val="24"/>
          <w:szCs w:val="24"/>
        </w:rPr>
        <w:t>T</w:t>
      </w:r>
      <w:r w:rsidR="008B3686">
        <w:rPr>
          <w:rFonts w:ascii="Times New Roman" w:hAnsi="Times New Roman" w:cs="Times New Roman"/>
          <w:sz w:val="24"/>
          <w:szCs w:val="24"/>
        </w:rPr>
        <w:t>he sequencing reads in each dataset</w:t>
      </w:r>
      <w:r w:rsidR="001227D6">
        <w:rPr>
          <w:rFonts w:ascii="Times New Roman" w:hAnsi="Times New Roman" w:cs="Times New Roman"/>
          <w:sz w:val="24"/>
          <w:szCs w:val="24"/>
        </w:rPr>
        <w:t xml:space="preserve"> was aligned</w:t>
      </w:r>
      <w:r w:rsidR="005D1B10">
        <w:rPr>
          <w:rFonts w:ascii="Times New Roman" w:hAnsi="Times New Roman" w:cs="Times New Roman"/>
          <w:sz w:val="24"/>
          <w:szCs w:val="24"/>
        </w:rPr>
        <w:t xml:space="preserve"> the reference genome using Bowtie2 (version 2.3.2). We used</w:t>
      </w:r>
      <w:r w:rsidR="001227D6">
        <w:rPr>
          <w:rFonts w:ascii="Times New Roman" w:hAnsi="Times New Roman" w:cs="Times New Roman"/>
          <w:sz w:val="24"/>
          <w:szCs w:val="24"/>
        </w:rPr>
        <w:t xml:space="preserve"> Illumina’s </w:t>
      </w:r>
      <w:proofErr w:type="spellStart"/>
      <w:r w:rsidR="001227D6">
        <w:rPr>
          <w:rFonts w:ascii="Times New Roman" w:hAnsi="Times New Roman" w:cs="Times New Roman"/>
          <w:sz w:val="24"/>
          <w:szCs w:val="24"/>
        </w:rPr>
        <w:t>iGenome</w:t>
      </w:r>
      <w:proofErr w:type="spellEnd"/>
      <w:r w:rsidR="008B3686">
        <w:rPr>
          <w:rFonts w:ascii="Times New Roman" w:hAnsi="Times New Roman" w:cs="Times New Roman"/>
          <w:sz w:val="24"/>
          <w:szCs w:val="24"/>
        </w:rPr>
        <w:t xml:space="preserve"> </w:t>
      </w:r>
      <w:r w:rsidR="008B3686" w:rsidRPr="00A83FF3">
        <w:rPr>
          <w:rFonts w:ascii="Times New Roman" w:hAnsi="Times New Roman" w:cs="Times New Roman"/>
          <w:i/>
          <w:sz w:val="24"/>
          <w:szCs w:val="24"/>
        </w:rPr>
        <w:t>E. coli</w:t>
      </w:r>
      <w:r w:rsidR="008B3686">
        <w:rPr>
          <w:rFonts w:ascii="Times New Roman" w:hAnsi="Times New Roman" w:cs="Times New Roman"/>
          <w:sz w:val="24"/>
          <w:szCs w:val="24"/>
        </w:rPr>
        <w:t xml:space="preserve"> </w:t>
      </w:r>
      <w:r w:rsidR="002C12BD">
        <w:rPr>
          <w:rFonts w:ascii="Times New Roman" w:hAnsi="Times New Roman" w:cs="Times New Roman"/>
          <w:sz w:val="24"/>
          <w:szCs w:val="24"/>
        </w:rPr>
        <w:t xml:space="preserve">MH1655 as the reference </w:t>
      </w:r>
      <w:r w:rsidR="008B3686">
        <w:rPr>
          <w:rFonts w:ascii="Times New Roman" w:hAnsi="Times New Roman" w:cs="Times New Roman"/>
          <w:sz w:val="24"/>
          <w:szCs w:val="24"/>
        </w:rPr>
        <w:t>genome</w:t>
      </w:r>
      <w:r w:rsidR="002C12BD">
        <w:rPr>
          <w:rFonts w:ascii="Times New Roman" w:hAnsi="Times New Roman" w:cs="Times New Roman"/>
          <w:sz w:val="24"/>
          <w:szCs w:val="24"/>
        </w:rPr>
        <w:t xml:space="preserve">, which was built in October of 2001. </w:t>
      </w:r>
      <w:r w:rsidR="00B63388">
        <w:rPr>
          <w:rFonts w:ascii="Times New Roman" w:hAnsi="Times New Roman" w:cs="Times New Roman"/>
          <w:sz w:val="24"/>
          <w:szCs w:val="24"/>
        </w:rPr>
        <w:t>After determining the length of all the sequenced fragments, we calculated the proportion of fragments lengths that fall into fragment length bins. Each fragment length bin contains fragment lengths in a 200 base-pair window. The smallest bin size is -1,000 and the largest bin size is 1,000.</w:t>
      </w:r>
      <w:r w:rsidR="002062AE">
        <w:rPr>
          <w:rFonts w:ascii="Times New Roman" w:hAnsi="Times New Roman" w:cs="Times New Roman"/>
          <w:sz w:val="24"/>
          <w:szCs w:val="24"/>
        </w:rPr>
        <w:t xml:space="preserve"> Any fragment length that falls into a bin smaller than -1,000 is assigned to the -1,000</w:t>
      </w:r>
      <w:r w:rsidR="002062AE" w:rsidRPr="002062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62AE">
        <w:rPr>
          <w:rFonts w:ascii="Times New Roman" w:hAnsi="Times New Roman" w:cs="Times New Roman"/>
          <w:sz w:val="24"/>
          <w:szCs w:val="24"/>
        </w:rPr>
        <w:t xml:space="preserve"> bin. Any fragment length that falls into a bin larger than 1,000 is assigned to the 1,000</w:t>
      </w:r>
      <w:r w:rsidR="002062AE" w:rsidRPr="002062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62AE">
        <w:rPr>
          <w:rFonts w:ascii="Times New Roman" w:hAnsi="Times New Roman" w:cs="Times New Roman"/>
          <w:sz w:val="24"/>
          <w:szCs w:val="24"/>
        </w:rPr>
        <w:t xml:space="preserve"> bin.</w:t>
      </w:r>
    </w:p>
    <w:p w:rsidR="00EC4B58" w:rsidRDefault="00EC4B5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4B58" w:rsidRDefault="00EC4B58" w:rsidP="00EC4B5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C4B58">
        <w:rPr>
          <w:rFonts w:ascii="Times New Roman" w:hAnsi="Times New Roman" w:cs="Times New Roman"/>
          <w:b/>
          <w:sz w:val="24"/>
          <w:szCs w:val="24"/>
        </w:rPr>
        <w:t>Machine Learning</w:t>
      </w:r>
    </w:p>
    <w:p w:rsidR="0052521A" w:rsidRDefault="0052521A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60% train, 20% test, 20% validation</w:t>
      </w:r>
    </w:p>
    <w:p w:rsidR="00A34FB8" w:rsidRDefault="0052521A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Logistic regression – 97% accuracy </w:t>
      </w:r>
    </w:p>
    <w:p w:rsidR="00A34FB8" w:rsidRDefault="00A34FB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Feature set </w:t>
      </w:r>
    </w:p>
    <w:p w:rsidR="00A34FB8" w:rsidRPr="0052521A" w:rsidRDefault="00A34FB8" w:rsidP="00EC4B5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you include N as a valid base or throw out</w:t>
      </w:r>
    </w:p>
    <w:p w:rsidR="00192979" w:rsidRPr="00192979" w:rsidRDefault="00192979" w:rsidP="00FA0D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A0D84" w:rsidRPr="00C666DB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Results</w:t>
      </w:r>
    </w:p>
    <w:p w:rsidR="00FA0D84" w:rsidRDefault="00FA0D84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666DB">
        <w:rPr>
          <w:rFonts w:ascii="Times New Roman" w:hAnsi="Times New Roman" w:cs="Times New Roman"/>
          <w:b/>
          <w:sz w:val="28"/>
          <w:szCs w:val="28"/>
        </w:rPr>
        <w:t>Future Work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Additional datasets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Datasets from different experiments from the same laboratory</w:t>
      </w:r>
    </w:p>
    <w:p w:rsidR="00C666DB" w:rsidRDefault="00C666DB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Datasets with different organisms  </w:t>
      </w:r>
    </w:p>
    <w:p w:rsidR="007E4E3C" w:rsidRDefault="007E4E3C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CEA" w:rsidRDefault="002F2CEA" w:rsidP="002F2C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Quality scores: </w:t>
      </w:r>
      <w:r>
        <w:rPr>
          <w:rFonts w:ascii="Times New Roman" w:hAnsi="Times New Roman" w:cs="Times New Roman"/>
          <w:sz w:val="24"/>
          <w:szCs w:val="24"/>
        </w:rPr>
        <w:t xml:space="preserve">Mean,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>, Full distribution, Average decrease in quality as a function of base</w:t>
      </w:r>
    </w:p>
    <w:p w:rsidR="002F2CEA" w:rsidRDefault="002F2CEA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CEA" w:rsidRDefault="002F2CEA" w:rsidP="00FA0D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4E3C" w:rsidRDefault="007E4E3C" w:rsidP="00FA0D8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E4E3C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7E4E3C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E4E3C" w:rsidRPr="007E4E3C">
          <w:rPr>
            <w:rStyle w:val="Hyperlink"/>
            <w:rFonts w:ascii="Times New Roman" w:hAnsi="Times New Roman" w:cs="Times New Roman"/>
            <w:sz w:val="24"/>
            <w:szCs w:val="24"/>
          </w:rPr>
          <w:t>http://www.nature.com/nrg/journal/v11/n10/full/nrg2825.html</w:t>
        </w:r>
      </w:hyperlink>
    </w:p>
    <w:p w:rsidR="007E4E3C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E4E3C"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https://academic.oup.com/nar/article/42/21/e161/2903156/svaseq-removing-batch-effects-and-other-unwanted</w:t>
        </w:r>
      </w:hyperlink>
    </w:p>
    <w:p w:rsidR="007E4E3C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E4E3C"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https://www.nature.com/articles/srep39921</w:t>
        </w:r>
      </w:hyperlink>
    </w:p>
    <w:p w:rsidR="007E4E3C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E4E3C"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https://genomemedicine.biomedcentral.com/articles/10.1186/gm208</w:t>
        </w:r>
      </w:hyperlink>
    </w:p>
    <w:p w:rsidR="00F5013B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5013B"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https://cancergenome.nih.gov/researchhighlights/tcgainaction/AkbaniBatchEffectsCaseStudy</w:t>
        </w:r>
      </w:hyperlink>
    </w:p>
    <w:p w:rsidR="00F5013B" w:rsidRDefault="002F2CEA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5013B" w:rsidRPr="00E9620E">
          <w:rPr>
            <w:rStyle w:val="Hyperlink"/>
            <w:rFonts w:ascii="Times New Roman" w:hAnsi="Times New Roman" w:cs="Times New Roman"/>
            <w:sz w:val="24"/>
            <w:szCs w:val="24"/>
          </w:rPr>
          <w:t>https://bmcbiol.biomedcentral.com/articles/10.1186/s12915-014-0087-z</w:t>
        </w:r>
      </w:hyperlink>
    </w:p>
    <w:p w:rsidR="00F5013B" w:rsidRDefault="00F5013B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4E3C" w:rsidRPr="007E4E3C" w:rsidRDefault="007E4E3C" w:rsidP="007E4E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E4E3C" w:rsidRPr="007E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84"/>
    <w:rsid w:val="000A5CE3"/>
    <w:rsid w:val="000B4C70"/>
    <w:rsid w:val="00100B4B"/>
    <w:rsid w:val="001227D6"/>
    <w:rsid w:val="00192979"/>
    <w:rsid w:val="002062AE"/>
    <w:rsid w:val="002C12BD"/>
    <w:rsid w:val="002F2CEA"/>
    <w:rsid w:val="00456882"/>
    <w:rsid w:val="00490125"/>
    <w:rsid w:val="0052521A"/>
    <w:rsid w:val="0054102A"/>
    <w:rsid w:val="005D1B10"/>
    <w:rsid w:val="005D740A"/>
    <w:rsid w:val="006251CC"/>
    <w:rsid w:val="00643664"/>
    <w:rsid w:val="006C2F20"/>
    <w:rsid w:val="006D64FA"/>
    <w:rsid w:val="007A58FE"/>
    <w:rsid w:val="007B4861"/>
    <w:rsid w:val="007E11AA"/>
    <w:rsid w:val="007E4E3C"/>
    <w:rsid w:val="00852E20"/>
    <w:rsid w:val="0089488C"/>
    <w:rsid w:val="008B3686"/>
    <w:rsid w:val="008C46CD"/>
    <w:rsid w:val="008D144A"/>
    <w:rsid w:val="008E460F"/>
    <w:rsid w:val="009E59BB"/>
    <w:rsid w:val="00A118FB"/>
    <w:rsid w:val="00A34FB8"/>
    <w:rsid w:val="00A83FF3"/>
    <w:rsid w:val="00B203AD"/>
    <w:rsid w:val="00B63388"/>
    <w:rsid w:val="00C3538B"/>
    <w:rsid w:val="00C666DB"/>
    <w:rsid w:val="00D55D46"/>
    <w:rsid w:val="00DA70AA"/>
    <w:rsid w:val="00EC4B58"/>
    <w:rsid w:val="00F216DA"/>
    <w:rsid w:val="00F5013B"/>
    <w:rsid w:val="00F524C3"/>
    <w:rsid w:val="00FA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1A3F"/>
  <w15:chartTrackingRefBased/>
  <w15:docId w15:val="{E4738A0B-A25A-45D6-B14C-C028079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0D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cergenome.nih.gov/researchhighlights/tcgainaction/AkbaniBatchEffectsCaseStu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nomemedicine.biomedcentral.com/articles/10.1186/gm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rep399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ademic.oup.com/nar/article/42/21/e161/2903156/svaseq-removing-batch-effects-and-other-unwant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nature.com/nrg/journal/v11/n10/full/nrg2825.html" TargetMode="External"/><Relationship Id="rId9" Type="http://schemas.openxmlformats.org/officeDocument/2006/relationships/hyperlink" Target="https://bmcbiol.biomedcentral.com/articles/10.1186/s12915-014-0087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Andy</dc:creator>
  <cp:keywords/>
  <dc:description/>
  <cp:lastModifiedBy>Andy</cp:lastModifiedBy>
  <cp:revision>24</cp:revision>
  <dcterms:created xsi:type="dcterms:W3CDTF">2017-05-29T17:18:00Z</dcterms:created>
  <dcterms:modified xsi:type="dcterms:W3CDTF">2017-06-05T03:47:00Z</dcterms:modified>
</cp:coreProperties>
</file>