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MEU JURÍDICO.AI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ADITIVO TÉCNICO AO BRIEFING DE CONTRATAÇÃO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Autorização de Múltiplos Provedores LLM com Salvaguardas LGPD e Rastreabilidade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— Documento Formal de Aditivo</w:t>
      </w:r>
    </w:p>
    <w:p>
      <w:pPr>
        <w:pBdr>
          <w:bottom w:val="single" w:color="CCCCCC" w:sz="4" w:space="1"/>
        </w:pBdr>
        <w:spacing w:before="16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Documento Origem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MeuJuridico_Briefing_Tecnico_Antigravity_v1.docx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Seção Alterada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Seção 2.1 — Stack Tecnológico (LLM Engine)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Seção Alterada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Seção 5.2 — Restrições Absolutas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BX4 Technology Solutions — Severino Bione da Silva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Antigravity (Estúdio de Desenvolvimento)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Versão do Aditivo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de Vigência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partir da assinatura deste documento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ATIVO — Sobrepõe as cláusulas indicadas acima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MOTIVAÇÃO DO ADITIVO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Briefing Técnico v1.0 definiu Claude API (claude-sonnet-4-20250514) como único motor LLM do sistema. Esta restrição foi estabelecida para garantir consistência, rastreabilidade e conformidade com LGPD durante as fases iniciais de desenvolvimento.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 a conclusão bem-sucedida das Fases 1 e 2 — incluindo autenticação, RLS, audit_logs imutável e fluxo completo de aprovação — o sistema atingiu maturidade arquitetural suficiente para suportar múltiplos provedores de LLM com as salvaguardas adequadas.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aditivo autoriza formalmente o uso de múltiplos provedores LLM, estabelecendo as salvaguardas técnicas obrigatórias que preservam rastreabilidade, conformidade com LGPD e auditabilidade por TCU/CGU.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PROVEDORES LLM AUTORIZADOS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Autorizado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Permitido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principal — todas as seções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secundário — pesquisa e análise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 (GPT)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terciário — tarefas de extração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Modelos não listados acima são proibidos sem novo aditivo.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ARQUITETURA DE ROTEAMENTO POR AGENTE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agente do sistema deve ter seu provedor LLM definido explicitamente no campo agent_config da tabela document_templates. O roteamento é feito pelo orchestrate_document Edge Function, nunca pelo frontend.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3.1 Roteamento por Tipo de Tarefa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/ Tarefa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 Designado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technical-expansion-engine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(principal)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Geração de texto técnico-jurídico denso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legal-argumentation-engine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(principal)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Fundamentação jurídica — requer máxima precisão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normative-compliance-engine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(principal)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Conformidade com Lei 14.133/2021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consistency-coherence-engine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(principal)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Anti-hallucination V7 — comportamento previsível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validation-gap-engine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(principal)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Checklist TCU/CGU — zero tolerância a erro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document-structure-engine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Estruturação e outline — tarefa leve e rápida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search_legislation (RAG)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Busca e indexação de normas — alta velocidade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search_prices (extração)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Extração de dados numéricos — custo eficiente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formatting-standardization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Padronização de linguagem — tarefa estrutural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SALVAGUARDAS OBRIGATÓRIAS — LGPD E DADOS PÚBLICOS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4.1 Classificação de Dados por Sensibilidade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de Dado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Provedores Permitidos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PÚBLICO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+ Gemini + GPT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Textos de lei, normas, modelos de documentos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+ Gemini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Nome do órgão, objeto da contratação, valores estimados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RESTRITO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apenas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CPF/matrícula de servidores, dados de processos internos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SIGILOSO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PROIBIDO enviar a qualquer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Dados de segurança nacional, processos sob sigilo judicial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4.2 Regras de Sanitização Obrigatórias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qualquer chamada a Gemini ou GPT, a Edge Function deve sanitizar o payload removendo os seguintes campos: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• CPF, matrícula, RG ou qualquer identificador pessoal de servidores públicos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• Endereços residenciais ou dados de contato pessoal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• Dados bancários ou financeiros de pessoas físicas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• Informações de processos disciplinares ou investigativos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• Qualquer campo marcado como sensitivity: 'restricted' ou 'classified' na tabela document_sections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sanitização deve ser executada pela função sanitize_payload() na Edge Function orchestrate_document, antes do dispatch para o provedor LLM.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RASTREABILIDADE E AUDITABILIDADE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5.1 Campos Obrigatórios em ai_jobs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ai_jobs deve registrar os seguintes campos para cada chamada LLM: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llm_provider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Provedor usado: 'anthropic' | 'google' | 'openai'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llm_model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Modelo exato: 'claude-sonnet-4-20250514',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llm_provider_request_id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retornado pelo provedor para rastreio externo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data_classification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Classe do dado enviado: 'public' | 'institutional' | 'restricted'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sanitized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se payload foi sanitizado antes do envio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prompt_tokens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Tokens do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completion_tokens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Tokens da resposta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cost_usd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 calculado em USD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5.2 Regra de Consistência de Documentos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Um documento não pode ter seções geradas por provedores de classes diferentes sem registro explícito. O campo documents.llm_provider_mix deve conter o array de provedores utilizados na geração do documento completo.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Exemplo: ['anthropic', 'google'] indica que o documento foi gerado por Claude e Gemini. O audit_log deve registrar qual seção foi gerada por qual provedor.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 CREDENCIAIS E SEGURANÇA DE CHAVES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As chaves de API de todos os provedores devem ser armazenadas exclusivamente como Supabase Secrets, nunca em variáveis de ambiente do frontend ou em arquivos .env commitados.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 (Supabase)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acessar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Deno.env.get('ANTHROPIC_API_KEY')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GOOGLE_GEMINI_API_KEY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Deno.env.get('GOOGLE_GEMINI_API_KEY')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Deno.env.get('OPENAI_API_KEY')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CRÍTICO: Nenhuma chave de API pode aparecer em código-fonte, logs, audit_logs ou respostas de Edge Functions.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 CLÁUSULAS DO BRIEFING ORIGINAL QUE PERMANECEM INALTERADAS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As seguintes restrições do Briefing Técnico v1.0 NÃO são alteradas por este aditivo: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Cláusula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Original Preservado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§ 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query pode retornar dados de org_id diferente do usuário autenticado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§ audit_logs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Tabela append-only. Nunca UPDATE ou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§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 alteração de schema sem aprovação BX4 por escrito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§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Toda chamada LLM ocorre exclusivamente em Edge Functions — nunca no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§ Financeiro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Cálculos financeiros exclusivamente no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§ No-code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construído em React puro — sem Lovable ou no-code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 DECLARAÇÃO DE VIGÊNCIA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aditivo entra em vigor a partir da data de assinatura pelo Contratante e substitui as cláusulas indicadas na Seção 2.1 e 5.2 do Briefing Técnico v1.0. Todas as demais cláusulas do Briefing original permanecem vigentes.</w:t>
      </w:r>
    </w:p>
    <w:p>
      <w:pPr>
        <w:spacing w:before="400"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BX4 Technology Solutions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>Severino Bione da Silva — Canton, GA</w:t>
      </w:r>
    </w:p>
    <w:p>
      <w:pPr>
        <w:spacing w:before="0" w:after="40"/>
      </w:pPr>
      <w:r>
        <w:rPr>
          <w:rFonts w:ascii="Arial" w:cs="Arial" w:eastAsia="Arial" w:hAnsi="Arial"/>
          <w:color w:val="1A3A6B"/>
          <w:sz w:val="22"/>
          <w:szCs w:val="22"/>
        </w:rPr>
        <w:t xml:space="preserve">bionicaosilva@gmail.com</w:t>
      </w:r>
    </w:p>
    <w:p>
      <w:pPr>
        <w:spacing w:before="160" w:after="40"/>
      </w:pPr>
      <w:r>
        <w:rPr>
          <w:rFonts w:ascii="Arial" w:cs="Arial" w:eastAsia="Arial" w:hAnsi="Arial"/>
          <w:sz w:val="22"/>
          <w:szCs w:val="22"/>
        </w:rPr>
        <w:t xml:space="preserve">Assinatura: ___________________________________     Data: ___/___/______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Aditivo Técnico v1.0 — MeuJurídico.ai — BX4 Technology Solutions — CONFIDENCIAL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BX4 Technology Solutions — Canton, GA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type>currentPage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6" w:space="1"/>
      </w:pBdr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MEU JURÍDICO.AI — ADITIVO TÉCNICO v1.0</w:t>
    </w:r>
    <w:r>
      <w:rPr>
        <w:rFonts w:ascii="Arial" w:cs="Arial" w:eastAsia="Arial" w:hAnsi="Arial"/>
        <w:color w:val="888888"/>
        <w:sz w:val="18"/>
        <w:szCs w:val="18"/>
      </w:rPr>
      <w:t xml:space="preserve">    |    CONFIDENCIAL — BX4 TECHNOLOGY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2026-03-03T02:30:35.961Z</dcterms:created>
  <dcterms:modified xsi:type="dcterms:W3CDTF">2026-03-03T02:30:35.961Z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