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MEU JURÍDICO.AI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7AAF"/>
          <w:sz w:val="32"/>
          <w:szCs w:val="32"/>
        </w:rPr>
        <w:t xml:space="preserve">LLM OPERATING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v2.2</w:t>
      </w:r>
    </w:p>
    <w:p>
      <w:pPr>
        <w:pBdr>
          <w:bottom w:val="single" w:color="1B7AAF" w:sz="4" w:space="8"/>
        </w:pBdr>
        <w:spacing w:after="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BX4 Technology Solutions — Referência Técnica Obrigatória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v2.2 — Março 2026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Produto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MeuJurídico.ai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Engine Principal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 API — claude-sonnet-4-20250514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Engines Autorizadas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 Sonnet 4 (principal) | Gemini 2.0 Flash / Gemini 2.5 Pro (complementar)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Supabase Edge Functions (Deno)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RAG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pgvector (Supabase) + search_rag_documents()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Mudanças vs v2.1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Seção 1: Gemini 2.0 e 2.5 autorizados como engines complementares | Seção 9: tabela de alocação por função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Severino Bione da Silva — bionicaosilva@gmail.com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 ENGINES AUTORIZADAS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 sistema opera com múltiplas engines autorizadas, com hierarquia definida: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Hierarquia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Autorizado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PRINCIPAL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Geração de seções, validação jurídica, consolidação, agentes críticos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Gemini 2.0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COMPLEMENTAR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Tarefas de baixo custo, preview rápido, classificação simples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Gemini 2.5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gemini-2.5-pro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COMPLEMENTAR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Análise estrutural complexa, processamento de documentos longos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B7AAF" w:sz="24"/>
              <w:bottom w:val="none"/>
              <w:right w:val="none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7AAF"/>
                <w:sz w:val="20"/>
                <w:szCs w:val="20"/>
              </w:rPr>
              <w:t xml:space="preserve">REGRA DE HIERARQUIA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Claude é sempre a engine principal para geração de conteúdo jurídico formal. Gemini pode ser utilizado para funções complementares sem substituir Claude nas tarefas críticas de auditabilidade.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Runtime de todas as engines: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Supabase Edge Functions (Deno runtime)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 PRINCÍPIO OPERACIONAL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 sistema não utiliza um único prompt global. Opera por cluster de agentes especializados: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Cluster de Agentes Especializados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Cada agente atua conforme: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Tipo documental (DFD, ETP, TR, Edital, Contrato,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Seção específica do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Stage do pipeline de execução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Contexto processual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Requisitos normativos aplicáveis (Lei 14.133/2021)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 SELEÇÃO DINÂMICA DE AGENTES (NOVA — v2.1)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B7AAF" w:sz="24"/>
              <w:bottom w:val="none"/>
              <w:right w:val="none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7AAF"/>
                <w:sz w:val="20"/>
                <w:szCs w:val="20"/>
              </w:rPr>
              <w:t xml:space="preserve">NOVA DIRETRIZ v2.1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Esta seção é nova em relação à v2.0. Define comportamento de seleção dinâmica de agentes — não existia na versão anterior.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 sistema utilizará somente os agentes e skills necessários no momento da execução, determinados por: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Tipo de contratação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Modalidade licitatória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Complexidade do objeto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Requisitos legais aplicáveis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Configuração do template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Regra fundamental: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Nem todos os agentes são obrigatoriamente acionados em todo documento.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 orquestrador determina dinamicamente: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é determinado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 base em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Quais agentes devem atuar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document_type + process_context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Quais skills devem ser executadas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section_dependencies + template_config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Quais validações são necessárias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complexity + modalidade + tipo_objeto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 PIPELINE OFICIAL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 pipeline de execução permanece inalterado: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PLAN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  ↓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GENERATE_SECTION  (por seção, paralelo quando possível)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  ↓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VALIDATE_SECTION  (por seção, inline)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  ↓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CONSOLIDATE       (cross-section — Anti-hallucination V7)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  ↓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FINALIZE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Cada stage obrigatoriamente: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Obrigações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Todos os stages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Criar registro em ai_jobs ANTES de executar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Todos os stages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Persistir output em document_sections.rendered_content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Todos os stages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Gerar registro em audit_logs (insert-only)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Todos os stages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Respeitar RLS por org_id em todas as operações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 PERSISTÊNCIA OBRIGATÓRIA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Todo output gerado pela IA deve ser persistido em: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document_sections.rendered_content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PROIBIDO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Retornar conteúdo gerado pela IA apenas ao frontend sem persistência prévia no banco de dados. Violação desta regra invalida a auditabilidade do documento.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 SECTION MEMORY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Cada seção mantém memória estruturada para garantir coerência e anti-alucinação: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key_facts       — fatos extraíveis com fonte e confiança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values_declared — valores numéricos declarados (ZERO tolerância de contradição)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defined_terms   — glossário acumulado por seção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normative_refs  — dispositivos legais citados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commitments     — obrigações declaradas na seção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Utilizada para: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Anti-hallucination V7 — AGENT_CONSOLIDATOR verifica coerência cross-section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Coerência entre seções — values_declared nunca podem ser contraditórios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Consolidação final — glossário unificado e termos padronizados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 CONTROLE DE RETRY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Máximo: 2 tentativas por seção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4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Após 2 falhas: status = 'failed' em ai_jobs — pipeline continua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 pipeline não é cancelado por falha em seção individual. A seção é marcada como failed e o processo continua para as demais seções. O documento final indicará as seções que falharam.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 CONTROLE DE CUSTO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Cada execução registra obrigatoriamente em ai_jobs: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prompt_tokens      — tokens de entrada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completion_tokens  — tokens de saída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cost_usd           — custo calculado (input×0.000003 + output×0.000015)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model              — claude-sonnet-4-20250514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execution_stage    — PLAN|GENERATE_SECTION|VALIDATE|CONSOLIDATE|FINALIZE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2400E" w:sz="24"/>
              <w:bottom w:val="none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SEM EXCEÇÃO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Nenhuma chamada à Claude API pode ocorrer sem criar e atualizar o registro correspondente em ai_jobs. Custos não registrados = custos não auditáveis = violação de compliance financeiro.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 ALOCAÇÃO DE ENGINES POR AGENTE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 tabela abaixo define qual engine cada agente deve utilizar. O Antigravity deve seguir esta alocação sem alteração sem aprovação BX4: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AGENT_ADMIN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Interpretação estruturada de formulários — precisão crítica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AGENT_LICIT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Geração de texto jurídico formal — qualidade não negociável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AGENT_JURIDICO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Validação legal Lei 14.133 — raciocínio jurídico complexo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AGENT_CONSOLIDATOR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Anti-hallucination V7 — comparação cross-section crítica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AGENT_CONTROLE_INTERNO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Auditoria final TCU/CGU — responsabilidade máxima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AGENT_RESEARCH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Cálculo matemático de preços — tarefa estruturada, baixo custo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AGENT_RENDER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Formatação e export — tarefa simples, sem raciocínio jurídico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Preview ao vivo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ai_generate_preview — sem persistência, baixo custo prioritário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Análise doc longo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gemini-2.5-pro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Processamento de editais/contratos existentes &gt; 100 páginas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2400E" w:sz="24"/>
              <w:bottom w:val="none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REGRA DE REGISTRO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Independente da engine utilizada, todo job deve registrar em ai_jobs o campo model com o identificador exato da engine (ex: 'gemini-2.0-flash'). Auditoria de custo por engine é obrigatória.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 PRINCÍPIO FINAL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MeuJurídico.ai é:</w:t>
      </w:r>
    </w:p>
    <w:p>
      <w:pPr>
        <w:spacing w:after="0" w:before="4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Infraestrutura auditável de governança documental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MeuJurídico.ai NÃO é:</w:t>
      </w:r>
    </w:p>
    <w:p>
      <w:pPr>
        <w:spacing w:after="0" w:before="4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Chatbot jurídico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 LLM é motor auxiliar controlado por pipeline estruturado — não gerador autônomo. Cada saída é rastreável, auditável e juridicamente responsável.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✓  RESUMO EXECUTIVO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Princípio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 API (claude-sonnet-4-20250514) é a engine principal para conteúdo jurídico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OBRIGATÓRIO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 autorizado para tarefas complementares (preview, render, pesquisa)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✅ AUTORIZADO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2.5 Pro autorizado para processamento de documentos longos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✅ AUTORIZADO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Execução modular e dinâmica — agentes selecionados por contexto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OBRIGATÓRIO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Apenas agentes necessários são ativados por documento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OBRIGATÓRIO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Todo output persistido em document_sections antes de chegar ao 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OBRIGATÓRIO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Nada roda fora do backend (Supabase Edge Functions)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OBRIGATÓRIO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RLS por org_id em todas as operações — sem exceção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OBRIGATÓRIO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Auditoria obrigatória — ai_jobs + audit_logs em toda execução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OBRIGATÓRIO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OpenAI / qualquer outra engine não listada: PROIBIDA sem aprovação BX4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🚫 PROIBIDO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CBD5E1" w:sz="4" w:space="8"/>
        </w:pBdr>
        <w:spacing w:after="40" w:before="12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MeuJurídico.ai — LLM Operating Specification v2.2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BX4 Technology Solutions | Severino Bione da Silva | bionicaosilva@gmail.com | Março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638"/>
      </w:tabs>
      <w:spacing w:after="0" w:before="80"/>
    </w:pPr>
    <w:r>
      <w:rPr>
        <w:rFonts w:ascii="Arial" w:cs="Arial" w:eastAsia="Arial" w:hAnsi="Arial"/>
        <w:color w:val="94A3B8"/>
        <w:sz w:val="17"/>
        <w:szCs w:val="17"/>
      </w:rPr>
      <w:t xml:space="preserve">Confidencial — BX4 Technology Solutions</w:t>
    </w:r>
    <w:r>
      <w:rPr>
        <w:rFonts w:ascii="Arial" w:cs="Arial" w:eastAsia="Arial" w:hAnsi="Arial"/>
        <w:color w:val="94A3B8"/>
        <w:sz w:val="17"/>
        <w:szCs w:val="17"/>
      </w:rPr>
      <w:t xml:space="preserve">	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AF" w:sz="4" w:space="4"/>
      </w:pBdr>
      <w:tabs>
        <w:tab w:val="right" w:pos="9638"/>
      </w:tabs>
      <w:spacing w:after="80" w:before="0"/>
    </w:pPr>
    <w:r>
      <w:rPr>
        <w:rFonts w:ascii="Arial" w:cs="Arial" w:eastAsia="Arial" w:hAnsi="Arial"/>
        <w:b/>
        <w:bCs/>
        <w:color w:val="1A3A5C"/>
        <w:sz w:val="19"/>
        <w:szCs w:val="19"/>
      </w:rPr>
      <w:t xml:space="preserve">MEU JURÍDICO.AI — LLM Operating Specification</w:t>
    </w:r>
    <w:r>
      <w:rPr>
        <w:rFonts w:ascii="Arial" w:cs="Arial" w:eastAsia="Arial" w:hAnsi="Arial"/>
        <w:color w:val="94A3B8"/>
        <w:sz w:val="17"/>
        <w:szCs w:val="17"/>
      </w:rPr>
      <w:t xml:space="preserve">	v2.2 | BX4 Technology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1B7AA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2026-03-02T18:45:08.127Z</dcterms:created>
  <dcterms:modified xsi:type="dcterms:W3CDTF">2026-03-02T18:45:08.128Z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