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MEU JURÍDICO.AI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7AAF"/>
          <w:sz w:val="28"/>
          <w:szCs w:val="28"/>
        </w:rPr>
        <w:t xml:space="preserve">BRIEFING TÉCNICO DE CONTRATAÇÃO</w:t>
      </w:r>
    </w:p>
    <w:p>
      <w:pPr>
        <w:pBdr>
          <w:bottom w:val="single" w:color="3AAFCF" w:sz="4" w:space="4"/>
        </w:pBdr>
        <w:spacing w:before="0" w:after="2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Especificação Técnica para o Antigravity — Execução sobre Arquitetura Definida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Contratante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BX4 Technology Solutions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Executor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Antigravity (Estúdio de Desenvolvimento)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Produto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MeuJurídico.ai — Plataforma GovTech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Versão do Documento</w:t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v1.0 — Briefing de Contratação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0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INSTRUÇÃO AO ANTIGRAVITY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Este documento define o escopo de execução técnica sobre arquitetura já completamente especificada. O Antigravity não deve propor arquitetura alternativa, redefinir stack ou abrir discovery estrutural. O papel do Antigravity é implementar o que está definido neste briefing.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CONTEXTO E POSICIONAMENTO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MeuJurídico.ai é uma plataforma GovTech de geração estruturada de documentos de contratação pública, com conformidade nativa à Lei nº 14.133/2021 (Nova Lei de Licitações). A plataforma automatiza os documentos obrigatórios do ciclo de planejamento de contratações: DFD, ETP, TR, Edital, Minuta Contratual e documentos correlatos.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Diferenciação estratégica central: documentos auditáveis por TCU/CGU, com trilha de auditoria imutável, RBAC por órgão e workflow de aprovação multi-ator. O produto compete diretamente com Econect (Campo Grande/MS), superando-o em governança, rastreabilidade e conformidade normativa.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B7AAF" w:sz="20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7AAF"/>
                <w:sz w:val="20"/>
                <w:szCs w:val="20"/>
              </w:rPr>
              <w:t xml:space="preserve">OBJETIVO DO PRODUTO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 é um gerador de texto. É uma infraestrutura de governança documental com motor de IA estruturado, auditável por órgãos de controle e defensável em processos de TCU/CGU.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ARQUITETURA JÁ DEFINIDA — NÃO NEGOCIÁVEL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arquitetura técnica completa já foi especificada e documentada. O Antigravity recebe esta especificação como constraint de execução, não como proposta aberta.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2.1 Stack Tecnológico — Fixo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Backend / Banco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— PostgreSQL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Multi-tenant por org_id. RLS ativo em todas as tabelas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Edge Functions (Deno)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Orquestrador dos agentes de 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LLM Engine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API — claude-sonnet-4-20250514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Única engine de IA. Sem OpenAI, sem Gemini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JWT + RLS. Sessões gerenciadas pelo Supabase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Front-end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Construído integralmente no Antigravity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Sem Lovable. Sem no-code externo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pgvector (extensão Supabase)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RAG para base normativa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Export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DOCX + PDF por Edge Function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Geração server-side, não client-side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2.2 Data Model — 13 Tabelas / 9 Layers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schema SQL completo foi produzido e está disponível como arquivo .sql de referência. A seguir, sumário das tabelas por layer: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838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Tabela(s)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L1 — Tenant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orgs, departments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Órgão público como raiz de isolamento. Departamentos internos para segregação por área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L2 — IAM/RBAC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users, process_permissions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 roles distintos. Override de role por processo específico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L3 — Processos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processes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Processo administrativo = container de documentos. Carrega dados_base (process_context)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L4 — Documentos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documents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Chain DFD→ETP→TR→Edital→Contrato. Herança via parent_doc_id. Hash SHA-256 no export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L5 — 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document_sections, section_requirement_tabs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Seção = structured_data + rendered_content + validation_report. Tabs correspondem à UI do wizard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L6 — Workflow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workflow_transitions, approval_steps, approval_instances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Machine de estados. Aprovação configurável por tipo documental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L7 — IA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ai_jobs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Jobs assíncronos. Rastreamento de custo por job (cost_usd). Max 2 retries por spec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L8 — Pesquisa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price_researches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Evidência de pesquisa de preços. Integração PNCP/ComprasGov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7"/>
                <w:szCs w:val="17"/>
              </w:rPr>
              <w:t xml:space="preserve">L9 — Audit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audit_logs</w:t>
            </w:r>
          </w:p>
        </w:tc>
        <w:tc>
          <w:tcPr>
            <w:tcW w:type="dxa" w:w="5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Imutável (sem UPDATE/DELETE). Campos: user_id, role, action, old_value, new_value, diff, reason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2.3 Modelo de Tenant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Decisão arquitetural já tomada: tenant por ÓRGÃO (não por usuário).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Raiz de isolamento: org_id em todas as tabelas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Segregação interna por departamento (Sec. Saúde ≠ Sec. Educação)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RLS ativo por org_id em todas as tabelas sem exceção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Usuário herda org_id no momento do cadastro — não pode ser alterado pelo próprio usuário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0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REGRA CRÍTICA DE RLS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Nenhuma consulta SQL pode retornar dados de org_id diferente do org_id do usuário autenticado. Sem exceção. Qualquer lógica que contorne o RLS é considerada falha de segurança crítica.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2.4 LLM Operating Specification v2.0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spec v2.0 define o protocolo de operação dos agentes. Ela é constraint técnica, não sugestão. O Antigravity deve implementar conforme definido: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da Spec</w:t>
            </w:r>
          </w:p>
        </w:tc>
        <w:tc>
          <w:tcPr>
            <w:tcW w:type="dxa" w:w="7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section_memory</w:t>
            </w:r>
          </w:p>
        </w:tc>
        <w:tc>
          <w:tcPr>
            <w:tcW w:type="dxa" w:w="7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Cada seção persiste: key_facts, values_declared, commitments, defined_terms, normative_refs em document_sections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anti-hallucination V7</w:t>
            </w:r>
          </w:p>
        </w:tc>
        <w:tc>
          <w:tcPr>
            <w:tcW w:type="dxa" w:w="7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Protocolo de validação cruzada entre seções. Qualquer valor numérico declarado em uma seção é verificado nas seções dependentes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max_retries</w:t>
            </w:r>
          </w:p>
        </w:tc>
        <w:tc>
          <w:tcPr>
            <w:tcW w:type="dxa" w:w="7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tentativas por seção. Após 2 falhas, status da seção = 'failed'. Job registrado com erro em ai_jobs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execution_stages</w:t>
            </w:r>
          </w:p>
        </w:tc>
        <w:tc>
          <w:tcPr>
            <w:tcW w:type="dxa" w:w="7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→ GENERATE_SECTION → VALIDATE_SECTION → CONSOLIDATE → FINALIZE. Cada stage mapeado em ai_jobs.execution_stage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agent_routing</w:t>
            </w:r>
          </w:p>
        </w:tc>
        <w:tc>
          <w:tcPr>
            <w:tcW w:type="dxa" w:w="7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Cada seção tem agent responsável definido no template. Edge Function roteia para o agente correto conforme document_sections.agent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cost_control</w:t>
            </w:r>
          </w:p>
        </w:tc>
        <w:tc>
          <w:tcPr>
            <w:tcW w:type="dxa" w:w="72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Cada ai_job registra prompt_tokens, completion_tokens, cost_usd. Limite de custo configurável por org em orgs.settings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CLUSTER DE AGENTES — ESPECIFICAÇÃO COMPLETA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motor de IA opera por clusters de agentes especializados. Não existe prompt único. Cada agente tem responsabilidade delimitada, opera por seção e persiste output em document_sections.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1: Document Structure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Constrói o plano estrutural do documento conforme template. Define ordem das seções, dependências, hierarquia e numeração técnica. Opera na stage PLAN.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doc_type + tipo_objeto + template selecionado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Array de seções com section_id, section_number, title, agent, depends_on,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document_sections (criação das linhas)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Seções com depends_on não atendidas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2: Normative Compliance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Aplica Lei 14.133/2021, IN SEGES 65/2021, instruções normativas e normas complementares. Insere fundamentos jurídicos com artigo e dispositivo específico. Opera em paralelo às stages de GENERATE_SECTION.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section_id + structured_data + tipo_objeto + normas aplicáveis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Array de normative_refs [{law, article, text}] + texto de fundamento legal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document_sections.normative_refs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Lacunas normativas identificadas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3: Technical Expansion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Expande inputs estruturados do formulário em texto técnico formal completo. Responsável por volume: gera 2-8 páginas por seção conforme complexidade. Opera na stage GENERATE_SECTION.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structured_data da seção + section_memory das seções predecessoras + process_context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rendered_content em Markdown com formatação técnica preservada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document_sections.rendered_content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Valores declarados inconsistentes com seções anteriores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4: Legal Argumentation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Produz argumentação jurídica em seções que exigem fundamentação densa: justificativas de não parcelamento, escolha de modalidade, dispensas, inexigibilidades. Opera na stage GENERATE_SECTION para seções marcadas como 'juridico' no template.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section_id + tipo_contratação + modalidade + fundamentos normativos do Agent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Bloco argumentativo formal com citação de doutrina, jurisprudência TCU e normas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document_sections.rendered_content (append)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Argumento sem fundamento normativo identificável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5: Consistency &amp; Coherence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Verifica coerência entre seções: valores declarados, quantitativos, datas, siglas, denominações técnicas. É o core do anti-hallucination V7. Opera na stage CONSOLIDATE.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section_memory completo de todas as seções geradas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Relatório de inconsistências + sugestões de correção + lista de termos padronizados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document_sections.defined_terms + has_warnings=true onde aplicável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Valor inconsistente entre seções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6: Validation &amp; Gap Detection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Executa checklist de conformidade por seção e por documento. Verifica campos obrigatórios pela Lei 14.133, IN 65/2021 e modelos TCU. Produz validation_report estruturado. Opera na stage VALIDATE_SECTION.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rendered_content + structured_data + normative_refs + checklist do template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validation_report {status, issues[], missing_fields[], tcu_compliance_score}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document_sections.validation_report + validation_status + checklist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Campo obrigatório ausente ou não conforme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7: Formatting &amp; Institutional Standardization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Garante uniformidade de linguagem formal, impessoalidade, numeração de itens, formatação de tabelas, siglas, acrônimos e referências cruzadas entre seções. Opera na stage FINALIZE.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rendered_content de todas as seções + defined_terms do Agent 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rendered_html formatado + rendered_content padronizado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document_sections.rendered_html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Linguagem informal detectada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Agent 8: Cost &amp; Price Research Integration Agent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 dados de pesquisa de preços de múltiplas fontes (PNCP, ComprasGov, cotações manuais). Calcula valor estimado, aplica critérios de exclusão de outliers e produz memória de cálculo. Opera sob demanda na stage GENERATE_SECTION para seções de estimativa de valor.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item_description + quantity + source_type + dados coletados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Output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Valor estimado + memória de cálculo + array de price_researches validados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Persiste em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price_researches + document_sections.values_declared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Warnings gerados</w:t>
            </w:r>
          </w:p>
        </w:tc>
        <w:tc>
          <w:tcPr>
            <w:tcW w:type="dxa" w:w="7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Menos de 3 fontes válidas ou outlier não excluído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ESCOPO DE CONSTRUÇÃO — O QUE O ANTIGRAVITY DEVE ENTREGAR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Todo o frontend e toda a lógica de orquestração devem ser construídos integralmente pelo Antigravity, sobre a arquitetura já especificada.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4.1 Frontend — Módulos Obrigatórios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Wizard de Criação — 4 Etapas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1: Descrição da Necessidade / Justificativa. Step 2: Área Requisitante. Step 3: Descrição dos Requisitos. Step 4: Descrição dos Requisitos da Contratação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Tabs por Categoria de Requisito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Tabs horizontais dentro do Step 3/4: Necessidades do Negócio, Tecnológicos, Legais e Gerais, Segurança, Sociais/Ambientais, Projeto e Implementação, Garantia Técnica, Experiência. Ícone ⚠ quando tab tem warnings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Preview ao Vivo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Painel direito com renderização em tempo real do documento conforme preenchimento. Alterna entre Preview e Editor de Texto. Campos {{placeholder}} substituídos dinamicamente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Dashboard de Processos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Listagem de processos por órgão. Filtros por status, tipo documental, responsável, data. Indicadores de prazo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Interface de Aprovação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Tela de workflow: submeter para revisão, aprovar, solicitar ajuste, histórico de transições. Restrita por role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Administração Multi-tenant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Gestão de usuários por órgão, atribuição de roles, configuração de departamentos, limites de plano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Tela de Consumo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Monitoramento de ai_jobs executados, tokens consumidos, custo estimado, documentos gerados no período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Export DOCX/PDF</w:t>
            </w:r>
          </w:p>
        </w:tc>
        <w:tc>
          <w:tcPr>
            <w:tcW w:type="dxa" w:w="6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Botão de exportação com geração server-side. Download direto. Documento inclui hash SHA-256 e disclaimer obrigatório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4.2 Backend — Edge Functions Obrigatórias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Function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orchestrate_document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Orquestra o pipeline completo: PLAN → GENERATE → VALIDATE → CONSOLIDATE → FINALIZE. Chama agentes na sequência correta. Persiste em document_sections e ai_jobs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ai_improve_section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Melhora seção individual sob demanda (botão 'Melhorar' da UI). Registra job em ai_jobs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ai_validate_section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 seção individual. Retorna validation_report estruturado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ai_generate_preview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Renderiza preview em tempo real conforme dados do formulário. Retorna HTML. Não persiste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transition_document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Executa transição de estado com validação de role. Registra em workflow_transitions e audit_logs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export_docx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Gera DOCX completo do documento. Calcula document_hash. Upload para Supabase Storage. Retorna 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export_pdf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Gera PDF a partir do DOCX. Persiste URL em documents.pdf_url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AF"/>
                <w:sz w:val="18"/>
                <w:szCs w:val="18"/>
              </w:rPr>
              <w:t xml:space="preserve">research_collect</w:t>
            </w:r>
          </w:p>
        </w:tc>
        <w:tc>
          <w:tcPr>
            <w:tcW w:type="dxa" w:w="66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Coleta e valida dados de pesquisa de preço. Integra com PNCP API quando disponível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CRITÉRIOS DE ACEITE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critérios abaixo são condição de entrega. Não são desejáveis — são obrigatórios para aceite de cada módulo.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5.1 Critérios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3838"/>
      </w:tblGrid>
      <w:tr>
        <w:trPr>
          <w:tblHeader/>
        </w:trP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 de Aceite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Documento ETP completo gerado com coerência estrutural (40+ páginas)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Arquivo gerado, auditável, sem campos {{placeholder}} vazios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Persistência parcial por seção: falha em seção X não perde seções anteriores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Teste de falha injetada na seção 5 de 8: seções 1-4 preservadas em DB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trail completo: cada ação registrada em audit_logs com old_value/new_value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Log exportável cobrindo criação, edição, aprovação, export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RLS ativo: usuário de Órgão A não acessa dados do Órgão 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Teste de SQL direto com user_id de org diferente retorna 0 rows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Workflow de aprovação: submeter → revisar → aprovar com registro de 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Transição registrada em workflow_transitions com performed_by e role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 DOCX com document_hash SHA-256 e disclaimer legal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Hash calculado e visível no rodapé do documento exportado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Tela de Consumo: exibe tokens e custo do mês corrente por org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usage_records atualizado a cada ai_job concluído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Anti-hallucination: valor R$ declarado em seção 5 confirmado em seção 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SIM</w:t>
            </w:r>
          </w:p>
        </w:tc>
        <w:tc>
          <w:tcPr>
            <w:tcW w:type="dxa" w:w="38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Agente 5 detecta inconsistência e registra warning em has_warnings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7AAF"/>
          <w:sz w:val="24"/>
          <w:szCs w:val="24"/>
        </w:rPr>
        <w:t xml:space="preserve">5.2 Restrições Absolutas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DC2626" w:sz="20"/>
              <w:bottom w:val="none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NÃO SERÁ ACEITO SE: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Antigravity propuser redefinição de schema, mudança de stack, substituição de LLM engine, ou qualquer alteração estrutural não autorizada neste briefing. A arquitetura está definida. O escopo é execução.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Nenhuma redefinição de schema SQL sem aprovação prévia por escrito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Nenhuma substituição de Claude API por outro provedor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Nenhuma camada no-code ou Lovable como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Nenhuma lógica financeira calculada no frontend (backend-only)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Nenhum workaround que contorne o RLS por org_id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DOCUMENTOS DE REFERÊNCIA ENTREGUES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documentos a seguir são entregues junto a este briefing e devem ser adotados integralmente pelo Antigravity como base de trabalho: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4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meujuridico_data_model.sql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.sql</w:t>
            </w:r>
          </w:p>
        </w:tc>
        <w:tc>
          <w:tcPr>
            <w:tcW w:type="dxa" w:w="4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Schema completo: 13 tabelas, RLS policies, funções, ENUMs, índices, seeds de templates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meujuridico_data_model.jsx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.jsx (React)</w:t>
            </w:r>
          </w:p>
        </w:tc>
        <w:tc>
          <w:tcPr>
            <w:tcW w:type="dxa" w:w="4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Visualizador interativo do data model com 9 layers, filtros e documentação inline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LLM Operating Specification v2.0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.docx/.txt</w:t>
            </w:r>
          </w:p>
        </w:tc>
        <w:tc>
          <w:tcPr>
            <w:tcW w:type="dxa" w:w="4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Protocolo completo de operação dos agentes: stages, section_memory, anti-hallucination V7, cost control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Figma — MeuJurídico.ai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7AAF"/>
                <w:sz w:val="18"/>
                <w:szCs w:val="18"/>
              </w:rPr>
              <w:t xml:space="preserve">Link Figma</w:t>
            </w:r>
          </w:p>
        </w:tc>
        <w:tc>
          <w:tcPr>
            <w:tcW w:type="dxa" w:w="443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Telas completas de todos os documentos: DFD, ETP, TR, Edital. Wizard 4 etapas, tabs de requisitos, preview ao vivo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B7AA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PRÓXIMOS PASSOS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Antigravity recebe este briefing + schema SQL + LLM Spec v2.0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Antigravity apresenta proposta de execução com base nos critérios de aceite definidos (sem proposta de nova arquitetura)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Alinhamento de prazo e milestone por módulo: banco + Edge Functions → wizard DFD/ETP → workflow → export → admin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Início de desenvolvimento: banco Supabase provisionado pelo BX4, acesso concedido ao Antigravity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Entrega incremental: cada módulo entregue com evidência de aceite conforme Seção 5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A5C" w:sz="20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DECLARAÇÃO DE ESCOPO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Este documento não é uma proposta de visão. É uma especificação técnica de execução. A arquitetura está definida. O data model está construído. A spec de agentes está documentada. O Antigravity é contratado para implementar — não para redesenhar.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CBD5E1" w:sz="4" w:space="8"/>
        </w:pBdr>
        <w:spacing w:before="120"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BX4 Technology Solutions — Severino Bione da Silva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Canton, GA | bionicaosilva@gmail.com | Versão 1.0 — Confidencial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638"/>
      </w:tabs>
      <w:spacing w:before="80" w:after="0"/>
    </w:pPr>
    <w:r>
      <w:rPr>
        <w:rFonts w:ascii="Arial" w:cs="Arial" w:eastAsia="Arial" w:hAnsi="Arial"/>
        <w:color w:val="94A3B8"/>
        <w:sz w:val="17"/>
        <w:szCs w:val="17"/>
      </w:rPr>
      <w:t xml:space="preserve">BX4 Technology Solutions — Confidencial e Proprietário</w:t>
    </w:r>
    <w:r>
      <w:rPr>
        <w:rFonts w:ascii="Arial" w:cs="Arial" w:eastAsia="Arial" w:hAnsi="Arial"/>
        <w:color w:val="94A3B8"/>
        <w:sz w:val="17"/>
        <w:szCs w:val="17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A3A5C"/>
              <w:sz w:val="20"/>
              <w:szCs w:val="20"/>
            </w:rPr>
            <w:t xml:space="preserve">MEU JURÍDICO.AI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 — Briefing Técnico de Contratação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Versão 1.0 | Confidencial</w:t>
          </w:r>
        </w:p>
      </w:tc>
    </w:tr>
  </w:tbl>
  <w:p>
    <w:pPr>
      <w:pBdr>
        <w:bottom w:val="single" w:color="3AAFCF" w:sz="4" w:space="2"/>
      </w:pBdr>
      <w:spacing w:before="40"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7A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2026-03-02T01:39:07.406Z</dcterms:created>
  <dcterms:modified xsi:type="dcterms:W3CDTF">2026-03-02T01:39:07.407Z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