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B8D7F1" w14:textId="77777777" w:rsidR="005B3B7C" w:rsidRPr="007C6ECF" w:rsidRDefault="00191A9E">
      <w:pPr>
        <w:rPr>
          <w:rFonts w:ascii="Times New Roman" w:hAnsi="Times New Roman" w:cs="Times New Roman"/>
          <w:b/>
          <w:sz w:val="18"/>
          <w:szCs w:val="18"/>
        </w:rPr>
      </w:pPr>
      <w:r w:rsidRPr="007C6ECF">
        <w:rPr>
          <w:rFonts w:ascii="Times New Roman" w:hAnsi="Times New Roman" w:cs="Times New Roman"/>
          <w:b/>
          <w:sz w:val="18"/>
          <w:szCs w:val="18"/>
        </w:rPr>
        <w:t>Referee #1:</w:t>
      </w:r>
    </w:p>
    <w:p w14:paraId="6E40FC49" w14:textId="77777777" w:rsidR="00191A9E" w:rsidRPr="007C6ECF" w:rsidRDefault="00191A9E">
      <w:pPr>
        <w:rPr>
          <w:rFonts w:ascii="Times New Roman" w:hAnsi="Times New Roman" w:cs="Times New Roman"/>
          <w:sz w:val="18"/>
          <w:szCs w:val="18"/>
        </w:rPr>
      </w:pPr>
    </w:p>
    <w:tbl>
      <w:tblPr>
        <w:tblStyle w:val="TableGrid"/>
        <w:tblW w:w="9535" w:type="dxa"/>
        <w:tblLook w:val="04A0" w:firstRow="1" w:lastRow="0" w:firstColumn="1" w:lastColumn="0" w:noHBand="0" w:noVBand="1"/>
      </w:tblPr>
      <w:tblGrid>
        <w:gridCol w:w="4675"/>
        <w:gridCol w:w="4860"/>
      </w:tblGrid>
      <w:tr w:rsidR="00191A9E" w:rsidRPr="007C6ECF" w14:paraId="5F4F2B9B" w14:textId="77777777" w:rsidTr="00191A9E">
        <w:tc>
          <w:tcPr>
            <w:tcW w:w="4675" w:type="dxa"/>
          </w:tcPr>
          <w:p w14:paraId="4E1B5E27" w14:textId="77777777" w:rsidR="00191A9E" w:rsidRPr="007C6ECF" w:rsidRDefault="00191A9E"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Referee comment</w:t>
            </w:r>
          </w:p>
        </w:tc>
        <w:tc>
          <w:tcPr>
            <w:tcW w:w="4860" w:type="dxa"/>
          </w:tcPr>
          <w:p w14:paraId="0AF7CBB9" w14:textId="77777777" w:rsidR="00191A9E" w:rsidRPr="007C6ECF" w:rsidRDefault="00191A9E" w:rsidP="00691A0E">
            <w:pPr>
              <w:rPr>
                <w:rFonts w:ascii="Times New Roman" w:hAnsi="Times New Roman" w:cs="Times New Roman"/>
                <w:sz w:val="18"/>
                <w:szCs w:val="18"/>
              </w:rPr>
            </w:pPr>
            <w:r w:rsidRPr="007C6ECF">
              <w:rPr>
                <w:rFonts w:ascii="Times New Roman" w:hAnsi="Times New Roman" w:cs="Times New Roman"/>
                <w:sz w:val="18"/>
                <w:szCs w:val="18"/>
              </w:rPr>
              <w:t>Author response</w:t>
            </w:r>
          </w:p>
        </w:tc>
      </w:tr>
      <w:tr w:rsidR="00916967" w:rsidRPr="007C6ECF" w14:paraId="79498A32" w14:textId="77777777" w:rsidTr="00191A9E">
        <w:tc>
          <w:tcPr>
            <w:tcW w:w="4675" w:type="dxa"/>
          </w:tcPr>
          <w:p w14:paraId="7B48CA5F" w14:textId="6E5803FB" w:rsidR="00916967" w:rsidRPr="007C6ECF" w:rsidRDefault="00916967" w:rsidP="00191A9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Title: This could be more simple and specific. A “catastrophic climate event” is rain in the Atacama. These extremophiles are halophiles. There </w:t>
            </w:r>
            <w:r w:rsidR="00C752DB" w:rsidRPr="007C6ECF">
              <w:rPr>
                <w:rFonts w:ascii="Times New Roman" w:hAnsi="Times New Roman" w:cs="Times New Roman"/>
                <w:sz w:val="18"/>
                <w:szCs w:val="18"/>
              </w:rPr>
              <w:t>was</w:t>
            </w:r>
            <w:r w:rsidRPr="007C6ECF">
              <w:rPr>
                <w:rFonts w:ascii="Times New Roman" w:hAnsi="Times New Roman" w:cs="Times New Roman"/>
                <w:sz w:val="18"/>
                <w:szCs w:val="18"/>
              </w:rPr>
              <w:t xml:space="preserve"> no adaptation “mechanisms” reported. The running title could also be more specific.</w:t>
            </w:r>
          </w:p>
          <w:p w14:paraId="3288A263" w14:textId="77777777" w:rsidR="00916967" w:rsidRPr="007C6ECF" w:rsidRDefault="00916967" w:rsidP="00691A0E">
            <w:pPr>
              <w:widowControl w:val="0"/>
              <w:autoSpaceDE w:val="0"/>
              <w:autoSpaceDN w:val="0"/>
              <w:adjustRightInd w:val="0"/>
              <w:rPr>
                <w:rFonts w:ascii="Times New Roman" w:hAnsi="Times New Roman" w:cs="Times New Roman"/>
                <w:sz w:val="18"/>
                <w:szCs w:val="18"/>
              </w:rPr>
            </w:pPr>
          </w:p>
        </w:tc>
        <w:tc>
          <w:tcPr>
            <w:tcW w:w="4860" w:type="dxa"/>
          </w:tcPr>
          <w:p w14:paraId="3ECA7DD1" w14:textId="77777777" w:rsidR="00916967" w:rsidRPr="007C6ECF" w:rsidRDefault="00916967" w:rsidP="00691A0E">
            <w:pPr>
              <w:rPr>
                <w:rFonts w:ascii="Times New Roman" w:hAnsi="Times New Roman" w:cs="Times New Roman"/>
                <w:sz w:val="18"/>
                <w:szCs w:val="18"/>
              </w:rPr>
            </w:pPr>
            <w:r w:rsidRPr="007C6ECF">
              <w:rPr>
                <w:rFonts w:ascii="Times New Roman" w:hAnsi="Times New Roman" w:cs="Times New Roman"/>
                <w:sz w:val="18"/>
                <w:szCs w:val="18"/>
              </w:rPr>
              <w:t>We re-wrote the title to address concern brought up by both referees</w:t>
            </w:r>
          </w:p>
        </w:tc>
      </w:tr>
      <w:tr w:rsidR="00191A9E" w:rsidRPr="007C6ECF" w14:paraId="2D5CF6B6" w14:textId="77777777" w:rsidTr="00191A9E">
        <w:tc>
          <w:tcPr>
            <w:tcW w:w="4675" w:type="dxa"/>
          </w:tcPr>
          <w:p w14:paraId="1547A71D" w14:textId="77777777" w:rsidR="00191A9E" w:rsidRPr="007C6ECF" w:rsidRDefault="00191A9E"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The first sentence of the abstract should be deleted, as this is common knowledge to the readership a microbial ecology journal.</w:t>
            </w:r>
          </w:p>
        </w:tc>
        <w:tc>
          <w:tcPr>
            <w:tcW w:w="4860" w:type="dxa"/>
          </w:tcPr>
          <w:p w14:paraId="78E2BC41" w14:textId="77777777" w:rsidR="00191A9E" w:rsidRPr="007C6ECF" w:rsidRDefault="00191A9E" w:rsidP="00691A0E">
            <w:pPr>
              <w:rPr>
                <w:rFonts w:ascii="Times New Roman" w:hAnsi="Times New Roman" w:cs="Times New Roman"/>
                <w:sz w:val="18"/>
                <w:szCs w:val="18"/>
              </w:rPr>
            </w:pPr>
            <w:r w:rsidRPr="007C6ECF">
              <w:rPr>
                <w:rFonts w:ascii="Times New Roman" w:hAnsi="Times New Roman" w:cs="Times New Roman"/>
                <w:sz w:val="18"/>
                <w:szCs w:val="18"/>
              </w:rPr>
              <w:t>We agree</w:t>
            </w:r>
            <w:r w:rsidR="00916967" w:rsidRPr="007C6ECF">
              <w:rPr>
                <w:rFonts w:ascii="Times New Roman" w:hAnsi="Times New Roman" w:cs="Times New Roman"/>
                <w:sz w:val="18"/>
                <w:szCs w:val="18"/>
              </w:rPr>
              <w:t>,</w:t>
            </w:r>
            <w:r w:rsidRPr="007C6ECF">
              <w:rPr>
                <w:rFonts w:ascii="Times New Roman" w:hAnsi="Times New Roman" w:cs="Times New Roman"/>
                <w:sz w:val="18"/>
                <w:szCs w:val="18"/>
              </w:rPr>
              <w:t xml:space="preserve"> and dropped the redundant first sentence</w:t>
            </w:r>
          </w:p>
        </w:tc>
      </w:tr>
      <w:tr w:rsidR="00191A9E" w:rsidRPr="007C6ECF" w14:paraId="02E8D0FB" w14:textId="77777777" w:rsidTr="00191A9E">
        <w:tc>
          <w:tcPr>
            <w:tcW w:w="4675" w:type="dxa"/>
          </w:tcPr>
          <w:p w14:paraId="62716993" w14:textId="77777777" w:rsidR="00191A9E" w:rsidRPr="007C6ECF" w:rsidRDefault="00191A9E"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42-44: There are enough studies of temporal dynamics of microbial communities in extreme environments that this should be deleted or rephrased to specify that you mean extremophilic community responses to disturbance.</w:t>
            </w:r>
          </w:p>
        </w:tc>
        <w:tc>
          <w:tcPr>
            <w:tcW w:w="4860" w:type="dxa"/>
          </w:tcPr>
          <w:p w14:paraId="33EC14DA" w14:textId="77777777" w:rsidR="00191A9E" w:rsidRPr="007C6ECF" w:rsidRDefault="00191A9E" w:rsidP="00691A0E">
            <w:pPr>
              <w:rPr>
                <w:rFonts w:ascii="Times New Roman" w:hAnsi="Times New Roman" w:cs="Times New Roman"/>
                <w:sz w:val="18"/>
                <w:szCs w:val="18"/>
              </w:rPr>
            </w:pPr>
            <w:r w:rsidRPr="007C6ECF">
              <w:rPr>
                <w:rFonts w:ascii="Times New Roman" w:hAnsi="Times New Roman" w:cs="Times New Roman"/>
                <w:sz w:val="18"/>
                <w:szCs w:val="18"/>
              </w:rPr>
              <w:t>Rephrased to be more specific; lines 46-48.</w:t>
            </w:r>
          </w:p>
        </w:tc>
      </w:tr>
      <w:tr w:rsidR="00191A9E" w:rsidRPr="007C6ECF" w14:paraId="3DCC7D46" w14:textId="77777777" w:rsidTr="00191A9E">
        <w:tc>
          <w:tcPr>
            <w:tcW w:w="4675" w:type="dxa"/>
          </w:tcPr>
          <w:p w14:paraId="38A5E23C" w14:textId="77777777" w:rsidR="00191A9E" w:rsidRPr="007C6ECF" w:rsidRDefault="00191A9E"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One sentence summarizing the methods would be useful in the abstract before describing the results. I do not yet know whether this study is cultivation-based, metagenomic, or other, how many samples, from what geographic locations, etc. At least some of that information should be here.</w:t>
            </w:r>
          </w:p>
        </w:tc>
        <w:tc>
          <w:tcPr>
            <w:tcW w:w="4860" w:type="dxa"/>
          </w:tcPr>
          <w:p w14:paraId="4EE4E25A" w14:textId="77777777" w:rsidR="00191A9E" w:rsidRPr="007C6ECF" w:rsidRDefault="00191A9E" w:rsidP="00691A0E">
            <w:pPr>
              <w:rPr>
                <w:rFonts w:ascii="Times New Roman" w:hAnsi="Times New Roman" w:cs="Times New Roman"/>
                <w:sz w:val="18"/>
                <w:szCs w:val="18"/>
              </w:rPr>
            </w:pPr>
            <w:r w:rsidRPr="007C6ECF">
              <w:rPr>
                <w:rFonts w:ascii="Times New Roman" w:hAnsi="Times New Roman" w:cs="Times New Roman"/>
                <w:sz w:val="18"/>
                <w:szCs w:val="18"/>
              </w:rPr>
              <w:t>Added introductory overview on the study’s design; lines 51-53.</w:t>
            </w:r>
          </w:p>
        </w:tc>
      </w:tr>
      <w:tr w:rsidR="00191A9E" w:rsidRPr="007C6ECF" w14:paraId="20AEB8C0" w14:textId="77777777" w:rsidTr="00191A9E">
        <w:trPr>
          <w:trHeight w:val="224"/>
        </w:trPr>
        <w:tc>
          <w:tcPr>
            <w:tcW w:w="4675" w:type="dxa"/>
          </w:tcPr>
          <w:p w14:paraId="68EEB374" w14:textId="77777777" w:rsidR="00191A9E" w:rsidRPr="007C6ECF" w:rsidRDefault="00191A9E"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Why not mention in the abstract that the samples come from the Atacama Desert? That would get my attention.</w:t>
            </w:r>
          </w:p>
        </w:tc>
        <w:tc>
          <w:tcPr>
            <w:tcW w:w="4860" w:type="dxa"/>
          </w:tcPr>
          <w:p w14:paraId="28675EDB" w14:textId="77777777" w:rsidR="00191A9E" w:rsidRPr="007C6ECF" w:rsidRDefault="00191A9E" w:rsidP="00691A0E">
            <w:pPr>
              <w:rPr>
                <w:rFonts w:ascii="Times New Roman" w:hAnsi="Times New Roman" w:cs="Times New Roman"/>
                <w:sz w:val="18"/>
                <w:szCs w:val="18"/>
              </w:rPr>
            </w:pPr>
            <w:r w:rsidRPr="007C6ECF">
              <w:rPr>
                <w:rFonts w:ascii="Times New Roman" w:hAnsi="Times New Roman" w:cs="Times New Roman"/>
                <w:sz w:val="18"/>
                <w:szCs w:val="18"/>
              </w:rPr>
              <w:t>Added mention in the title and abstract; line 49</w:t>
            </w:r>
          </w:p>
        </w:tc>
      </w:tr>
      <w:tr w:rsidR="00191A9E" w:rsidRPr="007C6ECF" w14:paraId="2F2DEFE2" w14:textId="77777777" w:rsidTr="00191A9E">
        <w:tc>
          <w:tcPr>
            <w:tcW w:w="4675" w:type="dxa"/>
          </w:tcPr>
          <w:p w14:paraId="69F25246" w14:textId="77777777" w:rsidR="00191A9E" w:rsidRPr="007C6ECF" w:rsidRDefault="00191A9E"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50: As far as I can tell, there is no “proteome” studied here. Presumably, the authors mean “predicted proteins” from metagenomics?</w:t>
            </w:r>
          </w:p>
        </w:tc>
        <w:tc>
          <w:tcPr>
            <w:tcW w:w="4860" w:type="dxa"/>
          </w:tcPr>
          <w:p w14:paraId="104B2DEF" w14:textId="77777777" w:rsidR="00191A9E" w:rsidRPr="007C6ECF" w:rsidRDefault="00191A9E" w:rsidP="00691A0E">
            <w:pPr>
              <w:rPr>
                <w:rFonts w:ascii="Times New Roman" w:hAnsi="Times New Roman" w:cs="Times New Roman"/>
                <w:sz w:val="18"/>
                <w:szCs w:val="18"/>
              </w:rPr>
            </w:pPr>
            <w:r w:rsidRPr="007C6ECF">
              <w:rPr>
                <w:rFonts w:ascii="Times New Roman" w:hAnsi="Times New Roman" w:cs="Times New Roman"/>
                <w:sz w:val="18"/>
                <w:szCs w:val="18"/>
              </w:rPr>
              <w:t>This was misleading. Changed to “…broad predicted proteins…”; line 56</w:t>
            </w:r>
          </w:p>
        </w:tc>
      </w:tr>
      <w:tr w:rsidR="00191A9E" w:rsidRPr="007C6ECF" w14:paraId="0CC09913" w14:textId="77777777" w:rsidTr="00191A9E">
        <w:tc>
          <w:tcPr>
            <w:tcW w:w="4675" w:type="dxa"/>
          </w:tcPr>
          <w:p w14:paraId="10588493" w14:textId="77777777" w:rsidR="00191A9E" w:rsidRPr="007C6ECF" w:rsidRDefault="00191A9E" w:rsidP="00191A9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123: What is a “halite nodule”? Some basic information would be useful here, for example, what is the approximate size and/or mass of a nodule or sample? Would one sample be a collection of many tiny halite nodules, or one or more larger nodules?</w:t>
            </w:r>
          </w:p>
          <w:p w14:paraId="2EE2BC37" w14:textId="77777777" w:rsidR="00191A9E" w:rsidRPr="007C6ECF" w:rsidRDefault="00191A9E" w:rsidP="00691A0E">
            <w:pPr>
              <w:widowControl w:val="0"/>
              <w:autoSpaceDE w:val="0"/>
              <w:autoSpaceDN w:val="0"/>
              <w:adjustRightInd w:val="0"/>
              <w:rPr>
                <w:rFonts w:ascii="Times New Roman" w:hAnsi="Times New Roman" w:cs="Times New Roman"/>
                <w:sz w:val="18"/>
                <w:szCs w:val="18"/>
              </w:rPr>
            </w:pPr>
          </w:p>
        </w:tc>
        <w:tc>
          <w:tcPr>
            <w:tcW w:w="4860" w:type="dxa"/>
          </w:tcPr>
          <w:p w14:paraId="4B5B6864" w14:textId="77777777" w:rsidR="00191A9E" w:rsidRPr="007C6ECF" w:rsidRDefault="001135AB" w:rsidP="001135AB">
            <w:pPr>
              <w:rPr>
                <w:rFonts w:ascii="Times New Roman" w:hAnsi="Times New Roman" w:cs="Times New Roman"/>
                <w:sz w:val="18"/>
                <w:szCs w:val="18"/>
              </w:rPr>
            </w:pPr>
            <w:r w:rsidRPr="007C6ECF">
              <w:rPr>
                <w:rFonts w:ascii="Times New Roman" w:hAnsi="Times New Roman" w:cs="Times New Roman"/>
                <w:sz w:val="18"/>
                <w:szCs w:val="18"/>
              </w:rPr>
              <w:t>We added some details about the nature of halite nodules in te introduction and methods; lines 109-111, 144.</w:t>
            </w:r>
          </w:p>
        </w:tc>
      </w:tr>
      <w:tr w:rsidR="00191A9E" w:rsidRPr="007C6ECF" w14:paraId="12AD9CA8" w14:textId="77777777" w:rsidTr="00691A0E">
        <w:tc>
          <w:tcPr>
            <w:tcW w:w="4675" w:type="dxa"/>
          </w:tcPr>
          <w:p w14:paraId="53BD3216" w14:textId="77777777" w:rsidR="00191A9E" w:rsidRPr="007C6ECF" w:rsidRDefault="001135AB"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133: Please change “16S rDNA” to “16S rRNA gene” throughout the manuscript, including text, figures, and tables</w:t>
            </w:r>
          </w:p>
        </w:tc>
        <w:tc>
          <w:tcPr>
            <w:tcW w:w="4860" w:type="dxa"/>
          </w:tcPr>
          <w:p w14:paraId="1C375B13" w14:textId="77777777" w:rsidR="00191A9E" w:rsidRPr="007C6ECF" w:rsidRDefault="005127CE" w:rsidP="005127CE">
            <w:pPr>
              <w:rPr>
                <w:rFonts w:ascii="Times New Roman" w:hAnsi="Times New Roman" w:cs="Times New Roman"/>
                <w:sz w:val="18"/>
                <w:szCs w:val="18"/>
              </w:rPr>
            </w:pPr>
            <w:r w:rsidRPr="007C6ECF">
              <w:rPr>
                <w:rFonts w:ascii="Times New Roman" w:hAnsi="Times New Roman" w:cs="Times New Roman"/>
                <w:sz w:val="18"/>
                <w:szCs w:val="18"/>
              </w:rPr>
              <w:t xml:space="preserve">We fixed this inaccuracy throughout the manuscript, the legends, and supplementary materials.  </w:t>
            </w:r>
          </w:p>
        </w:tc>
      </w:tr>
      <w:tr w:rsidR="00191A9E" w:rsidRPr="007C6ECF" w14:paraId="29F95FF2" w14:textId="77777777" w:rsidTr="00691A0E">
        <w:tc>
          <w:tcPr>
            <w:tcW w:w="4675" w:type="dxa"/>
          </w:tcPr>
          <w:p w14:paraId="295F87B7" w14:textId="77777777" w:rsidR="00191A9E" w:rsidRPr="007C6ECF" w:rsidRDefault="005127CE"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140: What is WMG?</w:t>
            </w:r>
          </w:p>
        </w:tc>
        <w:tc>
          <w:tcPr>
            <w:tcW w:w="4860" w:type="dxa"/>
          </w:tcPr>
          <w:p w14:paraId="50E6312D" w14:textId="77777777" w:rsidR="00191A9E" w:rsidRPr="007C6ECF" w:rsidRDefault="006E3894" w:rsidP="006E3894">
            <w:pPr>
              <w:rPr>
                <w:rFonts w:ascii="Times New Roman" w:hAnsi="Times New Roman" w:cs="Times New Roman"/>
                <w:sz w:val="18"/>
                <w:szCs w:val="18"/>
              </w:rPr>
            </w:pPr>
            <w:r w:rsidRPr="007C6ECF">
              <w:rPr>
                <w:rFonts w:ascii="Times New Roman" w:hAnsi="Times New Roman" w:cs="Times New Roman"/>
                <w:sz w:val="18"/>
                <w:szCs w:val="18"/>
              </w:rPr>
              <w:t>WMG sequencing is defined as “whole-metagenomic” on line 278, however we removed all mention of this abbreviation until this is properly defined in the results. “WMG sequencing” is replaced with “shotgun metagenomic sequencing” in lines 160, 193, and 251</w:t>
            </w:r>
          </w:p>
        </w:tc>
      </w:tr>
      <w:tr w:rsidR="00191A9E" w:rsidRPr="007C6ECF" w14:paraId="2AAB570F" w14:textId="77777777" w:rsidTr="00691A0E">
        <w:tc>
          <w:tcPr>
            <w:tcW w:w="4675" w:type="dxa"/>
          </w:tcPr>
          <w:p w14:paraId="5EE27D29" w14:textId="77777777" w:rsidR="00191A9E" w:rsidRPr="007C6ECF" w:rsidRDefault="006E389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141: Are these “whole genomes” or metagenomes? They sound like metagenomes.</w:t>
            </w:r>
          </w:p>
        </w:tc>
        <w:tc>
          <w:tcPr>
            <w:tcW w:w="4860" w:type="dxa"/>
          </w:tcPr>
          <w:p w14:paraId="31E87B37" w14:textId="77777777" w:rsidR="00954EC4" w:rsidRPr="007C6ECF" w:rsidRDefault="006E3894" w:rsidP="00954EC4">
            <w:pPr>
              <w:rPr>
                <w:rFonts w:ascii="Times New Roman" w:hAnsi="Times New Roman" w:cs="Times New Roman"/>
                <w:sz w:val="18"/>
                <w:szCs w:val="18"/>
              </w:rPr>
            </w:pPr>
            <w:r w:rsidRPr="007C6ECF">
              <w:rPr>
                <w:rFonts w:ascii="Times New Roman" w:hAnsi="Times New Roman" w:cs="Times New Roman"/>
                <w:sz w:val="18"/>
                <w:szCs w:val="18"/>
              </w:rPr>
              <w:t>We clarified this by replacing with “whole-genome metagenomic sequencing” on line 161. However, we would prefer to explicitly refer to shotgun sequencing of microbial community DNA as “</w:t>
            </w:r>
            <w:r w:rsidR="00954EC4" w:rsidRPr="007C6ECF">
              <w:rPr>
                <w:rFonts w:ascii="Times New Roman" w:hAnsi="Times New Roman" w:cs="Times New Roman"/>
                <w:sz w:val="18"/>
                <w:szCs w:val="18"/>
              </w:rPr>
              <w:t xml:space="preserve">whole </w:t>
            </w:r>
            <w:r w:rsidRPr="007C6ECF">
              <w:rPr>
                <w:rFonts w:ascii="Times New Roman" w:hAnsi="Times New Roman" w:cs="Times New Roman"/>
                <w:sz w:val="18"/>
                <w:szCs w:val="18"/>
              </w:rPr>
              <w:t xml:space="preserve">metagenome </w:t>
            </w:r>
            <w:r w:rsidR="00954EC4" w:rsidRPr="007C6ECF">
              <w:rPr>
                <w:rFonts w:ascii="Times New Roman" w:hAnsi="Times New Roman" w:cs="Times New Roman"/>
                <w:sz w:val="18"/>
                <w:szCs w:val="18"/>
              </w:rPr>
              <w:t xml:space="preserve">sequencing” instead of just “metagenomic sequencing”. By definition of the term, community rRNA gene sequencing is also technically “metagenomic”, which causes some confusion in the field. </w:t>
            </w:r>
          </w:p>
          <w:p w14:paraId="3ECBC758" w14:textId="77777777" w:rsidR="00191A9E" w:rsidRPr="007C6ECF" w:rsidRDefault="00191A9E" w:rsidP="006E3894">
            <w:pPr>
              <w:rPr>
                <w:rFonts w:ascii="Times New Roman" w:hAnsi="Times New Roman" w:cs="Times New Roman"/>
                <w:sz w:val="18"/>
                <w:szCs w:val="18"/>
              </w:rPr>
            </w:pPr>
          </w:p>
        </w:tc>
      </w:tr>
      <w:tr w:rsidR="00191A9E" w:rsidRPr="007C6ECF" w14:paraId="035601BB" w14:textId="77777777" w:rsidTr="00691A0E">
        <w:tc>
          <w:tcPr>
            <w:tcW w:w="4675" w:type="dxa"/>
          </w:tcPr>
          <w:p w14:paraId="0A3796FF" w14:textId="77777777" w:rsidR="00191A9E"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181: typo, should be “--use-metaspades”</w:t>
            </w:r>
          </w:p>
        </w:tc>
        <w:tc>
          <w:tcPr>
            <w:tcW w:w="4860" w:type="dxa"/>
          </w:tcPr>
          <w:p w14:paraId="11A85F20" w14:textId="77777777" w:rsidR="00191A9E" w:rsidRPr="007C6ECF" w:rsidRDefault="00954EC4" w:rsidP="00691A0E">
            <w:pPr>
              <w:rPr>
                <w:rFonts w:ascii="Times New Roman" w:hAnsi="Times New Roman" w:cs="Times New Roman"/>
                <w:sz w:val="18"/>
                <w:szCs w:val="18"/>
              </w:rPr>
            </w:pPr>
            <w:r w:rsidRPr="007C6ECF">
              <w:rPr>
                <w:rFonts w:ascii="Times New Roman" w:hAnsi="Times New Roman" w:cs="Times New Roman"/>
                <w:sz w:val="18"/>
                <w:szCs w:val="18"/>
              </w:rPr>
              <w:t>Thank you for catching this. Fixed on line 209</w:t>
            </w:r>
          </w:p>
        </w:tc>
      </w:tr>
      <w:tr w:rsidR="00191A9E" w:rsidRPr="007C6ECF" w14:paraId="7B700517" w14:textId="77777777" w:rsidTr="00691A0E">
        <w:tc>
          <w:tcPr>
            <w:tcW w:w="4675" w:type="dxa"/>
          </w:tcPr>
          <w:p w14:paraId="158D11C4" w14:textId="77777777" w:rsidR="00191A9E"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210-221: Do you have a reference for this “taxonomic rearrangement index”? If this is something new that you are introducing (I see later that it is), I suggest reconsidering the name. As far as I can tell, this is a measure of the difference in abundance of each functional prediction (more accurately, the abundance of each contig with a particular functional prediction, under the assumption that the contig abundance is the same as the gene abundance, which is a caveat that should be explicitly stated) between two samples. I do not understand how this relates to rearrangement.</w:t>
            </w:r>
          </w:p>
        </w:tc>
        <w:tc>
          <w:tcPr>
            <w:tcW w:w="4860" w:type="dxa"/>
          </w:tcPr>
          <w:p w14:paraId="5FEF53D5" w14:textId="0C9369F6" w:rsidR="00191A9E" w:rsidRPr="007C6ECF" w:rsidRDefault="00496844" w:rsidP="000323FB">
            <w:pPr>
              <w:rPr>
                <w:rFonts w:ascii="Times New Roman" w:hAnsi="Times New Roman" w:cs="Times New Roman"/>
                <w:sz w:val="18"/>
                <w:szCs w:val="18"/>
              </w:rPr>
            </w:pPr>
            <w:r w:rsidRPr="007C6ECF">
              <w:rPr>
                <w:rFonts w:ascii="Times New Roman" w:hAnsi="Times New Roman" w:cs="Times New Roman"/>
                <w:sz w:val="18"/>
                <w:szCs w:val="18"/>
              </w:rPr>
              <w:t xml:space="preserve">We apologize for the confusion – this calculation was not well explained. </w:t>
            </w:r>
            <w:r w:rsidR="00373152" w:rsidRPr="007C6ECF">
              <w:rPr>
                <w:rFonts w:ascii="Times New Roman" w:hAnsi="Times New Roman" w:cs="Times New Roman"/>
                <w:sz w:val="18"/>
                <w:szCs w:val="18"/>
              </w:rPr>
              <w:t xml:space="preserve">We added clarifications to the MS. </w:t>
            </w:r>
            <w:r w:rsidRPr="007C6ECF">
              <w:rPr>
                <w:rFonts w:ascii="Times New Roman" w:hAnsi="Times New Roman" w:cs="Times New Roman"/>
                <w:sz w:val="18"/>
                <w:szCs w:val="18"/>
              </w:rPr>
              <w:t xml:space="preserve">The RI does not measure the </w:t>
            </w:r>
            <w:r w:rsidR="00373152" w:rsidRPr="007C6ECF">
              <w:rPr>
                <w:rFonts w:ascii="Times New Roman" w:hAnsi="Times New Roman" w:cs="Times New Roman"/>
                <w:sz w:val="18"/>
                <w:szCs w:val="18"/>
              </w:rPr>
              <w:t xml:space="preserve">change in total abundance of gene functions. Instead, it measures the change in the abundance of the organisms that carry them. Note that the formula calculates the weighted average of the </w:t>
            </w:r>
            <w:r w:rsidR="00373152" w:rsidRPr="007C6ECF">
              <w:rPr>
                <w:rFonts w:ascii="Times New Roman" w:hAnsi="Times New Roman" w:cs="Times New Roman"/>
                <w:sz w:val="18"/>
                <w:szCs w:val="18"/>
                <w:u w:val="single"/>
              </w:rPr>
              <w:t>absolute values</w:t>
            </w:r>
            <w:r w:rsidR="00373152" w:rsidRPr="007C6ECF">
              <w:rPr>
                <w:rFonts w:ascii="Times New Roman" w:hAnsi="Times New Roman" w:cs="Times New Roman"/>
                <w:sz w:val="18"/>
                <w:szCs w:val="18"/>
              </w:rPr>
              <w:t xml:space="preserve"> of the contig abundance changes. For </w:t>
            </w:r>
            <w:r w:rsidR="000323FB" w:rsidRPr="007C6ECF">
              <w:rPr>
                <w:rFonts w:ascii="Times New Roman" w:hAnsi="Times New Roman" w:cs="Times New Roman"/>
                <w:sz w:val="18"/>
                <w:szCs w:val="18"/>
              </w:rPr>
              <w:t>example,</w:t>
            </w:r>
            <w:r w:rsidR="00373152" w:rsidRPr="007C6ECF">
              <w:rPr>
                <w:rFonts w:ascii="Times New Roman" w:hAnsi="Times New Roman" w:cs="Times New Roman"/>
                <w:sz w:val="18"/>
                <w:szCs w:val="18"/>
              </w:rPr>
              <w:t xml:space="preserve"> the total abundance of photosynthesis genes between two samples might stay the same, but they might be carried </w:t>
            </w:r>
            <w:r w:rsidR="000323FB" w:rsidRPr="007C6ECF">
              <w:rPr>
                <w:rFonts w:ascii="Times New Roman" w:hAnsi="Times New Roman" w:cs="Times New Roman"/>
                <w:sz w:val="18"/>
                <w:szCs w:val="18"/>
              </w:rPr>
              <w:t>by</w:t>
            </w:r>
            <w:r w:rsidR="00373152" w:rsidRPr="007C6ECF">
              <w:rPr>
                <w:rFonts w:ascii="Times New Roman" w:hAnsi="Times New Roman" w:cs="Times New Roman"/>
                <w:sz w:val="18"/>
                <w:szCs w:val="18"/>
              </w:rPr>
              <w:t xml:space="preserve"> completely different organisms</w:t>
            </w:r>
            <w:r w:rsidR="000323FB" w:rsidRPr="007C6ECF">
              <w:rPr>
                <w:rFonts w:ascii="Times New Roman" w:hAnsi="Times New Roman" w:cs="Times New Roman"/>
                <w:sz w:val="18"/>
                <w:szCs w:val="18"/>
              </w:rPr>
              <w:t xml:space="preserve"> (which would result in a RI=1, but no net change).</w:t>
            </w:r>
            <w:r w:rsidR="00373152" w:rsidRPr="007C6ECF">
              <w:rPr>
                <w:rFonts w:ascii="Times New Roman" w:hAnsi="Times New Roman" w:cs="Times New Roman"/>
                <w:sz w:val="18"/>
                <w:szCs w:val="18"/>
              </w:rPr>
              <w:t xml:space="preserve"> </w:t>
            </w:r>
            <w:r w:rsidR="000323FB" w:rsidRPr="007C6ECF">
              <w:rPr>
                <w:rFonts w:ascii="Times New Roman" w:hAnsi="Times New Roman" w:cs="Times New Roman"/>
                <w:sz w:val="18"/>
                <w:szCs w:val="18"/>
              </w:rPr>
              <w:t>Edits made on l</w:t>
            </w:r>
            <w:r w:rsidRPr="007C6ECF">
              <w:rPr>
                <w:rFonts w:ascii="Times New Roman" w:hAnsi="Times New Roman" w:cs="Times New Roman"/>
                <w:sz w:val="18"/>
                <w:szCs w:val="18"/>
              </w:rPr>
              <w:t>ines 257-268</w:t>
            </w:r>
          </w:p>
        </w:tc>
      </w:tr>
      <w:tr w:rsidR="00954EC4" w:rsidRPr="007C6ECF" w14:paraId="46E2D2B4" w14:textId="77777777" w:rsidTr="00691A0E">
        <w:tc>
          <w:tcPr>
            <w:tcW w:w="4675" w:type="dxa"/>
          </w:tcPr>
          <w:p w14:paraId="13804715" w14:textId="77777777" w:rsidR="00954EC4" w:rsidRPr="007C6ECF" w:rsidRDefault="00954EC4" w:rsidP="00954EC4">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241-257: most of this belongs in the methods section</w:t>
            </w:r>
          </w:p>
          <w:p w14:paraId="3B33B0B1"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p>
        </w:tc>
        <w:tc>
          <w:tcPr>
            <w:tcW w:w="4860" w:type="dxa"/>
          </w:tcPr>
          <w:p w14:paraId="490E5BC1" w14:textId="230066E4" w:rsidR="00954EC4" w:rsidRPr="007C6ECF" w:rsidRDefault="00EF406B" w:rsidP="00691A0E">
            <w:pPr>
              <w:rPr>
                <w:rFonts w:ascii="Times New Roman" w:hAnsi="Times New Roman" w:cs="Times New Roman"/>
                <w:sz w:val="18"/>
                <w:szCs w:val="18"/>
              </w:rPr>
            </w:pPr>
            <w:r w:rsidRPr="007C6ECF">
              <w:rPr>
                <w:rFonts w:ascii="Times New Roman" w:hAnsi="Times New Roman" w:cs="Times New Roman"/>
                <w:sz w:val="18"/>
                <w:szCs w:val="18"/>
              </w:rPr>
              <w:t>We moved the section into the methods, and the sentence about specific rain information into the introduction.</w:t>
            </w:r>
          </w:p>
        </w:tc>
      </w:tr>
      <w:tr w:rsidR="00954EC4" w:rsidRPr="007C6ECF" w14:paraId="01249E49" w14:textId="77777777" w:rsidTr="00691A0E">
        <w:tc>
          <w:tcPr>
            <w:tcW w:w="4675" w:type="dxa"/>
          </w:tcPr>
          <w:p w14:paraId="06BA2A32"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lastRenderedPageBreak/>
              <w:t>Ln 248-249: I appreciate that sample collection must be exceedingly difficult and expensive. However, you are describing evidence of community compositional shifts and resilience in response to disturbance based on only four time points, and the first time point after the rain event (disturbance) was 6 months later. Do you have other evidence (e.g., geochemical data) to show that you would expect to see differences at these time points that would be generally representative of before + after disturbance, as opposed to just temporal differences? Having five biological replicates per time point helps with spatial heterogeneity at least, and the slightly higher temporal resolution samples collected after the event help too, but those data are all buried in the supplementary material.</w:t>
            </w:r>
          </w:p>
        </w:tc>
        <w:tc>
          <w:tcPr>
            <w:tcW w:w="4860" w:type="dxa"/>
          </w:tcPr>
          <w:p w14:paraId="2EF17BBC" w14:textId="37A90BC9" w:rsidR="00D47843" w:rsidRPr="004F6383" w:rsidRDefault="004F6383" w:rsidP="003A5490">
            <w:pPr>
              <w:rPr>
                <w:rFonts w:ascii="Times New Roman" w:hAnsi="Times New Roman" w:cs="Times New Roman"/>
                <w:sz w:val="18"/>
                <w:szCs w:val="18"/>
              </w:rPr>
            </w:pPr>
            <w:r>
              <w:rPr>
                <w:rFonts w:ascii="Times New Roman" w:hAnsi="Times New Roman" w:cs="Times New Roman"/>
                <w:sz w:val="18"/>
                <w:szCs w:val="18"/>
              </w:rPr>
              <w:t xml:space="preserve">We agree that more context would be helpful to put the changes in perspective. We spend time looking at public weather databases until we found an available weather report from a nearby town to evaluate long-term climate swings in the area (new Fig. S1, see Methods). </w:t>
            </w:r>
            <w:r w:rsidR="009D7E41">
              <w:rPr>
                <w:rFonts w:ascii="Times New Roman" w:hAnsi="Times New Roman" w:cs="Times New Roman"/>
                <w:sz w:val="18"/>
                <w:szCs w:val="18"/>
              </w:rPr>
              <w:t>This weather data help</w:t>
            </w:r>
            <w:r w:rsidR="007303AA">
              <w:rPr>
                <w:rFonts w:ascii="Times New Roman" w:hAnsi="Times New Roman" w:cs="Times New Roman"/>
                <w:sz w:val="18"/>
                <w:szCs w:val="18"/>
              </w:rPr>
              <w:t>ed</w:t>
            </w:r>
            <w:r w:rsidR="009D7E41">
              <w:rPr>
                <w:rFonts w:ascii="Times New Roman" w:hAnsi="Times New Roman" w:cs="Times New Roman"/>
                <w:sz w:val="18"/>
                <w:szCs w:val="18"/>
              </w:rPr>
              <w:t xml:space="preserve"> put the community changes in perspective, as the climate at the 2016 and 2017 sampling times was relatively similar, </w:t>
            </w:r>
            <w:r w:rsidR="007303AA">
              <w:rPr>
                <w:rFonts w:ascii="Times New Roman" w:hAnsi="Times New Roman" w:cs="Times New Roman"/>
                <w:sz w:val="18"/>
                <w:szCs w:val="18"/>
              </w:rPr>
              <w:t xml:space="preserve">which supports </w:t>
            </w:r>
            <w:r w:rsidR="009D7E41">
              <w:rPr>
                <w:rFonts w:ascii="Times New Roman" w:hAnsi="Times New Roman" w:cs="Times New Roman"/>
                <w:sz w:val="18"/>
                <w:szCs w:val="18"/>
              </w:rPr>
              <w:t xml:space="preserve">that the shift resulted from the precipitation. </w:t>
            </w:r>
            <w:r w:rsidR="007303AA">
              <w:rPr>
                <w:rFonts w:ascii="Times New Roman" w:hAnsi="Times New Roman" w:cs="Times New Roman"/>
                <w:sz w:val="18"/>
                <w:szCs w:val="18"/>
              </w:rPr>
              <w:t>We discuss this at the beginning of both the Results and Discussion sections</w:t>
            </w:r>
            <w:r w:rsidR="009D7E41">
              <w:rPr>
                <w:rFonts w:ascii="Times New Roman" w:hAnsi="Times New Roman" w:cs="Times New Roman"/>
                <w:sz w:val="18"/>
                <w:szCs w:val="18"/>
              </w:rPr>
              <w:t xml:space="preserve">. In doing this analysis, </w:t>
            </w:r>
            <w:r>
              <w:rPr>
                <w:rFonts w:ascii="Times New Roman" w:hAnsi="Times New Roman" w:cs="Times New Roman"/>
                <w:sz w:val="18"/>
                <w:szCs w:val="18"/>
              </w:rPr>
              <w:t xml:space="preserve">we </w:t>
            </w:r>
            <w:r w:rsidR="009D7E41">
              <w:rPr>
                <w:rFonts w:ascii="Times New Roman" w:hAnsi="Times New Roman" w:cs="Times New Roman"/>
                <w:sz w:val="18"/>
                <w:szCs w:val="18"/>
              </w:rPr>
              <w:t xml:space="preserve">also </w:t>
            </w:r>
            <w:r>
              <w:rPr>
                <w:rFonts w:ascii="Times New Roman" w:hAnsi="Times New Roman" w:cs="Times New Roman"/>
                <w:sz w:val="18"/>
                <w:szCs w:val="18"/>
              </w:rPr>
              <w:t xml:space="preserve">found that we overlooked an even bigger </w:t>
            </w:r>
            <w:r w:rsidR="009D7E41">
              <w:rPr>
                <w:rFonts w:ascii="Times New Roman" w:hAnsi="Times New Roman" w:cs="Times New Roman"/>
                <w:sz w:val="18"/>
                <w:szCs w:val="18"/>
              </w:rPr>
              <w:t>20</w:t>
            </w:r>
            <w:r w:rsidR="00107088">
              <w:rPr>
                <w:rFonts w:ascii="Times New Roman" w:hAnsi="Times New Roman" w:cs="Times New Roman"/>
                <w:sz w:val="18"/>
                <w:szCs w:val="18"/>
              </w:rPr>
              <w:t>.1</w:t>
            </w:r>
            <w:r w:rsidR="009D7E41">
              <w:rPr>
                <w:rFonts w:ascii="Times New Roman" w:hAnsi="Times New Roman" w:cs="Times New Roman"/>
                <w:sz w:val="18"/>
                <w:szCs w:val="18"/>
              </w:rPr>
              <w:t xml:space="preserve">mm </w:t>
            </w:r>
            <w:r>
              <w:rPr>
                <w:rFonts w:ascii="Times New Roman" w:hAnsi="Times New Roman" w:cs="Times New Roman"/>
                <w:sz w:val="18"/>
                <w:szCs w:val="18"/>
              </w:rPr>
              <w:t xml:space="preserve">rain </w:t>
            </w:r>
            <w:r w:rsidR="009D7E41">
              <w:rPr>
                <w:rFonts w:ascii="Times New Roman" w:hAnsi="Times New Roman" w:cs="Times New Roman"/>
                <w:sz w:val="18"/>
                <w:szCs w:val="18"/>
              </w:rPr>
              <w:t xml:space="preserve">event </w:t>
            </w:r>
            <w:r>
              <w:rPr>
                <w:rFonts w:ascii="Times New Roman" w:hAnsi="Times New Roman" w:cs="Times New Roman"/>
                <w:sz w:val="18"/>
                <w:szCs w:val="18"/>
              </w:rPr>
              <w:t>in November 2015, which is closer to the sampling date. We also added discussion comparing the observed swing to what had been observed about the system in 2013.</w:t>
            </w:r>
            <w:r w:rsidR="003A5490">
              <w:rPr>
                <w:rFonts w:ascii="Times New Roman" w:hAnsi="Times New Roman" w:cs="Times New Roman"/>
                <w:sz w:val="18"/>
                <w:szCs w:val="18"/>
              </w:rPr>
              <w:t xml:space="preserve"> Finally, we added additional discussion about the results from the alternate site, and how they support our findings.</w:t>
            </w:r>
            <w:r>
              <w:rPr>
                <w:rFonts w:ascii="Times New Roman" w:hAnsi="Times New Roman" w:cs="Times New Roman"/>
                <w:sz w:val="18"/>
                <w:szCs w:val="18"/>
              </w:rPr>
              <w:t xml:space="preserve"> </w:t>
            </w:r>
          </w:p>
        </w:tc>
      </w:tr>
      <w:tr w:rsidR="00954EC4" w:rsidRPr="007C6ECF" w14:paraId="0B559AFC" w14:textId="77777777" w:rsidTr="00691A0E">
        <w:tc>
          <w:tcPr>
            <w:tcW w:w="4675" w:type="dxa"/>
          </w:tcPr>
          <w:p w14:paraId="74D918D4" w14:textId="31F44898"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271-274: Only these four phyla are shown in the figure. Why were they chosen, and where are the rest of the taxa? From a superficial scan of the OTU table on github, it looks like the vast majority of sequences were from different lineages of Halobacteria, and grouping them at the phylum level does not seem meaningful.</w:t>
            </w:r>
          </w:p>
        </w:tc>
        <w:tc>
          <w:tcPr>
            <w:tcW w:w="4860" w:type="dxa"/>
          </w:tcPr>
          <w:p w14:paraId="479A73B4" w14:textId="2A4B8383" w:rsidR="00954EC4" w:rsidRPr="007C6ECF" w:rsidRDefault="00656DDF" w:rsidP="00656DDF">
            <w:pPr>
              <w:rPr>
                <w:rFonts w:ascii="Times New Roman" w:hAnsi="Times New Roman" w:cs="Times New Roman"/>
                <w:sz w:val="18"/>
                <w:szCs w:val="18"/>
              </w:rPr>
            </w:pPr>
            <w:r>
              <w:rPr>
                <w:rFonts w:ascii="Times New Roman" w:hAnsi="Times New Roman" w:cs="Times New Roman"/>
                <w:sz w:val="18"/>
                <w:szCs w:val="18"/>
              </w:rPr>
              <w:t xml:space="preserve">We indeed did not explicitly explain this. In this section of the results the goal is to characterize the taxonomic composition changes at the high-order taxonomic levels (doman and phyla), as opposed to the later parts of the MS that focus on the fine composition (especially the Halobacteria). Figure S2 shows the 4 phyla that were differentially abundant after the rain, while figure S3 shows the more gradual recovery dynamics of these same phyla. We added some clarification to this section of the results, and the captions of figures S2 and S3 in the supplementary materials. </w:t>
            </w:r>
          </w:p>
        </w:tc>
      </w:tr>
      <w:tr w:rsidR="00954EC4" w:rsidRPr="007C6ECF" w14:paraId="72F378DA" w14:textId="77777777" w:rsidTr="00691A0E">
        <w:tc>
          <w:tcPr>
            <w:tcW w:w="4675" w:type="dxa"/>
          </w:tcPr>
          <w:p w14:paraId="1B3E6A34" w14:textId="77777777" w:rsidR="0086294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Ln 274-276: This is not what I am seeing in these figures. The abundances of the selected four phyla sort of (not really) return to pre-rain abundances in some cases, but those are only four phyla (what about the rest?), and interpreting these trends at the phylum level does not seem meaningful. The PCoA plot clearly shows a cluster of the two pre-rain samples together and two separate clusters of post-rain samples, though one could argue that separation along the PCo1 axis is stronger, suggesting a grouping of 2014, 2015, and 2017 samples separate from 2015 (do you have PERMANOVA or equivalent stats to support this grouping?). </w:t>
            </w:r>
          </w:p>
          <w:p w14:paraId="0D3B8887" w14:textId="77777777" w:rsidR="0086294F" w:rsidRDefault="0086294F" w:rsidP="00691A0E">
            <w:pPr>
              <w:widowControl w:val="0"/>
              <w:autoSpaceDE w:val="0"/>
              <w:autoSpaceDN w:val="0"/>
              <w:adjustRightInd w:val="0"/>
              <w:rPr>
                <w:rFonts w:ascii="Times New Roman" w:hAnsi="Times New Roman" w:cs="Times New Roman"/>
                <w:sz w:val="18"/>
                <w:szCs w:val="18"/>
              </w:rPr>
            </w:pPr>
          </w:p>
          <w:p w14:paraId="47057777" w14:textId="447D1280" w:rsidR="00FB60B2"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In Fig. S3, the trends for two phyla and the archaea are clear, but how are you interpreting the chloroplasts and Bacteroidetes, which do not seem to support any disturbance-related trends, and where are the other phyla, and where is the PCoA plot for the full dataset (equivalent to Fig. S2e)? </w:t>
            </w:r>
          </w:p>
          <w:p w14:paraId="1A34909E" w14:textId="77777777" w:rsidR="00FB60B2" w:rsidRDefault="00FB60B2" w:rsidP="00691A0E">
            <w:pPr>
              <w:widowControl w:val="0"/>
              <w:autoSpaceDE w:val="0"/>
              <w:autoSpaceDN w:val="0"/>
              <w:adjustRightInd w:val="0"/>
              <w:rPr>
                <w:rFonts w:ascii="Times New Roman" w:hAnsi="Times New Roman" w:cs="Times New Roman"/>
                <w:sz w:val="18"/>
                <w:szCs w:val="18"/>
              </w:rPr>
            </w:pPr>
          </w:p>
          <w:p w14:paraId="6E2759CF" w14:textId="37C4F695"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Also, chloroplasts are usually removed from 16S rRNA gene amplicon analyses -- what evidence do you have that considering their abundances as representative of algal abundances is reasonable?</w:t>
            </w:r>
          </w:p>
        </w:tc>
        <w:tc>
          <w:tcPr>
            <w:tcW w:w="4860" w:type="dxa"/>
          </w:tcPr>
          <w:p w14:paraId="091A7A6A" w14:textId="64F4ABF8" w:rsidR="00E920C7" w:rsidRDefault="00E920C7" w:rsidP="00691A0E">
            <w:pPr>
              <w:rPr>
                <w:rFonts w:ascii="Times New Roman" w:hAnsi="Times New Roman" w:cs="Times New Roman"/>
                <w:sz w:val="18"/>
                <w:szCs w:val="18"/>
              </w:rPr>
            </w:pPr>
            <w:r>
              <w:rPr>
                <w:rFonts w:ascii="Times New Roman" w:hAnsi="Times New Roman" w:cs="Times New Roman"/>
                <w:sz w:val="18"/>
                <w:szCs w:val="18"/>
              </w:rPr>
              <w:t>We did, in fact, overstate the recovery. We changed the working to be more precise to indicate that the composition only recovered partially</w:t>
            </w:r>
            <w:r w:rsidR="00891030">
              <w:rPr>
                <w:rFonts w:ascii="Times New Roman" w:hAnsi="Times New Roman" w:cs="Times New Roman"/>
                <w:sz w:val="18"/>
                <w:szCs w:val="18"/>
              </w:rPr>
              <w:t>.</w:t>
            </w:r>
            <w:r w:rsidR="00891030">
              <w:rPr>
                <w:rFonts w:ascii="Times New Roman" w:hAnsi="Times New Roman" w:cs="Times New Roman"/>
                <w:sz w:val="18"/>
                <w:szCs w:val="18"/>
              </w:rPr>
              <w:t xml:space="preserve"> </w:t>
            </w:r>
            <w:r w:rsidR="00891030">
              <w:rPr>
                <w:rFonts w:ascii="Times New Roman" w:hAnsi="Times New Roman" w:cs="Times New Roman"/>
                <w:sz w:val="18"/>
                <w:szCs w:val="18"/>
              </w:rPr>
              <w:t>W</w:t>
            </w:r>
            <w:r w:rsidR="00891030">
              <w:rPr>
                <w:rFonts w:ascii="Times New Roman" w:hAnsi="Times New Roman" w:cs="Times New Roman"/>
                <w:sz w:val="18"/>
                <w:szCs w:val="18"/>
              </w:rPr>
              <w:t>e added explicit mention that the 2017 samples are still significantly different from 2014/2015 (PERMANOVA), to avoid possible confusion.</w:t>
            </w:r>
            <w:r w:rsidR="00891030">
              <w:rPr>
                <w:rFonts w:ascii="Times New Roman" w:hAnsi="Times New Roman" w:cs="Times New Roman"/>
                <w:sz w:val="18"/>
                <w:szCs w:val="18"/>
              </w:rPr>
              <w:t xml:space="preserve"> We demonstrate the partial recovery by performing a t-test on the pairwise </w:t>
            </w:r>
            <w:r w:rsidR="00891030">
              <w:rPr>
                <w:rFonts w:ascii="Times New Roman" w:hAnsi="Times New Roman" w:cs="Times New Roman"/>
                <w:sz w:val="18"/>
                <w:szCs w:val="18"/>
              </w:rPr>
              <w:t xml:space="preserve">distances between </w:t>
            </w:r>
            <w:r w:rsidR="00891030">
              <w:rPr>
                <w:rFonts w:ascii="Times New Roman" w:hAnsi="Times New Roman" w:cs="Times New Roman"/>
                <w:sz w:val="18"/>
                <w:szCs w:val="18"/>
              </w:rPr>
              <w:t>samples (</w:t>
            </w:r>
            <w:r w:rsidR="00891030">
              <w:rPr>
                <w:rFonts w:ascii="Times New Roman" w:hAnsi="Times New Roman" w:cs="Times New Roman"/>
                <w:sz w:val="18"/>
                <w:szCs w:val="18"/>
              </w:rPr>
              <w:t>as mentioned in the results, and described in the methods</w:t>
            </w:r>
            <w:r w:rsidR="00891030">
              <w:rPr>
                <w:rFonts w:ascii="Times New Roman" w:hAnsi="Times New Roman" w:cs="Times New Roman"/>
                <w:sz w:val="18"/>
                <w:szCs w:val="18"/>
              </w:rPr>
              <w:t xml:space="preserve">), which revealed that the </w:t>
            </w:r>
            <w:r>
              <w:rPr>
                <w:rFonts w:ascii="Times New Roman" w:hAnsi="Times New Roman" w:cs="Times New Roman"/>
                <w:sz w:val="18"/>
                <w:szCs w:val="18"/>
              </w:rPr>
              <w:t xml:space="preserve">2017 samples were more similar to 2014/2015 samples than to 2016 </w:t>
            </w:r>
          </w:p>
          <w:p w14:paraId="6C48FE50" w14:textId="77777777" w:rsidR="00E920C7" w:rsidRDefault="00E920C7" w:rsidP="00691A0E">
            <w:pPr>
              <w:rPr>
                <w:rFonts w:ascii="Times New Roman" w:hAnsi="Times New Roman" w:cs="Times New Roman"/>
                <w:sz w:val="18"/>
                <w:szCs w:val="18"/>
              </w:rPr>
            </w:pPr>
          </w:p>
          <w:p w14:paraId="4D43B0CD" w14:textId="140D9B86" w:rsidR="0086294F" w:rsidRDefault="00E920C7" w:rsidP="0086294F">
            <w:pPr>
              <w:rPr>
                <w:rFonts w:ascii="Times New Roman" w:hAnsi="Times New Roman" w:cs="Times New Roman"/>
                <w:sz w:val="18"/>
                <w:szCs w:val="18"/>
              </w:rPr>
            </w:pPr>
            <w:r>
              <w:rPr>
                <w:rFonts w:ascii="Times New Roman" w:hAnsi="Times New Roman" w:cs="Times New Roman"/>
                <w:sz w:val="18"/>
                <w:szCs w:val="18"/>
              </w:rPr>
              <w:t>As for the phyla, we added explicit explanation for why we chose to s</w:t>
            </w:r>
            <w:r w:rsidR="00891030">
              <w:rPr>
                <w:rFonts w:ascii="Times New Roman" w:hAnsi="Times New Roman" w:cs="Times New Roman"/>
                <w:sz w:val="18"/>
                <w:szCs w:val="18"/>
              </w:rPr>
              <w:t>howcase thes</w:t>
            </w:r>
            <w:r>
              <w:rPr>
                <w:rFonts w:ascii="Times New Roman" w:hAnsi="Times New Roman" w:cs="Times New Roman"/>
                <w:sz w:val="18"/>
                <w:szCs w:val="18"/>
              </w:rPr>
              <w:t xml:space="preserve">e – they are the community’s most dominant groups, as can be seen in the new stacked bar graph (supplementary data). </w:t>
            </w:r>
            <w:r w:rsidR="00891030">
              <w:rPr>
                <w:rFonts w:ascii="Times New Roman" w:hAnsi="Times New Roman" w:cs="Times New Roman"/>
                <w:sz w:val="18"/>
                <w:szCs w:val="18"/>
              </w:rPr>
              <w:t>We were also more precise in our phrasing about the results in Site 2, as we only was notable shifts in Cyanobacteria and Euryarchaeaota. To show these changes better, we split the Site 2 figure into two figures – Fig S3, which now shows the Archaea shi</w:t>
            </w:r>
            <w:r w:rsidR="00472DBB">
              <w:rPr>
                <w:rFonts w:ascii="Times New Roman" w:hAnsi="Times New Roman" w:cs="Times New Roman"/>
                <w:sz w:val="18"/>
                <w:szCs w:val="18"/>
              </w:rPr>
              <w:t>f</w:t>
            </w:r>
            <w:r w:rsidR="00891030">
              <w:rPr>
                <w:rFonts w:ascii="Times New Roman" w:hAnsi="Times New Roman" w:cs="Times New Roman"/>
                <w:sz w:val="18"/>
                <w:szCs w:val="18"/>
              </w:rPr>
              <w:t xml:space="preserve">t and PCoA of the Weighted Unifrac matrix, </w:t>
            </w:r>
            <w:r w:rsidR="00521FE9">
              <w:rPr>
                <w:rFonts w:ascii="Times New Roman" w:hAnsi="Times New Roman" w:cs="Times New Roman"/>
                <w:sz w:val="18"/>
                <w:szCs w:val="18"/>
              </w:rPr>
              <w:t>and Fig. S4, which</w:t>
            </w:r>
            <w:r w:rsidR="00891030">
              <w:rPr>
                <w:rFonts w:ascii="Times New Roman" w:hAnsi="Times New Roman" w:cs="Times New Roman"/>
                <w:sz w:val="18"/>
                <w:szCs w:val="18"/>
              </w:rPr>
              <w:t xml:space="preserve"> shows the 4 dominant phyla. We also included the stacked bar plots from all the samples in Site 1 and Site 2.</w:t>
            </w:r>
          </w:p>
          <w:p w14:paraId="646BEBB5" w14:textId="77777777" w:rsidR="0086294F" w:rsidRDefault="0086294F" w:rsidP="0086294F">
            <w:pPr>
              <w:rPr>
                <w:rFonts w:ascii="Times New Roman" w:hAnsi="Times New Roman" w:cs="Times New Roman"/>
                <w:sz w:val="18"/>
                <w:szCs w:val="18"/>
              </w:rPr>
            </w:pPr>
          </w:p>
          <w:p w14:paraId="76AD571A" w14:textId="61B36734" w:rsidR="00CF11DB" w:rsidRPr="007C6ECF" w:rsidRDefault="00891030" w:rsidP="007D44AD">
            <w:pPr>
              <w:rPr>
                <w:rFonts w:ascii="Times New Roman" w:hAnsi="Times New Roman" w:cs="Times New Roman"/>
                <w:sz w:val="18"/>
                <w:szCs w:val="18"/>
              </w:rPr>
            </w:pPr>
            <w:r>
              <w:rPr>
                <w:rFonts w:ascii="Times New Roman" w:hAnsi="Times New Roman" w:cs="Times New Roman"/>
                <w:sz w:val="18"/>
                <w:szCs w:val="18"/>
              </w:rPr>
              <w:t>We agree that 16S abundances of the chloroplasts do not necessarily indicate the abundances of the algae itself. However, given that these is only one dominant algae in the system, we felt that it could be used as a proxy to track the relative abundance of the algae across time. Together with the Cyanobacteria, this alga</w:t>
            </w:r>
            <w:r w:rsidR="00CF11DB">
              <w:rPr>
                <w:rFonts w:ascii="Times New Roman" w:hAnsi="Times New Roman" w:cs="Times New Roman"/>
                <w:sz w:val="18"/>
                <w:szCs w:val="18"/>
              </w:rPr>
              <w:t xml:space="preserve"> </w:t>
            </w:r>
            <w:r>
              <w:rPr>
                <w:rFonts w:ascii="Times New Roman" w:hAnsi="Times New Roman" w:cs="Times New Roman"/>
                <w:sz w:val="18"/>
                <w:szCs w:val="18"/>
              </w:rPr>
              <w:t>play</w:t>
            </w:r>
            <w:r w:rsidR="0086294F">
              <w:rPr>
                <w:rFonts w:ascii="Times New Roman" w:hAnsi="Times New Roman" w:cs="Times New Roman"/>
                <w:sz w:val="18"/>
                <w:szCs w:val="18"/>
              </w:rPr>
              <w:t>s</w:t>
            </w:r>
            <w:r>
              <w:rPr>
                <w:rFonts w:ascii="Times New Roman" w:hAnsi="Times New Roman" w:cs="Times New Roman"/>
                <w:sz w:val="18"/>
                <w:szCs w:val="18"/>
              </w:rPr>
              <w:t xml:space="preserve"> the </w:t>
            </w:r>
            <w:r w:rsidR="0086294F">
              <w:rPr>
                <w:rFonts w:ascii="Times New Roman" w:hAnsi="Times New Roman" w:cs="Times New Roman"/>
                <w:sz w:val="18"/>
                <w:szCs w:val="18"/>
              </w:rPr>
              <w:t>important</w:t>
            </w:r>
            <w:r>
              <w:rPr>
                <w:rFonts w:ascii="Times New Roman" w:hAnsi="Times New Roman" w:cs="Times New Roman"/>
                <w:sz w:val="18"/>
                <w:szCs w:val="18"/>
              </w:rPr>
              <w:t xml:space="preserve"> role of carbon fixation for this community, so we felt it necessary to show its abundance changes. Also, since we showed the rain impacted the composition at the domain level, we felt this may be a way to investigate its effects on the abundance of the third domain of life.</w:t>
            </w:r>
            <w:r w:rsidR="007D44AD">
              <w:rPr>
                <w:rFonts w:ascii="Times New Roman" w:hAnsi="Times New Roman" w:cs="Times New Roman"/>
                <w:sz w:val="18"/>
                <w:szCs w:val="18"/>
              </w:rPr>
              <w:t xml:space="preserve"> We added mention of the caveats of this analysis to the Results section.</w:t>
            </w:r>
          </w:p>
        </w:tc>
      </w:tr>
      <w:tr w:rsidR="00954EC4" w:rsidRPr="007C6ECF" w14:paraId="29DE6768" w14:textId="77777777" w:rsidTr="00691A0E">
        <w:tc>
          <w:tcPr>
            <w:tcW w:w="4675" w:type="dxa"/>
          </w:tcPr>
          <w:p w14:paraId="01703F81" w14:textId="5A70EB04" w:rsidR="00954EC4" w:rsidRPr="007C6ECF" w:rsidRDefault="00954EC4" w:rsidP="00954EC4">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There is no information about the predicted taxonomy of any of the MAGs or of the 16S rRNA gene sequences, and there is no information about why the authors chose to focus on a very small number of specific taxa for many of their interpretations. I see that the OTU table with taxonomy is publicly available on github, but this OTU table (and preferably a summary figure with the taxonomic data and relative abundances, e.g., a stacked bar graph) should at least be in the supplementary material.</w:t>
            </w:r>
          </w:p>
          <w:p w14:paraId="4A40F887"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p>
        </w:tc>
        <w:tc>
          <w:tcPr>
            <w:tcW w:w="4860" w:type="dxa"/>
          </w:tcPr>
          <w:p w14:paraId="398B2385" w14:textId="5474CB61" w:rsidR="00954EC4" w:rsidRPr="007C6ECF" w:rsidRDefault="009F19C1" w:rsidP="009F19C1">
            <w:pPr>
              <w:rPr>
                <w:rFonts w:ascii="Times New Roman" w:hAnsi="Times New Roman" w:cs="Times New Roman"/>
                <w:sz w:val="18"/>
                <w:szCs w:val="18"/>
              </w:rPr>
            </w:pPr>
            <w:r>
              <w:rPr>
                <w:rFonts w:ascii="Times New Roman" w:hAnsi="Times New Roman" w:cs="Times New Roman"/>
                <w:sz w:val="18"/>
                <w:szCs w:val="18"/>
              </w:rPr>
              <w:t xml:space="preserve">The supplemental taxonomic information of this manuscript excessively relied on GitHub. We added several supplementary data files which should help the readers better understand the data, if they would like to investigate it in more depth. Data S1 contains the OTU tables of both Site 1 and Site 2, with the OTU representative sequences, taxonomy, and abundances. Data S2 and S3 include the raw OTU information, as well as interactive stacked bar plots of the community across time timelines for both sites. Data S4 contains details about MAG taxonomy, statistics, and abundance.  </w:t>
            </w:r>
          </w:p>
        </w:tc>
      </w:tr>
      <w:tr w:rsidR="00954EC4" w:rsidRPr="007C6ECF" w14:paraId="1355A71C" w14:textId="77777777" w:rsidTr="00954EC4">
        <w:trPr>
          <w:trHeight w:val="1259"/>
        </w:trPr>
        <w:tc>
          <w:tcPr>
            <w:tcW w:w="4675" w:type="dxa"/>
          </w:tcPr>
          <w:p w14:paraId="5431BC33"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360-361: Please place the isoelectric points for your study in context. Yes, there are changes in the isoelectric points, but how big or small are these changes, relative to other studies? What is a normal range of isoelectric points at different salinity ranges? If this information is not known, then it is difficult to interpret these results.</w:t>
            </w:r>
          </w:p>
        </w:tc>
        <w:tc>
          <w:tcPr>
            <w:tcW w:w="4860" w:type="dxa"/>
          </w:tcPr>
          <w:p w14:paraId="130DCBF1" w14:textId="5C3D5163" w:rsidR="00954EC4" w:rsidRPr="007C6ECF" w:rsidRDefault="00350CAC" w:rsidP="0011670E">
            <w:pPr>
              <w:rPr>
                <w:rFonts w:ascii="Times New Roman" w:hAnsi="Times New Roman" w:cs="Times New Roman"/>
                <w:sz w:val="18"/>
                <w:szCs w:val="18"/>
              </w:rPr>
            </w:pPr>
            <w:r>
              <w:rPr>
                <w:rFonts w:ascii="Times New Roman" w:hAnsi="Times New Roman" w:cs="Times New Roman"/>
                <w:sz w:val="18"/>
                <w:szCs w:val="18"/>
              </w:rPr>
              <w:t>In the discussion, w</w:t>
            </w:r>
            <w:r w:rsidR="0011670E">
              <w:rPr>
                <w:rFonts w:ascii="Times New Roman" w:hAnsi="Times New Roman" w:cs="Times New Roman"/>
                <w:sz w:val="18"/>
                <w:szCs w:val="18"/>
              </w:rPr>
              <w:t xml:space="preserve">e added context for our pI findings in relation to previous reported </w:t>
            </w:r>
            <w:r w:rsidR="00B6222E">
              <w:rPr>
                <w:rFonts w:ascii="Times New Roman" w:hAnsi="Times New Roman" w:cs="Times New Roman"/>
                <w:sz w:val="18"/>
                <w:szCs w:val="18"/>
              </w:rPr>
              <w:t>pI points of these halophiles, as well as previous studies linking pI levels and high-salt adaptations in halt-in strategists.</w:t>
            </w:r>
          </w:p>
        </w:tc>
      </w:tr>
      <w:tr w:rsidR="00954EC4" w:rsidRPr="007C6ECF" w14:paraId="10F40231" w14:textId="77777777" w:rsidTr="00691A0E">
        <w:tc>
          <w:tcPr>
            <w:tcW w:w="4675" w:type="dxa"/>
          </w:tcPr>
          <w:p w14:paraId="57F88662"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Ln 367: I do not see any evidence that any analyses were done at the strain level. All analyses seem to have been done at the 97% OTU or population level. Please remove “strain” throughout the manuscript.</w:t>
            </w:r>
          </w:p>
        </w:tc>
        <w:tc>
          <w:tcPr>
            <w:tcW w:w="4860" w:type="dxa"/>
          </w:tcPr>
          <w:p w14:paraId="744833B1" w14:textId="141B3CAC" w:rsidR="00954EC4" w:rsidRPr="007C6ECF" w:rsidRDefault="005C3AAE" w:rsidP="005C3AAE">
            <w:pPr>
              <w:rPr>
                <w:rFonts w:ascii="Times New Roman" w:hAnsi="Times New Roman" w:cs="Times New Roman"/>
                <w:sz w:val="18"/>
                <w:szCs w:val="18"/>
              </w:rPr>
            </w:pPr>
            <w:r>
              <w:rPr>
                <w:rFonts w:ascii="Times New Roman" w:hAnsi="Times New Roman" w:cs="Times New Roman"/>
                <w:sz w:val="18"/>
                <w:szCs w:val="18"/>
              </w:rPr>
              <w:t xml:space="preserve">While the </w:t>
            </w:r>
            <w:r w:rsidR="00EE08F8">
              <w:rPr>
                <w:rFonts w:ascii="Times New Roman" w:hAnsi="Times New Roman" w:cs="Times New Roman"/>
                <w:sz w:val="18"/>
                <w:szCs w:val="18"/>
              </w:rPr>
              <w:t xml:space="preserve">implications of the study </w:t>
            </w:r>
            <w:r w:rsidR="00433F97">
              <w:rPr>
                <w:rFonts w:ascii="Times New Roman" w:hAnsi="Times New Roman" w:cs="Times New Roman"/>
                <w:sz w:val="18"/>
                <w:szCs w:val="18"/>
              </w:rPr>
              <w:t>suggest</w:t>
            </w:r>
            <w:r>
              <w:rPr>
                <w:rFonts w:ascii="Times New Roman" w:hAnsi="Times New Roman" w:cs="Times New Roman"/>
                <w:sz w:val="18"/>
                <w:szCs w:val="18"/>
              </w:rPr>
              <w:t xml:space="preserve"> changes to the strains composition of the community, w</w:t>
            </w:r>
            <w:r w:rsidR="00680A1F">
              <w:rPr>
                <w:rFonts w:ascii="Times New Roman" w:hAnsi="Times New Roman" w:cs="Times New Roman"/>
                <w:sz w:val="18"/>
                <w:szCs w:val="18"/>
              </w:rPr>
              <w:t xml:space="preserve">e agree – the term is misleading in </w:t>
            </w:r>
            <w:r>
              <w:rPr>
                <w:rFonts w:ascii="Times New Roman" w:hAnsi="Times New Roman" w:cs="Times New Roman"/>
                <w:sz w:val="18"/>
                <w:szCs w:val="18"/>
              </w:rPr>
              <w:t xml:space="preserve">the context of </w:t>
            </w:r>
            <w:r w:rsidR="00680A1F">
              <w:rPr>
                <w:rFonts w:ascii="Times New Roman" w:hAnsi="Times New Roman" w:cs="Times New Roman"/>
                <w:sz w:val="18"/>
                <w:szCs w:val="18"/>
              </w:rPr>
              <w:t>our</w:t>
            </w:r>
            <w:r>
              <w:rPr>
                <w:rFonts w:ascii="Times New Roman" w:hAnsi="Times New Roman" w:cs="Times New Roman"/>
                <w:sz w:val="18"/>
                <w:szCs w:val="18"/>
              </w:rPr>
              <w:t xml:space="preserve"> results, since even contigs do not represent true strains</w:t>
            </w:r>
            <w:r w:rsidR="00680A1F">
              <w:rPr>
                <w:rFonts w:ascii="Times New Roman" w:hAnsi="Times New Roman" w:cs="Times New Roman"/>
                <w:sz w:val="18"/>
                <w:szCs w:val="18"/>
              </w:rPr>
              <w:t xml:space="preserve">. We replaced all uses of “strain composition” to “fine-scale taxonomic composition” or </w:t>
            </w:r>
            <w:r>
              <w:rPr>
                <w:rFonts w:ascii="Times New Roman" w:hAnsi="Times New Roman" w:cs="Times New Roman"/>
                <w:sz w:val="18"/>
                <w:szCs w:val="18"/>
              </w:rPr>
              <w:t>similar</w:t>
            </w:r>
            <w:r w:rsidR="00680A1F">
              <w:rPr>
                <w:rFonts w:ascii="Times New Roman" w:hAnsi="Times New Roman" w:cs="Times New Roman"/>
                <w:sz w:val="18"/>
                <w:szCs w:val="18"/>
              </w:rPr>
              <w:t>, except where appropriate (discussion and interpretation).</w:t>
            </w:r>
          </w:p>
        </w:tc>
      </w:tr>
      <w:tr w:rsidR="00954EC4" w:rsidRPr="007C6ECF" w14:paraId="10CDF8A8" w14:textId="77777777" w:rsidTr="00691A0E">
        <w:tc>
          <w:tcPr>
            <w:tcW w:w="4675" w:type="dxa"/>
          </w:tcPr>
          <w:p w14:paraId="7C04D30F"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I think that the figures labeled and described in the text as “PCAs” are actually PCoAs, right? Please correct this throughout the manuscript.</w:t>
            </w:r>
          </w:p>
        </w:tc>
        <w:tc>
          <w:tcPr>
            <w:tcW w:w="4860" w:type="dxa"/>
          </w:tcPr>
          <w:p w14:paraId="6021EEAB" w14:textId="782105C7" w:rsidR="00954EC4" w:rsidRPr="007C6ECF" w:rsidRDefault="00C95845" w:rsidP="00F42F2B">
            <w:pPr>
              <w:rPr>
                <w:rFonts w:ascii="Times New Roman" w:hAnsi="Times New Roman" w:cs="Times New Roman"/>
                <w:sz w:val="18"/>
                <w:szCs w:val="18"/>
              </w:rPr>
            </w:pPr>
            <w:r w:rsidRPr="007C6ECF">
              <w:rPr>
                <w:rFonts w:ascii="Times New Roman" w:hAnsi="Times New Roman" w:cs="Times New Roman"/>
                <w:sz w:val="18"/>
                <w:szCs w:val="18"/>
              </w:rPr>
              <w:t>Figures 1C and 3C are principle component analysis (PCA) plots, performed with the PCA module from sklearn_decomposition. However</w:t>
            </w:r>
            <w:r w:rsidR="00207CF0" w:rsidRPr="007C6ECF">
              <w:rPr>
                <w:rFonts w:ascii="Times New Roman" w:hAnsi="Times New Roman" w:cs="Times New Roman"/>
                <w:sz w:val="18"/>
                <w:szCs w:val="18"/>
              </w:rPr>
              <w:t>,</w:t>
            </w:r>
            <w:r w:rsidRPr="007C6ECF">
              <w:rPr>
                <w:rFonts w:ascii="Times New Roman" w:hAnsi="Times New Roman" w:cs="Times New Roman"/>
                <w:sz w:val="18"/>
                <w:szCs w:val="18"/>
              </w:rPr>
              <w:t xml:space="preserve"> </w:t>
            </w:r>
            <w:r w:rsidR="00207CF0" w:rsidRPr="007C6ECF">
              <w:rPr>
                <w:rFonts w:ascii="Times New Roman" w:hAnsi="Times New Roman" w:cs="Times New Roman"/>
                <w:sz w:val="18"/>
                <w:szCs w:val="18"/>
              </w:rPr>
              <w:t xml:space="preserve">you are </w:t>
            </w:r>
            <w:r w:rsidR="00F42F2B" w:rsidRPr="007C6ECF">
              <w:rPr>
                <w:rFonts w:ascii="Times New Roman" w:hAnsi="Times New Roman" w:cs="Times New Roman"/>
                <w:sz w:val="18"/>
                <w:szCs w:val="18"/>
              </w:rPr>
              <w:t>correct</w:t>
            </w:r>
            <w:r w:rsidR="00207CF0" w:rsidRPr="007C6ECF">
              <w:rPr>
                <w:rFonts w:ascii="Times New Roman" w:hAnsi="Times New Roman" w:cs="Times New Roman"/>
                <w:sz w:val="18"/>
                <w:szCs w:val="18"/>
              </w:rPr>
              <w:t xml:space="preserve"> about figure S2</w:t>
            </w:r>
            <w:r w:rsidRPr="007C6ECF">
              <w:rPr>
                <w:rFonts w:ascii="Times New Roman" w:hAnsi="Times New Roman" w:cs="Times New Roman"/>
                <w:sz w:val="18"/>
                <w:szCs w:val="18"/>
              </w:rPr>
              <w:t xml:space="preserve">E </w:t>
            </w:r>
            <w:r w:rsidR="00207CF0" w:rsidRPr="007C6ECF">
              <w:rPr>
                <w:rFonts w:ascii="Times New Roman" w:hAnsi="Times New Roman" w:cs="Times New Roman"/>
                <w:sz w:val="18"/>
                <w:szCs w:val="18"/>
              </w:rPr>
              <w:t xml:space="preserve">was mislabeled – it was </w:t>
            </w:r>
            <w:r w:rsidRPr="007C6ECF">
              <w:rPr>
                <w:rFonts w:ascii="Times New Roman" w:hAnsi="Times New Roman" w:cs="Times New Roman"/>
                <w:sz w:val="18"/>
                <w:szCs w:val="18"/>
              </w:rPr>
              <w:t>actually done fro</w:t>
            </w:r>
            <w:r w:rsidR="00207CF0" w:rsidRPr="007C6ECF">
              <w:rPr>
                <w:rFonts w:ascii="Times New Roman" w:hAnsi="Times New Roman" w:cs="Times New Roman"/>
                <w:sz w:val="18"/>
                <w:szCs w:val="18"/>
              </w:rPr>
              <w:t>m principle coordinate analysis</w:t>
            </w:r>
            <w:r w:rsidRPr="007C6ECF">
              <w:rPr>
                <w:rFonts w:ascii="Times New Roman" w:hAnsi="Times New Roman" w:cs="Times New Roman"/>
                <w:sz w:val="18"/>
                <w:szCs w:val="18"/>
              </w:rPr>
              <w:t xml:space="preserve"> (PCoA</w:t>
            </w:r>
            <w:r w:rsidR="00207CF0" w:rsidRPr="007C6ECF">
              <w:rPr>
                <w:rFonts w:ascii="Times New Roman" w:hAnsi="Times New Roman" w:cs="Times New Roman"/>
                <w:sz w:val="18"/>
                <w:szCs w:val="18"/>
              </w:rPr>
              <w:t xml:space="preserve">) with principle_coordinates.py from Qiime. We fixed this typo in the figure itself, and in the Figure S4 caption. </w:t>
            </w:r>
          </w:p>
        </w:tc>
      </w:tr>
      <w:tr w:rsidR="00191A9E" w:rsidRPr="007C6ECF" w14:paraId="5C0172ED" w14:textId="77777777" w:rsidTr="00691A0E">
        <w:tc>
          <w:tcPr>
            <w:tcW w:w="4675" w:type="dxa"/>
          </w:tcPr>
          <w:p w14:paraId="48C8F309" w14:textId="77777777" w:rsidR="00191A9E"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Figure 1: The figure title, “Taxonomic and functional resilience after recovery period” does not describe all of these figures, and it is too interpretive. Something like “Phylogenetic and predicted functional composition of halite microbial communities over time” would be better. In the caption, please link the text “significance bars denote …” directly to what the reader sees in the figure. For example, in panel B, what do the three dots above each line mean, and what does each of those lines represent (some sort of significant grouping?)?</w:t>
            </w:r>
          </w:p>
        </w:tc>
        <w:tc>
          <w:tcPr>
            <w:tcW w:w="4860" w:type="dxa"/>
          </w:tcPr>
          <w:p w14:paraId="60208E56" w14:textId="650A83BE" w:rsidR="00191A9E" w:rsidRPr="007C6ECF" w:rsidRDefault="007C6ECF" w:rsidP="007C6ECF">
            <w:pPr>
              <w:rPr>
                <w:rFonts w:ascii="Times New Roman" w:hAnsi="Times New Roman" w:cs="Times New Roman"/>
                <w:sz w:val="18"/>
                <w:szCs w:val="18"/>
              </w:rPr>
            </w:pPr>
            <w:r w:rsidRPr="007C6ECF">
              <w:rPr>
                <w:rFonts w:ascii="Times New Roman" w:hAnsi="Times New Roman" w:cs="Times New Roman"/>
                <w:sz w:val="18"/>
                <w:szCs w:val="18"/>
              </w:rPr>
              <w:t xml:space="preserve">We changed the title to “Community taxonomic composition and functional potential over time” to be more specific. </w:t>
            </w:r>
            <w:r>
              <w:rPr>
                <w:rFonts w:ascii="Times New Roman" w:hAnsi="Times New Roman" w:cs="Times New Roman"/>
                <w:sz w:val="18"/>
                <w:szCs w:val="18"/>
              </w:rPr>
              <w:t>We moved the statistical information explanation from the end of the caption to the panel B explanation.</w:t>
            </w:r>
          </w:p>
        </w:tc>
      </w:tr>
      <w:tr w:rsidR="00954EC4" w:rsidRPr="007C6ECF" w14:paraId="1B1C6930" w14:textId="77777777" w:rsidTr="00691A0E">
        <w:tc>
          <w:tcPr>
            <w:tcW w:w="4675" w:type="dxa"/>
          </w:tcPr>
          <w:p w14:paraId="3EA2C756"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Figure 2: If I understand correctly, this is an exclusively bioinformatic analysis of predicted proteins recovered from metagenomes and not a direct measurement of isoelectric points or of proteins. If so, “proteome” in the title is misleading, and “adaptations” is interpretive. A more appropriate title would be something like, “Differences in predicted protein isoelectric points and potassium uptake potential over time.” </w:t>
            </w:r>
          </w:p>
        </w:tc>
        <w:tc>
          <w:tcPr>
            <w:tcW w:w="4860" w:type="dxa"/>
          </w:tcPr>
          <w:p w14:paraId="05C614E6" w14:textId="120D856E" w:rsidR="00954EC4" w:rsidRPr="007C6ECF" w:rsidRDefault="00F301B0" w:rsidP="00E24E8A">
            <w:pPr>
              <w:rPr>
                <w:rFonts w:ascii="Times New Roman" w:hAnsi="Times New Roman" w:cs="Times New Roman"/>
                <w:sz w:val="18"/>
                <w:szCs w:val="18"/>
              </w:rPr>
            </w:pPr>
            <w:r>
              <w:rPr>
                <w:rFonts w:ascii="Times New Roman" w:hAnsi="Times New Roman" w:cs="Times New Roman"/>
                <w:sz w:val="18"/>
                <w:szCs w:val="18"/>
              </w:rPr>
              <w:t xml:space="preserve">This is also </w:t>
            </w:r>
            <w:r w:rsidR="00E24E8A">
              <w:rPr>
                <w:rFonts w:ascii="Times New Roman" w:hAnsi="Times New Roman" w:cs="Times New Roman"/>
                <w:sz w:val="18"/>
                <w:szCs w:val="18"/>
              </w:rPr>
              <w:t>a good point</w:t>
            </w:r>
            <w:r>
              <w:rPr>
                <w:rFonts w:ascii="Times New Roman" w:hAnsi="Times New Roman" w:cs="Times New Roman"/>
                <w:sz w:val="18"/>
                <w:szCs w:val="18"/>
              </w:rPr>
              <w:t xml:space="preserve"> - we changed the title to the suggested name to be more accurate.</w:t>
            </w:r>
          </w:p>
        </w:tc>
      </w:tr>
      <w:tr w:rsidR="00954EC4" w:rsidRPr="007C6ECF" w14:paraId="76D136F0" w14:textId="77777777" w:rsidTr="00691A0E">
        <w:tc>
          <w:tcPr>
            <w:tcW w:w="4675" w:type="dxa"/>
          </w:tcPr>
          <w:p w14:paraId="2BFC21AB"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Figure 3: These are all just differences in microbial community composition and predicted function over time, right? If so, the title is not intuitive and may be incorrect. “Rearrangement” evokes changes in chromosome architecture, but I think that you are just trying to say that the community changes or shifts (rearranges). I recommend changing "rearrange" to "shift" throughout the manuscript. For the 16S rRNA gene analyses, are these 97% nucleotide identity OTUs? If so, this analysis is probably not resolving strain-level differences. The same goes for MAG abundances, which are presumably measured at the population (not strain) level. I would change the title to something like, “Differences in microbial community composition and predicted function over time.” For panel D, the rearrangement index is not an intuitive set of units for the y-axis. At a minimum, please include the equation for the rearrangement index in the figure caption, and I would recommend a more intuitive y-axis label.</w:t>
            </w:r>
          </w:p>
        </w:tc>
        <w:tc>
          <w:tcPr>
            <w:tcW w:w="4860" w:type="dxa"/>
          </w:tcPr>
          <w:p w14:paraId="02A45EB0" w14:textId="733C3F10" w:rsidR="00954EC4" w:rsidRPr="007C6ECF" w:rsidRDefault="00612603" w:rsidP="00CC65E7">
            <w:pPr>
              <w:rPr>
                <w:rFonts w:ascii="Times New Roman" w:hAnsi="Times New Roman" w:cs="Times New Roman"/>
                <w:sz w:val="18"/>
                <w:szCs w:val="18"/>
              </w:rPr>
            </w:pPr>
            <w:r>
              <w:rPr>
                <w:rFonts w:ascii="Times New Roman" w:hAnsi="Times New Roman" w:cs="Times New Roman"/>
                <w:sz w:val="18"/>
                <w:szCs w:val="18"/>
              </w:rPr>
              <w:t>This figure is meant to showcase the permanent changes in fine-scal</w:t>
            </w:r>
            <w:r w:rsidR="00181C9E">
              <w:rPr>
                <w:rFonts w:ascii="Times New Roman" w:hAnsi="Times New Roman" w:cs="Times New Roman"/>
                <w:sz w:val="18"/>
                <w:szCs w:val="18"/>
              </w:rPr>
              <w:t xml:space="preserve">e taxonomic composition changes, </w:t>
            </w:r>
            <w:r>
              <w:rPr>
                <w:rFonts w:ascii="Times New Roman" w:hAnsi="Times New Roman" w:cs="Times New Roman"/>
                <w:sz w:val="18"/>
                <w:szCs w:val="18"/>
              </w:rPr>
              <w:t xml:space="preserve">as opposed to Figure 1, which showed the change and recovery in the higher-order taxonomic composition. </w:t>
            </w:r>
            <w:r w:rsidR="00323DA8">
              <w:rPr>
                <w:rFonts w:ascii="Times New Roman" w:hAnsi="Times New Roman" w:cs="Times New Roman"/>
                <w:sz w:val="18"/>
                <w:szCs w:val="18"/>
              </w:rPr>
              <w:t>To eliminate this confusion, we expanded the Results section to include bare-minimum interpretations about what the data implies</w:t>
            </w:r>
            <w:r w:rsidR="00EE444B">
              <w:rPr>
                <w:rFonts w:ascii="Times New Roman" w:hAnsi="Times New Roman" w:cs="Times New Roman"/>
                <w:sz w:val="18"/>
                <w:szCs w:val="18"/>
              </w:rPr>
              <w:t xml:space="preserve"> (while the Discussion section expands on the interpretation) and the</w:t>
            </w:r>
            <w:r w:rsidR="00323DA8">
              <w:rPr>
                <w:rFonts w:ascii="Times New Roman" w:hAnsi="Times New Roman" w:cs="Times New Roman"/>
                <w:sz w:val="18"/>
                <w:szCs w:val="18"/>
              </w:rPr>
              <w:t xml:space="preserve"> </w:t>
            </w:r>
            <w:r w:rsidR="00181C9E">
              <w:rPr>
                <w:rFonts w:ascii="Times New Roman" w:hAnsi="Times New Roman" w:cs="Times New Roman"/>
                <w:sz w:val="18"/>
                <w:szCs w:val="18"/>
              </w:rPr>
              <w:t>Methods section</w:t>
            </w:r>
            <w:r w:rsidR="00EE444B">
              <w:rPr>
                <w:rFonts w:ascii="Times New Roman" w:hAnsi="Times New Roman" w:cs="Times New Roman"/>
                <w:sz w:val="18"/>
                <w:szCs w:val="18"/>
              </w:rPr>
              <w:t xml:space="preserve"> to clarify the meaning of the RI</w:t>
            </w:r>
            <w:r w:rsidR="00240061">
              <w:rPr>
                <w:rFonts w:ascii="Times New Roman" w:hAnsi="Times New Roman" w:cs="Times New Roman"/>
                <w:sz w:val="18"/>
                <w:szCs w:val="18"/>
              </w:rPr>
              <w:t xml:space="preserve"> (now TTI)</w:t>
            </w:r>
            <w:r w:rsidR="00181C9E">
              <w:rPr>
                <w:rFonts w:ascii="Times New Roman" w:hAnsi="Times New Roman" w:cs="Times New Roman"/>
                <w:sz w:val="18"/>
                <w:szCs w:val="18"/>
              </w:rPr>
              <w:t xml:space="preserve">. </w:t>
            </w:r>
            <w:r w:rsidR="00240061">
              <w:rPr>
                <w:rFonts w:ascii="Times New Roman" w:hAnsi="Times New Roman" w:cs="Times New Roman"/>
                <w:sz w:val="18"/>
                <w:szCs w:val="18"/>
              </w:rPr>
              <w:t>We thank the reviewer for the suggestion to avoid using “rearrangement” due to the term’s connotations with chromatin</w:t>
            </w:r>
            <w:r w:rsidR="00CC65E7">
              <w:rPr>
                <w:rFonts w:ascii="Times New Roman" w:hAnsi="Times New Roman" w:cs="Times New Roman"/>
                <w:sz w:val="18"/>
                <w:szCs w:val="18"/>
              </w:rPr>
              <w:t xml:space="preserve"> – we had not made this connection</w:t>
            </w:r>
            <w:r w:rsidR="00240061">
              <w:rPr>
                <w:rFonts w:ascii="Times New Roman" w:hAnsi="Times New Roman" w:cs="Times New Roman"/>
                <w:sz w:val="18"/>
                <w:szCs w:val="18"/>
              </w:rPr>
              <w:t xml:space="preserve">. </w:t>
            </w:r>
            <w:r w:rsidR="00CC65E7">
              <w:rPr>
                <w:rFonts w:ascii="Times New Roman" w:hAnsi="Times New Roman" w:cs="Times New Roman"/>
                <w:sz w:val="18"/>
                <w:szCs w:val="18"/>
              </w:rPr>
              <w:t>We replaced “rearrangement” to “taxonomic composition turnover”, which we felt captured our findings more accurately.</w:t>
            </w:r>
            <w:r w:rsidR="00240061">
              <w:rPr>
                <w:rFonts w:ascii="Times New Roman" w:hAnsi="Times New Roman" w:cs="Times New Roman"/>
                <w:sz w:val="18"/>
                <w:szCs w:val="18"/>
              </w:rPr>
              <w:t xml:space="preserve"> </w:t>
            </w:r>
            <w:r w:rsidR="00CC65E7">
              <w:rPr>
                <w:rFonts w:ascii="Times New Roman" w:hAnsi="Times New Roman" w:cs="Times New Roman"/>
                <w:sz w:val="18"/>
                <w:szCs w:val="18"/>
              </w:rPr>
              <w:t xml:space="preserve">To account for these adjustment, we </w:t>
            </w:r>
            <w:r w:rsidR="00F0616F">
              <w:rPr>
                <w:rFonts w:ascii="Times New Roman" w:hAnsi="Times New Roman" w:cs="Times New Roman"/>
                <w:sz w:val="18"/>
                <w:szCs w:val="18"/>
              </w:rPr>
              <w:t xml:space="preserve">changed the </w:t>
            </w:r>
            <w:r w:rsidR="00CC65E7">
              <w:rPr>
                <w:rFonts w:ascii="Times New Roman" w:hAnsi="Times New Roman" w:cs="Times New Roman"/>
                <w:sz w:val="18"/>
                <w:szCs w:val="18"/>
              </w:rPr>
              <w:t xml:space="preserve">figure </w:t>
            </w:r>
            <w:r w:rsidR="00F0616F">
              <w:rPr>
                <w:rFonts w:ascii="Times New Roman" w:hAnsi="Times New Roman" w:cs="Times New Roman"/>
                <w:sz w:val="18"/>
                <w:szCs w:val="18"/>
              </w:rPr>
              <w:t>title to “Fine-scale taxonomic</w:t>
            </w:r>
            <w:r w:rsidR="00CC65E7">
              <w:rPr>
                <w:rFonts w:ascii="Times New Roman" w:hAnsi="Times New Roman" w:cs="Times New Roman"/>
                <w:sz w:val="18"/>
                <w:szCs w:val="18"/>
              </w:rPr>
              <w:t xml:space="preserve"> turnover across time</w:t>
            </w:r>
            <w:r w:rsidR="00F0616F">
              <w:rPr>
                <w:rFonts w:ascii="Times New Roman" w:hAnsi="Times New Roman" w:cs="Times New Roman"/>
                <w:sz w:val="18"/>
                <w:szCs w:val="18"/>
              </w:rPr>
              <w:t>”</w:t>
            </w:r>
            <w:r w:rsidR="00181C9E">
              <w:rPr>
                <w:rFonts w:ascii="Times New Roman" w:hAnsi="Times New Roman" w:cs="Times New Roman"/>
                <w:sz w:val="18"/>
                <w:szCs w:val="18"/>
              </w:rPr>
              <w:t xml:space="preserve"> to be more precise, but still </w:t>
            </w:r>
            <w:r w:rsidR="00DC1EC2">
              <w:rPr>
                <w:rFonts w:ascii="Times New Roman" w:hAnsi="Times New Roman" w:cs="Times New Roman"/>
                <w:sz w:val="18"/>
                <w:szCs w:val="18"/>
              </w:rPr>
              <w:t>clearly distinguish</w:t>
            </w:r>
            <w:r w:rsidR="00181C9E">
              <w:rPr>
                <w:rFonts w:ascii="Times New Roman" w:hAnsi="Times New Roman" w:cs="Times New Roman"/>
                <w:sz w:val="18"/>
                <w:szCs w:val="18"/>
              </w:rPr>
              <w:t xml:space="preserve"> the </w:t>
            </w:r>
            <w:r w:rsidR="00C327CF">
              <w:rPr>
                <w:rFonts w:ascii="Times New Roman" w:hAnsi="Times New Roman" w:cs="Times New Roman"/>
                <w:sz w:val="18"/>
                <w:szCs w:val="18"/>
              </w:rPr>
              <w:t>content from F</w:t>
            </w:r>
            <w:r w:rsidR="00181C9E">
              <w:rPr>
                <w:rFonts w:ascii="Times New Roman" w:hAnsi="Times New Roman" w:cs="Times New Roman"/>
                <w:sz w:val="18"/>
                <w:szCs w:val="18"/>
              </w:rPr>
              <w:t xml:space="preserve">igure 1. </w:t>
            </w:r>
            <w:r w:rsidR="00C90B7E">
              <w:rPr>
                <w:rFonts w:ascii="Times New Roman" w:hAnsi="Times New Roman" w:cs="Times New Roman"/>
                <w:sz w:val="18"/>
                <w:szCs w:val="18"/>
              </w:rPr>
              <w:t xml:space="preserve">We felt that the full explanation of TTI would be too verbose for the caption, but we included a brief description and reference to the methods section. </w:t>
            </w:r>
            <w:r w:rsidR="009662B5">
              <w:rPr>
                <w:rFonts w:ascii="Times New Roman" w:hAnsi="Times New Roman" w:cs="Times New Roman"/>
                <w:sz w:val="18"/>
                <w:szCs w:val="18"/>
              </w:rPr>
              <w:t>We changed the y-axis title of panel D to “taxonomic turnover within gene categories”.</w:t>
            </w:r>
          </w:p>
        </w:tc>
      </w:tr>
      <w:tr w:rsidR="00954EC4" w:rsidRPr="007C6ECF" w14:paraId="7E184C46" w14:textId="77777777" w:rsidTr="00691A0E">
        <w:tc>
          <w:tcPr>
            <w:tcW w:w="4675" w:type="dxa"/>
          </w:tcPr>
          <w:p w14:paraId="53358D73"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Figure 4: The caption only describes the model. Please also walk the reader through exactly what is presented in the figure, and/or add additional labels to the figure. What are the axes of the grey graphs at the top? For the colored graphs below the grey graphs, are the abundances of individual taxa represented by their spread along the y-axis? What does the spread along the x-axis mean (does “community functions” mean that each block is a different function?), and what does it mean when colors are light vs. dark for a particular taxon and function? Is the seed bank meant to represent all rare taxa?</w:t>
            </w:r>
          </w:p>
        </w:tc>
        <w:tc>
          <w:tcPr>
            <w:tcW w:w="4860" w:type="dxa"/>
          </w:tcPr>
          <w:p w14:paraId="488053B6" w14:textId="6F3D6AA3" w:rsidR="00954EC4" w:rsidRPr="007C6ECF" w:rsidRDefault="000B6805" w:rsidP="00D07346">
            <w:pPr>
              <w:rPr>
                <w:rFonts w:ascii="Times New Roman" w:hAnsi="Times New Roman" w:cs="Times New Roman"/>
                <w:sz w:val="18"/>
                <w:szCs w:val="18"/>
              </w:rPr>
            </w:pPr>
            <w:r>
              <w:rPr>
                <w:rFonts w:ascii="Times New Roman" w:hAnsi="Times New Roman" w:cs="Times New Roman"/>
                <w:sz w:val="18"/>
                <w:szCs w:val="18"/>
              </w:rPr>
              <w:t>We thank the reviewer for pointing this</w:t>
            </w:r>
            <w:r w:rsidR="0082482C">
              <w:rPr>
                <w:rFonts w:ascii="Times New Roman" w:hAnsi="Times New Roman" w:cs="Times New Roman"/>
                <w:sz w:val="18"/>
                <w:szCs w:val="18"/>
              </w:rPr>
              <w:t xml:space="preserve"> </w:t>
            </w:r>
            <w:r>
              <w:rPr>
                <w:rFonts w:ascii="Times New Roman" w:hAnsi="Times New Roman" w:cs="Times New Roman"/>
                <w:sz w:val="18"/>
                <w:szCs w:val="18"/>
              </w:rPr>
              <w:t>out. We added explanations necessary for the interpretation of the figure to the caption.</w:t>
            </w:r>
          </w:p>
        </w:tc>
      </w:tr>
    </w:tbl>
    <w:p w14:paraId="05330D7F" w14:textId="77777777" w:rsidR="00191A9E" w:rsidRPr="007C6ECF" w:rsidRDefault="00191A9E">
      <w:pPr>
        <w:rPr>
          <w:rFonts w:ascii="Times New Roman" w:hAnsi="Times New Roman" w:cs="Times New Roman"/>
          <w:sz w:val="18"/>
          <w:szCs w:val="18"/>
        </w:rPr>
      </w:pPr>
    </w:p>
    <w:p w14:paraId="1299828D" w14:textId="77777777" w:rsidR="00191A9E" w:rsidRPr="007C6ECF" w:rsidRDefault="00191A9E">
      <w:pPr>
        <w:rPr>
          <w:rFonts w:ascii="Times New Roman" w:hAnsi="Times New Roman" w:cs="Times New Roman"/>
          <w:sz w:val="18"/>
          <w:szCs w:val="18"/>
        </w:rPr>
      </w:pPr>
    </w:p>
    <w:p w14:paraId="263224A7" w14:textId="77777777" w:rsidR="00954EC4" w:rsidRPr="007C6ECF" w:rsidRDefault="00954EC4">
      <w:pPr>
        <w:rPr>
          <w:rFonts w:ascii="Times New Roman" w:hAnsi="Times New Roman" w:cs="Times New Roman"/>
          <w:sz w:val="18"/>
          <w:szCs w:val="18"/>
        </w:rPr>
      </w:pPr>
      <w:r w:rsidRPr="007C6ECF">
        <w:rPr>
          <w:rFonts w:ascii="Times New Roman" w:hAnsi="Times New Roman" w:cs="Times New Roman"/>
          <w:sz w:val="18"/>
          <w:szCs w:val="18"/>
        </w:rPr>
        <w:br w:type="page"/>
      </w:r>
    </w:p>
    <w:p w14:paraId="6CB4F4CE" w14:textId="77777777" w:rsidR="00191A9E" w:rsidRPr="007C6ECF" w:rsidRDefault="00191A9E">
      <w:pPr>
        <w:rPr>
          <w:rFonts w:ascii="Times New Roman" w:hAnsi="Times New Roman" w:cs="Times New Roman"/>
          <w:b/>
          <w:sz w:val="18"/>
          <w:szCs w:val="18"/>
        </w:rPr>
      </w:pPr>
      <w:r w:rsidRPr="007C6ECF">
        <w:rPr>
          <w:rFonts w:ascii="Times New Roman" w:hAnsi="Times New Roman" w:cs="Times New Roman"/>
          <w:b/>
          <w:sz w:val="18"/>
          <w:szCs w:val="18"/>
        </w:rPr>
        <w:t>Referee #2:</w:t>
      </w:r>
    </w:p>
    <w:p w14:paraId="75207061" w14:textId="77777777" w:rsidR="00916967" w:rsidRPr="007C6ECF" w:rsidRDefault="00916967">
      <w:pPr>
        <w:rPr>
          <w:rFonts w:ascii="Times New Roman" w:hAnsi="Times New Roman" w:cs="Times New Roman"/>
          <w:sz w:val="18"/>
          <w:szCs w:val="18"/>
        </w:rPr>
      </w:pPr>
    </w:p>
    <w:tbl>
      <w:tblPr>
        <w:tblStyle w:val="TableGrid"/>
        <w:tblW w:w="0" w:type="auto"/>
        <w:tblLook w:val="04A0" w:firstRow="1" w:lastRow="0" w:firstColumn="1" w:lastColumn="0" w:noHBand="0" w:noVBand="1"/>
      </w:tblPr>
      <w:tblGrid>
        <w:gridCol w:w="4675"/>
        <w:gridCol w:w="4675"/>
      </w:tblGrid>
      <w:tr w:rsidR="00954EC4" w:rsidRPr="007C6ECF" w14:paraId="26C34C09" w14:textId="77777777" w:rsidTr="00691A0E">
        <w:tc>
          <w:tcPr>
            <w:tcW w:w="4675" w:type="dxa"/>
          </w:tcPr>
          <w:p w14:paraId="788428A7"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Title. I would not call this a catastrophic event. Rainfall is very rare (from a human perspective) in extremely dry deserts, but is definitely not a catastrophic event. Also, “adaptation” might not be the best term to represent what you have done in this study. </w:t>
            </w:r>
          </w:p>
        </w:tc>
        <w:tc>
          <w:tcPr>
            <w:tcW w:w="4675" w:type="dxa"/>
          </w:tcPr>
          <w:p w14:paraId="011892C5" w14:textId="77777777" w:rsidR="00954EC4" w:rsidRPr="007C6ECF" w:rsidRDefault="00916967" w:rsidP="00916967">
            <w:pPr>
              <w:rPr>
                <w:rFonts w:ascii="Times New Roman" w:hAnsi="Times New Roman" w:cs="Times New Roman"/>
                <w:sz w:val="18"/>
                <w:szCs w:val="18"/>
              </w:rPr>
            </w:pPr>
            <w:r w:rsidRPr="007C6ECF">
              <w:rPr>
                <w:rFonts w:ascii="Times New Roman" w:hAnsi="Times New Roman" w:cs="Times New Roman"/>
                <w:sz w:val="18"/>
                <w:szCs w:val="18"/>
              </w:rPr>
              <w:t>We re-wrote the title to address concern brought up by both referees</w:t>
            </w:r>
          </w:p>
        </w:tc>
      </w:tr>
      <w:tr w:rsidR="00954EC4" w:rsidRPr="007C6ECF" w14:paraId="77EDF74B" w14:textId="77777777" w:rsidTr="00691A0E">
        <w:tc>
          <w:tcPr>
            <w:tcW w:w="4675" w:type="dxa"/>
          </w:tcPr>
          <w:p w14:paraId="2D48BF27"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Line 53. Change “can” to “could potentially be” You have explained this point in a much nicer manner in the conclusion section. </w:t>
            </w:r>
          </w:p>
        </w:tc>
        <w:tc>
          <w:tcPr>
            <w:tcW w:w="4675" w:type="dxa"/>
          </w:tcPr>
          <w:p w14:paraId="5AD9FDE4" w14:textId="77777777" w:rsidR="00954EC4" w:rsidRPr="007C6ECF" w:rsidRDefault="00916967" w:rsidP="00916967">
            <w:pPr>
              <w:rPr>
                <w:rFonts w:ascii="Times New Roman" w:hAnsi="Times New Roman" w:cs="Times New Roman"/>
                <w:sz w:val="18"/>
                <w:szCs w:val="18"/>
              </w:rPr>
            </w:pPr>
            <w:r w:rsidRPr="007C6ECF">
              <w:rPr>
                <w:rFonts w:ascii="Times New Roman" w:hAnsi="Times New Roman" w:cs="Times New Roman"/>
                <w:sz w:val="18"/>
                <w:szCs w:val="18"/>
              </w:rPr>
              <w:t>Thank you for pointing that out. Fix made at line 58.</w:t>
            </w:r>
          </w:p>
        </w:tc>
      </w:tr>
      <w:tr w:rsidR="00954EC4" w:rsidRPr="007C6ECF" w14:paraId="281C8520" w14:textId="77777777" w:rsidTr="00691A0E">
        <w:tc>
          <w:tcPr>
            <w:tcW w:w="4675" w:type="dxa"/>
          </w:tcPr>
          <w:p w14:paraId="7F34EA22"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Lines 68-71. No need for invoking functional redundancy here. Other studies have also demonstrated that losses in microbial diversity and changes in microbial community composition can result in important changes in functional rates (e.g., in soils and freshwater ecosystems). </w:t>
            </w:r>
          </w:p>
        </w:tc>
        <w:tc>
          <w:tcPr>
            <w:tcW w:w="4675" w:type="dxa"/>
          </w:tcPr>
          <w:p w14:paraId="2C071E27" w14:textId="7C771BB9" w:rsidR="00954EC4" w:rsidRPr="007C6ECF" w:rsidRDefault="0087344D" w:rsidP="00E40581">
            <w:pPr>
              <w:rPr>
                <w:rFonts w:ascii="Times New Roman" w:hAnsi="Times New Roman" w:cs="Times New Roman"/>
                <w:sz w:val="18"/>
                <w:szCs w:val="18"/>
              </w:rPr>
            </w:pPr>
            <w:r>
              <w:rPr>
                <w:rFonts w:ascii="Times New Roman" w:hAnsi="Times New Roman" w:cs="Times New Roman"/>
                <w:sz w:val="18"/>
                <w:szCs w:val="18"/>
              </w:rPr>
              <w:t xml:space="preserve">Our previous phrasing implied that no changes are made from the restructuring. We rephrased this section such that it is more clear that functional redundancy helps with functional potential stability, but does not necessarily </w:t>
            </w:r>
            <w:r w:rsidR="00E40581">
              <w:rPr>
                <w:rFonts w:ascii="Times New Roman" w:hAnsi="Times New Roman" w:cs="Times New Roman"/>
                <w:sz w:val="18"/>
                <w:szCs w:val="18"/>
              </w:rPr>
              <w:t>result in complete recovery.</w:t>
            </w:r>
            <w:bookmarkStart w:id="0" w:name="_GoBack"/>
            <w:bookmarkEnd w:id="0"/>
          </w:p>
        </w:tc>
      </w:tr>
      <w:tr w:rsidR="00954EC4" w:rsidRPr="007C6ECF" w14:paraId="1804D08B" w14:textId="77777777" w:rsidTr="00691A0E">
        <w:tc>
          <w:tcPr>
            <w:tcW w:w="4675" w:type="dxa"/>
          </w:tcPr>
          <w:p w14:paraId="692BF6FD"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Line 121-130. Rewrite for clarity. This part is confusing. Why were some of the temporal samplings conducted at 5km from each other? Shouldn’t all samples have been collected in the exact same locations? Or nearby? How many replicates were collected within each location/time? </w:t>
            </w:r>
          </w:p>
        </w:tc>
        <w:tc>
          <w:tcPr>
            <w:tcW w:w="4675" w:type="dxa"/>
          </w:tcPr>
          <w:p w14:paraId="56AF23FF" w14:textId="175ABDE8" w:rsidR="00954EC4" w:rsidRPr="007C6ECF" w:rsidRDefault="00FC1223" w:rsidP="00FC1223">
            <w:pPr>
              <w:rPr>
                <w:rFonts w:ascii="Times New Roman" w:hAnsi="Times New Roman" w:cs="Times New Roman"/>
                <w:sz w:val="18"/>
                <w:szCs w:val="18"/>
              </w:rPr>
            </w:pPr>
            <w:r w:rsidRPr="007C6ECF">
              <w:rPr>
                <w:rFonts w:ascii="Times New Roman" w:hAnsi="Times New Roman" w:cs="Times New Roman"/>
                <w:sz w:val="18"/>
                <w:szCs w:val="18"/>
              </w:rPr>
              <w:t xml:space="preserve">This section was largely re-written to emphasize that there were two longitudinal </w:t>
            </w:r>
            <w:r w:rsidR="00257D63" w:rsidRPr="007C6ECF">
              <w:rPr>
                <w:rFonts w:ascii="Times New Roman" w:hAnsi="Times New Roman" w:cs="Times New Roman"/>
                <w:sz w:val="18"/>
                <w:szCs w:val="18"/>
              </w:rPr>
              <w:t>analyses</w:t>
            </w:r>
            <w:r w:rsidRPr="007C6ECF">
              <w:rPr>
                <w:rFonts w:ascii="Times New Roman" w:hAnsi="Times New Roman" w:cs="Times New Roman"/>
                <w:sz w:val="18"/>
                <w:szCs w:val="18"/>
              </w:rPr>
              <w:t xml:space="preserve"> in this work – the main time course from S1 (2014-2017), and the post-rain time course from S2 (2016-2017) shown in figure S3. Each time course consisted of samples harvested in one 50</w:t>
            </w:r>
            <w:r w:rsidRPr="007C6ECF">
              <w:rPr>
                <w:rFonts w:ascii="Times New Roman" w:hAnsi="Times New Roman" w:cs="Times New Roman"/>
                <w:sz w:val="18"/>
                <w:szCs w:val="18"/>
                <w:vertAlign w:val="superscript"/>
              </w:rPr>
              <w:t>2</w:t>
            </w:r>
            <w:r w:rsidRPr="007C6ECF">
              <w:rPr>
                <w:rFonts w:ascii="Times New Roman" w:hAnsi="Times New Roman" w:cs="Times New Roman"/>
                <w:sz w:val="18"/>
                <w:szCs w:val="18"/>
              </w:rPr>
              <w:t>m area.</w:t>
            </w:r>
          </w:p>
        </w:tc>
      </w:tr>
      <w:tr w:rsidR="00954EC4" w:rsidRPr="007C6ECF" w14:paraId="3ABC5985" w14:textId="77777777" w:rsidTr="00691A0E">
        <w:tc>
          <w:tcPr>
            <w:tcW w:w="4675" w:type="dxa"/>
          </w:tcPr>
          <w:p w14:paraId="0BC13559"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Line 289. Change “fate” to “changes”</w:t>
            </w:r>
          </w:p>
        </w:tc>
        <w:tc>
          <w:tcPr>
            <w:tcW w:w="4675" w:type="dxa"/>
          </w:tcPr>
          <w:p w14:paraId="0E284A70" w14:textId="44C70D5D" w:rsidR="00954EC4" w:rsidRPr="007C6ECF" w:rsidRDefault="00367E53" w:rsidP="00691A0E">
            <w:pPr>
              <w:rPr>
                <w:rFonts w:ascii="Times New Roman" w:hAnsi="Times New Roman" w:cs="Times New Roman"/>
                <w:sz w:val="18"/>
                <w:szCs w:val="18"/>
              </w:rPr>
            </w:pPr>
            <w:r w:rsidRPr="007C6ECF">
              <w:rPr>
                <w:rFonts w:ascii="Times New Roman" w:hAnsi="Times New Roman" w:cs="Times New Roman"/>
                <w:sz w:val="18"/>
                <w:szCs w:val="18"/>
              </w:rPr>
              <w:t>Changed section name to “Differences in salt adaptations likely drove changes in salt-in strategists”</w:t>
            </w:r>
          </w:p>
        </w:tc>
      </w:tr>
      <w:tr w:rsidR="00954EC4" w:rsidRPr="007C6ECF" w14:paraId="6D8E75D9" w14:textId="77777777" w:rsidTr="00691A0E">
        <w:tc>
          <w:tcPr>
            <w:tcW w:w="4675" w:type="dxa"/>
          </w:tcPr>
          <w:p w14:paraId="66C30AF2"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Lines 304-307. Can this permanent rearrangement in the microbial community be a consequence of the potential existence of relic DNA from bacterial and archaeal communities (which abundance was increased immediately after the rainfall event)? Statements such as “The permanently altered OTU composition of the community…” (line 311) cannot be supported by your current study. The same issue applies to lines 314-333. Perhaps you should not put the focus on these results.</w:t>
            </w:r>
          </w:p>
        </w:tc>
        <w:tc>
          <w:tcPr>
            <w:tcW w:w="4675" w:type="dxa"/>
          </w:tcPr>
          <w:p w14:paraId="6387D8A1" w14:textId="431DCB81" w:rsidR="00954EC4" w:rsidRPr="007C6ECF" w:rsidRDefault="00130685" w:rsidP="00DE5C40">
            <w:pPr>
              <w:rPr>
                <w:rFonts w:ascii="Times New Roman" w:hAnsi="Times New Roman" w:cs="Times New Roman"/>
                <w:sz w:val="18"/>
                <w:szCs w:val="18"/>
              </w:rPr>
            </w:pPr>
            <w:r>
              <w:rPr>
                <w:rFonts w:ascii="Times New Roman" w:hAnsi="Times New Roman" w:cs="Times New Roman"/>
                <w:sz w:val="18"/>
                <w:szCs w:val="18"/>
              </w:rPr>
              <w:t>This is an extremely interesting question and one that we failed to address. If significant fractions of the sequenced DNA were relic DNA, then we would not expect to see the disappearance of many MAGs/contigs</w:t>
            </w:r>
            <w:r w:rsidR="00DE5C40">
              <w:rPr>
                <w:rFonts w:ascii="Times New Roman" w:hAnsi="Times New Roman" w:cs="Times New Roman"/>
                <w:sz w:val="18"/>
                <w:szCs w:val="18"/>
              </w:rPr>
              <w:t xml:space="preserve"> after the rain</w:t>
            </w:r>
            <w:r>
              <w:rPr>
                <w:rFonts w:ascii="Times New Roman" w:hAnsi="Times New Roman" w:cs="Times New Roman"/>
                <w:sz w:val="18"/>
                <w:szCs w:val="18"/>
              </w:rPr>
              <w:t xml:space="preserve"> (Figs 3B, S4). The rain was not significant enough to “wash away” the DNA (24mm cumulative precipitation), but it likely transiently filled the rock’s pores with water, impacting the internal conditions. Because of these reasons we believe that we saw the taxonomic turnover </w:t>
            </w:r>
            <w:r w:rsidRPr="00DE5C40">
              <w:rPr>
                <w:rFonts w:ascii="Times New Roman" w:hAnsi="Times New Roman" w:cs="Times New Roman"/>
                <w:i/>
                <w:sz w:val="18"/>
                <w:szCs w:val="18"/>
              </w:rPr>
              <w:t>despite</w:t>
            </w:r>
            <w:r>
              <w:rPr>
                <w:rFonts w:ascii="Times New Roman" w:hAnsi="Times New Roman" w:cs="Times New Roman"/>
                <w:sz w:val="18"/>
                <w:szCs w:val="18"/>
              </w:rPr>
              <w:t xml:space="preserve"> any potentially present relic DNA, not because of it. As for introducing relic DNA from the rain, we do not observe this to occur at detectable levels because the DNA found in all the samples belong</w:t>
            </w:r>
            <w:r w:rsidR="00DE5C40">
              <w:rPr>
                <w:rFonts w:ascii="Times New Roman" w:hAnsi="Times New Roman" w:cs="Times New Roman"/>
                <w:sz w:val="18"/>
                <w:szCs w:val="18"/>
              </w:rPr>
              <w:t>ed</w:t>
            </w:r>
            <w:r>
              <w:rPr>
                <w:rFonts w:ascii="Times New Roman" w:hAnsi="Times New Roman" w:cs="Times New Roman"/>
                <w:sz w:val="18"/>
                <w:szCs w:val="18"/>
              </w:rPr>
              <w:t xml:space="preserve"> almost exclusively to </w:t>
            </w:r>
            <w:r w:rsidR="00DE5C40">
              <w:rPr>
                <w:rFonts w:ascii="Times New Roman" w:hAnsi="Times New Roman" w:cs="Times New Roman"/>
                <w:sz w:val="18"/>
                <w:szCs w:val="18"/>
              </w:rPr>
              <w:t xml:space="preserve">known </w:t>
            </w:r>
            <w:r>
              <w:rPr>
                <w:rFonts w:ascii="Times New Roman" w:hAnsi="Times New Roman" w:cs="Times New Roman"/>
                <w:sz w:val="18"/>
                <w:szCs w:val="18"/>
              </w:rPr>
              <w:t xml:space="preserve">halophiles, while the taxonomic composition of air/rainwater would likely contain a greater variety. </w:t>
            </w:r>
            <w:r w:rsidR="00DE5C40">
              <w:rPr>
                <w:rFonts w:ascii="Times New Roman" w:hAnsi="Times New Roman" w:cs="Times New Roman"/>
                <w:sz w:val="18"/>
                <w:szCs w:val="18"/>
              </w:rPr>
              <w:t>We added this important discussion to the manuscript.</w:t>
            </w:r>
          </w:p>
        </w:tc>
      </w:tr>
      <w:tr w:rsidR="00954EC4" w:rsidRPr="007C6ECF" w14:paraId="0988B0A5" w14:textId="77777777" w:rsidTr="00691A0E">
        <w:tc>
          <w:tcPr>
            <w:tcW w:w="4675" w:type="dxa"/>
          </w:tcPr>
          <w:p w14:paraId="0D4BEC1D"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Line 336. Was functional diversity (number of retrieved functional genes) affected? Also, you might want to clarify that all these analyses are based on potential functioning (relative gene abundance). Even if contingent taxa occupied the left functional niches after the rainfall event, and even if all functional gene were maintained in the community after such event, functional rates were not measured in this study, and therefore, whether ecosystem functionality was lost or gained cannot be addressed here. </w:t>
            </w:r>
          </w:p>
        </w:tc>
        <w:tc>
          <w:tcPr>
            <w:tcW w:w="4675" w:type="dxa"/>
          </w:tcPr>
          <w:p w14:paraId="34ADC5C4" w14:textId="3923C282" w:rsidR="00954EC4" w:rsidRPr="007C6ECF" w:rsidRDefault="004B5AB6" w:rsidP="003028ED">
            <w:pPr>
              <w:rPr>
                <w:rFonts w:ascii="Times New Roman" w:hAnsi="Times New Roman" w:cs="Times New Roman"/>
                <w:sz w:val="18"/>
                <w:szCs w:val="18"/>
              </w:rPr>
            </w:pPr>
            <w:r>
              <w:rPr>
                <w:rFonts w:ascii="Times New Roman" w:hAnsi="Times New Roman" w:cs="Times New Roman"/>
                <w:sz w:val="18"/>
                <w:szCs w:val="18"/>
              </w:rPr>
              <w:t>This is a good idea to test. After extensive testing at different coverage cut-offs, we conclude that the overall functional diversity was not affected. We added this information to the end of this section, and added the analysis approach to the Methods section.</w:t>
            </w:r>
            <w:r w:rsidR="003028ED">
              <w:rPr>
                <w:rFonts w:ascii="Times New Roman" w:hAnsi="Times New Roman" w:cs="Times New Roman"/>
                <w:sz w:val="18"/>
                <w:szCs w:val="18"/>
              </w:rPr>
              <w:t xml:space="preserve"> As for the study measuring functional potential as opposed to functioning, we completely agree that this is a major caveat of this analysis. We changed the name of this section to be more precise, and made it more clear that these results are based purely on gene abundance</w:t>
            </w:r>
            <w:r w:rsidR="00616514">
              <w:rPr>
                <w:rFonts w:ascii="Times New Roman" w:hAnsi="Times New Roman" w:cs="Times New Roman"/>
                <w:sz w:val="18"/>
                <w:szCs w:val="18"/>
              </w:rPr>
              <w:t xml:space="preserve"> (both functional potential results sections)</w:t>
            </w:r>
            <w:r w:rsidR="003028ED">
              <w:rPr>
                <w:rFonts w:ascii="Times New Roman" w:hAnsi="Times New Roman" w:cs="Times New Roman"/>
                <w:sz w:val="18"/>
                <w:szCs w:val="18"/>
              </w:rPr>
              <w:t xml:space="preserve">. </w:t>
            </w:r>
          </w:p>
        </w:tc>
      </w:tr>
      <w:tr w:rsidR="00954EC4" w:rsidRPr="007C6ECF" w14:paraId="10B49115" w14:textId="77777777" w:rsidTr="00691A0E">
        <w:tc>
          <w:tcPr>
            <w:tcW w:w="4675" w:type="dxa"/>
          </w:tcPr>
          <w:p w14:paraId="5BED6582" w14:textId="77777777" w:rsidR="00954EC4" w:rsidRPr="007C6ECF" w:rsidRDefault="00954EC4" w:rsidP="00691A0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Lines 367-376. Did you consider that perhaps the changes in microbial communities after the rainfall events were related to the microbial community contained within the water from the rainfall? e.g., see </w:t>
            </w:r>
            <w:hyperlink r:id="rId5" w:history="1">
              <w:r w:rsidRPr="007C6ECF">
                <w:rPr>
                  <w:rFonts w:ascii="Times New Roman" w:hAnsi="Times New Roman" w:cs="Times New Roman"/>
                  <w:color w:val="386EFF"/>
                  <w:sz w:val="18"/>
                  <w:szCs w:val="18"/>
                  <w:u w:val="single" w:color="386EFF"/>
                </w:rPr>
                <w:t>https://www.pnas.org/content/115/48/12229.</w:t>
              </w:r>
            </w:hyperlink>
            <w:r w:rsidRPr="007C6ECF">
              <w:rPr>
                <w:rFonts w:ascii="Times New Roman" w:hAnsi="Times New Roman" w:cs="Times New Roman"/>
                <w:sz w:val="18"/>
                <w:szCs w:val="18"/>
              </w:rPr>
              <w:t xml:space="preserve"> Considering the low microbial biomass typically found in this type of deserts, and the fact that sequencing only sequences a % of all reads in a given sample, this could be an issue. i.e., how do you know whether these new microbial communities were ever active/alive? I mean, for how long can a water pulse of 4.1mm influence environmental moisture in a desert? A few days? Are you indirectly measuring how the DNA which was contained within the water from the rainfall degrades over time, rather than the changes in active microbial communities? All these issues should be properly discussed. </w:t>
            </w:r>
          </w:p>
        </w:tc>
        <w:tc>
          <w:tcPr>
            <w:tcW w:w="4675" w:type="dxa"/>
          </w:tcPr>
          <w:p w14:paraId="3D5C1594" w14:textId="271BF564" w:rsidR="00954EC4" w:rsidRPr="007C6ECF" w:rsidRDefault="00AD1D66" w:rsidP="00AD1D66">
            <w:pPr>
              <w:rPr>
                <w:rFonts w:ascii="Times New Roman" w:hAnsi="Times New Roman" w:cs="Times New Roman"/>
                <w:sz w:val="18"/>
                <w:szCs w:val="18"/>
              </w:rPr>
            </w:pPr>
            <w:r>
              <w:rPr>
                <w:rFonts w:ascii="Times New Roman" w:hAnsi="Times New Roman" w:cs="Times New Roman"/>
                <w:sz w:val="18"/>
                <w:szCs w:val="18"/>
              </w:rPr>
              <w:t>This is certainly a possibility, and we thank the reviewer for inciting this discussion. The linked paper was also useful in supporting our point. Introduction of foreign microbiota from the atmosphere is unlikely to occur at significant</w:t>
            </w:r>
            <w:r w:rsidR="002B43F1">
              <w:rPr>
                <w:rFonts w:ascii="Times New Roman" w:hAnsi="Times New Roman" w:cs="Times New Roman"/>
                <w:sz w:val="18"/>
                <w:szCs w:val="18"/>
              </w:rPr>
              <w:t xml:space="preserve"> levels </w:t>
            </w:r>
            <w:r>
              <w:rPr>
                <w:rFonts w:ascii="Times New Roman" w:hAnsi="Times New Roman" w:cs="Times New Roman"/>
                <w:sz w:val="18"/>
                <w:szCs w:val="18"/>
              </w:rPr>
              <w:t xml:space="preserve">relative to the native biomass of the halites, since </w:t>
            </w:r>
            <w:r w:rsidR="002B43F1">
              <w:rPr>
                <w:rFonts w:ascii="Times New Roman" w:hAnsi="Times New Roman" w:cs="Times New Roman"/>
                <w:sz w:val="18"/>
                <w:szCs w:val="18"/>
              </w:rPr>
              <w:t>the DNA found in all the samples belonged almost exclusively to known halophiles, while the taxonomic composition of air/rainwater would likely contain a greater variety. We added this important discussion to the manuscript.</w:t>
            </w:r>
            <w:r>
              <w:rPr>
                <w:rFonts w:ascii="Times New Roman" w:hAnsi="Times New Roman" w:cs="Times New Roman"/>
                <w:sz w:val="18"/>
                <w:szCs w:val="18"/>
              </w:rPr>
              <w:t xml:space="preserve"> We added the discussion on the potential impact of relic/foregn DNA on this study. Also, further analysis of local weather changes over the course of the study (which was prompted by reviewer #1) led us to find a second overlooked rain event shortly before the 2016 sampling, so the cumulative precipitation was 24.2mm (</w:t>
            </w:r>
            <w:r w:rsidR="00EC2A1D">
              <w:rPr>
                <w:rFonts w:ascii="Times New Roman" w:hAnsi="Times New Roman" w:cs="Times New Roman"/>
                <w:sz w:val="18"/>
                <w:szCs w:val="18"/>
              </w:rPr>
              <w:t>see Metho</w:t>
            </w:r>
            <w:r>
              <w:rPr>
                <w:rFonts w:ascii="Times New Roman" w:hAnsi="Times New Roman" w:cs="Times New Roman"/>
                <w:sz w:val="18"/>
                <w:szCs w:val="18"/>
              </w:rPr>
              <w:t>ds; Fig S1).</w:t>
            </w:r>
          </w:p>
        </w:tc>
      </w:tr>
      <w:tr w:rsidR="00954EC4" w:rsidRPr="007C6ECF" w14:paraId="7D943F08" w14:textId="77777777" w:rsidTr="00191A9E">
        <w:tc>
          <w:tcPr>
            <w:tcW w:w="4675" w:type="dxa"/>
          </w:tcPr>
          <w:p w14:paraId="7A2E7C96" w14:textId="77777777" w:rsidR="00954EC4" w:rsidRPr="007C6ECF" w:rsidRDefault="00954EC4" w:rsidP="00191A9E">
            <w:pPr>
              <w:widowControl w:val="0"/>
              <w:autoSpaceDE w:val="0"/>
              <w:autoSpaceDN w:val="0"/>
              <w:adjustRightInd w:val="0"/>
              <w:rPr>
                <w:rFonts w:ascii="Times New Roman" w:hAnsi="Times New Roman" w:cs="Times New Roman"/>
                <w:sz w:val="18"/>
                <w:szCs w:val="18"/>
              </w:rPr>
            </w:pPr>
            <w:r w:rsidRPr="007C6ECF">
              <w:rPr>
                <w:rFonts w:ascii="Times New Roman" w:hAnsi="Times New Roman" w:cs="Times New Roman"/>
                <w:sz w:val="18"/>
                <w:szCs w:val="18"/>
              </w:rPr>
              <w:t xml:space="preserve">Figure S1 could be moved to the main text. This is a great figure. </w:t>
            </w:r>
          </w:p>
        </w:tc>
        <w:tc>
          <w:tcPr>
            <w:tcW w:w="4675" w:type="dxa"/>
          </w:tcPr>
          <w:p w14:paraId="646E7BE7" w14:textId="55AF123F" w:rsidR="00954EC4" w:rsidRPr="007C6ECF" w:rsidRDefault="00375556" w:rsidP="00E956E6">
            <w:pPr>
              <w:rPr>
                <w:rFonts w:ascii="Times New Roman" w:hAnsi="Times New Roman" w:cs="Times New Roman"/>
                <w:sz w:val="18"/>
                <w:szCs w:val="18"/>
              </w:rPr>
            </w:pPr>
            <w:r>
              <w:rPr>
                <w:rFonts w:ascii="Times New Roman" w:hAnsi="Times New Roman" w:cs="Times New Roman"/>
                <w:sz w:val="18"/>
                <w:szCs w:val="18"/>
              </w:rPr>
              <w:t>We took up this suggesti</w:t>
            </w:r>
            <w:r w:rsidR="00433F97">
              <w:rPr>
                <w:rFonts w:ascii="Times New Roman" w:hAnsi="Times New Roman" w:cs="Times New Roman"/>
                <w:sz w:val="18"/>
                <w:szCs w:val="18"/>
              </w:rPr>
              <w:t xml:space="preserve">on and made </w:t>
            </w:r>
            <w:r w:rsidR="00E956E6">
              <w:rPr>
                <w:rFonts w:ascii="Times New Roman" w:hAnsi="Times New Roman" w:cs="Times New Roman"/>
                <w:sz w:val="18"/>
                <w:szCs w:val="18"/>
              </w:rPr>
              <w:t>this</w:t>
            </w:r>
            <w:r w:rsidR="00433F97">
              <w:rPr>
                <w:rFonts w:ascii="Times New Roman" w:hAnsi="Times New Roman" w:cs="Times New Roman"/>
                <w:sz w:val="18"/>
                <w:szCs w:val="18"/>
              </w:rPr>
              <w:t xml:space="preserve"> Fig. 1</w:t>
            </w:r>
            <w:r w:rsidR="00E956E6">
              <w:rPr>
                <w:rFonts w:ascii="Times New Roman" w:hAnsi="Times New Roman" w:cs="Times New Roman"/>
                <w:sz w:val="18"/>
                <w:szCs w:val="18"/>
              </w:rPr>
              <w:t xml:space="preserve"> in the main text</w:t>
            </w:r>
            <w:r>
              <w:rPr>
                <w:rFonts w:ascii="Times New Roman" w:hAnsi="Times New Roman" w:cs="Times New Roman"/>
                <w:sz w:val="18"/>
                <w:szCs w:val="18"/>
              </w:rPr>
              <w:t>.</w:t>
            </w:r>
            <w:r w:rsidR="00433F97">
              <w:rPr>
                <w:rFonts w:ascii="Times New Roman" w:hAnsi="Times New Roman" w:cs="Times New Roman"/>
                <w:sz w:val="18"/>
                <w:szCs w:val="18"/>
              </w:rPr>
              <w:t xml:space="preserve"> Fig S1 now shows the climate data for the time series, as requested by Referee #1.</w:t>
            </w:r>
          </w:p>
        </w:tc>
      </w:tr>
    </w:tbl>
    <w:p w14:paraId="3B43083F" w14:textId="77777777" w:rsidR="00191A9E" w:rsidRPr="007C6ECF" w:rsidRDefault="00191A9E">
      <w:pPr>
        <w:rPr>
          <w:rFonts w:ascii="Times New Roman" w:hAnsi="Times New Roman" w:cs="Times New Roman"/>
          <w:sz w:val="18"/>
          <w:szCs w:val="18"/>
        </w:rPr>
      </w:pPr>
    </w:p>
    <w:sectPr w:rsidR="00191A9E" w:rsidRPr="007C6ECF"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7A0910"/>
    <w:multiLevelType w:val="hybridMultilevel"/>
    <w:tmpl w:val="CC7C25A2"/>
    <w:lvl w:ilvl="0" w:tplc="16B44282">
      <w:start w:val="440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A9E"/>
    <w:rsid w:val="000323FB"/>
    <w:rsid w:val="00074741"/>
    <w:rsid w:val="00092FFA"/>
    <w:rsid w:val="000B6805"/>
    <w:rsid w:val="00107088"/>
    <w:rsid w:val="001135AB"/>
    <w:rsid w:val="0011670E"/>
    <w:rsid w:val="00130685"/>
    <w:rsid w:val="00181C9E"/>
    <w:rsid w:val="00191A9E"/>
    <w:rsid w:val="00193D0D"/>
    <w:rsid w:val="001B48CE"/>
    <w:rsid w:val="001C072D"/>
    <w:rsid w:val="001C0B90"/>
    <w:rsid w:val="001C2B13"/>
    <w:rsid w:val="00200456"/>
    <w:rsid w:val="00207CF0"/>
    <w:rsid w:val="00212286"/>
    <w:rsid w:val="00240061"/>
    <w:rsid w:val="0025594D"/>
    <w:rsid w:val="00257D63"/>
    <w:rsid w:val="00280773"/>
    <w:rsid w:val="002B43F1"/>
    <w:rsid w:val="002B47DA"/>
    <w:rsid w:val="002B5C58"/>
    <w:rsid w:val="002D2EC5"/>
    <w:rsid w:val="003028ED"/>
    <w:rsid w:val="00323DA8"/>
    <w:rsid w:val="00344047"/>
    <w:rsid w:val="00350CAC"/>
    <w:rsid w:val="00367E53"/>
    <w:rsid w:val="00373152"/>
    <w:rsid w:val="003753B7"/>
    <w:rsid w:val="00375556"/>
    <w:rsid w:val="00377809"/>
    <w:rsid w:val="00381D08"/>
    <w:rsid w:val="003A5490"/>
    <w:rsid w:val="003B3B54"/>
    <w:rsid w:val="003C61EB"/>
    <w:rsid w:val="00400CBB"/>
    <w:rsid w:val="00403CDF"/>
    <w:rsid w:val="004101A0"/>
    <w:rsid w:val="00433F97"/>
    <w:rsid w:val="00441B3F"/>
    <w:rsid w:val="00472DBB"/>
    <w:rsid w:val="00473011"/>
    <w:rsid w:val="00496844"/>
    <w:rsid w:val="004B5AB6"/>
    <w:rsid w:val="004D3E95"/>
    <w:rsid w:val="004E0339"/>
    <w:rsid w:val="004E2FBC"/>
    <w:rsid w:val="004F6383"/>
    <w:rsid w:val="005127CE"/>
    <w:rsid w:val="00521FE9"/>
    <w:rsid w:val="005638AC"/>
    <w:rsid w:val="005B3B7C"/>
    <w:rsid w:val="005C3AAE"/>
    <w:rsid w:val="005E39DA"/>
    <w:rsid w:val="005F63BB"/>
    <w:rsid w:val="005F7EDF"/>
    <w:rsid w:val="00612603"/>
    <w:rsid w:val="00616514"/>
    <w:rsid w:val="00625435"/>
    <w:rsid w:val="00631E57"/>
    <w:rsid w:val="00656DDF"/>
    <w:rsid w:val="00680A1F"/>
    <w:rsid w:val="00684740"/>
    <w:rsid w:val="006E3894"/>
    <w:rsid w:val="007303AA"/>
    <w:rsid w:val="00762B5F"/>
    <w:rsid w:val="00763C4F"/>
    <w:rsid w:val="0079130C"/>
    <w:rsid w:val="007B0BBB"/>
    <w:rsid w:val="007C2186"/>
    <w:rsid w:val="007C6ECF"/>
    <w:rsid w:val="007D44AD"/>
    <w:rsid w:val="007F19FF"/>
    <w:rsid w:val="00806217"/>
    <w:rsid w:val="00822FD6"/>
    <w:rsid w:val="0082482C"/>
    <w:rsid w:val="00830865"/>
    <w:rsid w:val="00846DB0"/>
    <w:rsid w:val="008479C1"/>
    <w:rsid w:val="0086294F"/>
    <w:rsid w:val="0087344D"/>
    <w:rsid w:val="0088695B"/>
    <w:rsid w:val="00891030"/>
    <w:rsid w:val="008A3187"/>
    <w:rsid w:val="00904074"/>
    <w:rsid w:val="00910F50"/>
    <w:rsid w:val="00916967"/>
    <w:rsid w:val="00954EC4"/>
    <w:rsid w:val="009662B5"/>
    <w:rsid w:val="00967286"/>
    <w:rsid w:val="00983664"/>
    <w:rsid w:val="009A27ED"/>
    <w:rsid w:val="009D7E41"/>
    <w:rsid w:val="009E2FB5"/>
    <w:rsid w:val="009F19C1"/>
    <w:rsid w:val="00A72B9A"/>
    <w:rsid w:val="00AB35E9"/>
    <w:rsid w:val="00AD1D66"/>
    <w:rsid w:val="00AE132A"/>
    <w:rsid w:val="00AF4336"/>
    <w:rsid w:val="00B34C94"/>
    <w:rsid w:val="00B6222E"/>
    <w:rsid w:val="00B6388C"/>
    <w:rsid w:val="00BF2D61"/>
    <w:rsid w:val="00C02774"/>
    <w:rsid w:val="00C04590"/>
    <w:rsid w:val="00C327CF"/>
    <w:rsid w:val="00C53107"/>
    <w:rsid w:val="00C714E8"/>
    <w:rsid w:val="00C752DB"/>
    <w:rsid w:val="00C827F2"/>
    <w:rsid w:val="00C90B7E"/>
    <w:rsid w:val="00C95845"/>
    <w:rsid w:val="00CA6784"/>
    <w:rsid w:val="00CC62A5"/>
    <w:rsid w:val="00CC65E7"/>
    <w:rsid w:val="00CE4105"/>
    <w:rsid w:val="00CF11DB"/>
    <w:rsid w:val="00D07346"/>
    <w:rsid w:val="00D129CB"/>
    <w:rsid w:val="00D15BB5"/>
    <w:rsid w:val="00D16DB7"/>
    <w:rsid w:val="00D23C7C"/>
    <w:rsid w:val="00D47843"/>
    <w:rsid w:val="00D575E3"/>
    <w:rsid w:val="00DB6995"/>
    <w:rsid w:val="00DC1EC2"/>
    <w:rsid w:val="00DE5C40"/>
    <w:rsid w:val="00E008C3"/>
    <w:rsid w:val="00E1600E"/>
    <w:rsid w:val="00E24E8A"/>
    <w:rsid w:val="00E40581"/>
    <w:rsid w:val="00E65F36"/>
    <w:rsid w:val="00E74147"/>
    <w:rsid w:val="00E87DC5"/>
    <w:rsid w:val="00E920C7"/>
    <w:rsid w:val="00E956E6"/>
    <w:rsid w:val="00E967DF"/>
    <w:rsid w:val="00EC063B"/>
    <w:rsid w:val="00EC2A1D"/>
    <w:rsid w:val="00EE08F8"/>
    <w:rsid w:val="00EE444B"/>
    <w:rsid w:val="00EF406B"/>
    <w:rsid w:val="00F0616F"/>
    <w:rsid w:val="00F169B2"/>
    <w:rsid w:val="00F301B0"/>
    <w:rsid w:val="00F42F2B"/>
    <w:rsid w:val="00F53643"/>
    <w:rsid w:val="00FB4AC9"/>
    <w:rsid w:val="00FB60B2"/>
    <w:rsid w:val="00FB6597"/>
    <w:rsid w:val="00FC1223"/>
    <w:rsid w:val="00FF0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6F4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
    <w:name w:val="Head"/>
    <w:basedOn w:val="Normal"/>
    <w:rsid w:val="00191A9E"/>
    <w:pPr>
      <w:keepNext/>
      <w:spacing w:before="120" w:after="120"/>
      <w:jc w:val="center"/>
      <w:outlineLvl w:val="0"/>
    </w:pPr>
    <w:rPr>
      <w:rFonts w:ascii="Times New Roman" w:eastAsia="Times New Roman" w:hAnsi="Times New Roman" w:cs="Times New Roman"/>
      <w:b/>
      <w:bCs/>
      <w:kern w:val="28"/>
      <w:sz w:val="28"/>
      <w:szCs w:val="28"/>
    </w:rPr>
  </w:style>
  <w:style w:type="paragraph" w:styleId="ListParagraph">
    <w:name w:val="List Paragraph"/>
    <w:basedOn w:val="Normal"/>
    <w:uiPriority w:val="34"/>
    <w:qFormat/>
    <w:rsid w:val="00473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nas.org/content/115/48/12229."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2153</TotalTime>
  <Pages>6</Pages>
  <Words>3437</Words>
  <Characters>19593</Characters>
  <Application>Microsoft Macintosh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57</cp:revision>
  <dcterms:created xsi:type="dcterms:W3CDTF">2019-03-15T16:01:00Z</dcterms:created>
  <dcterms:modified xsi:type="dcterms:W3CDTF">2019-03-21T15:39:00Z</dcterms:modified>
</cp:coreProperties>
</file>