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4ED72ABD" w:rsidR="00AC79B3" w:rsidRPr="004B40A6" w:rsidRDefault="00AC79B3" w:rsidP="004D682B">
      <w:pPr>
        <w:jc w:val="center"/>
        <w:rPr>
          <w:rFonts w:ascii="Arial" w:hAnsi="Arial" w:cs="Arial"/>
          <w:b/>
          <w:sz w:val="28"/>
          <w:szCs w:val="28"/>
        </w:rPr>
      </w:pPr>
      <w:r w:rsidRPr="004B40A6">
        <w:rPr>
          <w:rFonts w:ascii="Arial" w:hAnsi="Arial" w:cs="Arial"/>
          <w:b/>
          <w:sz w:val="28"/>
          <w:szCs w:val="28"/>
        </w:rPr>
        <w:t xml:space="preserve">Response </w:t>
      </w:r>
      <w:r w:rsidR="00B05421" w:rsidRPr="004B40A6">
        <w:rPr>
          <w:rFonts w:ascii="Arial" w:hAnsi="Arial" w:cs="Arial"/>
          <w:b/>
          <w:sz w:val="28"/>
          <w:szCs w:val="28"/>
        </w:rPr>
        <w:t>of extremophile microbiome</w:t>
      </w:r>
      <w:r w:rsidRPr="004B40A6">
        <w:rPr>
          <w:rFonts w:ascii="Arial" w:hAnsi="Arial" w:cs="Arial"/>
          <w:b/>
          <w:sz w:val="28"/>
          <w:szCs w:val="28"/>
        </w:rPr>
        <w:t xml:space="preserve"> to major climatic perturbation reveals two distinct </w:t>
      </w:r>
      <w:r w:rsidR="00B05421" w:rsidRPr="004B40A6">
        <w:rPr>
          <w:rFonts w:ascii="Arial" w:hAnsi="Arial" w:cs="Arial"/>
          <w:b/>
          <w:sz w:val="28"/>
          <w:szCs w:val="28"/>
        </w:rPr>
        <w:t xml:space="preserve">community </w:t>
      </w:r>
      <w:r w:rsidRPr="004B40A6">
        <w:rPr>
          <w:rFonts w:ascii="Arial" w:hAnsi="Arial" w:cs="Arial"/>
          <w:b/>
          <w:sz w:val="28"/>
          <w:szCs w:val="28"/>
        </w:rPr>
        <w:t>adaptation strategies</w:t>
      </w:r>
    </w:p>
    <w:p w14:paraId="2F8F759E" w14:textId="77777777" w:rsidR="004D682B" w:rsidRPr="004B40A6" w:rsidRDefault="004D682B" w:rsidP="00AC79B3">
      <w:pPr>
        <w:jc w:val="center"/>
        <w:rPr>
          <w:rFonts w:ascii="Arial" w:hAnsi="Arial" w:cs="Arial"/>
          <w:sz w:val="22"/>
          <w:szCs w:val="22"/>
        </w:rPr>
      </w:pPr>
    </w:p>
    <w:p w14:paraId="451E3A66" w14:textId="22BD38C1" w:rsidR="00AC79B3" w:rsidRPr="004B40A6" w:rsidRDefault="004D5175" w:rsidP="00AC79B3">
      <w:pPr>
        <w:jc w:val="center"/>
        <w:rPr>
          <w:rFonts w:ascii="Arial" w:hAnsi="Arial" w:cs="Arial"/>
          <w:sz w:val="22"/>
          <w:szCs w:val="22"/>
        </w:rPr>
      </w:pPr>
      <w:r w:rsidRPr="004B40A6">
        <w:rPr>
          <w:rFonts w:ascii="Arial" w:hAnsi="Arial" w:cs="Arial"/>
          <w:sz w:val="22"/>
          <w:szCs w:val="22"/>
        </w:rPr>
        <w:t xml:space="preserve">Gherman Uritskiy, </w:t>
      </w:r>
      <w:r w:rsidR="00C01274" w:rsidRPr="004B40A6">
        <w:rPr>
          <w:rFonts w:ascii="Arial" w:hAnsi="Arial" w:cs="Arial"/>
          <w:sz w:val="22"/>
          <w:szCs w:val="22"/>
        </w:rPr>
        <w:t xml:space="preserve">Samantha </w:t>
      </w:r>
      <w:proofErr w:type="spellStart"/>
      <w:r w:rsidR="00C01274" w:rsidRPr="004B40A6">
        <w:rPr>
          <w:rFonts w:ascii="Arial" w:hAnsi="Arial" w:cs="Arial"/>
          <w:sz w:val="22"/>
          <w:szCs w:val="22"/>
        </w:rPr>
        <w:t>Getsin</w:t>
      </w:r>
      <w:proofErr w:type="spellEnd"/>
      <w:r w:rsidR="00C01274" w:rsidRPr="004B40A6">
        <w:rPr>
          <w:rFonts w:ascii="Arial" w:hAnsi="Arial" w:cs="Arial"/>
          <w:sz w:val="22"/>
          <w:szCs w:val="22"/>
        </w:rPr>
        <w:t xml:space="preserve">, </w:t>
      </w:r>
      <w:r w:rsidRPr="004B40A6">
        <w:rPr>
          <w:rFonts w:ascii="Arial" w:hAnsi="Arial" w:cs="Arial"/>
          <w:sz w:val="22"/>
          <w:szCs w:val="22"/>
        </w:rPr>
        <w:t>Adam Munn</w:t>
      </w:r>
      <w:r w:rsidR="00C01274" w:rsidRPr="004B40A6">
        <w:rPr>
          <w:rFonts w:ascii="Arial" w:hAnsi="Arial" w:cs="Arial"/>
          <w:sz w:val="22"/>
          <w:szCs w:val="22"/>
        </w:rPr>
        <w:t>,</w:t>
      </w:r>
    </w:p>
    <w:p w14:paraId="7D4C2F0C" w14:textId="7EB03376" w:rsidR="004D5175" w:rsidRPr="004B40A6" w:rsidRDefault="004D5175" w:rsidP="00AC79B3">
      <w:pPr>
        <w:jc w:val="center"/>
        <w:rPr>
          <w:rFonts w:ascii="Arial" w:hAnsi="Arial" w:cs="Arial"/>
          <w:sz w:val="22"/>
          <w:szCs w:val="22"/>
        </w:rPr>
      </w:pPr>
      <w:r w:rsidRPr="004B40A6">
        <w:rPr>
          <w:rFonts w:ascii="Arial" w:hAnsi="Arial" w:cs="Arial"/>
          <w:sz w:val="22"/>
          <w:szCs w:val="22"/>
        </w:rPr>
        <w:t>James Taylor</w:t>
      </w:r>
      <w:r w:rsidR="00273712" w:rsidRPr="004B40A6">
        <w:rPr>
          <w:rFonts w:ascii="Arial" w:hAnsi="Arial" w:cs="Arial"/>
          <w:sz w:val="22"/>
          <w:szCs w:val="22"/>
        </w:rPr>
        <w:t>*</w:t>
      </w:r>
      <w:r w:rsidRPr="004B40A6">
        <w:rPr>
          <w:rFonts w:ascii="Arial" w:hAnsi="Arial" w:cs="Arial"/>
          <w:sz w:val="22"/>
          <w:szCs w:val="22"/>
        </w:rPr>
        <w:t xml:space="preserve"> and Jocelyne </w:t>
      </w:r>
      <w:proofErr w:type="spellStart"/>
      <w:r w:rsidRPr="004B40A6">
        <w:rPr>
          <w:rFonts w:ascii="Arial" w:hAnsi="Arial" w:cs="Arial"/>
          <w:sz w:val="22"/>
          <w:szCs w:val="22"/>
        </w:rPr>
        <w:t>DiRuggiero</w:t>
      </w:r>
      <w:proofErr w:type="spellEnd"/>
      <w:r w:rsidR="00273712" w:rsidRPr="004B40A6">
        <w:rPr>
          <w:rFonts w:ascii="Arial" w:hAnsi="Arial" w:cs="Arial"/>
          <w:sz w:val="22"/>
          <w:szCs w:val="22"/>
        </w:rPr>
        <w:t>*</w:t>
      </w:r>
    </w:p>
    <w:p w14:paraId="594BB1E0" w14:textId="77777777" w:rsidR="00AC79B3" w:rsidRPr="004B40A6" w:rsidRDefault="00AC79B3" w:rsidP="005863A8">
      <w:pPr>
        <w:rPr>
          <w:rFonts w:ascii="Arial" w:hAnsi="Arial" w:cs="Arial"/>
          <w:sz w:val="22"/>
          <w:szCs w:val="22"/>
        </w:rPr>
      </w:pPr>
    </w:p>
    <w:p w14:paraId="7390A0C5" w14:textId="1D762A91" w:rsidR="005863A8" w:rsidRPr="004B40A6" w:rsidRDefault="005863A8" w:rsidP="005863A8">
      <w:pPr>
        <w:rPr>
          <w:rFonts w:ascii="Arial" w:hAnsi="Arial" w:cs="Arial"/>
          <w:b/>
          <w:sz w:val="22"/>
          <w:szCs w:val="22"/>
        </w:rPr>
      </w:pPr>
      <w:r w:rsidRPr="004B40A6">
        <w:rPr>
          <w:rFonts w:ascii="Arial" w:hAnsi="Arial" w:cs="Arial"/>
          <w:b/>
          <w:sz w:val="22"/>
          <w:szCs w:val="22"/>
        </w:rPr>
        <w:t>INTRODUCTION</w:t>
      </w:r>
    </w:p>
    <w:p w14:paraId="0E749A4F" w14:textId="2FE69390" w:rsidR="005863A8" w:rsidRPr="004B40A6" w:rsidRDefault="005863A8" w:rsidP="005863A8">
      <w:pPr>
        <w:rPr>
          <w:rFonts w:ascii="Arial" w:hAnsi="Arial" w:cs="Arial"/>
          <w:sz w:val="22"/>
          <w:szCs w:val="22"/>
        </w:rPr>
      </w:pPr>
      <w:r w:rsidRPr="004B40A6">
        <w:rPr>
          <w:rFonts w:ascii="Arial" w:hAnsi="Arial" w:cs="Arial"/>
          <w:sz w:val="22"/>
          <w:szCs w:val="22"/>
        </w:rPr>
        <w:tab/>
        <w:t xml:space="preserve">Due to the vast taxonomic and functional diversity </w:t>
      </w:r>
      <w:r w:rsidR="004D682B" w:rsidRPr="004B40A6">
        <w:rPr>
          <w:rFonts w:ascii="Arial" w:hAnsi="Arial" w:cs="Arial"/>
          <w:sz w:val="22"/>
          <w:szCs w:val="22"/>
        </w:rPr>
        <w:t>found in</w:t>
      </w:r>
      <w:r w:rsidRPr="004B40A6">
        <w:rPr>
          <w:rFonts w:ascii="Arial" w:hAnsi="Arial" w:cs="Arial"/>
          <w:sz w:val="22"/>
          <w:szCs w:val="22"/>
        </w:rPr>
        <w:t xml:space="preserve"> microbial communities, </w:t>
      </w:r>
      <w:r w:rsidR="004D682B" w:rsidRPr="004B40A6">
        <w:rPr>
          <w:rFonts w:ascii="Arial" w:hAnsi="Arial" w:cs="Arial"/>
          <w:sz w:val="22"/>
          <w:szCs w:val="22"/>
        </w:rPr>
        <w:t xml:space="preserve">they </w:t>
      </w:r>
      <w:r w:rsidRPr="004B40A6">
        <w:rPr>
          <w:rFonts w:ascii="Arial" w:hAnsi="Arial" w:cs="Arial"/>
          <w:sz w:val="22"/>
          <w:szCs w:val="22"/>
        </w:rPr>
        <w:t>have an incredible ability to change, adapt to, and recover from a wide variety of environmental changes</w:t>
      </w:r>
      <w:r w:rsidR="00324ABC" w:rsidRPr="004B40A6">
        <w:rPr>
          <w:rFonts w:ascii="Arial" w:hAnsi="Arial" w:cs="Arial"/>
          <w:sz w:val="22"/>
          <w:szCs w:val="22"/>
        </w:rPr>
        <w:t xml:space="preserve"> </w:t>
      </w:r>
      <w:r w:rsidR="005C032B" w:rsidRPr="004B40A6">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5C032B" w:rsidRPr="004B40A6">
        <w:rPr>
          <w:rFonts w:ascii="Arial" w:hAnsi="Arial" w:cs="Arial"/>
          <w:sz w:val="22"/>
          <w:szCs w:val="22"/>
        </w:rPr>
        <w:instrText xml:space="preserve"> ADDIN EN.CITE </w:instrText>
      </w:r>
      <w:r w:rsidR="005C032B" w:rsidRPr="004B40A6">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5C032B" w:rsidRPr="004B40A6">
        <w:rPr>
          <w:rFonts w:ascii="Arial" w:hAnsi="Arial" w:cs="Arial"/>
          <w:sz w:val="22"/>
          <w:szCs w:val="22"/>
        </w:rPr>
        <w:instrText xml:space="preserve"> ADDIN EN.CITE.DATA </w:instrText>
      </w:r>
      <w:r w:rsidR="005C032B" w:rsidRPr="004B40A6">
        <w:rPr>
          <w:rFonts w:ascii="Arial" w:hAnsi="Arial" w:cs="Arial"/>
          <w:sz w:val="22"/>
          <w:szCs w:val="22"/>
        </w:rPr>
      </w:r>
      <w:r w:rsidR="005C032B" w:rsidRPr="004B40A6">
        <w:rPr>
          <w:rFonts w:ascii="Arial" w:hAnsi="Arial" w:cs="Arial"/>
          <w:sz w:val="22"/>
          <w:szCs w:val="22"/>
        </w:rPr>
        <w:fldChar w:fldCharType="end"/>
      </w:r>
      <w:r w:rsidR="005C032B" w:rsidRPr="004B40A6">
        <w:rPr>
          <w:rFonts w:ascii="Arial" w:hAnsi="Arial" w:cs="Arial"/>
          <w:sz w:val="22"/>
          <w:szCs w:val="22"/>
        </w:rPr>
      </w:r>
      <w:r w:rsidR="005C032B" w:rsidRPr="004B40A6">
        <w:rPr>
          <w:rFonts w:ascii="Arial" w:hAnsi="Arial" w:cs="Arial"/>
          <w:sz w:val="22"/>
          <w:szCs w:val="22"/>
        </w:rPr>
        <w:fldChar w:fldCharType="separate"/>
      </w:r>
      <w:r w:rsidR="005C032B" w:rsidRPr="004B40A6">
        <w:rPr>
          <w:rFonts w:ascii="Arial" w:hAnsi="Arial" w:cs="Arial"/>
          <w:noProof/>
          <w:sz w:val="22"/>
          <w:szCs w:val="22"/>
        </w:rPr>
        <w:t>[1, 2]</w:t>
      </w:r>
      <w:r w:rsidR="005C032B" w:rsidRPr="004B40A6">
        <w:rPr>
          <w:rFonts w:ascii="Arial" w:hAnsi="Arial" w:cs="Arial"/>
          <w:sz w:val="22"/>
          <w:szCs w:val="22"/>
        </w:rPr>
        <w:fldChar w:fldCharType="end"/>
      </w:r>
      <w:r w:rsidRPr="004B40A6">
        <w:rPr>
          <w:rFonts w:ascii="Arial" w:hAnsi="Arial" w:cs="Arial"/>
          <w:sz w:val="22"/>
          <w:szCs w:val="22"/>
        </w:rPr>
        <w:t xml:space="preserve">. While the microbiome’s higher-order taxonomic composition </w:t>
      </w:r>
      <w:r w:rsidR="004D682B" w:rsidRPr="004B40A6">
        <w:rPr>
          <w:rFonts w:ascii="Arial" w:hAnsi="Arial" w:cs="Arial"/>
          <w:sz w:val="22"/>
          <w:szCs w:val="22"/>
        </w:rPr>
        <w:t xml:space="preserve">(i.e., phylum, order) </w:t>
      </w:r>
      <w:r w:rsidRPr="004B40A6">
        <w:rPr>
          <w:rFonts w:ascii="Arial" w:hAnsi="Arial" w:cs="Arial"/>
          <w:sz w:val="22"/>
          <w:szCs w:val="22"/>
        </w:rPr>
        <w:t xml:space="preserve">is often partially linked to its functional potential, the fine-scale individual membership of the communities can be </w:t>
      </w:r>
      <w:r w:rsidR="004D682B" w:rsidRPr="004B40A6">
        <w:rPr>
          <w:rFonts w:ascii="Arial" w:hAnsi="Arial" w:cs="Arial"/>
          <w:sz w:val="22"/>
          <w:szCs w:val="22"/>
        </w:rPr>
        <w:t xml:space="preserve">inconsequential </w:t>
      </w:r>
      <w:r w:rsidRPr="004B40A6">
        <w:rPr>
          <w:rFonts w:ascii="Arial" w:hAnsi="Arial" w:cs="Arial"/>
          <w:sz w:val="22"/>
          <w:szCs w:val="22"/>
        </w:rPr>
        <w:t>to its overall functioning</w:t>
      </w:r>
      <w:r w:rsidR="00FA024C" w:rsidRPr="004B40A6">
        <w:rPr>
          <w:rFonts w:ascii="Arial" w:hAnsi="Arial" w:cs="Arial"/>
          <w:sz w:val="22"/>
          <w:szCs w:val="22"/>
        </w:rPr>
        <w:t xml:space="preserve"> </w:t>
      </w:r>
      <w:r w:rsidR="00FA024C" w:rsidRPr="004B40A6">
        <w:rPr>
          <w:rFonts w:ascii="Arial" w:hAnsi="Arial" w:cs="Arial"/>
          <w:sz w:val="22"/>
          <w:szCs w:val="22"/>
        </w:rPr>
        <w:fldChar w:fldCharType="begin"/>
      </w:r>
      <w:r w:rsidR="005C032B" w:rsidRPr="004B40A6">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FA024C" w:rsidRPr="004B40A6">
        <w:rPr>
          <w:rFonts w:ascii="Arial" w:hAnsi="Arial" w:cs="Arial"/>
          <w:sz w:val="22"/>
          <w:szCs w:val="22"/>
        </w:rPr>
        <w:fldChar w:fldCharType="separate"/>
      </w:r>
      <w:r w:rsidR="005C032B" w:rsidRPr="004B40A6">
        <w:rPr>
          <w:rFonts w:ascii="Arial" w:hAnsi="Arial" w:cs="Arial"/>
          <w:noProof/>
          <w:sz w:val="22"/>
          <w:szCs w:val="22"/>
        </w:rPr>
        <w:t>[3]</w:t>
      </w:r>
      <w:r w:rsidR="00FA024C" w:rsidRPr="004B40A6">
        <w:rPr>
          <w:rFonts w:ascii="Arial" w:hAnsi="Arial" w:cs="Arial"/>
          <w:sz w:val="22"/>
          <w:szCs w:val="22"/>
        </w:rPr>
        <w:fldChar w:fldCharType="end"/>
      </w:r>
      <w:r w:rsidR="00FA024C" w:rsidRPr="004B40A6">
        <w:rPr>
          <w:rFonts w:ascii="Arial" w:hAnsi="Arial" w:cs="Arial"/>
          <w:sz w:val="22"/>
          <w:szCs w:val="22"/>
        </w:rPr>
        <w:t>.</w:t>
      </w:r>
      <w:r w:rsidRPr="004B40A6">
        <w:rPr>
          <w:rFonts w:ascii="Arial" w:hAnsi="Arial" w:cs="Arial"/>
          <w:sz w:val="22"/>
          <w:szCs w:val="22"/>
        </w:rPr>
        <w:t xml:space="preserve"> </w:t>
      </w:r>
      <w:r w:rsidR="004D682B" w:rsidRPr="004B40A6">
        <w:rPr>
          <w:rFonts w:ascii="Arial" w:hAnsi="Arial" w:cs="Arial"/>
          <w:sz w:val="22"/>
          <w:szCs w:val="22"/>
        </w:rPr>
        <w:t xml:space="preserve">Due to </w:t>
      </w:r>
      <w:r w:rsidRPr="004B40A6">
        <w:rPr>
          <w:rFonts w:ascii="Arial" w:hAnsi="Arial" w:cs="Arial"/>
          <w:sz w:val="22"/>
          <w:szCs w:val="22"/>
        </w:rPr>
        <w:t>functional redundancy between taxa</w:t>
      </w:r>
      <w:r w:rsidR="004D682B" w:rsidRPr="004B40A6">
        <w:rPr>
          <w:rFonts w:ascii="Arial" w:hAnsi="Arial" w:cs="Arial"/>
          <w:sz w:val="22"/>
          <w:szCs w:val="22"/>
        </w:rPr>
        <w:t>,</w:t>
      </w:r>
      <w:r w:rsidRPr="004B40A6">
        <w:rPr>
          <w:rFonts w:ascii="Arial" w:hAnsi="Arial" w:cs="Arial"/>
          <w:sz w:val="22"/>
          <w:szCs w:val="22"/>
        </w:rPr>
        <w:t xml:space="preserve"> the functional potential of the microbiome persists even after a major </w:t>
      </w:r>
      <w:r w:rsidR="004D682B" w:rsidRPr="004B40A6">
        <w:rPr>
          <w:rFonts w:ascii="Arial" w:hAnsi="Arial" w:cs="Arial"/>
          <w:sz w:val="22"/>
          <w:szCs w:val="22"/>
        </w:rPr>
        <w:t>community re</w:t>
      </w:r>
      <w:r w:rsidRPr="004B40A6">
        <w:rPr>
          <w:rFonts w:ascii="Arial" w:hAnsi="Arial" w:cs="Arial"/>
          <w:sz w:val="22"/>
          <w:szCs w:val="22"/>
        </w:rPr>
        <w:t>arrangement</w:t>
      </w:r>
      <w:r w:rsidR="00FA024C" w:rsidRPr="004B40A6">
        <w:rPr>
          <w:rFonts w:ascii="Arial" w:hAnsi="Arial" w:cs="Arial"/>
          <w:sz w:val="22"/>
          <w:szCs w:val="22"/>
        </w:rPr>
        <w:t xml:space="preserve"> </w:t>
      </w:r>
      <w:r w:rsidR="00FA024C" w:rsidRPr="004B40A6">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5C032B" w:rsidRPr="004B40A6">
        <w:rPr>
          <w:rFonts w:ascii="Arial" w:hAnsi="Arial" w:cs="Arial"/>
          <w:sz w:val="22"/>
          <w:szCs w:val="22"/>
        </w:rPr>
        <w:instrText xml:space="preserve"> ADDIN EN.CITE </w:instrText>
      </w:r>
      <w:r w:rsidR="005C032B" w:rsidRPr="004B40A6">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5C032B" w:rsidRPr="004B40A6">
        <w:rPr>
          <w:rFonts w:ascii="Arial" w:hAnsi="Arial" w:cs="Arial"/>
          <w:sz w:val="22"/>
          <w:szCs w:val="22"/>
        </w:rPr>
        <w:instrText xml:space="preserve"> ADDIN EN.CITE.DATA </w:instrText>
      </w:r>
      <w:r w:rsidR="005C032B" w:rsidRPr="004B40A6">
        <w:rPr>
          <w:rFonts w:ascii="Arial" w:hAnsi="Arial" w:cs="Arial"/>
          <w:sz w:val="22"/>
          <w:szCs w:val="22"/>
        </w:rPr>
      </w:r>
      <w:r w:rsidR="005C032B"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5C032B" w:rsidRPr="004B40A6">
        <w:rPr>
          <w:rFonts w:ascii="Arial" w:hAnsi="Arial" w:cs="Arial"/>
          <w:noProof/>
          <w:sz w:val="22"/>
          <w:szCs w:val="22"/>
        </w:rPr>
        <w:t>[4-6]</w:t>
      </w:r>
      <w:r w:rsidR="00FA024C" w:rsidRPr="004B40A6">
        <w:rPr>
          <w:rFonts w:ascii="Arial" w:hAnsi="Arial" w:cs="Arial"/>
          <w:sz w:val="22"/>
          <w:szCs w:val="22"/>
        </w:rPr>
        <w:fldChar w:fldCharType="end"/>
      </w:r>
      <w:r w:rsidRPr="004B40A6">
        <w:rPr>
          <w:rFonts w:ascii="Arial" w:hAnsi="Arial" w:cs="Arial"/>
          <w:sz w:val="22"/>
          <w:szCs w:val="22"/>
        </w:rPr>
        <w:t>.</w:t>
      </w:r>
    </w:p>
    <w:p w14:paraId="28AF23A2" w14:textId="3BB7BFA6" w:rsidR="00AC5C99" w:rsidRPr="004B40A6" w:rsidRDefault="005863A8" w:rsidP="005863A8">
      <w:pPr>
        <w:rPr>
          <w:rFonts w:ascii="Arial" w:hAnsi="Arial" w:cs="Arial"/>
          <w:sz w:val="22"/>
          <w:szCs w:val="22"/>
        </w:rPr>
      </w:pPr>
      <w:r w:rsidRPr="004B40A6">
        <w:rPr>
          <w:rFonts w:ascii="Arial" w:hAnsi="Arial" w:cs="Arial"/>
          <w:sz w:val="22"/>
          <w:szCs w:val="22"/>
        </w:rPr>
        <w:tab/>
        <w:t xml:space="preserve">The resilience and adaptations of microbiomes to </w:t>
      </w:r>
      <w:r w:rsidR="005D1837" w:rsidRPr="004B40A6">
        <w:rPr>
          <w:rFonts w:ascii="Arial" w:hAnsi="Arial" w:cs="Arial"/>
          <w:sz w:val="22"/>
          <w:szCs w:val="22"/>
        </w:rPr>
        <w:t xml:space="preserve">major perturbations </w:t>
      </w:r>
      <w:r w:rsidRPr="004B40A6">
        <w:rPr>
          <w:rFonts w:ascii="Arial" w:hAnsi="Arial" w:cs="Arial"/>
          <w:sz w:val="22"/>
          <w:szCs w:val="22"/>
        </w:rPr>
        <w:t xml:space="preserve">such as temperature changes or antibiotic administration have been demonstrated in controlled environments </w:t>
      </w:r>
      <w:r w:rsidR="00FA024C" w:rsidRPr="004B40A6">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C5C99" w:rsidRPr="004B40A6">
        <w:rPr>
          <w:rFonts w:ascii="Arial" w:hAnsi="Arial" w:cs="Arial"/>
          <w:sz w:val="22"/>
          <w:szCs w:val="22"/>
        </w:rPr>
        <w:instrText xml:space="preserve"> ADDIN EN.CITE </w:instrText>
      </w:r>
      <w:r w:rsidR="00AC5C99" w:rsidRPr="004B40A6">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C5C99" w:rsidRPr="004B40A6">
        <w:rPr>
          <w:rFonts w:ascii="Arial" w:hAnsi="Arial" w:cs="Arial"/>
          <w:sz w:val="22"/>
          <w:szCs w:val="22"/>
        </w:rPr>
        <w:instrText xml:space="preserve"> ADDIN EN.CITE.DATA </w:instrText>
      </w:r>
      <w:r w:rsidR="00AC5C99" w:rsidRPr="004B40A6">
        <w:rPr>
          <w:rFonts w:ascii="Arial" w:hAnsi="Arial" w:cs="Arial"/>
          <w:sz w:val="22"/>
          <w:szCs w:val="22"/>
        </w:rPr>
      </w:r>
      <w:r w:rsidR="00AC5C99"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AC5C99" w:rsidRPr="004B40A6">
        <w:rPr>
          <w:rFonts w:ascii="Arial" w:hAnsi="Arial" w:cs="Arial"/>
          <w:noProof/>
          <w:sz w:val="22"/>
          <w:szCs w:val="22"/>
        </w:rPr>
        <w:t>[1, 7, 8]</w:t>
      </w:r>
      <w:r w:rsidR="00FA024C" w:rsidRPr="004B40A6">
        <w:rPr>
          <w:rFonts w:ascii="Arial" w:hAnsi="Arial" w:cs="Arial"/>
          <w:sz w:val="22"/>
          <w:szCs w:val="22"/>
        </w:rPr>
        <w:fldChar w:fldCharType="end"/>
      </w:r>
      <w:r w:rsidRPr="004B40A6">
        <w:rPr>
          <w:rFonts w:ascii="Arial" w:hAnsi="Arial" w:cs="Arial"/>
          <w:sz w:val="22"/>
          <w:szCs w:val="22"/>
        </w:rPr>
        <w:t>, however due to compounding environmental factors such studies are much more difficult to perform in uncontrolled environmental conditions.</w:t>
      </w:r>
      <w:r w:rsidR="00087571" w:rsidRPr="004B40A6">
        <w:rPr>
          <w:rFonts w:ascii="Arial" w:hAnsi="Arial" w:cs="Arial"/>
          <w:sz w:val="22"/>
          <w:szCs w:val="22"/>
        </w:rPr>
        <w:t xml:space="preserve"> P</w:t>
      </w:r>
      <w:r w:rsidR="00AC5C99" w:rsidRPr="004B40A6">
        <w:rPr>
          <w:rFonts w:ascii="Arial" w:hAnsi="Arial" w:cs="Arial"/>
          <w:sz w:val="22"/>
          <w:szCs w:val="22"/>
        </w:rPr>
        <w:t xml:space="preserve">revious </w:t>
      </w:r>
      <w:r w:rsidR="00087571" w:rsidRPr="004B40A6">
        <w:rPr>
          <w:rFonts w:ascii="Arial" w:hAnsi="Arial" w:cs="Arial"/>
          <w:sz w:val="22"/>
          <w:szCs w:val="22"/>
        </w:rPr>
        <w:t xml:space="preserve">longitudinal </w:t>
      </w:r>
      <w:r w:rsidR="00AC5C99" w:rsidRPr="004B40A6">
        <w:rPr>
          <w:rFonts w:ascii="Arial" w:hAnsi="Arial" w:cs="Arial"/>
          <w:sz w:val="22"/>
          <w:szCs w:val="22"/>
        </w:rPr>
        <w:t xml:space="preserve">studies looked at adaptations of </w:t>
      </w:r>
      <w:r w:rsidR="00087571" w:rsidRPr="004B40A6">
        <w:rPr>
          <w:rFonts w:ascii="Arial" w:hAnsi="Arial" w:cs="Arial"/>
          <w:sz w:val="22"/>
          <w:szCs w:val="22"/>
        </w:rPr>
        <w:t xml:space="preserve">environmental microbiomes </w:t>
      </w:r>
      <w:r w:rsidR="00AC5C99" w:rsidRPr="004B40A6">
        <w:rPr>
          <w:rFonts w:ascii="Arial" w:hAnsi="Arial" w:cs="Arial"/>
          <w:sz w:val="22"/>
          <w:szCs w:val="22"/>
        </w:rPr>
        <w:t xml:space="preserve">in response to gradually changing environmental conditions </w:t>
      </w:r>
      <w:r w:rsidR="00AC5C99" w:rsidRPr="004B40A6">
        <w:rPr>
          <w:rFonts w:ascii="Arial" w:hAnsi="Arial" w:cs="Arial"/>
          <w:sz w:val="22"/>
          <w:szCs w:val="22"/>
        </w:rPr>
        <w:fldChar w:fldCharType="begin"/>
      </w:r>
      <w:r w:rsidR="00AC5C99" w:rsidRPr="004B40A6">
        <w:rPr>
          <w:rFonts w:ascii="Arial" w:hAnsi="Arial" w:cs="Arial"/>
          <w:sz w:val="22"/>
          <w:szCs w:val="22"/>
        </w:rPr>
        <w:instrText xml:space="preserve"> ADDIN EN.CITE &lt;EndNote&gt;&lt;Cite&gt;&lt;Author&gt;Haro-Moreno&lt;/Author&gt;&lt;Year&gt;2018&lt;/Year&gt;&lt;RecNum&gt;8824&lt;/RecNum&gt;&lt;DisplayText&gt;[9]&lt;/DisplayText&gt;&lt;record&gt;&lt;rec-number&gt;8824&lt;/rec-number&gt;&lt;foreign-keys&gt;&lt;key app="EN" db-id="vawrdvfvexr9z1e5pd0p92dt2dzpvp0ezpsr" timestamp="1531536595"&gt;8824&lt;/key&gt;&lt;/foreign-keys&gt;&lt;ref-type name="Journal Article"&gt;17&lt;/ref-type&gt;&lt;contributors&gt;&lt;authors&gt;&lt;author&gt;Haro-Moreno, J. M.&lt;/author&gt;&lt;author&gt;Lopez-Perez, M.&lt;/author&gt;&lt;author&gt;de la Torre, J. R.&lt;/author&gt;&lt;author&gt;Picazo, A.&lt;/author&gt;&lt;author&gt;Camacho, A.&lt;/author&gt;&lt;author&gt;Rodriguez-Valera, F.&lt;/author&gt;&lt;/authors&gt;&lt;/contributors&gt;&lt;auth-address&gt;Evolutionary Genomics Group, Division de Microbiologia, Universidad Miguel Hernandez, Apartado 18, San Juan de Alicante, 03550, Alicante, Spain.&amp;#xD;Department of Biology, San Francisco State University, San Francisco, CA, 94132, USA.&amp;#xD;Cavanilles Institute of Biodiversity and Evolutionary Biology, University of Valencia, Burjassot, E-46100, Valencia, Spain.&amp;#xD;Evolutionary Genomics Group, Division de Microbiologia, Universidad Miguel Hernandez, Apartado 18, San Juan de Alicante, 03550, Alicante, Spain. frvalera@umh.es.&lt;/auth-address&gt;&lt;titles&gt;&lt;title&gt;Fine metagenomic profile of the Mediterranean stratified and mixed water columns revealed by assembly and recruitment&lt;/title&gt;&lt;secondary-title&gt;Microbiome&lt;/secondary-title&gt;&lt;/titles&gt;&lt;periodical&gt;&lt;full-title&gt;Microbiome&lt;/full-title&gt;&lt;/periodical&gt;&lt;pages&gt;128&lt;/pages&gt;&lt;volume&gt;6&lt;/volume&gt;&lt;number&gt;1&lt;/number&gt;&lt;keywords&gt;&lt;keyword&gt;Deep chlorophyll maximum&lt;/keyword&gt;&lt;keyword&gt;Mediterranean&lt;/keyword&gt;&lt;keyword&gt;Photic zone&lt;/keyword&gt;&lt;keyword&gt;Stenobathic&lt;/keyword&gt;&lt;keyword&gt;Stratification&lt;/keyword&gt;&lt;/keywords&gt;&lt;dates&gt;&lt;year&gt;2018&lt;/year&gt;&lt;pub-dates&gt;&lt;date&gt;Jul 10&lt;/date&gt;&lt;/pub-dates&gt;&lt;/dates&gt;&lt;isbn&gt;2049-2618 (Electronic)&amp;#xD;2049-2618 (Linking)&lt;/isbn&gt;&lt;accession-num&gt;29991350&lt;/accession-num&gt;&lt;urls&gt;&lt;related-urls&gt;&lt;url&gt;https://www.ncbi.nlm.nih.gov/pubmed/29991350&lt;/url&gt;&lt;/related-urls&gt;&lt;/urls&gt;&lt;electronic-resource-num&gt;10.1186/s40168-018-0513-5&lt;/electronic-resource-num&gt;&lt;/record&gt;&lt;/Cite&gt;&lt;/EndNote&gt;</w:instrText>
      </w:r>
      <w:r w:rsidR="00AC5C99" w:rsidRPr="004B40A6">
        <w:rPr>
          <w:rFonts w:ascii="Arial" w:hAnsi="Arial" w:cs="Arial"/>
          <w:sz w:val="22"/>
          <w:szCs w:val="22"/>
        </w:rPr>
        <w:fldChar w:fldCharType="separate"/>
      </w:r>
      <w:r w:rsidR="00AC5C99" w:rsidRPr="004B40A6">
        <w:rPr>
          <w:rFonts w:ascii="Arial" w:hAnsi="Arial" w:cs="Arial"/>
          <w:noProof/>
          <w:sz w:val="22"/>
          <w:szCs w:val="22"/>
        </w:rPr>
        <w:t>[9]</w:t>
      </w:r>
      <w:r w:rsidR="00AC5C99" w:rsidRPr="004B40A6">
        <w:rPr>
          <w:rFonts w:ascii="Arial" w:hAnsi="Arial" w:cs="Arial"/>
          <w:sz w:val="22"/>
          <w:szCs w:val="22"/>
        </w:rPr>
        <w:fldChar w:fldCharType="end"/>
      </w:r>
      <w:r w:rsidR="00AC5C99" w:rsidRPr="004B40A6">
        <w:rPr>
          <w:rFonts w:ascii="Arial" w:hAnsi="Arial" w:cs="Arial"/>
          <w:sz w:val="22"/>
          <w:szCs w:val="22"/>
        </w:rPr>
        <w:t xml:space="preserve">, </w:t>
      </w:r>
      <w:r w:rsidR="00087571" w:rsidRPr="004B40A6">
        <w:rPr>
          <w:rFonts w:ascii="Arial" w:hAnsi="Arial" w:cs="Arial"/>
          <w:sz w:val="22"/>
          <w:szCs w:val="22"/>
        </w:rPr>
        <w:t xml:space="preserve">but adaptations of such communities to </w:t>
      </w:r>
      <w:r w:rsidR="00AC5C99" w:rsidRPr="004B40A6">
        <w:rPr>
          <w:rFonts w:ascii="Arial" w:hAnsi="Arial" w:cs="Arial"/>
          <w:sz w:val="22"/>
          <w:szCs w:val="22"/>
        </w:rPr>
        <w:t xml:space="preserve">acute changes </w:t>
      </w:r>
      <w:r w:rsidR="00087571" w:rsidRPr="004B40A6">
        <w:rPr>
          <w:rFonts w:ascii="Arial" w:hAnsi="Arial" w:cs="Arial"/>
          <w:sz w:val="22"/>
          <w:szCs w:val="22"/>
        </w:rPr>
        <w:t>remain largely unexplored</w:t>
      </w:r>
      <w:r w:rsidR="00AC5C99" w:rsidRPr="004B40A6">
        <w:rPr>
          <w:rFonts w:ascii="Arial" w:hAnsi="Arial" w:cs="Arial"/>
          <w:sz w:val="22"/>
          <w:szCs w:val="22"/>
        </w:rPr>
        <w:t>.</w:t>
      </w:r>
    </w:p>
    <w:p w14:paraId="6CB89C04" w14:textId="2DB9218F" w:rsidR="005863A8" w:rsidRPr="004B40A6" w:rsidRDefault="005863A8" w:rsidP="005863A8">
      <w:pPr>
        <w:rPr>
          <w:rFonts w:ascii="Arial" w:hAnsi="Arial" w:cs="Arial"/>
          <w:sz w:val="22"/>
          <w:szCs w:val="22"/>
        </w:rPr>
      </w:pPr>
      <w:r w:rsidRPr="004B40A6">
        <w:rPr>
          <w:rFonts w:ascii="Arial" w:hAnsi="Arial" w:cs="Arial"/>
          <w:sz w:val="22"/>
          <w:szCs w:val="22"/>
        </w:rPr>
        <w:tab/>
        <w:t>The northern Atacama Desert is one of the harshest places on Earth, with an average annual precipitation of less than 1mm</w:t>
      </w:r>
      <w:r w:rsidR="00FA024C" w:rsidRPr="004B40A6">
        <w:rPr>
          <w:rFonts w:ascii="Arial" w:hAnsi="Arial" w:cs="Arial"/>
          <w:sz w:val="22"/>
          <w:szCs w:val="22"/>
        </w:rPr>
        <w:t xml:space="preserve"> </w:t>
      </w:r>
      <w:r w:rsidR="00FA024C" w:rsidRPr="004B40A6">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YWw+PHBhZ2VzPjQyNjwvcGFnZXM+PHZvbHVtZT4zPC92b2x1bWU+PGVkaXRpb24+MjAxMi8xMi8y
NjwvZWRpdGlvbj48ZGF0ZXM+PHllYXI+MjAxMjwveWVhcj48L2RhdGVzPjxpc2JuPjE2NjQtMzAy
WCAoRWxlY3Ryb25pYykmI3hEOzE2NjQtMzAyWCAoTGlua2luZyk8L2lzYm4+PGFjY2Vzc2lvbi1u
dW0+MjMyNjczNTQ8L2FjY2Vzc2lvbi1udW0+PHVybHM+PHJlbGF0ZWQtdXJscz48dXJsPmh0dHA6
Ly93d3cubmNiaS5ubG0ubmloLmdvdi9wdWJtZWQvMjMyNjczNTQ8L3VybD48L3JlbGF0ZWQtdXJs
cz48L3VybHM+PGN1c3RvbTI+MzUyNjEwMzwvY3VzdG9tMj48ZWxlY3Ryb25pYy1yZXNvdXJjZS1u
dW0+MTAuMzM4OS9mbWljYi4yMDEyLjAwNDI2PC9lbGVjdHJvbmljLXJlc291cmNlLW51bT48bGFu
Z3VhZ2U+ZW5nPC9sYW5ndWFnZT48L3JlY29yZD48L0NpdGU+PC9FbmROb3RlPn==
</w:fldData>
        </w:fldChar>
      </w:r>
      <w:r w:rsidR="00324ABC" w:rsidRPr="004B40A6">
        <w:rPr>
          <w:rFonts w:ascii="Arial" w:hAnsi="Arial" w:cs="Arial"/>
          <w:sz w:val="22"/>
          <w:szCs w:val="22"/>
        </w:rPr>
        <w:instrText xml:space="preserve"> ADDIN EN.CITE </w:instrText>
      </w:r>
      <w:r w:rsidR="00324ABC" w:rsidRPr="004B40A6">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YWw+PHBhZ2VzPjQyNjwvcGFnZXM+PHZvbHVtZT4zPC92b2x1bWU+PGVkaXRpb24+MjAxMi8xMi8y
NjwvZWRpdGlvbj48ZGF0ZXM+PHllYXI+MjAxMjwveWVhcj48L2RhdGVzPjxpc2JuPjE2NjQtMzAy
WCAoRWxlY3Ryb25pYykmI3hEOzE2NjQtMzAyWCAoTGlua2luZyk8L2lzYm4+PGFjY2Vzc2lvbi1u
dW0+MjMyNjczNTQ8L2FjY2Vzc2lvbi1udW0+PHVybHM+PHJlbGF0ZWQtdXJscz48dXJsPmh0dHA6
Ly93d3cubmNiaS5ubG0ubmloLmdvdi9wdWJtZWQvMjMyNjczNTQ8L3VybD48L3JlbGF0ZWQtdXJs
cz48L3VybHM+PGN1c3RvbTI+MzUyNjEwMzwvY3VzdG9tMj48ZWxlY3Ryb25pYy1yZXNvdXJjZS1u
dW0+MTAuMzM4OS9mbWljYi4yMDEyLjAwNDI2PC9lbGVjdHJvbmljLXJlc291cmNlLW51bT48bGFu
Z3VhZ2U+ZW5nPC9sYW5ndWFnZT48L3JlY29yZD48L0NpdGU+PC9FbmROb3RlPn==
</w:fldData>
        </w:fldChar>
      </w:r>
      <w:r w:rsidR="00324ABC" w:rsidRPr="004B40A6">
        <w:rPr>
          <w:rFonts w:ascii="Arial" w:hAnsi="Arial" w:cs="Arial"/>
          <w:sz w:val="22"/>
          <w:szCs w:val="22"/>
        </w:rPr>
        <w:instrText xml:space="preserve"> ADDIN EN.CITE.DATA </w:instrText>
      </w:r>
      <w:r w:rsidR="00324ABC" w:rsidRPr="004B40A6">
        <w:rPr>
          <w:rFonts w:ascii="Arial" w:hAnsi="Arial" w:cs="Arial"/>
          <w:sz w:val="22"/>
          <w:szCs w:val="22"/>
        </w:rPr>
      </w:r>
      <w:r w:rsidR="00324ABC"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324ABC" w:rsidRPr="004B40A6">
        <w:rPr>
          <w:rFonts w:ascii="Arial" w:hAnsi="Arial" w:cs="Arial"/>
          <w:noProof/>
          <w:sz w:val="22"/>
          <w:szCs w:val="22"/>
        </w:rPr>
        <w:t>[10, 11]</w:t>
      </w:r>
      <w:r w:rsidR="00FA024C" w:rsidRPr="004B40A6">
        <w:rPr>
          <w:rFonts w:ascii="Arial" w:hAnsi="Arial" w:cs="Arial"/>
          <w:sz w:val="22"/>
          <w:szCs w:val="22"/>
        </w:rPr>
        <w:fldChar w:fldCharType="end"/>
      </w:r>
      <w:r w:rsidRPr="004B40A6">
        <w:rPr>
          <w:rFonts w:ascii="Arial" w:hAnsi="Arial" w:cs="Arial"/>
          <w:sz w:val="22"/>
          <w:szCs w:val="22"/>
        </w:rPr>
        <w:t xml:space="preserve">. Despite this, poly-extremophilic microbiota have evolved to exist in these extreme conditions by relying on the protection of various minerals. One such endolithic (inside rock) community </w:t>
      </w:r>
      <w:r w:rsidR="004D682B" w:rsidRPr="004B40A6">
        <w:rPr>
          <w:rFonts w:ascii="Arial" w:hAnsi="Arial" w:cs="Arial"/>
          <w:sz w:val="22"/>
          <w:szCs w:val="22"/>
        </w:rPr>
        <w:t xml:space="preserve">type </w:t>
      </w:r>
      <w:r w:rsidRPr="004B40A6">
        <w:rPr>
          <w:rFonts w:ascii="Arial" w:hAnsi="Arial" w:cs="Arial"/>
          <w:sz w:val="22"/>
          <w:szCs w:val="22"/>
        </w:rPr>
        <w:t>is harbored within halites – salt rock nodule formations found on the surface of</w:t>
      </w:r>
      <w:r w:rsidR="003943F1" w:rsidRPr="004B40A6">
        <w:rPr>
          <w:rFonts w:ascii="Arial" w:hAnsi="Arial" w:cs="Arial"/>
          <w:sz w:val="22"/>
          <w:szCs w:val="22"/>
        </w:rPr>
        <w:t xml:space="preserve"> Salar Grande</w:t>
      </w:r>
      <w:r w:rsidRPr="004B40A6">
        <w:rPr>
          <w:rFonts w:ascii="Arial" w:hAnsi="Arial" w:cs="Arial"/>
          <w:sz w:val="22"/>
          <w:szCs w:val="22"/>
        </w:rPr>
        <w:t xml:space="preserve">. A unique property of halite microbiomes that make them a compelling system for measuring responses to environmental stressors is their isolated nature. Encased in rocks, halite communities receive very little biomass exchange, and have limited nutrient input beyond atmospheric gasses </w:t>
      </w:r>
      <w:r w:rsidR="00FA024C" w:rsidRPr="004B40A6">
        <w:rPr>
          <w:rFonts w:ascii="Arial" w:hAnsi="Arial" w:cs="Arial"/>
          <w:sz w:val="22"/>
          <w:szCs w:val="22"/>
        </w:rPr>
        <w:fldChar w:fldCharType="begin">
          <w:fldData xml:space="preserve">PEVuZE5vdGU+PENpdGU+PEF1dGhvcj5Dcml0cy1DaHJpc3RvcGg8L0F1dGhvcj48WWVhcj4yMDE2
PC9ZZWFyPjxSZWNOdW0+ODc3NjwvUmVjTnVtPjxEaXNwbGF5VGV4dD5bMTItMTRdPC9EaXNwbGF5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324ABC" w:rsidRPr="004B40A6">
        <w:rPr>
          <w:rFonts w:ascii="Arial" w:hAnsi="Arial" w:cs="Arial"/>
          <w:sz w:val="22"/>
          <w:szCs w:val="22"/>
        </w:rPr>
        <w:instrText xml:space="preserve"> ADDIN EN.CITE </w:instrText>
      </w:r>
      <w:r w:rsidR="00324ABC" w:rsidRPr="004B40A6">
        <w:rPr>
          <w:rFonts w:ascii="Arial" w:hAnsi="Arial" w:cs="Arial"/>
          <w:sz w:val="22"/>
          <w:szCs w:val="22"/>
        </w:rPr>
        <w:fldChar w:fldCharType="begin">
          <w:fldData xml:space="preserve">PEVuZE5vdGU+PENpdGU+PEF1dGhvcj5Dcml0cy1DaHJpc3RvcGg8L0F1dGhvcj48WWVhcj4yMDE2
PC9ZZWFyPjxSZWNOdW0+ODc3NjwvUmVjTnVtPjxEaXNwbGF5VGV4dD5bMTItMTRdPC9EaXNwbGF5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324ABC" w:rsidRPr="004B40A6">
        <w:rPr>
          <w:rFonts w:ascii="Arial" w:hAnsi="Arial" w:cs="Arial"/>
          <w:sz w:val="22"/>
          <w:szCs w:val="22"/>
        </w:rPr>
        <w:instrText xml:space="preserve"> ADDIN EN.CITE.DATA </w:instrText>
      </w:r>
      <w:r w:rsidR="00324ABC" w:rsidRPr="004B40A6">
        <w:rPr>
          <w:rFonts w:ascii="Arial" w:hAnsi="Arial" w:cs="Arial"/>
          <w:sz w:val="22"/>
          <w:szCs w:val="22"/>
        </w:rPr>
      </w:r>
      <w:r w:rsidR="00324ABC"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324ABC" w:rsidRPr="004B40A6">
        <w:rPr>
          <w:rFonts w:ascii="Arial" w:hAnsi="Arial" w:cs="Arial"/>
          <w:noProof/>
          <w:sz w:val="22"/>
          <w:szCs w:val="22"/>
        </w:rPr>
        <w:t>[12-14]</w:t>
      </w:r>
      <w:r w:rsidR="00FA024C" w:rsidRPr="004B40A6">
        <w:rPr>
          <w:rFonts w:ascii="Arial" w:hAnsi="Arial" w:cs="Arial"/>
          <w:sz w:val="22"/>
          <w:szCs w:val="22"/>
        </w:rPr>
        <w:fldChar w:fldCharType="end"/>
      </w:r>
      <w:r w:rsidRPr="004B40A6">
        <w:rPr>
          <w:rFonts w:ascii="Arial" w:hAnsi="Arial" w:cs="Arial"/>
          <w:sz w:val="22"/>
          <w:szCs w:val="22"/>
        </w:rPr>
        <w:t>. As such, each halite nodule represents a near-closed system, allow</w:t>
      </w:r>
      <w:r w:rsidR="003943F1" w:rsidRPr="004B40A6">
        <w:rPr>
          <w:rFonts w:ascii="Arial" w:hAnsi="Arial" w:cs="Arial"/>
          <w:sz w:val="22"/>
          <w:szCs w:val="22"/>
        </w:rPr>
        <w:t>ing</w:t>
      </w:r>
      <w:r w:rsidRPr="004B40A6">
        <w:rPr>
          <w:rFonts w:ascii="Arial" w:hAnsi="Arial" w:cs="Arial"/>
          <w:sz w:val="22"/>
          <w:szCs w:val="22"/>
        </w:rPr>
        <w:t xml:space="preserve"> us to track microbial community changes without unintended external factors compounding the results.</w:t>
      </w:r>
    </w:p>
    <w:p w14:paraId="01464536" w14:textId="3CACD363" w:rsidR="005863A8" w:rsidRPr="004B40A6" w:rsidRDefault="005863A8" w:rsidP="005863A8">
      <w:pPr>
        <w:rPr>
          <w:rFonts w:ascii="Arial" w:hAnsi="Arial" w:cs="Arial"/>
          <w:sz w:val="22"/>
          <w:szCs w:val="22"/>
        </w:rPr>
      </w:pPr>
      <w:r w:rsidRPr="004B40A6">
        <w:rPr>
          <w:rFonts w:ascii="Arial" w:hAnsi="Arial" w:cs="Arial"/>
          <w:sz w:val="22"/>
          <w:szCs w:val="22"/>
        </w:rPr>
        <w:tab/>
        <w:t xml:space="preserve">Because of salt’s deliquescent properties, these </w:t>
      </w:r>
      <w:r w:rsidR="00AC79B3" w:rsidRPr="004B40A6">
        <w:rPr>
          <w:rFonts w:ascii="Arial" w:hAnsi="Arial" w:cs="Arial"/>
          <w:i/>
          <w:sz w:val="22"/>
          <w:szCs w:val="22"/>
        </w:rPr>
        <w:t>Archaea</w:t>
      </w:r>
      <w:r w:rsidR="00AC79B3" w:rsidRPr="004B40A6">
        <w:rPr>
          <w:rFonts w:ascii="Arial" w:hAnsi="Arial" w:cs="Arial"/>
          <w:sz w:val="22"/>
          <w:szCs w:val="22"/>
        </w:rPr>
        <w:t xml:space="preserve">-dominated microbiomes </w:t>
      </w:r>
      <w:r w:rsidRPr="004B40A6">
        <w:rPr>
          <w:rFonts w:ascii="Arial" w:hAnsi="Arial" w:cs="Arial"/>
          <w:sz w:val="22"/>
          <w:szCs w:val="22"/>
        </w:rPr>
        <w:t xml:space="preserve">are able to survive by receiving water almost exclusively from the humidity in the air </w:t>
      </w:r>
      <w:r w:rsidR="00FA024C" w:rsidRPr="004B40A6">
        <w:rPr>
          <w:rFonts w:ascii="Arial" w:hAnsi="Arial" w:cs="Arial"/>
          <w:sz w:val="22"/>
          <w:szCs w:val="22"/>
        </w:rPr>
        <w:fldChar w:fldCharType="begin">
          <w:fldData xml:space="preserve">PEVuZE5vdGU+PENpdGU+PEF1dGhvcj5EYXZpbGE8L0F1dGhvcj48WWVhcj4yMDE1PC9ZZWFyPjxS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PC9lbGVjdHJvbmljLXJlc291cmNlLW51bT48L3JlY29yZD48L0NpdGU+PC9FbmROb3RlPn==
</w:fldData>
        </w:fldChar>
      </w:r>
      <w:r w:rsidR="00324ABC" w:rsidRPr="004B40A6">
        <w:rPr>
          <w:rFonts w:ascii="Arial" w:hAnsi="Arial" w:cs="Arial"/>
          <w:sz w:val="22"/>
          <w:szCs w:val="22"/>
        </w:rPr>
        <w:instrText xml:space="preserve"> ADDIN EN.CITE </w:instrText>
      </w:r>
      <w:r w:rsidR="00324ABC" w:rsidRPr="004B40A6">
        <w:rPr>
          <w:rFonts w:ascii="Arial" w:hAnsi="Arial" w:cs="Arial"/>
          <w:sz w:val="22"/>
          <w:szCs w:val="22"/>
        </w:rPr>
        <w:fldChar w:fldCharType="begin">
          <w:fldData xml:space="preserve">PEVuZE5vdGU+PENpdGU+PEF1dGhvcj5EYXZpbGE8L0F1dGhvcj48WWVhcj4yMDE1PC9ZZWFyPjxS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PC9lbGVjdHJvbmljLXJlc291cmNlLW51bT48L3JlY29yZD48L0NpdGU+PC9FbmROb3RlPn==
</w:fldData>
        </w:fldChar>
      </w:r>
      <w:r w:rsidR="00324ABC" w:rsidRPr="004B40A6">
        <w:rPr>
          <w:rFonts w:ascii="Arial" w:hAnsi="Arial" w:cs="Arial"/>
          <w:sz w:val="22"/>
          <w:szCs w:val="22"/>
        </w:rPr>
        <w:instrText xml:space="preserve"> ADDIN EN.CITE.DATA </w:instrText>
      </w:r>
      <w:r w:rsidR="00324ABC" w:rsidRPr="004B40A6">
        <w:rPr>
          <w:rFonts w:ascii="Arial" w:hAnsi="Arial" w:cs="Arial"/>
          <w:sz w:val="22"/>
          <w:szCs w:val="22"/>
        </w:rPr>
      </w:r>
      <w:r w:rsidR="00324ABC"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324ABC" w:rsidRPr="004B40A6">
        <w:rPr>
          <w:rFonts w:ascii="Arial" w:hAnsi="Arial" w:cs="Arial"/>
          <w:noProof/>
          <w:sz w:val="22"/>
          <w:szCs w:val="22"/>
        </w:rPr>
        <w:t>[12, 13, 15]</w:t>
      </w:r>
      <w:r w:rsidR="00FA024C" w:rsidRPr="004B40A6">
        <w:rPr>
          <w:rFonts w:ascii="Arial" w:hAnsi="Arial" w:cs="Arial"/>
          <w:sz w:val="22"/>
          <w:szCs w:val="22"/>
        </w:rPr>
        <w:fldChar w:fldCharType="end"/>
      </w:r>
      <w:r w:rsidRPr="004B40A6">
        <w:rPr>
          <w:rFonts w:ascii="Arial" w:hAnsi="Arial" w:cs="Arial"/>
          <w:sz w:val="22"/>
          <w:szCs w:val="22"/>
        </w:rPr>
        <w:t>.</w:t>
      </w:r>
      <w:r w:rsidR="003943F1" w:rsidRPr="004B40A6">
        <w:rPr>
          <w:rFonts w:ascii="Arial" w:hAnsi="Arial" w:cs="Arial"/>
          <w:sz w:val="22"/>
          <w:szCs w:val="22"/>
        </w:rPr>
        <w:t xml:space="preserve"> Due to the high-salt internal environment, </w:t>
      </w:r>
      <w:r w:rsidRPr="004B40A6">
        <w:rPr>
          <w:rFonts w:ascii="Arial" w:hAnsi="Arial" w:cs="Arial"/>
          <w:sz w:val="22"/>
          <w:szCs w:val="22"/>
        </w:rPr>
        <w:t xml:space="preserve">the major taxonomic components of this community are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and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 two hyper-halophilic salt-in strategists. This unique adaptation allows them to keep sodium ions out with an internal osmotic pressure </w:t>
      </w:r>
      <w:r w:rsidR="003943F1" w:rsidRPr="004B40A6">
        <w:rPr>
          <w:rFonts w:ascii="Arial" w:hAnsi="Arial" w:cs="Arial"/>
          <w:sz w:val="22"/>
          <w:szCs w:val="22"/>
        </w:rPr>
        <w:t xml:space="preserve">from </w:t>
      </w:r>
      <w:r w:rsidRPr="004B40A6">
        <w:rPr>
          <w:rFonts w:ascii="Arial" w:hAnsi="Arial" w:cs="Arial"/>
          <w:sz w:val="22"/>
          <w:szCs w:val="22"/>
        </w:rPr>
        <w:t xml:space="preserve">potassium ions, </w:t>
      </w:r>
      <w:r w:rsidR="003943F1" w:rsidRPr="004B40A6">
        <w:rPr>
          <w:rFonts w:ascii="Arial" w:hAnsi="Arial" w:cs="Arial"/>
          <w:sz w:val="22"/>
          <w:szCs w:val="22"/>
        </w:rPr>
        <w:t xml:space="preserve">which they actively pump in and is </w:t>
      </w:r>
      <w:r w:rsidRPr="004B40A6">
        <w:rPr>
          <w:rFonts w:ascii="Arial" w:hAnsi="Arial" w:cs="Arial"/>
          <w:sz w:val="22"/>
          <w:szCs w:val="22"/>
        </w:rPr>
        <w:t xml:space="preserve">less damaging to the cell </w:t>
      </w:r>
      <w:r w:rsidR="00FA024C" w:rsidRPr="004B40A6">
        <w:rPr>
          <w:rFonts w:ascii="Arial" w:hAnsi="Arial" w:cs="Arial"/>
          <w:sz w:val="22"/>
          <w:szCs w:val="22"/>
        </w:rPr>
        <w:fldChar w:fldCharType="begin">
          <w:fldData xml:space="preserve">PEVuZE5vdGU+PENpdGU+PEF1dGhvcj5Nb25nb2RpbjwvQXV0aG9yPjxZZWFyPjIwMDU8L1llYXI+
PFJlY051bT4zODc3PC9SZWNOdW0+PERpc3BsYXlUZXh0PlsxMiwgMTYsIDE3XTwvRGlzcGxheVRl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324ABC" w:rsidRPr="004B40A6">
        <w:rPr>
          <w:rFonts w:ascii="Arial" w:hAnsi="Arial" w:cs="Arial"/>
          <w:sz w:val="22"/>
          <w:szCs w:val="22"/>
        </w:rPr>
        <w:instrText xml:space="preserve"> ADDIN EN.CITE </w:instrText>
      </w:r>
      <w:r w:rsidR="00324ABC" w:rsidRPr="004B40A6">
        <w:rPr>
          <w:rFonts w:ascii="Arial" w:hAnsi="Arial" w:cs="Arial"/>
          <w:sz w:val="22"/>
          <w:szCs w:val="22"/>
        </w:rPr>
        <w:fldChar w:fldCharType="begin">
          <w:fldData xml:space="preserve">PEVuZE5vdGU+PENpdGU+PEF1dGhvcj5Nb25nb2RpbjwvQXV0aG9yPjxZZWFyPjIwMDU8L1llYXI+
PFJlY051bT4zODc3PC9SZWNOdW0+PERpc3BsYXlUZXh0PlsxMiwgMTYsIDE3XTwvRGlzcGxheVRl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324ABC" w:rsidRPr="004B40A6">
        <w:rPr>
          <w:rFonts w:ascii="Arial" w:hAnsi="Arial" w:cs="Arial"/>
          <w:sz w:val="22"/>
          <w:szCs w:val="22"/>
        </w:rPr>
        <w:instrText xml:space="preserve"> ADDIN EN.CITE.DATA </w:instrText>
      </w:r>
      <w:r w:rsidR="00324ABC" w:rsidRPr="004B40A6">
        <w:rPr>
          <w:rFonts w:ascii="Arial" w:hAnsi="Arial" w:cs="Arial"/>
          <w:sz w:val="22"/>
          <w:szCs w:val="22"/>
        </w:rPr>
      </w:r>
      <w:r w:rsidR="00324ABC"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324ABC" w:rsidRPr="004B40A6">
        <w:rPr>
          <w:rFonts w:ascii="Arial" w:hAnsi="Arial" w:cs="Arial"/>
          <w:noProof/>
          <w:sz w:val="22"/>
          <w:szCs w:val="22"/>
        </w:rPr>
        <w:t>[12, 16, 17]</w:t>
      </w:r>
      <w:r w:rsidR="00FA024C" w:rsidRPr="004B40A6">
        <w:rPr>
          <w:rFonts w:ascii="Arial" w:hAnsi="Arial" w:cs="Arial"/>
          <w:sz w:val="22"/>
          <w:szCs w:val="22"/>
        </w:rPr>
        <w:fldChar w:fldCharType="end"/>
      </w:r>
      <w:r w:rsidRPr="004B40A6">
        <w:rPr>
          <w:rFonts w:ascii="Arial" w:hAnsi="Arial" w:cs="Arial"/>
          <w:sz w:val="22"/>
          <w:szCs w:val="22"/>
        </w:rPr>
        <w:t xml:space="preserve">. This is energetically favorable to actively pumping out sodium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&lt;EndNote&gt;&lt;Cite&gt;&lt;Author&gt;Oren&lt;/Author&gt;&lt;Year&gt;1999&lt;/Year&gt;&lt;RecNum&gt;2147&lt;/RecNum&gt;&lt;DisplayText&gt;[18]&lt;/DisplayText&gt;&lt;record&gt;&lt;rec-number&gt;2147&lt;/rec-number&gt;&lt;foreign-keys&gt;&lt;key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[18]</w:t>
      </w:r>
      <w:r w:rsidR="00FA024C" w:rsidRPr="004B40A6">
        <w:rPr>
          <w:rFonts w:ascii="Arial" w:hAnsi="Arial" w:cs="Arial"/>
          <w:sz w:val="22"/>
          <w:szCs w:val="22"/>
        </w:rPr>
        <w:fldChar w:fldCharType="end"/>
      </w:r>
      <w:r w:rsidRPr="004B40A6">
        <w:rPr>
          <w:rFonts w:ascii="Arial" w:hAnsi="Arial" w:cs="Arial"/>
          <w:sz w:val="22"/>
          <w:szCs w:val="22"/>
        </w:rPr>
        <w:t xml:space="preserve">, </w:t>
      </w:r>
      <w:r w:rsidR="003943F1" w:rsidRPr="004B40A6">
        <w:rPr>
          <w:rFonts w:ascii="Arial" w:hAnsi="Arial" w:cs="Arial"/>
          <w:sz w:val="22"/>
          <w:szCs w:val="22"/>
        </w:rPr>
        <w:t>but required the cell</w:t>
      </w:r>
      <w:r w:rsidRPr="004B40A6">
        <w:rPr>
          <w:rFonts w:ascii="Arial" w:hAnsi="Arial" w:cs="Arial"/>
          <w:sz w:val="22"/>
          <w:szCs w:val="22"/>
        </w:rPr>
        <w:t>s</w:t>
      </w:r>
      <w:r w:rsidR="003943F1" w:rsidRPr="004B40A6">
        <w:rPr>
          <w:rFonts w:ascii="Arial" w:hAnsi="Arial" w:cs="Arial"/>
          <w:sz w:val="22"/>
          <w:szCs w:val="22"/>
        </w:rPr>
        <w:t>’</w:t>
      </w:r>
      <w:r w:rsidRPr="004B40A6">
        <w:rPr>
          <w:rFonts w:ascii="Arial" w:hAnsi="Arial" w:cs="Arial"/>
          <w:sz w:val="22"/>
          <w:szCs w:val="22"/>
        </w:rPr>
        <w:t xml:space="preserve"> proteome</w:t>
      </w:r>
      <w:r w:rsidR="003943F1" w:rsidRPr="004B40A6">
        <w:rPr>
          <w:rFonts w:ascii="Arial" w:hAnsi="Arial" w:cs="Arial"/>
          <w:sz w:val="22"/>
          <w:szCs w:val="22"/>
        </w:rPr>
        <w:t>s</w:t>
      </w:r>
      <w:r w:rsidRPr="004B40A6">
        <w:rPr>
          <w:rFonts w:ascii="Arial" w:hAnsi="Arial" w:cs="Arial"/>
          <w:sz w:val="22"/>
          <w:szCs w:val="22"/>
        </w:rPr>
        <w:t xml:space="preserve"> to be </w:t>
      </w:r>
      <w:r w:rsidR="003943F1" w:rsidRPr="004B40A6">
        <w:rPr>
          <w:rFonts w:ascii="Arial" w:hAnsi="Arial" w:cs="Arial"/>
          <w:sz w:val="22"/>
          <w:szCs w:val="22"/>
        </w:rPr>
        <w:t xml:space="preserve">have an </w:t>
      </w:r>
      <w:r w:rsidRPr="004B40A6">
        <w:rPr>
          <w:rFonts w:ascii="Arial" w:hAnsi="Arial" w:cs="Arial"/>
          <w:sz w:val="22"/>
          <w:szCs w:val="22"/>
        </w:rPr>
        <w:t>extremely low isoelectric point (</w:t>
      </w:r>
      <w:proofErr w:type="spellStart"/>
      <w:r w:rsidRPr="004B40A6">
        <w:rPr>
          <w:rFonts w:ascii="Arial" w:hAnsi="Arial" w:cs="Arial"/>
          <w:sz w:val="22"/>
          <w:szCs w:val="22"/>
        </w:rPr>
        <w:t>pI</w:t>
      </w:r>
      <w:proofErr w:type="spellEnd"/>
      <w:r w:rsidRPr="004B40A6">
        <w:rPr>
          <w:rFonts w:ascii="Arial" w:hAnsi="Arial" w:cs="Arial"/>
          <w:sz w:val="22"/>
          <w:szCs w:val="22"/>
        </w:rPr>
        <w:t xml:space="preserve">) to be able to function at high potassium concentrations </w:t>
      </w:r>
      <w:r w:rsidR="00FA024C" w:rsidRPr="004B40A6">
        <w:rPr>
          <w:rFonts w:ascii="Arial" w:hAnsi="Arial" w:cs="Arial"/>
          <w:sz w:val="22"/>
          <w:szCs w:val="22"/>
        </w:rPr>
        <w:fldChar w:fldCharType="begin">
          <w:fldData xml:space="preserve">PEVuZE5vdGU+PENpdGU+PEF1dGhvcj5PcmVuPC9BdXRob3I+PFllYXI+MjAxMzwvWWVhcj48UmVj
TnVtPjg1ODk8L1JlY051bT48RGlzcGxheVRleHQ+WzE5LTIxXTwvRGlzcGxheVRleHQ+PHJlY29y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324ABC" w:rsidRPr="004B40A6">
        <w:rPr>
          <w:rFonts w:ascii="Arial" w:hAnsi="Arial" w:cs="Arial"/>
          <w:sz w:val="22"/>
          <w:szCs w:val="22"/>
        </w:rPr>
        <w:instrText xml:space="preserve"> ADDIN EN.CITE </w:instrText>
      </w:r>
      <w:r w:rsidR="00324ABC" w:rsidRPr="004B40A6">
        <w:rPr>
          <w:rFonts w:ascii="Arial" w:hAnsi="Arial" w:cs="Arial"/>
          <w:sz w:val="22"/>
          <w:szCs w:val="22"/>
        </w:rPr>
        <w:fldChar w:fldCharType="begin">
          <w:fldData xml:space="preserve">PEVuZE5vdGU+PENpdGU+PEF1dGhvcj5PcmVuPC9BdXRob3I+PFllYXI+MjAxMzwvWWVhcj48UmVj
TnVtPjg1ODk8L1JlY051bT48RGlzcGxheVRleHQ+WzE5LTIxXTwvRGlzcGxheVRleHQ+PHJlY29y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324ABC" w:rsidRPr="004B40A6">
        <w:rPr>
          <w:rFonts w:ascii="Arial" w:hAnsi="Arial" w:cs="Arial"/>
          <w:sz w:val="22"/>
          <w:szCs w:val="22"/>
        </w:rPr>
        <w:instrText xml:space="preserve"> ADDIN EN.CITE.DATA </w:instrText>
      </w:r>
      <w:r w:rsidR="00324ABC" w:rsidRPr="004B40A6">
        <w:rPr>
          <w:rFonts w:ascii="Arial" w:hAnsi="Arial" w:cs="Arial"/>
          <w:sz w:val="22"/>
          <w:szCs w:val="22"/>
        </w:rPr>
      </w:r>
      <w:r w:rsidR="00324ABC" w:rsidRPr="004B40A6">
        <w:rPr>
          <w:rFonts w:ascii="Arial" w:hAnsi="Arial" w:cs="Arial"/>
          <w:sz w:val="22"/>
          <w:szCs w:val="22"/>
        </w:rPr>
        <w:fldChar w:fldCharType="end"/>
      </w:r>
      <w:r w:rsidR="00FA024C" w:rsidRPr="004B40A6">
        <w:rPr>
          <w:rFonts w:ascii="Arial" w:hAnsi="Arial" w:cs="Arial"/>
          <w:sz w:val="22"/>
          <w:szCs w:val="22"/>
        </w:rPr>
      </w:r>
      <w:r w:rsidR="00FA024C" w:rsidRPr="004B40A6">
        <w:rPr>
          <w:rFonts w:ascii="Arial" w:hAnsi="Arial" w:cs="Arial"/>
          <w:sz w:val="22"/>
          <w:szCs w:val="22"/>
        </w:rPr>
        <w:fldChar w:fldCharType="separate"/>
      </w:r>
      <w:r w:rsidR="00324ABC" w:rsidRPr="004B40A6">
        <w:rPr>
          <w:rFonts w:ascii="Arial" w:hAnsi="Arial" w:cs="Arial"/>
          <w:noProof/>
          <w:sz w:val="22"/>
          <w:szCs w:val="22"/>
        </w:rPr>
        <w:t>[19-21]</w:t>
      </w:r>
      <w:r w:rsidR="00FA024C" w:rsidRPr="004B40A6">
        <w:rPr>
          <w:rFonts w:ascii="Arial" w:hAnsi="Arial" w:cs="Arial"/>
          <w:sz w:val="22"/>
          <w:szCs w:val="22"/>
        </w:rPr>
        <w:fldChar w:fldCharType="end"/>
      </w:r>
      <w:r w:rsidRPr="004B40A6">
        <w:rPr>
          <w:rFonts w:ascii="Arial" w:hAnsi="Arial" w:cs="Arial"/>
          <w:sz w:val="22"/>
          <w:szCs w:val="22"/>
        </w:rPr>
        <w:t xml:space="preserve">. </w:t>
      </w:r>
    </w:p>
    <w:p w14:paraId="62D54E9C" w14:textId="77777777" w:rsidR="00D71C9F" w:rsidRDefault="005863A8" w:rsidP="00811B54">
      <w:pPr>
        <w:rPr>
          <w:rFonts w:ascii="Arial" w:hAnsi="Arial" w:cs="Arial"/>
          <w:b/>
          <w:sz w:val="22"/>
          <w:szCs w:val="22"/>
        </w:rPr>
      </w:pPr>
      <w:r w:rsidRPr="004B40A6">
        <w:rPr>
          <w:rFonts w:ascii="Arial" w:hAnsi="Arial" w:cs="Arial"/>
          <w:sz w:val="22"/>
          <w:szCs w:val="22"/>
        </w:rPr>
        <w:tab/>
        <w:t xml:space="preserve">The highly specialized nature of the halite microbial communities can make them more vulnerable to change compared to habitat generalists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&lt;EndNote&gt;&lt;Cite&gt;&lt;Author&gt;Monard&lt;/Author&gt;&lt;Year&gt;2016&lt;/Year&gt;&lt;RecNum&gt;8592&lt;/RecNum&gt;&lt;DisplayText&gt;[17]&lt;/DisplayText&gt;&lt;record&gt;&lt;rec-number&gt;8592&lt;/rec-number&gt;&lt;foreign-keys&gt;&lt;key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[17]</w:t>
      </w:r>
      <w:r w:rsidR="00FA024C" w:rsidRPr="004B40A6">
        <w:rPr>
          <w:rFonts w:ascii="Arial" w:hAnsi="Arial" w:cs="Arial"/>
          <w:sz w:val="22"/>
          <w:szCs w:val="22"/>
        </w:rPr>
        <w:fldChar w:fldCharType="end"/>
      </w:r>
      <w:r w:rsidRPr="004B40A6">
        <w:rPr>
          <w:rFonts w:ascii="Arial" w:hAnsi="Arial" w:cs="Arial"/>
          <w:sz w:val="22"/>
          <w:szCs w:val="22"/>
        </w:rPr>
        <w:t xml:space="preserve">, particularly to sudden changes in water availability. Because the nodules are primarily comprised of porous salt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&lt;EndNote&gt;&lt;Cite&gt;&lt;Author&gt;Davila&lt;/Author&gt;&lt;Year&gt;2013&lt;/Year&gt;&lt;RecNum&gt;6726&lt;/RecNum&gt;&lt;DisplayText&gt;[22]&lt;/DisplayText&gt;&lt;record&gt;&lt;rec-number&gt;6726&lt;/rec-number&gt;&lt;foreign-keys&gt;&lt;key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[22]</w:t>
      </w:r>
      <w:r w:rsidR="00FA024C" w:rsidRPr="004B40A6">
        <w:rPr>
          <w:rFonts w:ascii="Arial" w:hAnsi="Arial" w:cs="Arial"/>
          <w:sz w:val="22"/>
          <w:szCs w:val="22"/>
        </w:rPr>
        <w:fldChar w:fldCharType="end"/>
      </w:r>
      <w:r w:rsidRPr="004B40A6">
        <w:rPr>
          <w:rFonts w:ascii="Arial" w:hAnsi="Arial" w:cs="Arial"/>
          <w:sz w:val="22"/>
          <w:szCs w:val="22"/>
        </w:rPr>
        <w:t>, a major rain could at temporarily alter the internal conditions and create a major osmotic shock to the microbial communities. The rain that northern Atacama received in August 2015 was its first major precipitation event in 13 years</w:t>
      </w:r>
      <w:r w:rsidR="005C0DEA" w:rsidRPr="004B40A6">
        <w:rPr>
          <w:rFonts w:ascii="Arial" w:hAnsi="Arial" w:cs="Arial"/>
          <w:sz w:val="22"/>
          <w:szCs w:val="22"/>
        </w:rPr>
        <w:t xml:space="preserve">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 ExcludeAuth="1" ExcludeYear="1"&gt;&lt;RecNum&gt;8576&lt;/RecNum&gt;&lt;DisplayText&gt;[10, 23]&lt;/DisplayText&gt;&lt;record&gt;&lt;rec-number&gt;8576&lt;/rec-number&gt;&lt;foreign-keys&gt;&lt;key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[10, 23]</w:t>
      </w:r>
      <w:r w:rsidR="00FA024C" w:rsidRPr="004B40A6">
        <w:rPr>
          <w:rFonts w:ascii="Arial" w:hAnsi="Arial" w:cs="Arial"/>
          <w:sz w:val="22"/>
          <w:szCs w:val="22"/>
        </w:rPr>
        <w:fldChar w:fldCharType="end"/>
      </w:r>
      <w:r w:rsidRPr="004B40A6">
        <w:rPr>
          <w:rFonts w:ascii="Arial" w:hAnsi="Arial" w:cs="Arial"/>
          <w:sz w:val="22"/>
          <w:szCs w:val="22"/>
        </w:rPr>
        <w:t>. Combined with the isolated nature of halite microbiomes, this gave us a perfect opportunity to track the response of an environmental microbiome to a major natural perturbation. Our longitudinal study not only captured the microbiome’s immediate adaptations, but also its recovery in the subsequent year, revealing two strikingly different community adaptation strategies.</w:t>
      </w:r>
    </w:p>
    <w:p w14:paraId="031B04EE" w14:textId="2C3592C3" w:rsidR="00811B54" w:rsidRPr="00D71C9F" w:rsidRDefault="00811B54" w:rsidP="00811B54">
      <w:pPr>
        <w:rPr>
          <w:rFonts w:ascii="Arial" w:hAnsi="Arial" w:cs="Arial"/>
          <w:sz w:val="22"/>
          <w:szCs w:val="22"/>
        </w:rPr>
      </w:pPr>
      <w:r w:rsidRPr="004B40A6">
        <w:rPr>
          <w:rFonts w:ascii="Arial" w:hAnsi="Arial" w:cs="Arial"/>
          <w:b/>
          <w:sz w:val="22"/>
          <w:szCs w:val="22"/>
        </w:rPr>
        <w:lastRenderedPageBreak/>
        <w:t>RESULTS</w:t>
      </w:r>
    </w:p>
    <w:p w14:paraId="3E98C666" w14:textId="77777777" w:rsidR="00811B54" w:rsidRPr="004B40A6" w:rsidRDefault="00811B54" w:rsidP="00811B54">
      <w:pPr>
        <w:rPr>
          <w:rFonts w:ascii="Arial" w:hAnsi="Arial" w:cs="Arial"/>
          <w:b/>
          <w:sz w:val="22"/>
          <w:szCs w:val="22"/>
        </w:rPr>
      </w:pPr>
      <w:r w:rsidRPr="004B40A6">
        <w:rPr>
          <w:rFonts w:ascii="Arial" w:hAnsi="Arial" w:cs="Arial"/>
          <w:b/>
          <w:sz w:val="22"/>
          <w:szCs w:val="22"/>
        </w:rPr>
        <w:t>Longitudinal sampling strategy and sequencing approach</w:t>
      </w:r>
    </w:p>
    <w:p w14:paraId="060009C8" w14:textId="5EB182EE" w:rsidR="00811B54" w:rsidRPr="004B40A6" w:rsidRDefault="00811B54" w:rsidP="00811B54">
      <w:pPr>
        <w:rPr>
          <w:rFonts w:ascii="Arial" w:hAnsi="Arial" w:cs="Arial"/>
          <w:sz w:val="22"/>
          <w:szCs w:val="22"/>
        </w:rPr>
      </w:pPr>
      <w:r w:rsidRPr="004B40A6">
        <w:rPr>
          <w:rFonts w:ascii="Arial" w:hAnsi="Arial" w:cs="Arial"/>
          <w:sz w:val="22"/>
          <w:szCs w:val="22"/>
        </w:rPr>
        <w:tab/>
        <w:t xml:space="preserve">In order to investigate the temporal dynamics of halite microbiomes, samples were harvested at regular intervals in a 4-year longitudinal study, capturing the rare rain events that occurred in 2015 throughout the desert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&lt;EndNote&gt;&lt;Cite&gt;&lt;Author&gt;Bozkurt&lt;/Author&gt;&lt;Year&gt;2016&lt;/Year&gt;&lt;RecNum&gt;8578&lt;/RecNum&gt;&lt;DisplayText&gt;[10]&lt;/DisplayText&gt;&lt;record&gt;&lt;rec-number&gt;8578&lt;/rec-number&gt;&lt;foreign-keys&gt;&lt;key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[10]</w:t>
      </w:r>
      <w:r w:rsidR="00FA024C" w:rsidRPr="004B40A6">
        <w:rPr>
          <w:rFonts w:ascii="Arial" w:hAnsi="Arial" w:cs="Arial"/>
          <w:sz w:val="22"/>
          <w:szCs w:val="22"/>
        </w:rPr>
        <w:fldChar w:fldCharType="end"/>
      </w:r>
      <w:r w:rsidRPr="004B40A6">
        <w:rPr>
          <w:rFonts w:ascii="Arial" w:hAnsi="Arial" w:cs="Arial"/>
          <w:sz w:val="22"/>
          <w:szCs w:val="22"/>
        </w:rPr>
        <w:t xml:space="preserve">. A nearby weather station (Diego </w:t>
      </w:r>
      <w:proofErr w:type="spellStart"/>
      <w:r w:rsidRPr="004B40A6">
        <w:rPr>
          <w:rFonts w:ascii="Arial" w:hAnsi="Arial" w:cs="Arial"/>
          <w:sz w:val="22"/>
          <w:szCs w:val="22"/>
        </w:rPr>
        <w:t>Aracena</w:t>
      </w:r>
      <w:proofErr w:type="spellEnd"/>
      <w:r w:rsidRPr="004B40A6">
        <w:rPr>
          <w:rFonts w:ascii="Arial" w:hAnsi="Arial" w:cs="Arial"/>
          <w:sz w:val="22"/>
          <w:szCs w:val="22"/>
        </w:rPr>
        <w:t xml:space="preserve"> airport), located 47.7km North of the sampling site, recorded rainfalls on 2015-08 (4.1mm). The previous notable precipitation in the area occurred in 2002 (4.1mm) </w:t>
      </w:r>
      <w:r w:rsidR="00FA024C" w:rsidRPr="004B40A6">
        <w:rPr>
          <w:rFonts w:ascii="Arial" w:hAnsi="Arial" w:cs="Arial"/>
          <w:sz w:val="22"/>
          <w:szCs w:val="22"/>
        </w:rPr>
        <w:fldChar w:fldCharType="begin"/>
      </w:r>
      <w:r w:rsidR="00324ABC" w:rsidRPr="004B40A6">
        <w:rPr>
          <w:rFonts w:ascii="Arial" w:hAnsi="Arial" w:cs="Arial"/>
          <w:sz w:val="22"/>
          <w:szCs w:val="22"/>
        </w:rPr>
        <w:instrText xml:space="preserve"> ADDIN EN.CITE &lt;EndNote&gt;&lt;Cite&gt;&lt;Author&gt;N.&lt;/Author&gt;&lt;Year&gt;2012&lt;/Year&gt;&lt;RecNum&gt;8577&lt;/RecNum&gt;&lt;DisplayText&gt;[23, 24]&lt;/DisplayText&gt;&lt;record&gt;&lt;rec-number&gt;8577&lt;/rec-number&gt;&lt;foreign-keys&gt;&lt;key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FA024C" w:rsidRPr="004B40A6">
        <w:rPr>
          <w:rFonts w:ascii="Arial" w:hAnsi="Arial" w:cs="Arial"/>
          <w:sz w:val="22"/>
          <w:szCs w:val="22"/>
        </w:rPr>
        <w:fldChar w:fldCharType="separate"/>
      </w:r>
      <w:r w:rsidR="00324ABC" w:rsidRPr="004B40A6">
        <w:rPr>
          <w:rFonts w:ascii="Arial" w:hAnsi="Arial" w:cs="Arial"/>
          <w:noProof/>
          <w:sz w:val="22"/>
          <w:szCs w:val="22"/>
        </w:rPr>
        <w:t>[23, 24]</w:t>
      </w:r>
      <w:r w:rsidR="00FA024C" w:rsidRPr="004B40A6">
        <w:rPr>
          <w:rFonts w:ascii="Arial" w:hAnsi="Arial" w:cs="Arial"/>
          <w:sz w:val="22"/>
          <w:szCs w:val="22"/>
        </w:rPr>
        <w:fldChar w:fldCharType="end"/>
      </w:r>
      <w:r w:rsidRPr="004B40A6">
        <w:rPr>
          <w:rFonts w:ascii="Arial" w:hAnsi="Arial" w:cs="Arial"/>
          <w:sz w:val="22"/>
          <w:szCs w:val="22"/>
        </w:rPr>
        <w:t xml:space="preserve">. </w:t>
      </w:r>
    </w:p>
    <w:p w14:paraId="43870E5C" w14:textId="14DC80C8" w:rsidR="00811B54" w:rsidRPr="004B40A6" w:rsidRDefault="00811B54" w:rsidP="00811B54">
      <w:pPr>
        <w:rPr>
          <w:rFonts w:ascii="Arial" w:eastAsia="Times New Roman" w:hAnsi="Arial" w:cs="Arial"/>
          <w:sz w:val="22"/>
          <w:szCs w:val="22"/>
        </w:rPr>
      </w:pPr>
      <w:r w:rsidRPr="004B40A6">
        <w:rPr>
          <w:rFonts w:ascii="Arial" w:hAnsi="Arial" w:cs="Arial"/>
          <w:sz w:val="22"/>
          <w:szCs w:val="22"/>
        </w:rPr>
        <w:tab/>
        <w:t>The main sampling site was revisited four times during the study – twice before the rain (2014-09 and 2015-06),</w:t>
      </w:r>
      <w:r w:rsidR="003943F1" w:rsidRPr="004B40A6">
        <w:rPr>
          <w:rFonts w:ascii="Arial" w:hAnsi="Arial" w:cs="Arial"/>
          <w:sz w:val="22"/>
          <w:szCs w:val="22"/>
        </w:rPr>
        <w:t xml:space="preserve"> and</w:t>
      </w:r>
      <w:r w:rsidRPr="004B40A6">
        <w:rPr>
          <w:rFonts w:ascii="Arial" w:hAnsi="Arial" w:cs="Arial"/>
          <w:sz w:val="22"/>
          <w:szCs w:val="22"/>
        </w:rPr>
        <w:t xml:space="preserve"> twice after the rain (2016-02 and 2017-02). For each time point, 9-12 biological replicates were collected and their 16S rDNA sequenced, yielding </w:t>
      </w:r>
      <w:r w:rsidRPr="004B40A6">
        <w:rPr>
          <w:rFonts w:ascii="Arial" w:eastAsia="Times New Roman" w:hAnsi="Arial" w:cs="Arial"/>
          <w:color w:val="000000"/>
          <w:sz w:val="22"/>
          <w:szCs w:val="22"/>
        </w:rPr>
        <w:t xml:space="preserve">535,233 </w:t>
      </w:r>
      <w:r w:rsidRPr="004B40A6">
        <w:rPr>
          <w:rFonts w:ascii="Arial" w:hAnsi="Arial" w:cs="Arial"/>
          <w:sz w:val="22"/>
          <w:szCs w:val="22"/>
        </w:rPr>
        <w:t>paired-end 250bp reads</w:t>
      </w:r>
      <w:r w:rsidR="0085158A" w:rsidRPr="004B40A6">
        <w:rPr>
          <w:rFonts w:ascii="Arial" w:hAnsi="Arial" w:cs="Arial"/>
          <w:sz w:val="22"/>
          <w:szCs w:val="22"/>
        </w:rPr>
        <w:t xml:space="preserve"> (insert size</w:t>
      </w:r>
      <w:r w:rsidR="00B72FF3" w:rsidRPr="004B40A6">
        <w:rPr>
          <w:rFonts w:ascii="Arial" w:hAnsi="Arial" w:cs="Arial"/>
          <w:sz w:val="22"/>
          <w:szCs w:val="22"/>
        </w:rPr>
        <w:t xml:space="preserve"> 419</w:t>
      </w:r>
      <w:r w:rsidR="00B72FF3" w:rsidRPr="004B40A6">
        <w:rPr>
          <w:rFonts w:ascii="Arial" w:eastAsia="Times New Roman" w:hAnsi="Arial" w:cs="Arial"/>
          <w:sz w:val="22"/>
          <w:szCs w:val="22"/>
        </w:rPr>
        <w:t>±7bp</w:t>
      </w:r>
      <w:r w:rsidR="0085158A" w:rsidRPr="004B40A6">
        <w:rPr>
          <w:rFonts w:ascii="Arial" w:hAnsi="Arial" w:cs="Arial"/>
          <w:sz w:val="22"/>
          <w:szCs w:val="22"/>
        </w:rPr>
        <w:t>)</w:t>
      </w:r>
      <w:r w:rsidRPr="004B40A6">
        <w:rPr>
          <w:rFonts w:ascii="Arial" w:hAnsi="Arial" w:cs="Arial"/>
          <w:sz w:val="22"/>
          <w:szCs w:val="22"/>
        </w:rPr>
        <w:t xml:space="preserve">, which were used for taxonomic profiling the microbiomes. For 5 biological replicates in each time point, whole-metagenomic (WMG) sequencing was also done for evaluating the functional potential of the communities over time, yielding a total of </w:t>
      </w:r>
      <w:r w:rsidRPr="004B40A6">
        <w:rPr>
          <w:rFonts w:ascii="Arial" w:eastAsia="Times New Roman" w:hAnsi="Arial" w:cs="Arial"/>
          <w:color w:val="000000"/>
          <w:sz w:val="22"/>
          <w:szCs w:val="22"/>
        </w:rPr>
        <w:t xml:space="preserve">70,689,467 </w:t>
      </w:r>
      <w:r w:rsidRPr="004B40A6">
        <w:rPr>
          <w:rFonts w:ascii="Arial" w:hAnsi="Arial" w:cs="Arial"/>
          <w:sz w:val="22"/>
          <w:szCs w:val="22"/>
        </w:rPr>
        <w:t>paired-end 150bp reads</w:t>
      </w:r>
      <w:r w:rsidR="00B72FF3" w:rsidRPr="004B40A6">
        <w:rPr>
          <w:rFonts w:ascii="Arial" w:hAnsi="Arial" w:cs="Arial"/>
          <w:sz w:val="22"/>
          <w:szCs w:val="22"/>
        </w:rPr>
        <w:t xml:space="preserve"> (insert size</w:t>
      </w:r>
      <w:r w:rsidR="006F06BA">
        <w:rPr>
          <w:rFonts w:ascii="Arial" w:hAnsi="Arial" w:cs="Arial"/>
          <w:sz w:val="22"/>
          <w:szCs w:val="22"/>
        </w:rPr>
        <w:t xml:space="preserve"> 277</w:t>
      </w:r>
      <w:r w:rsidR="006F06BA" w:rsidRPr="004B40A6">
        <w:rPr>
          <w:rFonts w:ascii="Arial" w:eastAsia="Times New Roman" w:hAnsi="Arial" w:cs="Arial"/>
          <w:sz w:val="22"/>
          <w:szCs w:val="22"/>
        </w:rPr>
        <w:t>±</w:t>
      </w:r>
      <w:r w:rsidR="006F06BA">
        <w:rPr>
          <w:rFonts w:ascii="Arial" w:hAnsi="Arial" w:cs="Arial"/>
          <w:sz w:val="22"/>
          <w:szCs w:val="22"/>
        </w:rPr>
        <w:t>217bp</w:t>
      </w:r>
      <w:r w:rsidR="00B72FF3" w:rsidRPr="004B40A6">
        <w:rPr>
          <w:rFonts w:ascii="Arial" w:hAnsi="Arial" w:cs="Arial"/>
          <w:sz w:val="22"/>
          <w:szCs w:val="22"/>
        </w:rPr>
        <w:t>)</w:t>
      </w:r>
      <w:r w:rsidRPr="004B40A6">
        <w:rPr>
          <w:rFonts w:ascii="Arial" w:hAnsi="Arial" w:cs="Arial"/>
          <w:sz w:val="22"/>
          <w:szCs w:val="22"/>
        </w:rPr>
        <w:t>. In addition, a nearby site was also sampled after the rain at a higher temporal re</w:t>
      </w:r>
      <w:r w:rsidR="00B72FF3" w:rsidRPr="004B40A6">
        <w:rPr>
          <w:rFonts w:ascii="Arial" w:hAnsi="Arial" w:cs="Arial"/>
          <w:sz w:val="22"/>
          <w:szCs w:val="22"/>
        </w:rPr>
        <w:t>solution (2016-02, 2016-07, 2016</w:t>
      </w:r>
      <w:r w:rsidRPr="004B40A6">
        <w:rPr>
          <w:rFonts w:ascii="Arial" w:hAnsi="Arial" w:cs="Arial"/>
          <w:sz w:val="22"/>
          <w:szCs w:val="22"/>
        </w:rPr>
        <w:t xml:space="preserve">-10, and 2017-02), with 5-13 replicates per time point. The 16S rDNA amplicons from samples at this site were also sequenced, yielding </w:t>
      </w:r>
      <w:r w:rsidRPr="004B40A6">
        <w:rPr>
          <w:rFonts w:ascii="Arial" w:eastAsia="Times New Roman" w:hAnsi="Arial" w:cs="Arial"/>
          <w:color w:val="000000"/>
          <w:sz w:val="22"/>
          <w:szCs w:val="22"/>
        </w:rPr>
        <w:t>357,325 paired end 250bp reads</w:t>
      </w:r>
      <w:r w:rsidR="00B72FF3" w:rsidRPr="004B40A6">
        <w:rPr>
          <w:rFonts w:ascii="Arial" w:eastAsia="Times New Roman" w:hAnsi="Arial" w:cs="Arial"/>
          <w:color w:val="000000"/>
          <w:sz w:val="22"/>
          <w:szCs w:val="22"/>
        </w:rPr>
        <w:t xml:space="preserve"> (insert size 419</w:t>
      </w:r>
      <w:r w:rsidR="00B72FF3" w:rsidRPr="004B40A6">
        <w:rPr>
          <w:rFonts w:ascii="Arial" w:eastAsia="Times New Roman" w:hAnsi="Arial" w:cs="Arial"/>
          <w:sz w:val="22"/>
          <w:szCs w:val="22"/>
        </w:rPr>
        <w:t>±4bp</w:t>
      </w:r>
      <w:r w:rsidR="00B72FF3" w:rsidRPr="004B40A6">
        <w:rPr>
          <w:rFonts w:ascii="Arial" w:eastAsia="Times New Roman" w:hAnsi="Arial" w:cs="Arial"/>
          <w:color w:val="000000"/>
          <w:sz w:val="22"/>
          <w:szCs w:val="22"/>
        </w:rPr>
        <w:t>)</w:t>
      </w:r>
      <w:r w:rsidRPr="004B40A6">
        <w:rPr>
          <w:rFonts w:ascii="Arial" w:eastAsia="Times New Roman" w:hAnsi="Arial" w:cs="Arial"/>
          <w:color w:val="000000"/>
          <w:sz w:val="22"/>
          <w:szCs w:val="22"/>
        </w:rPr>
        <w:t>.</w:t>
      </w:r>
    </w:p>
    <w:p w14:paraId="45B3706C" w14:textId="77777777" w:rsidR="008F6B47" w:rsidRPr="004B40A6" w:rsidRDefault="008F6B47" w:rsidP="00811B54">
      <w:pPr>
        <w:rPr>
          <w:rFonts w:ascii="Arial" w:eastAsia="Times New Roman" w:hAnsi="Arial" w:cs="Arial"/>
          <w:color w:val="000000"/>
          <w:sz w:val="22"/>
          <w:szCs w:val="22"/>
        </w:rPr>
      </w:pPr>
    </w:p>
    <w:p w14:paraId="2F3EB13F" w14:textId="77777777" w:rsidR="00811B54" w:rsidRPr="004B40A6" w:rsidRDefault="00811B54" w:rsidP="00811B54">
      <w:pPr>
        <w:rPr>
          <w:rFonts w:ascii="Arial" w:hAnsi="Arial" w:cs="Arial"/>
          <w:b/>
          <w:sz w:val="22"/>
          <w:szCs w:val="22"/>
        </w:rPr>
      </w:pPr>
      <w:r w:rsidRPr="004B40A6">
        <w:rPr>
          <w:rFonts w:ascii="Arial" w:hAnsi="Arial" w:cs="Arial"/>
          <w:b/>
          <w:sz w:val="22"/>
          <w:szCs w:val="22"/>
        </w:rPr>
        <w:t>Taxonomic structure and functional potential</w:t>
      </w:r>
      <w:r w:rsidRPr="004B40A6">
        <w:rPr>
          <w:rFonts w:ascii="Arial" w:hAnsi="Arial" w:cs="Arial"/>
          <w:b/>
          <w:bCs/>
          <w:sz w:val="22"/>
          <w:szCs w:val="22"/>
        </w:rPr>
        <w:t xml:space="preserve"> of the community were temporarily perturbed, but were </w:t>
      </w:r>
      <w:r w:rsidRPr="004B40A6">
        <w:rPr>
          <w:rFonts w:ascii="Arial" w:hAnsi="Arial" w:cs="Arial"/>
          <w:b/>
          <w:sz w:val="22"/>
          <w:szCs w:val="22"/>
        </w:rPr>
        <w:t>resilient long-term</w:t>
      </w:r>
    </w:p>
    <w:p w14:paraId="148985FD" w14:textId="6D9C983A" w:rsidR="00950A06" w:rsidRPr="004B40A6" w:rsidRDefault="00811B54" w:rsidP="00950A06">
      <w:pPr>
        <w:rPr>
          <w:rFonts w:ascii="Arial" w:hAnsi="Arial" w:cs="Arial"/>
          <w:sz w:val="22"/>
          <w:szCs w:val="22"/>
        </w:rPr>
      </w:pPr>
      <w:r w:rsidRPr="004B40A6">
        <w:rPr>
          <w:rFonts w:ascii="Arial" w:hAnsi="Arial" w:cs="Arial"/>
          <w:sz w:val="22"/>
          <w:szCs w:val="22"/>
        </w:rPr>
        <w:tab/>
        <w:t>Ribosomal amplicon sequences were clustered into operational taxonomic units (OTUs) at 97% nucleotide identity to evaluate overall taxonomic structure of</w:t>
      </w:r>
      <w:r w:rsidR="00A04DF2" w:rsidRPr="004B40A6">
        <w:rPr>
          <w:rFonts w:ascii="Arial" w:hAnsi="Arial" w:cs="Arial"/>
          <w:sz w:val="22"/>
          <w:szCs w:val="22"/>
        </w:rPr>
        <w:t xml:space="preserve"> samples in</w:t>
      </w:r>
      <w:r w:rsidR="005541CF">
        <w:rPr>
          <w:rFonts w:ascii="Arial" w:hAnsi="Arial" w:cs="Arial"/>
          <w:sz w:val="22"/>
          <w:szCs w:val="22"/>
        </w:rPr>
        <w:t xml:space="preserve"> the longitudinal study. Analysis of the </w:t>
      </w:r>
      <w:r w:rsidR="005541CF" w:rsidRPr="004B40A6">
        <w:rPr>
          <w:rFonts w:ascii="Arial" w:hAnsi="Arial" w:cs="Arial"/>
          <w:sz w:val="22"/>
          <w:szCs w:val="22"/>
        </w:rPr>
        <w:t xml:space="preserve">Weighted </w:t>
      </w:r>
      <w:proofErr w:type="spellStart"/>
      <w:r w:rsidR="005541CF" w:rsidRPr="004B40A6">
        <w:rPr>
          <w:rFonts w:ascii="Arial" w:hAnsi="Arial" w:cs="Arial"/>
          <w:sz w:val="22"/>
          <w:szCs w:val="22"/>
        </w:rPr>
        <w:t>Unifrac</w:t>
      </w:r>
      <w:proofErr w:type="spellEnd"/>
      <w:r w:rsidR="005541CF" w:rsidRPr="004B40A6">
        <w:rPr>
          <w:rFonts w:ascii="Arial" w:hAnsi="Arial" w:cs="Arial"/>
          <w:sz w:val="22"/>
          <w:szCs w:val="22"/>
        </w:rPr>
        <w:t xml:space="preserve"> dissimilarity matrix </w:t>
      </w:r>
      <w:r w:rsidR="005541CF">
        <w:rPr>
          <w:rFonts w:ascii="Arial" w:hAnsi="Arial" w:cs="Arial"/>
          <w:sz w:val="22"/>
          <w:szCs w:val="22"/>
        </w:rPr>
        <w:t>revealed that samples harvested at different dates were significantly different (</w:t>
      </w:r>
      <w:proofErr w:type="spellStart"/>
      <w:r w:rsidR="00824B04">
        <w:rPr>
          <w:rFonts w:ascii="Arial" w:hAnsi="Arial" w:cs="Arial"/>
          <w:sz w:val="22"/>
          <w:szCs w:val="22"/>
        </w:rPr>
        <w:t>permanova</w:t>
      </w:r>
      <w:proofErr w:type="spellEnd"/>
      <w:r w:rsidR="00824B04">
        <w:rPr>
          <w:rFonts w:ascii="Arial" w:hAnsi="Arial" w:cs="Arial"/>
          <w:sz w:val="22"/>
          <w:szCs w:val="22"/>
        </w:rPr>
        <w:t xml:space="preserve"> test: </w:t>
      </w:r>
      <w:r w:rsidR="005541CF">
        <w:rPr>
          <w:rFonts w:ascii="Arial" w:hAnsi="Arial" w:cs="Arial"/>
          <w:sz w:val="22"/>
          <w:szCs w:val="22"/>
        </w:rPr>
        <w:t xml:space="preserve">statistic=38.69, p-value&lt;0.001), with the </w:t>
      </w:r>
      <w:r w:rsidRPr="004B40A6">
        <w:rPr>
          <w:rFonts w:ascii="Arial" w:hAnsi="Arial" w:cs="Arial"/>
          <w:sz w:val="22"/>
          <w:szCs w:val="22"/>
        </w:rPr>
        <w:t>the halite microbial commu</w:t>
      </w:r>
      <w:r w:rsidR="005541CF">
        <w:rPr>
          <w:rFonts w:ascii="Arial" w:hAnsi="Arial" w:cs="Arial"/>
          <w:sz w:val="22"/>
          <w:szCs w:val="22"/>
        </w:rPr>
        <w:t xml:space="preserve">nity shifting </w:t>
      </w:r>
      <w:r w:rsidRPr="004B40A6">
        <w:rPr>
          <w:rFonts w:ascii="Arial" w:hAnsi="Arial" w:cs="Arial"/>
          <w:sz w:val="22"/>
          <w:szCs w:val="22"/>
        </w:rPr>
        <w:t xml:space="preserve">following the rain, but </w:t>
      </w:r>
      <w:r w:rsidR="005541CF">
        <w:rPr>
          <w:rFonts w:ascii="Arial" w:hAnsi="Arial" w:cs="Arial"/>
          <w:sz w:val="22"/>
          <w:szCs w:val="22"/>
        </w:rPr>
        <w:t xml:space="preserve">recovering </w:t>
      </w:r>
      <w:r w:rsidRPr="004B40A6">
        <w:rPr>
          <w:rFonts w:ascii="Arial" w:hAnsi="Arial" w:cs="Arial"/>
          <w:sz w:val="22"/>
          <w:szCs w:val="22"/>
        </w:rPr>
        <w:t>in the following year</w:t>
      </w:r>
      <w:r w:rsidR="009254EB">
        <w:rPr>
          <w:rFonts w:ascii="Arial" w:hAnsi="Arial" w:cs="Arial"/>
          <w:sz w:val="22"/>
          <w:szCs w:val="22"/>
        </w:rPr>
        <w:t xml:space="preserve"> (Figure 1A)</w:t>
      </w:r>
      <w:r w:rsidRPr="004B40A6">
        <w:rPr>
          <w:rFonts w:ascii="Arial" w:hAnsi="Arial" w:cs="Arial"/>
          <w:sz w:val="22"/>
          <w:szCs w:val="22"/>
        </w:rPr>
        <w:t xml:space="preserve">. Samples from before the rain (2014-09 and 2015-06) clustered together, providing a baseline to compare the post-rain samples against. Strikingly, 2016-02 samples (6 months post-rain) </w:t>
      </w:r>
      <w:r w:rsidR="00D50344">
        <w:rPr>
          <w:rFonts w:ascii="Arial" w:hAnsi="Arial" w:cs="Arial"/>
          <w:sz w:val="22"/>
          <w:szCs w:val="22"/>
        </w:rPr>
        <w:t>were significantly more distant from the pre-</w:t>
      </w:r>
      <w:r w:rsidRPr="004B40A6">
        <w:rPr>
          <w:rFonts w:ascii="Arial" w:hAnsi="Arial" w:cs="Arial"/>
          <w:sz w:val="22"/>
          <w:szCs w:val="22"/>
        </w:rPr>
        <w:t>rain samples</w:t>
      </w:r>
      <w:r w:rsidR="00D50344">
        <w:rPr>
          <w:rFonts w:ascii="Arial" w:hAnsi="Arial" w:cs="Arial"/>
          <w:sz w:val="22"/>
          <w:szCs w:val="22"/>
        </w:rPr>
        <w:t xml:space="preserve"> than this baseline (</w:t>
      </w:r>
      <w:r w:rsidR="00D50344" w:rsidRPr="00950A06">
        <w:rPr>
          <w:rFonts w:ascii="Arial" w:hAnsi="Arial" w:cs="Arial"/>
          <w:sz w:val="22"/>
          <w:szCs w:val="22"/>
        </w:rPr>
        <w:t xml:space="preserve">two-sided </w:t>
      </w:r>
      <w:r w:rsidR="00D50344">
        <w:rPr>
          <w:rFonts w:ascii="Arial" w:hAnsi="Arial" w:cs="Arial"/>
          <w:sz w:val="22"/>
          <w:szCs w:val="22"/>
        </w:rPr>
        <w:t>t-test: t-statistic=</w:t>
      </w:r>
      <w:r w:rsidR="00D50344" w:rsidRPr="00950A06">
        <w:rPr>
          <w:rFonts w:ascii="Arial" w:hAnsi="Arial" w:cs="Arial"/>
          <w:sz w:val="22"/>
          <w:szCs w:val="22"/>
        </w:rPr>
        <w:t>20.3</w:t>
      </w:r>
      <w:r w:rsidR="00D50344">
        <w:rPr>
          <w:rFonts w:ascii="Arial" w:hAnsi="Arial" w:cs="Arial"/>
          <w:sz w:val="22"/>
          <w:szCs w:val="22"/>
        </w:rPr>
        <w:t>5</w:t>
      </w:r>
      <w:r w:rsidR="00D50344" w:rsidRPr="00950A06">
        <w:rPr>
          <w:rFonts w:ascii="Arial" w:hAnsi="Arial" w:cs="Arial"/>
          <w:sz w:val="22"/>
          <w:szCs w:val="22"/>
        </w:rPr>
        <w:t>, parametric p</w:t>
      </w:r>
      <w:r w:rsidR="00D50344">
        <w:rPr>
          <w:rFonts w:ascii="Arial" w:hAnsi="Arial" w:cs="Arial"/>
          <w:sz w:val="22"/>
          <w:szCs w:val="22"/>
        </w:rPr>
        <w:t>-</w:t>
      </w:r>
      <w:r w:rsidR="00D50344" w:rsidRPr="00950A06">
        <w:rPr>
          <w:rFonts w:ascii="Arial" w:hAnsi="Arial" w:cs="Arial"/>
          <w:sz w:val="22"/>
          <w:szCs w:val="22"/>
        </w:rPr>
        <w:t>val</w:t>
      </w:r>
      <w:r w:rsidR="00D50344">
        <w:rPr>
          <w:rFonts w:ascii="Arial" w:hAnsi="Arial" w:cs="Arial"/>
          <w:sz w:val="22"/>
          <w:szCs w:val="22"/>
        </w:rPr>
        <w:t>ue</w:t>
      </w:r>
      <w:r w:rsidR="00D50344" w:rsidRPr="00950A06">
        <w:rPr>
          <w:rFonts w:ascii="Arial" w:hAnsi="Arial" w:cs="Arial"/>
          <w:sz w:val="22"/>
          <w:szCs w:val="22"/>
        </w:rPr>
        <w:t>=1.23E-55</w:t>
      </w:r>
      <w:r w:rsidR="00D50344">
        <w:rPr>
          <w:rFonts w:ascii="Arial" w:hAnsi="Arial" w:cs="Arial"/>
          <w:sz w:val="22"/>
          <w:szCs w:val="22"/>
        </w:rPr>
        <w:t>)</w:t>
      </w:r>
      <w:r w:rsidRPr="004B40A6">
        <w:rPr>
          <w:rFonts w:ascii="Arial" w:hAnsi="Arial" w:cs="Arial"/>
          <w:sz w:val="22"/>
          <w:szCs w:val="22"/>
        </w:rPr>
        <w:t>, but 2017-02 samples (18 months post-rain) were more similar to the</w:t>
      </w:r>
      <w:r w:rsidR="00D50344">
        <w:rPr>
          <w:rFonts w:ascii="Arial" w:hAnsi="Arial" w:cs="Arial"/>
          <w:sz w:val="22"/>
          <w:szCs w:val="22"/>
        </w:rPr>
        <w:t xml:space="preserve"> </w:t>
      </w:r>
      <w:r w:rsidRPr="004B40A6">
        <w:rPr>
          <w:rFonts w:ascii="Arial" w:hAnsi="Arial" w:cs="Arial"/>
          <w:sz w:val="22"/>
          <w:szCs w:val="22"/>
        </w:rPr>
        <w:t>pre-rain samples</w:t>
      </w:r>
      <w:r w:rsidR="00222CA0" w:rsidRPr="004B40A6">
        <w:rPr>
          <w:rFonts w:ascii="Arial" w:hAnsi="Arial" w:cs="Arial"/>
          <w:sz w:val="22"/>
          <w:szCs w:val="22"/>
        </w:rPr>
        <w:t xml:space="preserve"> than to the </w:t>
      </w:r>
      <w:r w:rsidR="000637FE" w:rsidRPr="004B40A6">
        <w:rPr>
          <w:rFonts w:ascii="Arial" w:hAnsi="Arial" w:cs="Arial"/>
          <w:sz w:val="22"/>
          <w:szCs w:val="22"/>
        </w:rPr>
        <w:t>2016-02 samples</w:t>
      </w:r>
      <w:r w:rsidR="00950A06">
        <w:rPr>
          <w:rFonts w:ascii="Arial" w:hAnsi="Arial" w:cs="Arial"/>
          <w:sz w:val="22"/>
          <w:szCs w:val="22"/>
        </w:rPr>
        <w:t xml:space="preserve"> </w:t>
      </w:r>
      <w:r w:rsidR="00D50344">
        <w:rPr>
          <w:rFonts w:ascii="Arial" w:hAnsi="Arial" w:cs="Arial"/>
          <w:sz w:val="22"/>
          <w:szCs w:val="22"/>
        </w:rPr>
        <w:t>(</w:t>
      </w:r>
      <w:r w:rsidR="00D50344" w:rsidRPr="00950A06">
        <w:rPr>
          <w:rFonts w:ascii="Arial" w:hAnsi="Arial" w:cs="Arial"/>
          <w:sz w:val="22"/>
          <w:szCs w:val="22"/>
        </w:rPr>
        <w:t>two-sided</w:t>
      </w:r>
      <w:r w:rsidR="00D50344">
        <w:rPr>
          <w:rFonts w:ascii="Arial" w:hAnsi="Arial" w:cs="Arial"/>
          <w:sz w:val="22"/>
          <w:szCs w:val="22"/>
        </w:rPr>
        <w:t xml:space="preserve"> t-test: t-statistic=</w:t>
      </w:r>
      <w:r w:rsidR="00D50344" w:rsidRPr="00950A06">
        <w:rPr>
          <w:rFonts w:ascii="Arial" w:hAnsi="Arial" w:cs="Arial"/>
          <w:sz w:val="22"/>
          <w:szCs w:val="22"/>
        </w:rPr>
        <w:t>21.</w:t>
      </w:r>
      <w:r w:rsidR="00D50344">
        <w:rPr>
          <w:rFonts w:ascii="Arial" w:hAnsi="Arial" w:cs="Arial"/>
          <w:sz w:val="22"/>
          <w:szCs w:val="22"/>
        </w:rPr>
        <w:t>17, parametric p-value=6.4</w:t>
      </w:r>
      <w:r w:rsidR="00D50344" w:rsidRPr="00950A06">
        <w:rPr>
          <w:rFonts w:ascii="Arial" w:hAnsi="Arial" w:cs="Arial"/>
          <w:sz w:val="22"/>
          <w:szCs w:val="22"/>
        </w:rPr>
        <w:t>E-63</w:t>
      </w:r>
      <w:r w:rsidR="00D50344">
        <w:rPr>
          <w:rFonts w:ascii="Arial" w:hAnsi="Arial" w:cs="Arial"/>
          <w:sz w:val="22"/>
          <w:szCs w:val="22"/>
        </w:rPr>
        <w:t xml:space="preserve">) </w:t>
      </w:r>
      <w:r w:rsidR="009254EB">
        <w:rPr>
          <w:rFonts w:ascii="Arial" w:hAnsi="Arial" w:cs="Arial"/>
          <w:sz w:val="22"/>
          <w:szCs w:val="22"/>
        </w:rPr>
        <w:t>(</w:t>
      </w:r>
      <w:proofErr w:type="spellStart"/>
      <w:r w:rsidR="003F4C33">
        <w:rPr>
          <w:rFonts w:ascii="Arial" w:hAnsi="Arial" w:cs="Arial"/>
          <w:sz w:val="22"/>
          <w:szCs w:val="22"/>
        </w:rPr>
        <w:t>Fugure</w:t>
      </w:r>
      <w:proofErr w:type="spellEnd"/>
      <w:r w:rsidR="003F4C33">
        <w:rPr>
          <w:rFonts w:ascii="Arial" w:hAnsi="Arial" w:cs="Arial"/>
          <w:sz w:val="22"/>
          <w:szCs w:val="22"/>
        </w:rPr>
        <w:t xml:space="preserve"> S1A</w:t>
      </w:r>
      <w:r w:rsidRPr="004B40A6">
        <w:rPr>
          <w:rFonts w:ascii="Arial" w:hAnsi="Arial" w:cs="Arial"/>
          <w:sz w:val="22"/>
          <w:szCs w:val="22"/>
        </w:rPr>
        <w:t>)</w:t>
      </w:r>
      <w:r w:rsidR="00950A06">
        <w:rPr>
          <w:rFonts w:ascii="Arial" w:hAnsi="Arial" w:cs="Arial"/>
          <w:sz w:val="22"/>
          <w:szCs w:val="22"/>
        </w:rPr>
        <w:t>.</w:t>
      </w:r>
    </w:p>
    <w:p w14:paraId="2D69372E" w14:textId="48CBBEB7" w:rsidR="00811B54" w:rsidRPr="004B40A6" w:rsidRDefault="00811B54" w:rsidP="00811B54">
      <w:pPr>
        <w:rPr>
          <w:rFonts w:ascii="Arial" w:hAnsi="Arial" w:cs="Arial"/>
          <w:sz w:val="22"/>
          <w:szCs w:val="22"/>
        </w:rPr>
      </w:pPr>
      <w:r w:rsidRPr="004B40A6">
        <w:rPr>
          <w:rFonts w:ascii="Arial" w:hAnsi="Arial" w:cs="Arial"/>
          <w:sz w:val="22"/>
          <w:szCs w:val="22"/>
        </w:rPr>
        <w:tab/>
        <w:t xml:space="preserve">We also found changes in the the abundances of a number of higher-order taxa following the rain. Most </w:t>
      </w:r>
      <w:r w:rsidR="000637FE" w:rsidRPr="004B40A6">
        <w:rPr>
          <w:rFonts w:ascii="Arial" w:hAnsi="Arial" w:cs="Arial"/>
          <w:sz w:val="22"/>
          <w:szCs w:val="22"/>
        </w:rPr>
        <w:t>interestingly</w:t>
      </w:r>
      <w:r w:rsidRPr="004B40A6">
        <w:rPr>
          <w:rFonts w:ascii="Arial" w:hAnsi="Arial" w:cs="Arial"/>
          <w:sz w:val="22"/>
          <w:szCs w:val="22"/>
        </w:rPr>
        <w:t xml:space="preserve">, the relative </w:t>
      </w:r>
      <w:r w:rsidRPr="004B40A6">
        <w:rPr>
          <w:rFonts w:ascii="Arial" w:hAnsi="Arial" w:cs="Arial"/>
          <w:i/>
          <w:sz w:val="22"/>
          <w:szCs w:val="22"/>
        </w:rPr>
        <w:t>Archaea</w:t>
      </w:r>
      <w:r w:rsidRPr="004B40A6">
        <w:rPr>
          <w:rFonts w:ascii="Arial" w:hAnsi="Arial" w:cs="Arial"/>
          <w:sz w:val="22"/>
          <w:szCs w:val="22"/>
        </w:rPr>
        <w:t xml:space="preserve"> abundance in both the rDNA amplicon (Figure 1B) and WMG sequencing (</w:t>
      </w:r>
      <w:r w:rsidR="008D7BF8">
        <w:rPr>
          <w:rFonts w:ascii="Arial" w:hAnsi="Arial" w:cs="Arial"/>
          <w:sz w:val="22"/>
          <w:szCs w:val="22"/>
        </w:rPr>
        <w:t>Figure S2</w:t>
      </w:r>
      <w:r w:rsidRPr="004B40A6">
        <w:rPr>
          <w:rFonts w:ascii="Arial" w:hAnsi="Arial" w:cs="Arial"/>
          <w:sz w:val="22"/>
          <w:szCs w:val="22"/>
        </w:rPr>
        <w:t>) significantly dropped following the rain</w:t>
      </w:r>
      <w:r w:rsidR="009F62B4">
        <w:rPr>
          <w:rFonts w:ascii="Arial" w:hAnsi="Arial" w:cs="Arial"/>
          <w:sz w:val="22"/>
          <w:szCs w:val="22"/>
        </w:rPr>
        <w:t xml:space="preserve"> (</w:t>
      </w:r>
      <w:r w:rsidR="00F519AA">
        <w:rPr>
          <w:rFonts w:ascii="Arial" w:hAnsi="Arial" w:cs="Arial"/>
          <w:sz w:val="22"/>
          <w:szCs w:val="22"/>
        </w:rPr>
        <w:t xml:space="preserve">two-sided </w:t>
      </w:r>
      <w:r w:rsidR="009F62B4">
        <w:rPr>
          <w:rFonts w:ascii="Arial" w:hAnsi="Arial" w:cs="Arial"/>
          <w:sz w:val="22"/>
          <w:szCs w:val="22"/>
        </w:rPr>
        <w:t>t-</w:t>
      </w:r>
      <w:r w:rsidR="009F62B4" w:rsidRPr="009F62B4">
        <w:rPr>
          <w:rFonts w:ascii="Arial" w:hAnsi="Arial" w:cs="Arial"/>
          <w:sz w:val="22"/>
          <w:szCs w:val="22"/>
        </w:rPr>
        <w:t>test</w:t>
      </w:r>
      <w:r w:rsidR="009F62B4">
        <w:rPr>
          <w:rFonts w:ascii="Arial" w:hAnsi="Arial" w:cs="Arial"/>
          <w:sz w:val="22"/>
          <w:szCs w:val="22"/>
        </w:rPr>
        <w:t>: t-statistic=9.78</w:t>
      </w:r>
      <w:r w:rsidR="009F62B4" w:rsidRPr="009F62B4">
        <w:rPr>
          <w:rFonts w:ascii="Arial" w:hAnsi="Arial" w:cs="Arial"/>
          <w:sz w:val="22"/>
          <w:szCs w:val="22"/>
        </w:rPr>
        <w:t>, p</w:t>
      </w:r>
      <w:r w:rsidR="009F62B4">
        <w:rPr>
          <w:rFonts w:ascii="Arial" w:hAnsi="Arial" w:cs="Arial"/>
          <w:sz w:val="22"/>
          <w:szCs w:val="22"/>
        </w:rPr>
        <w:t>-value=3.4</w:t>
      </w:r>
      <w:r w:rsidR="009F62B4" w:rsidRPr="009F62B4">
        <w:rPr>
          <w:rFonts w:ascii="Arial" w:hAnsi="Arial" w:cs="Arial"/>
          <w:sz w:val="22"/>
          <w:szCs w:val="22"/>
        </w:rPr>
        <w:t>e</w:t>
      </w:r>
      <w:r w:rsidR="00F92FF4">
        <w:rPr>
          <w:rFonts w:ascii="Arial" w:hAnsi="Arial" w:cs="Arial"/>
          <w:sz w:val="22"/>
          <w:szCs w:val="22"/>
        </w:rPr>
        <w:t>-10</w:t>
      </w:r>
      <w:r w:rsidR="009F62B4">
        <w:rPr>
          <w:rFonts w:ascii="Arial" w:hAnsi="Arial" w:cs="Arial"/>
          <w:sz w:val="22"/>
          <w:szCs w:val="22"/>
        </w:rPr>
        <w:t>)</w:t>
      </w:r>
      <w:r w:rsidRPr="004B40A6">
        <w:rPr>
          <w:rFonts w:ascii="Arial" w:hAnsi="Arial" w:cs="Arial"/>
          <w:sz w:val="22"/>
          <w:szCs w:val="22"/>
        </w:rPr>
        <w:t>, but recovered in the following year</w:t>
      </w:r>
      <w:r w:rsidR="00F92FF4">
        <w:rPr>
          <w:rFonts w:ascii="Arial" w:hAnsi="Arial" w:cs="Arial"/>
          <w:sz w:val="22"/>
          <w:szCs w:val="22"/>
        </w:rPr>
        <w:t xml:space="preserve"> (</w:t>
      </w:r>
      <w:r w:rsidR="00F519AA">
        <w:rPr>
          <w:rFonts w:ascii="Arial" w:hAnsi="Arial" w:cs="Arial"/>
          <w:sz w:val="22"/>
          <w:szCs w:val="22"/>
        </w:rPr>
        <w:t xml:space="preserve">two-sided </w:t>
      </w:r>
      <w:r w:rsidR="00F92FF4">
        <w:rPr>
          <w:rFonts w:ascii="Arial" w:hAnsi="Arial" w:cs="Arial"/>
          <w:sz w:val="22"/>
          <w:szCs w:val="22"/>
        </w:rPr>
        <w:t>t-</w:t>
      </w:r>
      <w:r w:rsidR="00F92FF4" w:rsidRPr="009F62B4">
        <w:rPr>
          <w:rFonts w:ascii="Arial" w:hAnsi="Arial" w:cs="Arial"/>
          <w:sz w:val="22"/>
          <w:szCs w:val="22"/>
        </w:rPr>
        <w:t>test</w:t>
      </w:r>
      <w:r w:rsidR="00F92FF4">
        <w:rPr>
          <w:rFonts w:ascii="Arial" w:hAnsi="Arial" w:cs="Arial"/>
          <w:sz w:val="22"/>
          <w:szCs w:val="22"/>
        </w:rPr>
        <w:t>: t-statistic=</w:t>
      </w:r>
      <w:r w:rsidR="00F92FF4" w:rsidRPr="00F92FF4">
        <w:rPr>
          <w:rFonts w:ascii="Arial" w:hAnsi="Arial" w:cs="Arial"/>
          <w:sz w:val="22"/>
          <w:szCs w:val="22"/>
        </w:rPr>
        <w:t xml:space="preserve">-2.14, </w:t>
      </w:r>
      <w:proofErr w:type="spellStart"/>
      <w:r w:rsidR="00F92FF4" w:rsidRPr="00F92FF4">
        <w:rPr>
          <w:rFonts w:ascii="Arial" w:hAnsi="Arial" w:cs="Arial"/>
          <w:sz w:val="22"/>
          <w:szCs w:val="22"/>
        </w:rPr>
        <w:t>pvalue</w:t>
      </w:r>
      <w:proofErr w:type="spellEnd"/>
      <w:r w:rsidR="00F92FF4" w:rsidRPr="00F92FF4">
        <w:rPr>
          <w:rFonts w:ascii="Arial" w:hAnsi="Arial" w:cs="Arial"/>
          <w:sz w:val="22"/>
          <w:szCs w:val="22"/>
        </w:rPr>
        <w:t>=0.04</w:t>
      </w:r>
      <w:r w:rsidR="00F92FF4">
        <w:rPr>
          <w:rFonts w:ascii="Arial" w:hAnsi="Arial" w:cs="Arial"/>
          <w:sz w:val="22"/>
          <w:szCs w:val="22"/>
        </w:rPr>
        <w:t>3)</w:t>
      </w:r>
      <w:r w:rsidRPr="004B40A6">
        <w:rPr>
          <w:rFonts w:ascii="Arial" w:hAnsi="Arial" w:cs="Arial"/>
          <w:sz w:val="22"/>
          <w:szCs w:val="22"/>
        </w:rPr>
        <w:t>. We found that many Phyla also followed a similar trend</w:t>
      </w:r>
      <w:r w:rsidR="000637FE" w:rsidRPr="004B40A6">
        <w:rPr>
          <w:rFonts w:ascii="Arial" w:hAnsi="Arial" w:cs="Arial"/>
          <w:sz w:val="22"/>
          <w:szCs w:val="22"/>
        </w:rPr>
        <w:t xml:space="preserve"> of change and recovery</w:t>
      </w:r>
      <w:r w:rsidRPr="004B40A6">
        <w:rPr>
          <w:rFonts w:ascii="Arial" w:hAnsi="Arial" w:cs="Arial"/>
          <w:sz w:val="22"/>
          <w:szCs w:val="22"/>
        </w:rPr>
        <w:t xml:space="preserve"> - </w:t>
      </w:r>
      <w:r w:rsidRPr="004B40A6">
        <w:rPr>
          <w:rFonts w:ascii="Arial" w:hAnsi="Arial" w:cs="Arial"/>
          <w:i/>
          <w:sz w:val="22"/>
          <w:szCs w:val="22"/>
        </w:rPr>
        <w:t>Cyanobacteria</w:t>
      </w:r>
      <w:r w:rsidRPr="004B40A6">
        <w:rPr>
          <w:rFonts w:ascii="Arial" w:hAnsi="Arial" w:cs="Arial"/>
          <w:sz w:val="22"/>
          <w:szCs w:val="22"/>
        </w:rPr>
        <w:t xml:space="preserve">, Green algae (estimated by chloroplast rDNA abundance), and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significantly increased in relative abundance following the rain, and gradually lowered back to baseline abundance in the following year. On the other hand, the abundance of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(the major Archaea phylum in this community) significantly decreased and subsequently recovered following the rain (</w:t>
      </w:r>
      <w:r w:rsidR="008D7BF8">
        <w:rPr>
          <w:rFonts w:ascii="Arial" w:hAnsi="Arial" w:cs="Arial"/>
          <w:sz w:val="22"/>
          <w:szCs w:val="22"/>
        </w:rPr>
        <w:t>Figures S1B, S2</w:t>
      </w:r>
      <w:r w:rsidRPr="004B40A6">
        <w:rPr>
          <w:rFonts w:ascii="Arial" w:hAnsi="Arial" w:cs="Arial"/>
          <w:sz w:val="22"/>
          <w:szCs w:val="22"/>
        </w:rPr>
        <w:t>). This trend in domain and phyla abundance recovery was also seen in the sequencing of the supplementary site</w:t>
      </w:r>
      <w:r w:rsidR="008D7BF8">
        <w:rPr>
          <w:rFonts w:ascii="Arial" w:hAnsi="Arial" w:cs="Arial"/>
          <w:sz w:val="22"/>
          <w:szCs w:val="22"/>
        </w:rPr>
        <w:t xml:space="preserve"> (Site 2)</w:t>
      </w:r>
      <w:r w:rsidRPr="004B40A6">
        <w:rPr>
          <w:rFonts w:ascii="Arial" w:hAnsi="Arial" w:cs="Arial"/>
          <w:sz w:val="22"/>
          <w:szCs w:val="22"/>
        </w:rPr>
        <w:t>, with incremental shifts over 18 months after the rain. (</w:t>
      </w:r>
      <w:r w:rsidR="008D7BF8">
        <w:rPr>
          <w:rFonts w:ascii="Arial" w:hAnsi="Arial" w:cs="Arial"/>
          <w:sz w:val="22"/>
          <w:szCs w:val="22"/>
        </w:rPr>
        <w:t>Figure S3</w:t>
      </w:r>
      <w:r w:rsidRPr="004B40A6">
        <w:rPr>
          <w:rFonts w:ascii="Arial" w:hAnsi="Arial" w:cs="Arial"/>
          <w:sz w:val="22"/>
          <w:szCs w:val="22"/>
        </w:rPr>
        <w:t>).</w:t>
      </w:r>
    </w:p>
    <w:p w14:paraId="760635B2" w14:textId="6297C785" w:rsidR="00B61502" w:rsidRPr="001455AE"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t xml:space="preserve">The functional potential of the community, determined with functional annotation of the WMG co-assembly, also changed after the rain. </w:t>
      </w:r>
      <w:r w:rsidRPr="004B40A6">
        <w:rPr>
          <w:rFonts w:ascii="Arial" w:eastAsia="Times New Roman" w:hAnsi="Arial" w:cs="Arial"/>
          <w:color w:val="282625"/>
          <w:sz w:val="22"/>
          <w:szCs w:val="22"/>
          <w:shd w:val="clear" w:color="auto" w:fill="FFFFFF"/>
        </w:rPr>
        <w:t>Principal component analysis as well as hierarchical clustering of Pearson correlation comparison matrix of functional category abundances revealed a significant shift in overall f</w:t>
      </w:r>
      <w:r w:rsidR="008D7BF8">
        <w:rPr>
          <w:rFonts w:ascii="Arial" w:eastAsia="Times New Roman" w:hAnsi="Arial" w:cs="Arial"/>
          <w:color w:val="282625"/>
          <w:sz w:val="22"/>
          <w:szCs w:val="22"/>
          <w:shd w:val="clear" w:color="auto" w:fill="FFFFFF"/>
        </w:rPr>
        <w:t>unctional potential (Figure 1C</w:t>
      </w:r>
      <w:r w:rsidRPr="004B40A6">
        <w:rPr>
          <w:rFonts w:ascii="Arial" w:eastAsia="Times New Roman" w:hAnsi="Arial" w:cs="Arial"/>
          <w:color w:val="282625"/>
          <w:sz w:val="22"/>
          <w:szCs w:val="22"/>
          <w:shd w:val="clear" w:color="auto" w:fill="FFFFFF"/>
        </w:rPr>
        <w:t>). Consistent with the taxonomy-based clustering, samples from before the rain (2014-09 and 2015-06) were distinctly separate from samples collected shortly after the rain (2016-02)</w:t>
      </w:r>
      <w:r w:rsidR="001455AE">
        <w:rPr>
          <w:rFonts w:ascii="Arial" w:eastAsia="Times New Roman" w:hAnsi="Arial" w:cs="Arial"/>
          <w:color w:val="282625"/>
          <w:sz w:val="22"/>
          <w:szCs w:val="22"/>
          <w:shd w:val="clear" w:color="auto" w:fill="FFFFFF"/>
        </w:rPr>
        <w:t>. Indeed,</w:t>
      </w:r>
      <w:r w:rsidR="00B61502">
        <w:rPr>
          <w:rFonts w:ascii="Arial" w:eastAsia="Times New Roman" w:hAnsi="Arial" w:cs="Arial"/>
          <w:color w:val="282625"/>
          <w:sz w:val="22"/>
          <w:szCs w:val="22"/>
          <w:shd w:val="clear" w:color="auto" w:fill="FFFFFF"/>
        </w:rPr>
        <w:t xml:space="preserve"> 2014-09 samples </w:t>
      </w:r>
      <w:r w:rsidR="001455AE">
        <w:rPr>
          <w:rFonts w:ascii="Arial" w:eastAsia="Times New Roman" w:hAnsi="Arial" w:cs="Arial"/>
          <w:color w:val="282625"/>
          <w:sz w:val="22"/>
          <w:szCs w:val="22"/>
          <w:shd w:val="clear" w:color="auto" w:fill="FFFFFF"/>
        </w:rPr>
        <w:t>had a significantly st</w:t>
      </w:r>
      <w:r w:rsidR="008D7BF8">
        <w:rPr>
          <w:rFonts w:ascii="Arial" w:eastAsia="Times New Roman" w:hAnsi="Arial" w:cs="Arial"/>
          <w:color w:val="282625"/>
          <w:sz w:val="22"/>
          <w:szCs w:val="22"/>
          <w:shd w:val="clear" w:color="auto" w:fill="FFFFFF"/>
        </w:rPr>
        <w:t>r</w:t>
      </w:r>
      <w:r w:rsidR="001455AE">
        <w:rPr>
          <w:rFonts w:ascii="Arial" w:eastAsia="Times New Roman" w:hAnsi="Arial" w:cs="Arial"/>
          <w:color w:val="282625"/>
          <w:sz w:val="22"/>
          <w:szCs w:val="22"/>
          <w:shd w:val="clear" w:color="auto" w:fill="FFFFFF"/>
        </w:rPr>
        <w:t xml:space="preserve">onger Pearson correlation </w:t>
      </w:r>
      <w:r w:rsidR="00B61502">
        <w:rPr>
          <w:rFonts w:ascii="Arial" w:eastAsia="Times New Roman" w:hAnsi="Arial" w:cs="Arial"/>
          <w:color w:val="282625"/>
          <w:sz w:val="22"/>
          <w:szCs w:val="22"/>
          <w:shd w:val="clear" w:color="auto" w:fill="FFFFFF"/>
        </w:rPr>
        <w:t>with 2015-06 samples than with 2016-</w:t>
      </w:r>
      <w:r w:rsidR="00B61502">
        <w:rPr>
          <w:rFonts w:ascii="Arial" w:eastAsia="Times New Roman" w:hAnsi="Arial" w:cs="Arial"/>
          <w:color w:val="282625"/>
          <w:sz w:val="22"/>
          <w:szCs w:val="22"/>
          <w:shd w:val="clear" w:color="auto" w:fill="FFFFFF"/>
        </w:rPr>
        <w:lastRenderedPageBreak/>
        <w:t>02 samples (</w:t>
      </w:r>
      <w:r w:rsidR="00F519AA">
        <w:rPr>
          <w:rFonts w:ascii="Arial" w:hAnsi="Arial" w:cs="Arial"/>
          <w:sz w:val="22"/>
          <w:szCs w:val="22"/>
        </w:rPr>
        <w:t xml:space="preserve">two-sided </w:t>
      </w:r>
      <w:r w:rsidR="00B61502">
        <w:rPr>
          <w:rFonts w:ascii="Arial" w:eastAsia="Times New Roman" w:hAnsi="Arial" w:cs="Arial"/>
          <w:color w:val="282625"/>
          <w:sz w:val="22"/>
          <w:szCs w:val="22"/>
          <w:shd w:val="clear" w:color="auto" w:fill="FFFFFF"/>
        </w:rPr>
        <w:t>t-test: t-statistic=</w:t>
      </w:r>
      <w:r w:rsidR="00B61502" w:rsidRPr="00B61502">
        <w:rPr>
          <w:rFonts w:ascii="Arial" w:eastAsia="Times New Roman" w:hAnsi="Arial" w:cs="Arial"/>
          <w:color w:val="282625"/>
          <w:sz w:val="22"/>
          <w:szCs w:val="22"/>
          <w:shd w:val="clear" w:color="auto" w:fill="FFFFFF"/>
        </w:rPr>
        <w:t>6.6</w:t>
      </w:r>
      <w:r w:rsidR="00B61502">
        <w:rPr>
          <w:rFonts w:ascii="Arial" w:eastAsia="Times New Roman" w:hAnsi="Arial" w:cs="Arial"/>
          <w:color w:val="282625"/>
          <w:sz w:val="22"/>
          <w:szCs w:val="22"/>
          <w:shd w:val="clear" w:color="auto" w:fill="FFFFFF"/>
        </w:rPr>
        <w:t>4, p-value=2.65</w:t>
      </w:r>
      <w:r w:rsidR="00B61502" w:rsidRPr="00B61502">
        <w:rPr>
          <w:rFonts w:ascii="Arial" w:eastAsia="Times New Roman" w:hAnsi="Arial" w:cs="Arial"/>
          <w:color w:val="282625"/>
          <w:sz w:val="22"/>
          <w:szCs w:val="22"/>
          <w:shd w:val="clear" w:color="auto" w:fill="FFFFFF"/>
        </w:rPr>
        <w:t>e-08</w:t>
      </w:r>
      <w:r w:rsidR="00B61502">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w:t>
      </w:r>
      <w:r w:rsidR="001455AE">
        <w:rPr>
          <w:rFonts w:ascii="Arial" w:eastAsia="Times New Roman" w:hAnsi="Arial" w:cs="Arial"/>
          <w:color w:val="282625"/>
          <w:sz w:val="22"/>
          <w:szCs w:val="22"/>
          <w:shd w:val="clear" w:color="auto" w:fill="FFFFFF"/>
        </w:rPr>
        <w:t xml:space="preserve">Furthermore, the 2014-09 samples correlated significantly better with 2017-02 </w:t>
      </w:r>
      <w:r w:rsidRPr="004B40A6">
        <w:rPr>
          <w:rFonts w:ascii="Arial" w:eastAsia="Times New Roman" w:hAnsi="Arial" w:cs="Arial"/>
          <w:color w:val="282625"/>
          <w:sz w:val="22"/>
          <w:szCs w:val="22"/>
          <w:shd w:val="clear" w:color="auto" w:fill="FFFFFF"/>
        </w:rPr>
        <w:t xml:space="preserve">samples </w:t>
      </w:r>
      <w:r w:rsidR="001455AE">
        <w:rPr>
          <w:rFonts w:ascii="Arial" w:eastAsia="Times New Roman" w:hAnsi="Arial" w:cs="Arial"/>
          <w:color w:val="282625"/>
          <w:sz w:val="22"/>
          <w:szCs w:val="22"/>
          <w:shd w:val="clear" w:color="auto" w:fill="FFFFFF"/>
        </w:rPr>
        <w:t>than 2016-02 samples did (</w:t>
      </w:r>
      <w:r w:rsidR="00F519AA">
        <w:rPr>
          <w:rFonts w:ascii="Arial" w:hAnsi="Arial" w:cs="Arial"/>
          <w:sz w:val="22"/>
          <w:szCs w:val="22"/>
        </w:rPr>
        <w:t xml:space="preserve">two-sided </w:t>
      </w:r>
      <w:r w:rsidR="001455AE">
        <w:rPr>
          <w:rFonts w:ascii="Arial" w:eastAsia="Times New Roman" w:hAnsi="Arial" w:cs="Arial"/>
          <w:color w:val="282625"/>
          <w:sz w:val="22"/>
          <w:szCs w:val="22"/>
          <w:shd w:val="clear" w:color="auto" w:fill="FFFFFF"/>
        </w:rPr>
        <w:t xml:space="preserve">t-test: t-statistic=9.17, p-value=4.06e-12), </w:t>
      </w:r>
      <w:r w:rsidR="001455AE" w:rsidRPr="004B40A6">
        <w:rPr>
          <w:rFonts w:ascii="Arial" w:eastAsia="Times New Roman" w:hAnsi="Arial" w:cs="Arial"/>
          <w:color w:val="282625"/>
          <w:sz w:val="22"/>
          <w:szCs w:val="22"/>
          <w:shd w:val="clear" w:color="auto" w:fill="FFFFFF"/>
        </w:rPr>
        <w:t>indicating a recovery in the function</w:t>
      </w:r>
      <w:r w:rsidR="001455AE">
        <w:rPr>
          <w:rFonts w:ascii="Arial" w:eastAsia="Times New Roman" w:hAnsi="Arial" w:cs="Arial"/>
          <w:color w:val="282625"/>
          <w:sz w:val="22"/>
          <w:szCs w:val="22"/>
          <w:shd w:val="clear" w:color="auto" w:fill="FFFFFF"/>
        </w:rPr>
        <w:t>al</w:t>
      </w:r>
      <w:r w:rsidR="001455AE" w:rsidRPr="004B40A6">
        <w:rPr>
          <w:rFonts w:ascii="Arial" w:eastAsia="Times New Roman" w:hAnsi="Arial" w:cs="Arial"/>
          <w:color w:val="282625"/>
          <w:sz w:val="22"/>
          <w:szCs w:val="22"/>
          <w:shd w:val="clear" w:color="auto" w:fill="FFFFFF"/>
        </w:rPr>
        <w:t xml:space="preserve"> potential of the microbiome. </w:t>
      </w:r>
    </w:p>
    <w:p w14:paraId="22BBEA00" w14:textId="18E4F419" w:rsidR="00725E5E" w:rsidRPr="004B40A6"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r>
      <w:r w:rsidRPr="004B40A6">
        <w:rPr>
          <w:rFonts w:ascii="Arial" w:eastAsia="Times New Roman" w:hAnsi="Arial" w:cs="Arial"/>
          <w:color w:val="282625"/>
          <w:sz w:val="22"/>
          <w:szCs w:val="22"/>
          <w:shd w:val="clear" w:color="auto" w:fill="FFFFFF"/>
        </w:rPr>
        <w:t xml:space="preserve">While the majority community functions were present in similar abundances between replicates and time points, a number of gene functions that were differentially represented between time points (ANOVA test, </w:t>
      </w:r>
      <w:proofErr w:type="spellStart"/>
      <w:r w:rsidRPr="004B40A6">
        <w:rPr>
          <w:rFonts w:ascii="Arial" w:eastAsia="Times New Roman" w:hAnsi="Arial" w:cs="Arial"/>
          <w:i/>
          <w:color w:val="282625"/>
          <w:sz w:val="22"/>
          <w:szCs w:val="22"/>
          <w:shd w:val="clear" w:color="auto" w:fill="FFFFFF"/>
        </w:rPr>
        <w:t>pval</w:t>
      </w:r>
      <w:proofErr w:type="spellEnd"/>
      <w:r w:rsidRPr="004B40A6">
        <w:rPr>
          <w:rFonts w:ascii="Arial" w:eastAsia="Times New Roman" w:hAnsi="Arial" w:cs="Arial"/>
          <w:color w:val="282625"/>
          <w:sz w:val="22"/>
          <w:szCs w:val="22"/>
          <w:shd w:val="clear" w:color="auto" w:fill="FFFFFF"/>
        </w:rPr>
        <w:t>&lt;0.01) (Fig 1D). Of these, the majority were significantly over- or under-represented in the samples collected shortly after the rain (2016-02)</w:t>
      </w:r>
      <w:r w:rsidR="00BB456E">
        <w:rPr>
          <w:rFonts w:ascii="Arial" w:eastAsia="Times New Roman" w:hAnsi="Arial" w:cs="Arial"/>
          <w:color w:val="282625"/>
          <w:sz w:val="22"/>
          <w:szCs w:val="22"/>
          <w:shd w:val="clear" w:color="auto" w:fill="FFFFFF"/>
        </w:rPr>
        <w:t xml:space="preserve"> (</w:t>
      </w:r>
      <w:proofErr w:type="spellStart"/>
      <w:r w:rsidR="00D61CFA" w:rsidRPr="00742EA6">
        <w:rPr>
          <w:rFonts w:ascii="Arial" w:hAnsi="Arial" w:cs="Arial"/>
          <w:sz w:val="22"/>
          <w:szCs w:val="22"/>
        </w:rPr>
        <w:t>SigClust</w:t>
      </w:r>
      <w:proofErr w:type="spellEnd"/>
      <w:r w:rsidR="00D61CFA" w:rsidRPr="00742EA6">
        <w:rPr>
          <w:rFonts w:ascii="Arial" w:hAnsi="Arial" w:cs="Arial"/>
          <w:sz w:val="22"/>
          <w:szCs w:val="22"/>
        </w:rPr>
        <w:t xml:space="preserve"> 2-group significance: p-value=</w:t>
      </w:r>
      <w:r w:rsidR="00D61CFA">
        <w:rPr>
          <w:rFonts w:ascii="Arial" w:hAnsi="Arial" w:cs="Arial"/>
          <w:sz w:val="22"/>
          <w:szCs w:val="22"/>
        </w:rPr>
        <w:t>0.000</w:t>
      </w:r>
      <w:r w:rsidR="00BB456E">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but present in similar abundances in the pre-rain samples and the “recovered” samples. </w:t>
      </w:r>
      <w:r w:rsidR="00725E5E" w:rsidRPr="004B40A6">
        <w:rPr>
          <w:rFonts w:ascii="Arial" w:eastAsia="Times New Roman" w:hAnsi="Arial" w:cs="Arial"/>
          <w:color w:val="282625"/>
          <w:sz w:val="22"/>
          <w:szCs w:val="22"/>
          <w:shd w:val="clear" w:color="auto" w:fill="FFFFFF"/>
        </w:rPr>
        <w:t>Cell motility, signaling pathways, and DNA replication and repair were some of the major functional categories that changed in relative abundance after the rain</w:t>
      </w:r>
      <w:r w:rsidR="005C7C24" w:rsidRPr="004B40A6">
        <w:rPr>
          <w:rFonts w:ascii="Arial" w:eastAsia="Times New Roman" w:hAnsi="Arial" w:cs="Arial"/>
          <w:color w:val="282625"/>
          <w:sz w:val="22"/>
          <w:szCs w:val="22"/>
          <w:shd w:val="clear" w:color="auto" w:fill="FFFFFF"/>
        </w:rPr>
        <w:t>, indicating active adaptation to changes in the internal halite conditions</w:t>
      </w:r>
      <w:r w:rsidR="00725E5E" w:rsidRPr="004B40A6">
        <w:rPr>
          <w:rFonts w:ascii="Arial" w:eastAsia="Times New Roman" w:hAnsi="Arial" w:cs="Arial"/>
          <w:color w:val="282625"/>
          <w:sz w:val="22"/>
          <w:szCs w:val="22"/>
          <w:shd w:val="clear" w:color="auto" w:fill="FFFFFF"/>
        </w:rPr>
        <w:t xml:space="preserve">. Of these, many also changed in abundance </w:t>
      </w:r>
      <w:r w:rsidR="000637FE" w:rsidRPr="004B40A6">
        <w:rPr>
          <w:rFonts w:ascii="Arial" w:eastAsia="Times New Roman" w:hAnsi="Arial" w:cs="Arial"/>
          <w:color w:val="282625"/>
          <w:sz w:val="22"/>
          <w:szCs w:val="22"/>
          <w:shd w:val="clear" w:color="auto" w:fill="FFFFFF"/>
        </w:rPr>
        <w:t xml:space="preserve">after the rain </w:t>
      </w:r>
      <w:r w:rsidR="00725E5E" w:rsidRPr="004B40A6">
        <w:rPr>
          <w:rFonts w:ascii="Arial" w:eastAsia="Times New Roman" w:hAnsi="Arial" w:cs="Arial"/>
          <w:color w:val="282625"/>
          <w:sz w:val="22"/>
          <w:szCs w:val="22"/>
          <w:shd w:val="clear" w:color="auto" w:fill="FFFFFF"/>
        </w:rPr>
        <w:t>within only Bacterial and only Archaeal contigs (</w:t>
      </w:r>
      <w:r w:rsidR="008D7BF8">
        <w:rPr>
          <w:rFonts w:ascii="Arial" w:eastAsia="Times New Roman" w:hAnsi="Arial" w:cs="Arial"/>
          <w:color w:val="282625"/>
          <w:sz w:val="22"/>
          <w:szCs w:val="22"/>
          <w:shd w:val="clear" w:color="auto" w:fill="FFFFFF"/>
        </w:rPr>
        <w:t>Figure S4).</w:t>
      </w:r>
    </w:p>
    <w:p w14:paraId="719C3F42" w14:textId="77777777" w:rsidR="00811B54" w:rsidRPr="004B40A6" w:rsidRDefault="00811B54" w:rsidP="00811B54">
      <w:pPr>
        <w:rPr>
          <w:rFonts w:ascii="Arial" w:eastAsia="Times New Roman" w:hAnsi="Arial" w:cs="Arial"/>
          <w:color w:val="282625"/>
          <w:sz w:val="22"/>
          <w:szCs w:val="22"/>
          <w:shd w:val="clear" w:color="auto" w:fill="FFFFFF"/>
        </w:rPr>
      </w:pPr>
    </w:p>
    <w:p w14:paraId="1233C622" w14:textId="77777777" w:rsidR="00811B54" w:rsidRPr="004B40A6" w:rsidRDefault="00811B54" w:rsidP="00811B54">
      <w:pPr>
        <w:rPr>
          <w:rFonts w:ascii="Arial" w:hAnsi="Arial" w:cs="Arial"/>
          <w:b/>
          <w:sz w:val="22"/>
          <w:szCs w:val="22"/>
        </w:rPr>
      </w:pPr>
      <w:r w:rsidRPr="004B40A6">
        <w:rPr>
          <w:rFonts w:ascii="Arial" w:hAnsi="Arial" w:cs="Arial"/>
          <w:b/>
          <w:sz w:val="22"/>
          <w:szCs w:val="22"/>
        </w:rPr>
        <w:t>Differences in salt adaptations likely drove fitness of salt-in halophilic strategists</w:t>
      </w:r>
    </w:p>
    <w:p w14:paraId="6744C344" w14:textId="6EC8C62F" w:rsidR="00811B54" w:rsidRPr="004B40A6" w:rsidRDefault="00811B54" w:rsidP="00811B54">
      <w:pPr>
        <w:rPr>
          <w:rFonts w:ascii="Arial" w:hAnsi="Arial" w:cs="Arial"/>
          <w:sz w:val="22"/>
          <w:szCs w:val="22"/>
        </w:rPr>
      </w:pPr>
      <w:r w:rsidRPr="004B40A6">
        <w:rPr>
          <w:rFonts w:ascii="Arial" w:hAnsi="Arial" w:cs="Arial"/>
          <w:sz w:val="22"/>
          <w:szCs w:val="22"/>
        </w:rPr>
        <w:tab/>
        <w:t xml:space="preserve">We found that </w:t>
      </w:r>
      <w:r w:rsidR="00C14102">
        <w:rPr>
          <w:rFonts w:ascii="Arial" w:hAnsi="Arial" w:cs="Arial"/>
          <w:sz w:val="22"/>
          <w:szCs w:val="22"/>
        </w:rPr>
        <w:t>the distribution of the isoelectric point</w:t>
      </w:r>
      <w:r w:rsidR="00D753A5">
        <w:rPr>
          <w:rFonts w:ascii="Arial" w:hAnsi="Arial" w:cs="Arial"/>
          <w:sz w:val="22"/>
          <w:szCs w:val="22"/>
        </w:rPr>
        <w:t>s</w:t>
      </w:r>
      <w:r w:rsidR="00C14102">
        <w:rPr>
          <w:rFonts w:ascii="Arial" w:hAnsi="Arial" w:cs="Arial"/>
          <w:sz w:val="22"/>
          <w:szCs w:val="22"/>
        </w:rPr>
        <w:t xml:space="preserve"> (</w:t>
      </w:r>
      <w:proofErr w:type="spellStart"/>
      <w:r w:rsidR="00C14102" w:rsidRPr="00C14102">
        <w:rPr>
          <w:rFonts w:ascii="Arial" w:hAnsi="Arial" w:cs="Arial"/>
          <w:i/>
          <w:sz w:val="22"/>
          <w:szCs w:val="22"/>
        </w:rPr>
        <w:t>pI</w:t>
      </w:r>
      <w:proofErr w:type="spellEnd"/>
      <w:r w:rsidR="00C14102">
        <w:rPr>
          <w:rFonts w:ascii="Arial" w:hAnsi="Arial" w:cs="Arial"/>
          <w:sz w:val="22"/>
          <w:szCs w:val="22"/>
        </w:rPr>
        <w:t xml:space="preserve">) </w:t>
      </w:r>
      <w:r w:rsidR="00D753A5">
        <w:rPr>
          <w:rFonts w:ascii="Arial" w:hAnsi="Arial" w:cs="Arial"/>
          <w:sz w:val="22"/>
          <w:szCs w:val="22"/>
        </w:rPr>
        <w:t xml:space="preserve">of proteins encoded in community </w:t>
      </w:r>
      <w:r w:rsidR="00C14102">
        <w:rPr>
          <w:rFonts w:ascii="Arial" w:hAnsi="Arial" w:cs="Arial"/>
          <w:sz w:val="22"/>
          <w:szCs w:val="22"/>
        </w:rPr>
        <w:t>gene pool changed after the rain (</w:t>
      </w:r>
      <w:r w:rsidR="00D753A5">
        <w:rPr>
          <w:rFonts w:ascii="Arial" w:hAnsi="Arial" w:cs="Arial"/>
          <w:color w:val="282625"/>
          <w:sz w:val="22"/>
          <w:szCs w:val="22"/>
        </w:rPr>
        <w:t>Kolmogorov-Smirnov 2-sample test:</w:t>
      </w:r>
      <w:r w:rsidR="00D753A5">
        <w:rPr>
          <w:rFonts w:ascii="Arial" w:hAnsi="Arial" w:cs="Arial"/>
          <w:sz w:val="22"/>
          <w:szCs w:val="22"/>
        </w:rPr>
        <w:t xml:space="preserve"> </w:t>
      </w:r>
      <w:r w:rsidR="00C14102">
        <w:rPr>
          <w:rFonts w:ascii="Arial" w:hAnsi="Arial" w:cs="Arial"/>
          <w:sz w:val="22"/>
          <w:szCs w:val="22"/>
        </w:rPr>
        <w:t>statistic=0.061</w:t>
      </w:r>
      <w:r w:rsidR="00C14102" w:rsidRPr="00C14102">
        <w:rPr>
          <w:rFonts w:ascii="Arial" w:hAnsi="Arial" w:cs="Arial"/>
          <w:sz w:val="22"/>
          <w:szCs w:val="22"/>
        </w:rPr>
        <w:t>, p</w:t>
      </w:r>
      <w:r w:rsidR="00C14102">
        <w:rPr>
          <w:rFonts w:ascii="Arial" w:hAnsi="Arial" w:cs="Arial"/>
          <w:sz w:val="22"/>
          <w:szCs w:val="22"/>
        </w:rPr>
        <w:t>-</w:t>
      </w:r>
      <w:r w:rsidR="00C14102" w:rsidRPr="00C14102">
        <w:rPr>
          <w:rFonts w:ascii="Arial" w:hAnsi="Arial" w:cs="Arial"/>
          <w:sz w:val="22"/>
          <w:szCs w:val="22"/>
        </w:rPr>
        <w:t>value=0.0</w:t>
      </w:r>
      <w:r w:rsidR="00C14102">
        <w:rPr>
          <w:rFonts w:ascii="Arial" w:hAnsi="Arial" w:cs="Arial"/>
          <w:sz w:val="22"/>
          <w:szCs w:val="22"/>
        </w:rPr>
        <w:t>). T</w:t>
      </w:r>
      <w:r w:rsidRPr="004B40A6">
        <w:rPr>
          <w:rFonts w:ascii="Arial" w:hAnsi="Arial" w:cs="Arial"/>
          <w:sz w:val="22"/>
          <w:szCs w:val="22"/>
        </w:rPr>
        <w:t xml:space="preserve">he average </w:t>
      </w:r>
      <w:proofErr w:type="spellStart"/>
      <w:r w:rsidRPr="004B40A6">
        <w:rPr>
          <w:rFonts w:ascii="Arial" w:hAnsi="Arial" w:cs="Arial"/>
          <w:i/>
          <w:sz w:val="22"/>
          <w:szCs w:val="22"/>
        </w:rPr>
        <w:t>pI</w:t>
      </w:r>
      <w:proofErr w:type="spellEnd"/>
      <w:r w:rsidRPr="004B40A6">
        <w:rPr>
          <w:rFonts w:ascii="Arial" w:hAnsi="Arial" w:cs="Arial"/>
          <w:sz w:val="22"/>
          <w:szCs w:val="22"/>
        </w:rPr>
        <w:t xml:space="preserve"> significantly increased after the rain</w:t>
      </w:r>
      <w:r w:rsidR="00C058A6">
        <w:rPr>
          <w:rFonts w:ascii="Arial" w:hAnsi="Arial" w:cs="Arial"/>
          <w:sz w:val="22"/>
          <w:szCs w:val="22"/>
        </w:rPr>
        <w:t xml:space="preserve"> (</w:t>
      </w:r>
      <w:r w:rsidR="002E3A7E">
        <w:rPr>
          <w:rFonts w:ascii="Arial" w:hAnsi="Arial" w:cs="Arial"/>
          <w:sz w:val="22"/>
          <w:szCs w:val="22"/>
        </w:rPr>
        <w:t>two-sided t-test: t-statistic=3.46, p-value=0.0086</w:t>
      </w:r>
      <w:r w:rsidR="00C058A6">
        <w:rPr>
          <w:rFonts w:ascii="Arial" w:hAnsi="Arial" w:cs="Arial"/>
          <w:sz w:val="22"/>
          <w:szCs w:val="22"/>
        </w:rPr>
        <w:t>)</w:t>
      </w:r>
      <w:r w:rsidRPr="004B40A6">
        <w:rPr>
          <w:rFonts w:ascii="Arial" w:hAnsi="Arial" w:cs="Arial"/>
          <w:sz w:val="22"/>
          <w:szCs w:val="22"/>
        </w:rPr>
        <w:t xml:space="preserve">, and then recovered to pre-rain levels in the the following year </w:t>
      </w:r>
      <w:r w:rsidR="002E3A7E">
        <w:rPr>
          <w:rFonts w:ascii="Arial" w:hAnsi="Arial" w:cs="Arial"/>
          <w:sz w:val="22"/>
          <w:szCs w:val="22"/>
        </w:rPr>
        <w:t xml:space="preserve">(two-sided t-test: t-statistic=0.086, </w:t>
      </w:r>
      <w:proofErr w:type="spellStart"/>
      <w:r w:rsidR="002E3A7E">
        <w:rPr>
          <w:rFonts w:ascii="Arial" w:hAnsi="Arial" w:cs="Arial"/>
          <w:sz w:val="22"/>
          <w:szCs w:val="22"/>
        </w:rPr>
        <w:t>pvalue</w:t>
      </w:r>
      <w:proofErr w:type="spellEnd"/>
      <w:r w:rsidR="002E3A7E">
        <w:rPr>
          <w:rFonts w:ascii="Arial" w:hAnsi="Arial" w:cs="Arial"/>
          <w:sz w:val="22"/>
          <w:szCs w:val="22"/>
        </w:rPr>
        <w:t xml:space="preserve">=0.93) </w:t>
      </w:r>
      <w:r w:rsidRPr="004B40A6">
        <w:rPr>
          <w:rFonts w:ascii="Arial" w:hAnsi="Arial" w:cs="Arial"/>
          <w:sz w:val="22"/>
          <w:szCs w:val="22"/>
        </w:rPr>
        <w:t>(</w:t>
      </w:r>
      <w:r w:rsidR="008D7BF8">
        <w:rPr>
          <w:rFonts w:ascii="Arial" w:hAnsi="Arial" w:cs="Arial"/>
          <w:sz w:val="22"/>
          <w:szCs w:val="22"/>
        </w:rPr>
        <w:t>Figures S5A,B</w:t>
      </w:r>
      <w:r w:rsidRPr="004B40A6">
        <w:rPr>
          <w:rFonts w:ascii="Arial" w:hAnsi="Arial" w:cs="Arial"/>
          <w:sz w:val="22"/>
          <w:szCs w:val="22"/>
        </w:rPr>
        <w:t xml:space="preserve">). This major shift results from the </w:t>
      </w:r>
      <w:proofErr w:type="spellStart"/>
      <w:r w:rsidRPr="004B40A6">
        <w:rPr>
          <w:rFonts w:ascii="Arial" w:hAnsi="Arial" w:cs="Arial"/>
          <w:i/>
          <w:sz w:val="22"/>
          <w:szCs w:val="22"/>
        </w:rPr>
        <w:t>pI</w:t>
      </w:r>
      <w:proofErr w:type="spellEnd"/>
      <w:r w:rsidRPr="004B40A6">
        <w:rPr>
          <w:rFonts w:ascii="Arial" w:hAnsi="Arial" w:cs="Arial"/>
          <w:sz w:val="22"/>
          <w:szCs w:val="22"/>
        </w:rPr>
        <w:t xml:space="preserve"> </w:t>
      </w:r>
      <w:r w:rsidR="00F533B5">
        <w:rPr>
          <w:rFonts w:ascii="Arial" w:hAnsi="Arial" w:cs="Arial"/>
          <w:sz w:val="22"/>
          <w:szCs w:val="22"/>
        </w:rPr>
        <w:t>differences</w:t>
      </w:r>
      <w:r w:rsidR="000637FE" w:rsidRPr="004B40A6">
        <w:rPr>
          <w:rFonts w:ascii="Arial" w:hAnsi="Arial" w:cs="Arial"/>
          <w:sz w:val="22"/>
          <w:szCs w:val="22"/>
        </w:rPr>
        <w:t xml:space="preserve"> </w:t>
      </w:r>
      <w:r w:rsidRPr="004B40A6">
        <w:rPr>
          <w:rFonts w:ascii="Arial" w:hAnsi="Arial" w:cs="Arial"/>
          <w:sz w:val="22"/>
          <w:szCs w:val="22"/>
        </w:rPr>
        <w:t xml:space="preserve">of the two major salt-in strategist halophiles that changed in abundance after the rain –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w:t>
      </w:r>
      <w:proofErr w:type="spellStart"/>
      <w:r w:rsidRPr="004B40A6">
        <w:rPr>
          <w:rFonts w:ascii="Arial" w:hAnsi="Arial" w:cs="Arial"/>
          <w:i/>
          <w:sz w:val="22"/>
          <w:szCs w:val="22"/>
        </w:rPr>
        <w:t>pI</w:t>
      </w:r>
      <w:proofErr w:type="spellEnd"/>
      <w:r w:rsidRPr="004B40A6">
        <w:rPr>
          <w:rFonts w:ascii="Arial" w:hAnsi="Arial" w:cs="Arial"/>
          <w:sz w:val="22"/>
          <w:szCs w:val="22"/>
        </w:rPr>
        <w:t xml:space="preserve">=5.04) and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w:t>
      </w:r>
      <w:proofErr w:type="spellStart"/>
      <w:r w:rsidRPr="004B40A6">
        <w:rPr>
          <w:rFonts w:ascii="Arial" w:hAnsi="Arial" w:cs="Arial"/>
          <w:i/>
          <w:sz w:val="22"/>
          <w:szCs w:val="22"/>
        </w:rPr>
        <w:t>pI</w:t>
      </w:r>
      <w:proofErr w:type="spellEnd"/>
      <w:r w:rsidRPr="004B40A6">
        <w:rPr>
          <w:rFonts w:ascii="Arial" w:hAnsi="Arial" w:cs="Arial"/>
          <w:sz w:val="22"/>
          <w:szCs w:val="22"/>
        </w:rPr>
        <w:t xml:space="preserve">=5.80) </w:t>
      </w:r>
      <w:r w:rsidR="00F533B5">
        <w:rPr>
          <w:rFonts w:ascii="Arial" w:hAnsi="Arial" w:cs="Arial"/>
          <w:sz w:val="22"/>
          <w:szCs w:val="22"/>
        </w:rPr>
        <w:t>(</w:t>
      </w:r>
      <w:r w:rsidR="00F533B5">
        <w:rPr>
          <w:rFonts w:ascii="Arial" w:hAnsi="Arial" w:cs="Arial"/>
          <w:color w:val="282625"/>
          <w:sz w:val="22"/>
          <w:szCs w:val="22"/>
        </w:rPr>
        <w:t xml:space="preserve">Kolmogorov-Smirnov 2-sample test: </w:t>
      </w:r>
      <w:r w:rsidR="00F533B5">
        <w:rPr>
          <w:rFonts w:ascii="Arial" w:hAnsi="Arial" w:cs="Arial"/>
          <w:sz w:val="22"/>
          <w:szCs w:val="22"/>
        </w:rPr>
        <w:t>statistic=0.306</w:t>
      </w:r>
      <w:r w:rsidR="00F533B5" w:rsidRPr="00F533B5">
        <w:rPr>
          <w:rFonts w:ascii="Arial" w:hAnsi="Arial" w:cs="Arial"/>
          <w:sz w:val="22"/>
          <w:szCs w:val="22"/>
        </w:rPr>
        <w:t>, p</w:t>
      </w:r>
      <w:r w:rsidR="00F533B5">
        <w:rPr>
          <w:rFonts w:ascii="Arial" w:hAnsi="Arial" w:cs="Arial"/>
          <w:sz w:val="22"/>
          <w:szCs w:val="22"/>
        </w:rPr>
        <w:t xml:space="preserve">-value=0.0) </w:t>
      </w:r>
      <w:r w:rsidRPr="004B40A6">
        <w:rPr>
          <w:rFonts w:ascii="Arial" w:hAnsi="Arial" w:cs="Arial"/>
          <w:sz w:val="22"/>
          <w:szCs w:val="22"/>
        </w:rPr>
        <w:t>(</w:t>
      </w:r>
      <w:r w:rsidR="008D7BF8">
        <w:rPr>
          <w:rFonts w:ascii="Arial" w:hAnsi="Arial" w:cs="Arial"/>
          <w:sz w:val="22"/>
          <w:szCs w:val="22"/>
        </w:rPr>
        <w:t>Figure S5C</w:t>
      </w:r>
      <w:r w:rsidRPr="004B40A6">
        <w:rPr>
          <w:rFonts w:ascii="Arial" w:hAnsi="Arial" w:cs="Arial"/>
          <w:sz w:val="22"/>
          <w:szCs w:val="22"/>
        </w:rPr>
        <w:t xml:space="preserve">). However, we also found a reduction in the average </w:t>
      </w:r>
      <w:proofErr w:type="spellStart"/>
      <w:r w:rsidRPr="004B40A6">
        <w:rPr>
          <w:rFonts w:ascii="Arial" w:hAnsi="Arial" w:cs="Arial"/>
          <w:sz w:val="22"/>
          <w:szCs w:val="22"/>
        </w:rPr>
        <w:t>pI</w:t>
      </w:r>
      <w:proofErr w:type="spellEnd"/>
      <w:r w:rsidRPr="004B40A6">
        <w:rPr>
          <w:rFonts w:ascii="Arial" w:hAnsi="Arial" w:cs="Arial"/>
          <w:sz w:val="22"/>
          <w:szCs w:val="22"/>
        </w:rPr>
        <w:t xml:space="preserve"> following the rain within the highly heterogeneous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phylum (</w:t>
      </w:r>
      <w:r w:rsidR="008D7BF8">
        <w:rPr>
          <w:rFonts w:ascii="Arial" w:hAnsi="Arial" w:cs="Arial"/>
          <w:sz w:val="22"/>
          <w:szCs w:val="22"/>
        </w:rPr>
        <w:t>Figure S5D</w:t>
      </w:r>
      <w:r w:rsidRPr="004B40A6">
        <w:rPr>
          <w:rFonts w:ascii="Arial" w:hAnsi="Arial" w:cs="Arial"/>
          <w:sz w:val="22"/>
          <w:szCs w:val="22"/>
        </w:rPr>
        <w:t>).</w:t>
      </w:r>
      <w:r w:rsidR="00486BAB" w:rsidRPr="004B40A6">
        <w:rPr>
          <w:rFonts w:ascii="Arial" w:hAnsi="Arial" w:cs="Arial"/>
          <w:sz w:val="22"/>
          <w:szCs w:val="22"/>
        </w:rPr>
        <w:t xml:space="preserve"> Accordingly, we also found </w:t>
      </w:r>
      <w:r w:rsidRPr="004B40A6">
        <w:rPr>
          <w:rFonts w:ascii="Arial" w:hAnsi="Arial" w:cs="Arial"/>
          <w:sz w:val="22"/>
          <w:szCs w:val="22"/>
        </w:rPr>
        <w:t xml:space="preserve">changes in the other major </w:t>
      </w:r>
      <w:r w:rsidR="00486BAB" w:rsidRPr="004B40A6">
        <w:rPr>
          <w:rFonts w:ascii="Arial" w:hAnsi="Arial" w:cs="Arial"/>
          <w:sz w:val="22"/>
          <w:szCs w:val="22"/>
        </w:rPr>
        <w:t>adaptation</w:t>
      </w:r>
      <w:r w:rsidRPr="004B40A6">
        <w:rPr>
          <w:rFonts w:ascii="Arial" w:hAnsi="Arial" w:cs="Arial"/>
          <w:sz w:val="22"/>
          <w:szCs w:val="22"/>
        </w:rPr>
        <w:t xml:space="preserve"> of sa</w:t>
      </w:r>
      <w:r w:rsidR="00486BAB" w:rsidRPr="004B40A6">
        <w:rPr>
          <w:rFonts w:ascii="Arial" w:hAnsi="Arial" w:cs="Arial"/>
          <w:sz w:val="22"/>
          <w:szCs w:val="22"/>
        </w:rPr>
        <w:t>lt-in strategists – potassium uptake. T</w:t>
      </w:r>
      <w:r w:rsidRPr="004B40A6">
        <w:rPr>
          <w:rFonts w:ascii="Arial" w:hAnsi="Arial" w:cs="Arial"/>
          <w:sz w:val="22"/>
          <w:szCs w:val="22"/>
        </w:rPr>
        <w:t xml:space="preserve">he average total potassium uptake potential </w:t>
      </w:r>
      <w:r w:rsidR="00486BAB" w:rsidRPr="004B40A6">
        <w:rPr>
          <w:rFonts w:ascii="Arial" w:hAnsi="Arial" w:cs="Arial"/>
          <w:sz w:val="22"/>
          <w:szCs w:val="22"/>
        </w:rPr>
        <w:t xml:space="preserve">(estimate from </w:t>
      </w:r>
      <w:proofErr w:type="spellStart"/>
      <w:r w:rsidR="00486BAB" w:rsidRPr="004B40A6">
        <w:rPr>
          <w:rFonts w:ascii="Arial" w:hAnsi="Arial" w:cs="Arial"/>
          <w:sz w:val="22"/>
          <w:szCs w:val="22"/>
        </w:rPr>
        <w:t>Trk</w:t>
      </w:r>
      <w:proofErr w:type="spellEnd"/>
      <w:r w:rsidR="00486BAB" w:rsidRPr="004B40A6">
        <w:rPr>
          <w:rFonts w:ascii="Arial" w:hAnsi="Arial" w:cs="Arial"/>
          <w:sz w:val="22"/>
          <w:szCs w:val="22"/>
        </w:rPr>
        <w:t xml:space="preserve"> gene abundances) of the communities </w:t>
      </w:r>
      <w:r w:rsidRPr="004B40A6">
        <w:rPr>
          <w:rFonts w:ascii="Arial" w:hAnsi="Arial" w:cs="Arial"/>
          <w:sz w:val="22"/>
          <w:szCs w:val="22"/>
        </w:rPr>
        <w:t>significantly decreased after the rain, and then recovered to pre-rain levels in the following year (</w:t>
      </w:r>
      <w:r w:rsidR="008D7BF8">
        <w:rPr>
          <w:rFonts w:ascii="Arial" w:hAnsi="Arial" w:cs="Arial"/>
          <w:sz w:val="22"/>
          <w:szCs w:val="22"/>
        </w:rPr>
        <w:t>Figure S5E</w:t>
      </w:r>
      <w:r w:rsidRPr="004B40A6">
        <w:rPr>
          <w:rFonts w:ascii="Arial" w:hAnsi="Arial" w:cs="Arial"/>
          <w:sz w:val="22"/>
          <w:szCs w:val="22"/>
        </w:rPr>
        <w:t xml:space="preserve">). This was also observed within the functional potential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phylum (</w:t>
      </w:r>
      <w:r w:rsidR="008D7BF8">
        <w:rPr>
          <w:rFonts w:ascii="Arial" w:hAnsi="Arial" w:cs="Arial"/>
          <w:sz w:val="22"/>
          <w:szCs w:val="22"/>
        </w:rPr>
        <w:t>Figure S5F</w:t>
      </w:r>
      <w:r w:rsidRPr="004B40A6">
        <w:rPr>
          <w:rFonts w:ascii="Arial" w:hAnsi="Arial" w:cs="Arial"/>
          <w:sz w:val="22"/>
          <w:szCs w:val="22"/>
        </w:rPr>
        <w:t xml:space="preserve">). Considering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and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have adapted to high external sodium concentrations by pumping in potassium and having low protein isoelectric points, these results </w:t>
      </w:r>
      <w:r w:rsidR="00486BAB" w:rsidRPr="004B40A6">
        <w:rPr>
          <w:rFonts w:ascii="Arial" w:hAnsi="Arial" w:cs="Arial"/>
          <w:sz w:val="22"/>
          <w:szCs w:val="22"/>
        </w:rPr>
        <w:t xml:space="preserve">suggest </w:t>
      </w:r>
      <w:r w:rsidRPr="004B40A6">
        <w:rPr>
          <w:rFonts w:ascii="Arial" w:hAnsi="Arial" w:cs="Arial"/>
          <w:sz w:val="22"/>
          <w:szCs w:val="22"/>
        </w:rPr>
        <w:t>adaptations to a temporary decrease in salt concentrations during the rains.</w:t>
      </w:r>
    </w:p>
    <w:p w14:paraId="5403FB64" w14:textId="77777777" w:rsidR="00811B54" w:rsidRPr="004B40A6" w:rsidRDefault="00811B54" w:rsidP="00811B54">
      <w:pPr>
        <w:rPr>
          <w:rFonts w:ascii="Arial" w:hAnsi="Arial" w:cs="Arial"/>
          <w:sz w:val="22"/>
          <w:szCs w:val="22"/>
        </w:rPr>
      </w:pPr>
    </w:p>
    <w:p w14:paraId="37D0168D" w14:textId="77777777" w:rsidR="00811B54" w:rsidRPr="004B40A6" w:rsidRDefault="00811B54" w:rsidP="00811B54">
      <w:pPr>
        <w:rPr>
          <w:rFonts w:ascii="Arial" w:hAnsi="Arial" w:cs="Arial"/>
          <w:b/>
          <w:sz w:val="22"/>
          <w:szCs w:val="22"/>
        </w:rPr>
      </w:pPr>
      <w:r w:rsidRPr="004B40A6">
        <w:rPr>
          <w:rFonts w:ascii="Arial" w:hAnsi="Arial" w:cs="Arial"/>
          <w:b/>
          <w:sz w:val="22"/>
          <w:szCs w:val="22"/>
        </w:rPr>
        <w:t>Individual community members constituting functional niches were permanently rearranged by the perturbation</w:t>
      </w:r>
    </w:p>
    <w:p w14:paraId="44FDF64A" w14:textId="19C31425" w:rsidR="00811B54" w:rsidRDefault="00811B54" w:rsidP="00811B54">
      <w:pPr>
        <w:rPr>
          <w:rFonts w:ascii="Arial" w:hAnsi="Arial" w:cs="Arial"/>
          <w:sz w:val="22"/>
          <w:szCs w:val="22"/>
        </w:rPr>
      </w:pPr>
      <w:r w:rsidRPr="004B40A6">
        <w:rPr>
          <w:rFonts w:ascii="Arial" w:hAnsi="Arial" w:cs="Arial"/>
          <w:sz w:val="22"/>
          <w:szCs w:val="22"/>
        </w:rPr>
        <w:tab/>
      </w:r>
      <w:r w:rsidR="00E14F41">
        <w:rPr>
          <w:rFonts w:ascii="Arial" w:hAnsi="Arial" w:cs="Arial"/>
          <w:sz w:val="22"/>
          <w:szCs w:val="22"/>
        </w:rPr>
        <w:t>Analysis and h</w:t>
      </w:r>
      <w:r w:rsidRPr="004B40A6">
        <w:rPr>
          <w:rFonts w:ascii="Arial" w:hAnsi="Arial" w:cs="Arial"/>
          <w:sz w:val="22"/>
          <w:szCs w:val="22"/>
        </w:rPr>
        <w:t xml:space="preserve">ierarchical clustering of the Unweighted </w:t>
      </w:r>
      <w:proofErr w:type="spellStart"/>
      <w:r w:rsidRPr="004B40A6">
        <w:rPr>
          <w:rFonts w:ascii="Arial" w:hAnsi="Arial" w:cs="Arial"/>
          <w:sz w:val="22"/>
          <w:szCs w:val="22"/>
        </w:rPr>
        <w:t>Unifrac</w:t>
      </w:r>
      <w:proofErr w:type="spellEnd"/>
      <w:r w:rsidRPr="004B40A6">
        <w:rPr>
          <w:rFonts w:ascii="Arial" w:hAnsi="Arial" w:cs="Arial"/>
          <w:sz w:val="22"/>
          <w:szCs w:val="22"/>
        </w:rPr>
        <w:t xml:space="preserve"> dissimilarity matrix revealed </w:t>
      </w:r>
      <w:r w:rsidR="00E14F41">
        <w:rPr>
          <w:rFonts w:ascii="Arial" w:hAnsi="Arial" w:cs="Arial"/>
          <w:sz w:val="22"/>
          <w:szCs w:val="22"/>
        </w:rPr>
        <w:t xml:space="preserve">that </w:t>
      </w:r>
      <w:r w:rsidRPr="004B40A6">
        <w:rPr>
          <w:rFonts w:ascii="Arial" w:hAnsi="Arial" w:cs="Arial"/>
          <w:sz w:val="22"/>
          <w:szCs w:val="22"/>
        </w:rPr>
        <w:t xml:space="preserve">the </w:t>
      </w:r>
      <w:r w:rsidR="00E14F41">
        <w:rPr>
          <w:rFonts w:ascii="Arial" w:hAnsi="Arial" w:cs="Arial"/>
          <w:sz w:val="22"/>
          <w:szCs w:val="22"/>
        </w:rPr>
        <w:t xml:space="preserve">halite communities harvested at different dates were also also different </w:t>
      </w:r>
      <w:r w:rsidRPr="004B40A6">
        <w:rPr>
          <w:rFonts w:ascii="Arial" w:hAnsi="Arial" w:cs="Arial"/>
          <w:sz w:val="22"/>
          <w:szCs w:val="22"/>
        </w:rPr>
        <w:t>in terms of presence or absence of OTUs (97% identity)</w:t>
      </w:r>
      <w:r w:rsidR="006369BA">
        <w:rPr>
          <w:rFonts w:ascii="Arial" w:hAnsi="Arial" w:cs="Arial"/>
          <w:sz w:val="22"/>
          <w:szCs w:val="22"/>
        </w:rPr>
        <w:t xml:space="preserve"> (</w:t>
      </w:r>
      <w:proofErr w:type="spellStart"/>
      <w:r w:rsidR="006369BA">
        <w:rPr>
          <w:rFonts w:ascii="Arial" w:hAnsi="Arial" w:cs="Arial"/>
          <w:sz w:val="22"/>
          <w:szCs w:val="22"/>
        </w:rPr>
        <w:t>permanova</w:t>
      </w:r>
      <w:proofErr w:type="spellEnd"/>
      <w:r w:rsidR="006369BA">
        <w:rPr>
          <w:rFonts w:ascii="Arial" w:hAnsi="Arial" w:cs="Arial"/>
          <w:sz w:val="22"/>
          <w:szCs w:val="22"/>
        </w:rPr>
        <w:t xml:space="preserve"> test: </w:t>
      </w:r>
      <w:r w:rsidR="00E14F41">
        <w:rPr>
          <w:rFonts w:ascii="Arial" w:hAnsi="Arial" w:cs="Arial"/>
          <w:sz w:val="22"/>
          <w:szCs w:val="22"/>
        </w:rPr>
        <w:t>statistic=</w:t>
      </w:r>
      <w:r w:rsidR="00E14F41" w:rsidRPr="00E14F41">
        <w:t xml:space="preserve"> </w:t>
      </w:r>
      <w:r w:rsidR="00E14F41" w:rsidRPr="00E14F41">
        <w:rPr>
          <w:rFonts w:ascii="Arial" w:hAnsi="Arial" w:cs="Arial"/>
          <w:sz w:val="22"/>
          <w:szCs w:val="22"/>
        </w:rPr>
        <w:t>10.48</w:t>
      </w:r>
      <w:r w:rsidR="00E14F41">
        <w:rPr>
          <w:rFonts w:ascii="Arial" w:hAnsi="Arial" w:cs="Arial"/>
          <w:sz w:val="22"/>
          <w:szCs w:val="22"/>
        </w:rPr>
        <w:t>, p-value&lt;0.001)</w:t>
      </w:r>
      <w:r w:rsidRPr="004B40A6">
        <w:rPr>
          <w:rFonts w:ascii="Arial" w:hAnsi="Arial" w:cs="Arial"/>
          <w:sz w:val="22"/>
          <w:szCs w:val="22"/>
        </w:rPr>
        <w:t xml:space="preserve">. Strikingly, we found that samples harvested shortly after the rain (2016-02) not only </w:t>
      </w:r>
      <w:r w:rsidR="003C5782">
        <w:rPr>
          <w:rFonts w:ascii="Arial" w:hAnsi="Arial" w:cs="Arial"/>
          <w:sz w:val="22"/>
          <w:szCs w:val="22"/>
        </w:rPr>
        <w:t>mor</w:t>
      </w:r>
      <w:r w:rsidR="008D12C7">
        <w:rPr>
          <w:rFonts w:ascii="Arial" w:hAnsi="Arial" w:cs="Arial"/>
          <w:sz w:val="22"/>
          <w:szCs w:val="22"/>
        </w:rPr>
        <w:t xml:space="preserve">e distant from pre-rain samples than the baseline pre-rain variance </w:t>
      </w:r>
      <w:r w:rsidR="003C5782">
        <w:rPr>
          <w:rFonts w:ascii="Arial" w:hAnsi="Arial" w:cs="Arial"/>
          <w:sz w:val="22"/>
          <w:szCs w:val="22"/>
        </w:rPr>
        <w:t>(</w:t>
      </w:r>
      <w:r w:rsidR="003C5782" w:rsidRPr="003C5782">
        <w:rPr>
          <w:rFonts w:ascii="Arial" w:hAnsi="Arial" w:cs="Arial"/>
          <w:sz w:val="22"/>
          <w:szCs w:val="22"/>
        </w:rPr>
        <w:t xml:space="preserve">two-sided </w:t>
      </w:r>
      <w:r w:rsidR="00FB6A46">
        <w:rPr>
          <w:rFonts w:ascii="Arial" w:hAnsi="Arial" w:cs="Arial"/>
          <w:sz w:val="22"/>
          <w:szCs w:val="22"/>
        </w:rPr>
        <w:t>t-test: t-statistic=</w:t>
      </w:r>
      <w:r w:rsidR="003C5782">
        <w:rPr>
          <w:rFonts w:ascii="Arial" w:hAnsi="Arial" w:cs="Arial"/>
          <w:sz w:val="22"/>
          <w:szCs w:val="22"/>
        </w:rPr>
        <w:t>17.28</w:t>
      </w:r>
      <w:r w:rsidR="003C5782" w:rsidRPr="003C5782">
        <w:rPr>
          <w:rFonts w:ascii="Arial" w:hAnsi="Arial" w:cs="Arial"/>
          <w:sz w:val="22"/>
          <w:szCs w:val="22"/>
        </w:rPr>
        <w:t>, parametric p</w:t>
      </w:r>
      <w:r w:rsidR="003C5782">
        <w:rPr>
          <w:rFonts w:ascii="Arial" w:hAnsi="Arial" w:cs="Arial"/>
          <w:sz w:val="22"/>
          <w:szCs w:val="22"/>
        </w:rPr>
        <w:t>-</w:t>
      </w:r>
      <w:r w:rsidR="003C5782" w:rsidRPr="003C5782">
        <w:rPr>
          <w:rFonts w:ascii="Arial" w:hAnsi="Arial" w:cs="Arial"/>
          <w:sz w:val="22"/>
          <w:szCs w:val="22"/>
        </w:rPr>
        <w:t>val</w:t>
      </w:r>
      <w:r w:rsidR="003C5782">
        <w:rPr>
          <w:rFonts w:ascii="Arial" w:hAnsi="Arial" w:cs="Arial"/>
          <w:sz w:val="22"/>
          <w:szCs w:val="22"/>
        </w:rPr>
        <w:t>ue</w:t>
      </w:r>
      <w:r w:rsidR="003C5782" w:rsidRPr="003C5782">
        <w:rPr>
          <w:rFonts w:ascii="Arial" w:hAnsi="Arial" w:cs="Arial"/>
          <w:sz w:val="22"/>
          <w:szCs w:val="22"/>
        </w:rPr>
        <w:t>=5.00E-45</w:t>
      </w:r>
      <w:r w:rsidR="008D12C7">
        <w:rPr>
          <w:rFonts w:ascii="Arial" w:hAnsi="Arial" w:cs="Arial"/>
          <w:sz w:val="22"/>
          <w:szCs w:val="22"/>
        </w:rPr>
        <w:t>)</w:t>
      </w:r>
      <w:r w:rsidRPr="004B40A6">
        <w:rPr>
          <w:rFonts w:ascii="Arial" w:hAnsi="Arial" w:cs="Arial"/>
          <w:sz w:val="22"/>
          <w:szCs w:val="22"/>
        </w:rPr>
        <w:t xml:space="preserve">, but </w:t>
      </w:r>
      <w:r w:rsidR="008D12C7">
        <w:rPr>
          <w:rFonts w:ascii="Arial" w:hAnsi="Arial" w:cs="Arial"/>
          <w:sz w:val="22"/>
          <w:szCs w:val="22"/>
        </w:rPr>
        <w:t>also clustering</w:t>
      </w:r>
      <w:r w:rsidR="0096525A">
        <w:rPr>
          <w:rFonts w:ascii="Arial" w:hAnsi="Arial" w:cs="Arial"/>
          <w:sz w:val="22"/>
          <w:szCs w:val="22"/>
        </w:rPr>
        <w:t xml:space="preserve"> </w:t>
      </w:r>
      <w:r w:rsidRPr="004B40A6">
        <w:rPr>
          <w:rFonts w:ascii="Arial" w:hAnsi="Arial" w:cs="Arial"/>
          <w:sz w:val="22"/>
          <w:szCs w:val="22"/>
        </w:rPr>
        <w:t>together with the samples collected 18 months af</w:t>
      </w:r>
      <w:r w:rsidR="002B05B6" w:rsidRPr="004B40A6">
        <w:rPr>
          <w:rFonts w:ascii="Arial" w:hAnsi="Arial" w:cs="Arial"/>
          <w:sz w:val="22"/>
          <w:szCs w:val="22"/>
        </w:rPr>
        <w:t>ter the rain (2017-02)</w:t>
      </w:r>
      <w:r w:rsidR="0096525A">
        <w:rPr>
          <w:rFonts w:ascii="Arial" w:hAnsi="Arial" w:cs="Arial"/>
          <w:sz w:val="22"/>
          <w:szCs w:val="22"/>
        </w:rPr>
        <w:t xml:space="preserve"> </w:t>
      </w:r>
      <w:r w:rsidR="002B05B6" w:rsidRPr="004B40A6">
        <w:rPr>
          <w:rFonts w:ascii="Arial" w:hAnsi="Arial" w:cs="Arial"/>
          <w:sz w:val="22"/>
          <w:szCs w:val="22"/>
        </w:rPr>
        <w:t>(Figure 2</w:t>
      </w:r>
      <w:r w:rsidRPr="004B40A6">
        <w:rPr>
          <w:rFonts w:ascii="Arial" w:hAnsi="Arial" w:cs="Arial"/>
          <w:sz w:val="22"/>
          <w:szCs w:val="22"/>
        </w:rPr>
        <w:t>A)</w:t>
      </w:r>
      <w:r w:rsidR="008D12C7">
        <w:rPr>
          <w:rFonts w:ascii="Arial" w:hAnsi="Arial" w:cs="Arial"/>
          <w:sz w:val="22"/>
          <w:szCs w:val="22"/>
        </w:rPr>
        <w:t>, c</w:t>
      </w:r>
      <w:r w:rsidRPr="004B40A6">
        <w:rPr>
          <w:rFonts w:ascii="Arial" w:hAnsi="Arial" w:cs="Arial"/>
          <w:sz w:val="22"/>
          <w:szCs w:val="22"/>
        </w:rPr>
        <w:t xml:space="preserve">ontrasting the results of clustering the Weighted </w:t>
      </w:r>
      <w:proofErr w:type="spellStart"/>
      <w:r w:rsidRPr="004B40A6">
        <w:rPr>
          <w:rFonts w:ascii="Arial" w:hAnsi="Arial" w:cs="Arial"/>
          <w:sz w:val="22"/>
          <w:szCs w:val="22"/>
        </w:rPr>
        <w:t>Unifrac</w:t>
      </w:r>
      <w:proofErr w:type="spellEnd"/>
      <w:r w:rsidRPr="004B40A6">
        <w:rPr>
          <w:rFonts w:ascii="Arial" w:hAnsi="Arial" w:cs="Arial"/>
          <w:sz w:val="22"/>
          <w:szCs w:val="22"/>
        </w:rPr>
        <w:t xml:space="preserve"> dissimilarity matrix (Figure 1A)</w:t>
      </w:r>
      <w:r w:rsidR="008D12C7">
        <w:rPr>
          <w:rFonts w:ascii="Arial" w:hAnsi="Arial" w:cs="Arial"/>
          <w:sz w:val="22"/>
          <w:szCs w:val="22"/>
        </w:rPr>
        <w:t>. Indeed</w:t>
      </w:r>
      <w:r w:rsidRPr="004B40A6">
        <w:rPr>
          <w:rFonts w:ascii="Arial" w:hAnsi="Arial" w:cs="Arial"/>
          <w:sz w:val="22"/>
          <w:szCs w:val="22"/>
        </w:rPr>
        <w:t xml:space="preserve">, </w:t>
      </w:r>
      <w:r w:rsidR="0096525A">
        <w:rPr>
          <w:rFonts w:ascii="Arial" w:hAnsi="Arial" w:cs="Arial"/>
          <w:sz w:val="22"/>
          <w:szCs w:val="22"/>
        </w:rPr>
        <w:t xml:space="preserve">we found that 2017-02 samples were </w:t>
      </w:r>
      <w:r w:rsidR="008D12C7">
        <w:rPr>
          <w:rFonts w:ascii="Arial" w:hAnsi="Arial" w:cs="Arial"/>
          <w:sz w:val="22"/>
          <w:szCs w:val="22"/>
        </w:rPr>
        <w:t xml:space="preserve">less distant </w:t>
      </w:r>
      <w:r w:rsidR="0096525A">
        <w:rPr>
          <w:rFonts w:ascii="Arial" w:hAnsi="Arial" w:cs="Arial"/>
          <w:sz w:val="22"/>
          <w:szCs w:val="22"/>
        </w:rPr>
        <w:t>to 2016-02 samples than the pre-rain samples (</w:t>
      </w:r>
      <w:r w:rsidR="0096525A" w:rsidRPr="003C5782">
        <w:rPr>
          <w:rFonts w:ascii="Arial" w:hAnsi="Arial" w:cs="Arial"/>
          <w:sz w:val="22"/>
          <w:szCs w:val="22"/>
        </w:rPr>
        <w:t>two-sided</w:t>
      </w:r>
      <w:r w:rsidR="0096525A">
        <w:rPr>
          <w:rFonts w:ascii="Arial" w:hAnsi="Arial" w:cs="Arial"/>
          <w:sz w:val="22"/>
          <w:szCs w:val="22"/>
        </w:rPr>
        <w:t xml:space="preserve"> t-test: t-statistic=12.87</w:t>
      </w:r>
      <w:r w:rsidR="0096525A" w:rsidRPr="003C5782">
        <w:rPr>
          <w:rFonts w:ascii="Arial" w:hAnsi="Arial" w:cs="Arial"/>
          <w:sz w:val="22"/>
          <w:szCs w:val="22"/>
        </w:rPr>
        <w:t>, parametric p</w:t>
      </w:r>
      <w:r w:rsidR="0096525A">
        <w:rPr>
          <w:rFonts w:ascii="Arial" w:hAnsi="Arial" w:cs="Arial"/>
          <w:sz w:val="22"/>
          <w:szCs w:val="22"/>
        </w:rPr>
        <w:t>-</w:t>
      </w:r>
      <w:r w:rsidR="0096525A" w:rsidRPr="003C5782">
        <w:rPr>
          <w:rFonts w:ascii="Arial" w:hAnsi="Arial" w:cs="Arial"/>
          <w:sz w:val="22"/>
          <w:szCs w:val="22"/>
        </w:rPr>
        <w:t>val</w:t>
      </w:r>
      <w:r w:rsidR="0096525A">
        <w:rPr>
          <w:rFonts w:ascii="Arial" w:hAnsi="Arial" w:cs="Arial"/>
          <w:sz w:val="22"/>
          <w:szCs w:val="22"/>
        </w:rPr>
        <w:t>ue</w:t>
      </w:r>
      <w:r w:rsidR="0096525A" w:rsidRPr="003C5782">
        <w:rPr>
          <w:rFonts w:ascii="Arial" w:hAnsi="Arial" w:cs="Arial"/>
          <w:sz w:val="22"/>
          <w:szCs w:val="22"/>
        </w:rPr>
        <w:t>=0</w:t>
      </w:r>
      <w:r w:rsidR="0096525A">
        <w:rPr>
          <w:rFonts w:ascii="Arial" w:hAnsi="Arial" w:cs="Arial"/>
          <w:sz w:val="22"/>
          <w:szCs w:val="22"/>
        </w:rPr>
        <w:t xml:space="preserve">), suggesting </w:t>
      </w:r>
      <w:r w:rsidRPr="004B40A6">
        <w:rPr>
          <w:rFonts w:ascii="Arial" w:hAnsi="Arial" w:cs="Arial"/>
          <w:sz w:val="22"/>
          <w:szCs w:val="22"/>
        </w:rPr>
        <w:t xml:space="preserve">that the community did not recover from the perturbation in terms of the presence or absence of individual OTUs. </w:t>
      </w:r>
    </w:p>
    <w:p w14:paraId="5DDE5145" w14:textId="4569F6E3" w:rsidR="00811B54" w:rsidRPr="004B40A6" w:rsidRDefault="00811B54" w:rsidP="00811B54">
      <w:pPr>
        <w:rPr>
          <w:rFonts w:ascii="Arial" w:hAnsi="Arial" w:cs="Arial"/>
          <w:sz w:val="22"/>
          <w:szCs w:val="22"/>
        </w:rPr>
      </w:pPr>
      <w:r w:rsidRPr="004B40A6">
        <w:rPr>
          <w:rFonts w:ascii="Arial" w:hAnsi="Arial" w:cs="Arial"/>
          <w:sz w:val="22"/>
          <w:szCs w:val="22"/>
        </w:rPr>
        <w:tab/>
        <w:t>This fine-scale composition of the microbiomes was also investigated through metagenome-assembled genomes (MAGs). With the use of metaWRAP</w:t>
      </w:r>
      <w:r w:rsidR="001043BF" w:rsidRPr="004B40A6">
        <w:rPr>
          <w:rFonts w:ascii="Arial" w:hAnsi="Arial" w:cs="Arial"/>
          <w:sz w:val="22"/>
          <w:szCs w:val="22"/>
        </w:rPr>
        <w:t xml:space="preserve"> </w:t>
      </w:r>
      <w:r w:rsidR="001043BF" w:rsidRPr="004B40A6">
        <w:rPr>
          <w:rFonts w:ascii="Arial" w:hAnsi="Arial" w:cs="Arial"/>
          <w:sz w:val="22"/>
          <w:szCs w:val="22"/>
        </w:rPr>
        <w:fldChar w:fldCharType="begin"/>
      </w:r>
      <w:r w:rsidR="001043BF" w:rsidRPr="004B40A6">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043BF" w:rsidRPr="004B40A6">
        <w:rPr>
          <w:rFonts w:ascii="Arial" w:hAnsi="Arial" w:cs="Arial"/>
          <w:sz w:val="22"/>
          <w:szCs w:val="22"/>
        </w:rPr>
        <w:fldChar w:fldCharType="separate"/>
      </w:r>
      <w:r w:rsidR="001043BF" w:rsidRPr="004B40A6">
        <w:rPr>
          <w:rFonts w:ascii="Arial" w:hAnsi="Arial" w:cs="Arial"/>
          <w:noProof/>
          <w:sz w:val="22"/>
          <w:szCs w:val="22"/>
        </w:rPr>
        <w:t>[25]</w:t>
      </w:r>
      <w:r w:rsidR="001043BF" w:rsidRPr="004B40A6">
        <w:rPr>
          <w:rFonts w:ascii="Arial" w:hAnsi="Arial" w:cs="Arial"/>
          <w:sz w:val="22"/>
          <w:szCs w:val="22"/>
        </w:rPr>
        <w:fldChar w:fldCharType="end"/>
      </w:r>
      <w:r w:rsidRPr="004B40A6">
        <w:rPr>
          <w:rFonts w:ascii="Arial" w:hAnsi="Arial" w:cs="Arial"/>
          <w:sz w:val="22"/>
          <w:szCs w:val="22"/>
        </w:rPr>
        <w:t>, 94 high-quality MAGs (&gt;70% completion, &lt;5% contamination) were recovered from the WMG sequencing data, and their abundances were tracked across the longitudinal study. Despite high heterogeneity in MAG abundances, hierarchical clustering of the abundance table revealed two</w:t>
      </w:r>
      <w:r w:rsidR="00640403">
        <w:rPr>
          <w:rFonts w:ascii="Arial" w:hAnsi="Arial" w:cs="Arial"/>
          <w:sz w:val="22"/>
          <w:szCs w:val="22"/>
        </w:rPr>
        <w:t xml:space="preserve"> significantly</w:t>
      </w:r>
      <w:r w:rsidRPr="004B40A6">
        <w:rPr>
          <w:rFonts w:ascii="Arial" w:hAnsi="Arial" w:cs="Arial"/>
          <w:sz w:val="22"/>
          <w:szCs w:val="22"/>
        </w:rPr>
        <w:t xml:space="preserve"> </w:t>
      </w:r>
      <w:r w:rsidRPr="004B40A6">
        <w:rPr>
          <w:rFonts w:ascii="Arial" w:hAnsi="Arial" w:cs="Arial"/>
          <w:sz w:val="22"/>
          <w:szCs w:val="22"/>
        </w:rPr>
        <w:lastRenderedPageBreak/>
        <w:t xml:space="preserve">distinct groups of replicates </w:t>
      </w:r>
      <w:r w:rsidR="00640403">
        <w:rPr>
          <w:rFonts w:ascii="Arial" w:hAnsi="Arial" w:cs="Arial"/>
          <w:sz w:val="22"/>
          <w:szCs w:val="22"/>
        </w:rPr>
        <w:t>(</w:t>
      </w:r>
      <w:proofErr w:type="spellStart"/>
      <w:r w:rsidR="000D24A3">
        <w:rPr>
          <w:rFonts w:ascii="Arial" w:hAnsi="Arial" w:cs="Arial"/>
          <w:sz w:val="22"/>
          <w:szCs w:val="22"/>
        </w:rPr>
        <w:t>SigClust</w:t>
      </w:r>
      <w:proofErr w:type="spellEnd"/>
      <w:r w:rsidR="000D24A3">
        <w:rPr>
          <w:rFonts w:ascii="Arial" w:hAnsi="Arial" w:cs="Arial"/>
          <w:sz w:val="22"/>
          <w:szCs w:val="22"/>
        </w:rPr>
        <w:t xml:space="preserve"> 2-group significance: p-value=</w:t>
      </w:r>
      <w:r w:rsidR="000D24A3" w:rsidRPr="000D24A3">
        <w:t xml:space="preserve"> </w:t>
      </w:r>
      <w:r w:rsidR="00742EA6">
        <w:rPr>
          <w:rFonts w:ascii="Arial" w:hAnsi="Arial" w:cs="Arial"/>
          <w:sz w:val="22"/>
          <w:szCs w:val="22"/>
        </w:rPr>
        <w:t>0.011</w:t>
      </w:r>
      <w:r w:rsidR="00640403">
        <w:rPr>
          <w:rFonts w:ascii="Arial" w:hAnsi="Arial" w:cs="Arial"/>
          <w:sz w:val="22"/>
          <w:szCs w:val="22"/>
        </w:rPr>
        <w:t xml:space="preserve">) </w:t>
      </w:r>
      <w:r w:rsidRPr="004B40A6">
        <w:rPr>
          <w:rFonts w:ascii="Arial" w:hAnsi="Arial" w:cs="Arial"/>
          <w:sz w:val="22"/>
          <w:szCs w:val="22"/>
        </w:rPr>
        <w:t>– pre-rain samples (2014-09 and 2015-06) and post-rain samples (2016-02 and 2017-</w:t>
      </w:r>
      <w:r w:rsidRPr="00742EA6">
        <w:rPr>
          <w:rFonts w:ascii="Arial" w:hAnsi="Arial" w:cs="Arial"/>
          <w:sz w:val="22"/>
          <w:szCs w:val="22"/>
        </w:rPr>
        <w:t>02</w:t>
      </w:r>
      <w:r w:rsidR="002B05B6" w:rsidRPr="00742EA6">
        <w:rPr>
          <w:rFonts w:ascii="Arial" w:hAnsi="Arial" w:cs="Arial"/>
          <w:sz w:val="22"/>
          <w:szCs w:val="22"/>
        </w:rPr>
        <w:t>) (Figure 2</w:t>
      </w:r>
      <w:r w:rsidRPr="00742EA6">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742EA6" w:rsidRPr="00742EA6">
        <w:rPr>
          <w:rFonts w:ascii="Arial" w:hAnsi="Arial" w:cs="Arial"/>
          <w:sz w:val="22"/>
          <w:szCs w:val="22"/>
        </w:rPr>
        <w:t>\</w:t>
      </w:r>
      <w:r w:rsidRPr="00742EA6">
        <w:rPr>
          <w:rFonts w:ascii="Arial" w:hAnsi="Arial" w:cs="Arial"/>
          <w:sz w:val="22"/>
          <w:szCs w:val="22"/>
        </w:rPr>
        <w:t xml:space="preserve"> </w:t>
      </w:r>
      <w:r w:rsidR="002E523F" w:rsidRPr="00742EA6">
        <w:rPr>
          <w:rFonts w:ascii="Arial" w:hAnsi="Arial" w:cs="Arial"/>
          <w:sz w:val="22"/>
          <w:szCs w:val="22"/>
        </w:rPr>
        <w:t>Pearson correlation comparison</w:t>
      </w:r>
      <w:r w:rsidRPr="00742EA6">
        <w:rPr>
          <w:rFonts w:ascii="Arial" w:hAnsi="Arial" w:cs="Arial"/>
          <w:sz w:val="22"/>
          <w:szCs w:val="22"/>
        </w:rPr>
        <w:t xml:space="preserve"> </w:t>
      </w:r>
      <w:r w:rsidR="00742EA6" w:rsidRPr="00742EA6">
        <w:rPr>
          <w:rFonts w:ascii="Arial" w:hAnsi="Arial" w:cs="Arial"/>
          <w:sz w:val="22"/>
          <w:szCs w:val="22"/>
        </w:rPr>
        <w:t xml:space="preserve">(two-sided t-test: t-statistic=8.94 p-value=8.41e-12) as well as group significance </w:t>
      </w:r>
      <w:r w:rsidRPr="00742EA6">
        <w:rPr>
          <w:rFonts w:ascii="Arial" w:hAnsi="Arial" w:cs="Arial"/>
          <w:sz w:val="22"/>
          <w:szCs w:val="22"/>
        </w:rPr>
        <w:t>analysis</w:t>
      </w:r>
      <w:r w:rsidR="00742EA6" w:rsidRPr="00742EA6">
        <w:rPr>
          <w:rFonts w:ascii="Arial" w:hAnsi="Arial" w:cs="Arial"/>
          <w:sz w:val="22"/>
          <w:szCs w:val="22"/>
        </w:rPr>
        <w:t xml:space="preserve"> (</w:t>
      </w:r>
      <w:proofErr w:type="spellStart"/>
      <w:r w:rsidR="00742EA6" w:rsidRPr="00742EA6">
        <w:rPr>
          <w:rFonts w:ascii="Arial" w:hAnsi="Arial" w:cs="Arial"/>
          <w:sz w:val="22"/>
          <w:szCs w:val="22"/>
        </w:rPr>
        <w:t>SigClust</w:t>
      </w:r>
      <w:proofErr w:type="spellEnd"/>
      <w:r w:rsidR="00742EA6" w:rsidRPr="00742EA6">
        <w:rPr>
          <w:rFonts w:ascii="Arial" w:hAnsi="Arial" w:cs="Arial"/>
          <w:sz w:val="22"/>
          <w:szCs w:val="22"/>
        </w:rPr>
        <w:t xml:space="preserve"> 2-group significance: p-value=0.003)</w:t>
      </w:r>
      <w:r w:rsidRPr="00742EA6">
        <w:rPr>
          <w:rFonts w:ascii="Arial" w:hAnsi="Arial" w:cs="Arial"/>
          <w:sz w:val="22"/>
          <w:szCs w:val="22"/>
        </w:rPr>
        <w:t xml:space="preserve"> of </w:t>
      </w:r>
      <w:r w:rsidR="002E523F" w:rsidRPr="00742EA6">
        <w:rPr>
          <w:rFonts w:ascii="Arial" w:hAnsi="Arial" w:cs="Arial"/>
          <w:sz w:val="22"/>
          <w:szCs w:val="22"/>
        </w:rPr>
        <w:t xml:space="preserve">the </w:t>
      </w:r>
      <w:r w:rsidRPr="00742EA6">
        <w:rPr>
          <w:rFonts w:ascii="Arial" w:hAnsi="Arial" w:cs="Arial"/>
          <w:sz w:val="22"/>
          <w:szCs w:val="22"/>
        </w:rPr>
        <w:t>contig abundance table further illustrated that the community did not recover from the rain in terms of individual comm</w:t>
      </w:r>
      <w:r w:rsidR="002B05B6" w:rsidRPr="00742EA6">
        <w:rPr>
          <w:rFonts w:ascii="Arial" w:hAnsi="Arial" w:cs="Arial"/>
          <w:sz w:val="22"/>
          <w:szCs w:val="22"/>
        </w:rPr>
        <w:t>unity member abundance</w:t>
      </w:r>
      <w:r w:rsidR="002E523F" w:rsidRPr="00742EA6">
        <w:rPr>
          <w:rFonts w:ascii="Arial" w:hAnsi="Arial" w:cs="Arial"/>
          <w:sz w:val="22"/>
          <w:szCs w:val="22"/>
        </w:rPr>
        <w:t>, as 2017-02 samples were better correlated with 2016-02 than with the pre-rain</w:t>
      </w:r>
      <w:r w:rsidR="002B05B6" w:rsidRPr="00742EA6">
        <w:rPr>
          <w:rFonts w:ascii="Arial" w:hAnsi="Arial" w:cs="Arial"/>
          <w:sz w:val="22"/>
          <w:szCs w:val="22"/>
        </w:rPr>
        <w:t xml:space="preserve"> </w:t>
      </w:r>
      <w:r w:rsidR="00742EA6" w:rsidRPr="00742EA6">
        <w:rPr>
          <w:rFonts w:ascii="Arial" w:hAnsi="Arial" w:cs="Arial"/>
          <w:sz w:val="22"/>
          <w:szCs w:val="22"/>
        </w:rPr>
        <w:t>samples</w:t>
      </w:r>
      <w:r w:rsidR="002E523F" w:rsidRPr="00742EA6">
        <w:rPr>
          <w:rFonts w:ascii="Arial" w:hAnsi="Arial" w:cs="Arial"/>
          <w:sz w:val="22"/>
          <w:szCs w:val="22"/>
        </w:rPr>
        <w:t xml:space="preserve"> </w:t>
      </w:r>
      <w:r w:rsidR="002B05B6" w:rsidRPr="00742EA6">
        <w:rPr>
          <w:rFonts w:ascii="Arial" w:hAnsi="Arial" w:cs="Arial"/>
          <w:sz w:val="22"/>
          <w:szCs w:val="22"/>
        </w:rPr>
        <w:t>(Figure</w:t>
      </w:r>
      <w:r w:rsidR="008D7BF8">
        <w:rPr>
          <w:rFonts w:ascii="Arial" w:hAnsi="Arial" w:cs="Arial"/>
          <w:sz w:val="22"/>
          <w:szCs w:val="22"/>
        </w:rPr>
        <w:t>s</w:t>
      </w:r>
      <w:r w:rsidR="002B05B6" w:rsidRPr="00742EA6">
        <w:rPr>
          <w:rFonts w:ascii="Arial" w:hAnsi="Arial" w:cs="Arial"/>
          <w:sz w:val="22"/>
          <w:szCs w:val="22"/>
        </w:rPr>
        <w:t xml:space="preserve"> 2</w:t>
      </w:r>
      <w:r w:rsidRPr="00742EA6">
        <w:rPr>
          <w:rFonts w:ascii="Arial" w:hAnsi="Arial" w:cs="Arial"/>
          <w:sz w:val="22"/>
          <w:szCs w:val="22"/>
        </w:rPr>
        <w:t>C</w:t>
      </w:r>
      <w:r w:rsidR="008D7BF8">
        <w:rPr>
          <w:rFonts w:ascii="Arial" w:hAnsi="Arial" w:cs="Arial"/>
          <w:sz w:val="22"/>
          <w:szCs w:val="22"/>
        </w:rPr>
        <w:t>, S6</w:t>
      </w:r>
      <w:r w:rsidRPr="004B40A6">
        <w:rPr>
          <w:rFonts w:ascii="Arial" w:hAnsi="Arial" w:cs="Arial"/>
          <w:sz w:val="22"/>
          <w:szCs w:val="22"/>
        </w:rPr>
        <w:t>). Taken together with the resilience of the</w:t>
      </w:r>
      <w:r w:rsidR="000637FE" w:rsidRPr="004B40A6">
        <w:rPr>
          <w:rFonts w:ascii="Arial" w:hAnsi="Arial" w:cs="Arial"/>
          <w:sz w:val="22"/>
          <w:szCs w:val="22"/>
        </w:rPr>
        <w:t xml:space="preserve"> overall </w:t>
      </w:r>
      <w:r w:rsidRPr="004B40A6">
        <w:rPr>
          <w:rFonts w:ascii="Arial" w:hAnsi="Arial" w:cs="Arial"/>
          <w:sz w:val="22"/>
          <w:szCs w:val="22"/>
        </w:rPr>
        <w:t>community structure, this result suggests that while the abundances of higher-order taxonomic ranks recovered to the pre-rain state, the individual organism within those groups have been permanently reshuffled.</w:t>
      </w:r>
    </w:p>
    <w:p w14:paraId="27E00169" w14:textId="09BE0A24" w:rsidR="00811B54" w:rsidRPr="004B40A6" w:rsidRDefault="00811B54" w:rsidP="00811B54">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t>To more directly investigate changes in functional niche membership, a rearrangement index (</w:t>
      </w:r>
      <w:r w:rsidRPr="004B40A6">
        <w:rPr>
          <w:rFonts w:ascii="Arial" w:hAnsi="Arial" w:cs="Arial"/>
          <w:i/>
          <w:color w:val="282625"/>
          <w:sz w:val="22"/>
          <w:szCs w:val="22"/>
        </w:rPr>
        <w:t>RI</w:t>
      </w:r>
      <w:r w:rsidRPr="004B40A6">
        <w:rPr>
          <w:rFonts w:ascii="Arial" w:hAnsi="Arial" w:cs="Arial"/>
          <w:color w:val="282625"/>
          <w:sz w:val="22"/>
          <w:szCs w:val="22"/>
        </w:rPr>
        <w:t xml:space="preserve">) was calculated for each KEGG function, evaluating the degree of change in </w:t>
      </w:r>
      <w:r w:rsidR="00565498" w:rsidRPr="004B40A6">
        <w:rPr>
          <w:rFonts w:ascii="Arial" w:hAnsi="Arial" w:cs="Arial"/>
          <w:color w:val="282625"/>
          <w:sz w:val="22"/>
          <w:szCs w:val="22"/>
        </w:rPr>
        <w:t>taxa</w:t>
      </w:r>
      <w:r w:rsidRPr="004B40A6">
        <w:rPr>
          <w:rFonts w:ascii="Arial" w:hAnsi="Arial" w:cs="Arial"/>
          <w:color w:val="282625"/>
          <w:sz w:val="22"/>
          <w:szCs w:val="22"/>
        </w:rPr>
        <w:t xml:space="preserve"> that carry </w:t>
      </w:r>
      <w:r w:rsidR="00565498" w:rsidRPr="004B40A6">
        <w:rPr>
          <w:rFonts w:ascii="Arial" w:hAnsi="Arial" w:cs="Arial"/>
          <w:color w:val="282625"/>
          <w:sz w:val="22"/>
          <w:szCs w:val="22"/>
        </w:rPr>
        <w:t xml:space="preserve">a given </w:t>
      </w:r>
      <w:r w:rsidRPr="004B40A6">
        <w:rPr>
          <w:rFonts w:ascii="Arial" w:hAnsi="Arial" w:cs="Arial"/>
          <w:color w:val="282625"/>
          <w:sz w:val="22"/>
          <w:szCs w:val="22"/>
        </w:rPr>
        <w:t>function</w:t>
      </w:r>
      <w:r w:rsidR="00166A45">
        <w:rPr>
          <w:rFonts w:ascii="Arial" w:hAnsi="Arial" w:cs="Arial"/>
          <w:color w:val="282625"/>
          <w:sz w:val="22"/>
          <w:szCs w:val="22"/>
        </w:rPr>
        <w:t xml:space="preserve"> (see Methods)</w:t>
      </w:r>
      <w:r w:rsidRPr="004B40A6">
        <w:rPr>
          <w:rFonts w:ascii="Arial" w:hAnsi="Arial" w:cs="Arial"/>
          <w:color w:val="282625"/>
          <w:sz w:val="22"/>
          <w:szCs w:val="22"/>
        </w:rPr>
        <w:t xml:space="preserve">. The distribution in the </w:t>
      </w:r>
      <w:r w:rsidR="00166A45" w:rsidRPr="00166A45">
        <w:rPr>
          <w:rFonts w:ascii="Arial" w:hAnsi="Arial" w:cs="Arial"/>
          <w:i/>
          <w:color w:val="282625"/>
          <w:sz w:val="22"/>
          <w:szCs w:val="22"/>
        </w:rPr>
        <w:t>RIs</w:t>
      </w:r>
      <w:r w:rsidR="00166A45">
        <w:rPr>
          <w:rFonts w:ascii="Arial" w:hAnsi="Arial" w:cs="Arial"/>
          <w:color w:val="282625"/>
          <w:sz w:val="22"/>
          <w:szCs w:val="22"/>
        </w:rPr>
        <w:t xml:space="preserve"> </w:t>
      </w:r>
      <w:r w:rsidRPr="004B40A6">
        <w:rPr>
          <w:rFonts w:ascii="Arial" w:hAnsi="Arial" w:cs="Arial"/>
          <w:color w:val="282625"/>
          <w:sz w:val="22"/>
          <w:szCs w:val="22"/>
        </w:rPr>
        <w:t xml:space="preserve">of all functions </w:t>
      </w:r>
      <w:r w:rsidR="00565498" w:rsidRPr="004B40A6">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4B40A6">
        <w:rPr>
          <w:rFonts w:ascii="Arial" w:hAnsi="Arial" w:cs="Arial"/>
          <w:color w:val="282625"/>
          <w:sz w:val="22"/>
          <w:szCs w:val="22"/>
        </w:rPr>
        <w:t xml:space="preserve">) </w:t>
      </w:r>
      <w:r w:rsidRPr="004B40A6">
        <w:rPr>
          <w:rFonts w:ascii="Arial" w:hAnsi="Arial" w:cs="Arial"/>
          <w:color w:val="282625"/>
          <w:sz w:val="22"/>
          <w:szCs w:val="22"/>
        </w:rPr>
        <w:t xml:space="preserve">allows us to visualize </w:t>
      </w:r>
      <w:r w:rsidR="00565498" w:rsidRPr="004B40A6">
        <w:rPr>
          <w:rFonts w:ascii="Arial" w:hAnsi="Arial" w:cs="Arial"/>
          <w:color w:val="282625"/>
          <w:sz w:val="22"/>
          <w:szCs w:val="22"/>
        </w:rPr>
        <w:t xml:space="preserve">and quantify </w:t>
      </w:r>
      <w:r w:rsidRPr="004B40A6">
        <w:rPr>
          <w:rFonts w:ascii="Arial" w:hAnsi="Arial" w:cs="Arial"/>
          <w:color w:val="282625"/>
          <w:sz w:val="22"/>
          <w:szCs w:val="22"/>
        </w:rPr>
        <w:t xml:space="preserve">changes in niche representation between two time points </w:t>
      </w:r>
      <w:r w:rsidR="002B05B6" w:rsidRPr="004B40A6">
        <w:rPr>
          <w:rFonts w:ascii="Arial" w:hAnsi="Arial" w:cs="Arial"/>
          <w:color w:val="282625"/>
          <w:sz w:val="22"/>
          <w:szCs w:val="22"/>
        </w:rPr>
        <w:t>(Figure 2</w:t>
      </w:r>
      <w:r w:rsidRPr="004B40A6">
        <w:rPr>
          <w:rFonts w:ascii="Arial" w:hAnsi="Arial" w:cs="Arial"/>
          <w:color w:val="282625"/>
          <w:sz w:val="22"/>
          <w:szCs w:val="22"/>
        </w:rPr>
        <w:t xml:space="preserve">D, </w:t>
      </w:r>
      <w:r w:rsidR="008D7BF8">
        <w:rPr>
          <w:rFonts w:ascii="Arial" w:hAnsi="Arial" w:cs="Arial"/>
          <w:color w:val="282625"/>
          <w:sz w:val="22"/>
          <w:szCs w:val="22"/>
        </w:rPr>
        <w:t>S7</w:t>
      </w:r>
      <w:r w:rsidRPr="004B40A6">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4B40A6">
        <w:rPr>
          <w:rFonts w:ascii="Arial" w:hAnsi="Arial" w:cs="Arial"/>
          <w:color w:val="282625"/>
          <w:sz w:val="22"/>
          <w:szCs w:val="22"/>
        </w:rPr>
        <w:t>=0.24</w:t>
      </w:r>
      <w:r w:rsidRPr="004B40A6">
        <w:rPr>
          <w:rFonts w:ascii="Arial" w:eastAsia="Times New Roman" w:hAnsi="Arial" w:cs="Arial"/>
          <w:sz w:val="22"/>
          <w:szCs w:val="22"/>
        </w:rPr>
        <w:t>±</w:t>
      </w:r>
      <w:r w:rsidRPr="004B40A6">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4B40A6">
        <w:rPr>
          <w:rFonts w:ascii="Arial" w:hAnsi="Arial" w:cs="Arial"/>
          <w:color w:val="282625"/>
          <w:sz w:val="22"/>
          <w:szCs w:val="22"/>
        </w:rPr>
        <w:t>=0.46</w:t>
      </w:r>
      <w:r w:rsidRPr="004B40A6">
        <w:rPr>
          <w:rFonts w:ascii="Arial" w:eastAsia="Times New Roman" w:hAnsi="Arial" w:cs="Arial"/>
          <w:sz w:val="22"/>
          <w:szCs w:val="22"/>
        </w:rPr>
        <w:t>±</w:t>
      </w:r>
      <w:r w:rsidRPr="004B40A6">
        <w:rPr>
          <w:rFonts w:ascii="Arial" w:hAnsi="Arial" w:cs="Arial"/>
          <w:color w:val="282625"/>
          <w:sz w:val="22"/>
          <w:szCs w:val="22"/>
        </w:rPr>
        <w:t>0.07)</w:t>
      </w:r>
      <w:r w:rsidR="00746DCB">
        <w:rPr>
          <w:rFonts w:ascii="Arial" w:hAnsi="Arial" w:cs="Arial"/>
          <w:color w:val="282625"/>
          <w:sz w:val="22"/>
          <w:szCs w:val="22"/>
        </w:rPr>
        <w:t xml:space="preserve"> (</w:t>
      </w:r>
      <w:r w:rsidR="00C81CCD">
        <w:rPr>
          <w:rFonts w:ascii="Arial" w:hAnsi="Arial" w:cs="Arial"/>
          <w:color w:val="282625"/>
          <w:sz w:val="22"/>
          <w:szCs w:val="22"/>
        </w:rPr>
        <w:t>Kol</w:t>
      </w:r>
      <w:r w:rsidR="00746DCB">
        <w:rPr>
          <w:rFonts w:ascii="Arial" w:hAnsi="Arial" w:cs="Arial"/>
          <w:color w:val="282625"/>
          <w:sz w:val="22"/>
          <w:szCs w:val="22"/>
        </w:rPr>
        <w:t xml:space="preserve">mogorov-Smirnov 2-sample test: </w:t>
      </w:r>
      <w:r w:rsidR="00C81CCD" w:rsidRPr="00C81CCD">
        <w:rPr>
          <w:rFonts w:ascii="Arial" w:hAnsi="Arial" w:cs="Arial"/>
          <w:color w:val="282625"/>
          <w:sz w:val="22"/>
          <w:szCs w:val="22"/>
        </w:rPr>
        <w:t>0.6</w:t>
      </w:r>
      <w:r w:rsidR="00C81CCD">
        <w:rPr>
          <w:rFonts w:ascii="Arial" w:hAnsi="Arial" w:cs="Arial"/>
          <w:color w:val="282625"/>
          <w:sz w:val="22"/>
          <w:szCs w:val="22"/>
        </w:rPr>
        <w:t>6</w:t>
      </w:r>
      <w:r w:rsidR="00C81CCD" w:rsidRPr="00C81CCD">
        <w:rPr>
          <w:rFonts w:ascii="Arial" w:hAnsi="Arial" w:cs="Arial"/>
          <w:color w:val="282625"/>
          <w:sz w:val="22"/>
          <w:szCs w:val="22"/>
        </w:rPr>
        <w:t xml:space="preserve">, </w:t>
      </w:r>
      <w:proofErr w:type="spellStart"/>
      <w:r w:rsidR="00C81CCD" w:rsidRPr="00C81CCD">
        <w:rPr>
          <w:rFonts w:ascii="Arial" w:hAnsi="Arial" w:cs="Arial"/>
          <w:color w:val="282625"/>
          <w:sz w:val="22"/>
          <w:szCs w:val="22"/>
        </w:rPr>
        <w:t>pvalue</w:t>
      </w:r>
      <w:proofErr w:type="spellEnd"/>
      <w:r w:rsidR="00C81CCD" w:rsidRPr="00C81CCD">
        <w:rPr>
          <w:rFonts w:ascii="Arial" w:hAnsi="Arial" w:cs="Arial"/>
          <w:color w:val="282625"/>
          <w:sz w:val="22"/>
          <w:szCs w:val="22"/>
        </w:rPr>
        <w:t>=0.0</w:t>
      </w:r>
      <w:r w:rsidR="00746DCB">
        <w:rPr>
          <w:rFonts w:ascii="Arial" w:hAnsi="Arial" w:cs="Arial"/>
          <w:color w:val="282625"/>
          <w:sz w:val="22"/>
          <w:szCs w:val="22"/>
        </w:rPr>
        <w:t>)</w:t>
      </w:r>
      <w:r w:rsidRPr="004B40A6">
        <w:rPr>
          <w:rFonts w:ascii="Arial" w:hAnsi="Arial" w:cs="Arial"/>
          <w:color w:val="282625"/>
          <w:sz w:val="22"/>
          <w:szCs w:val="22"/>
        </w:rPr>
        <w:t xml:space="preserve">, indicating that the community functions were being performed by a new set of organisms. However, the rearrangement during the following year was </w:t>
      </w:r>
      <w:r w:rsidR="00C81CCD">
        <w:rPr>
          <w:rFonts w:ascii="Arial" w:hAnsi="Arial" w:cs="Arial"/>
          <w:color w:val="282625"/>
          <w:sz w:val="22"/>
          <w:szCs w:val="22"/>
        </w:rPr>
        <w:t>significantly (Kolmogorov-Smirnov 2-sample test:</w:t>
      </w:r>
      <w:r w:rsidR="00F533B5">
        <w:rPr>
          <w:rFonts w:ascii="Arial" w:hAnsi="Arial" w:cs="Arial"/>
          <w:color w:val="282625"/>
          <w:sz w:val="22"/>
          <w:szCs w:val="22"/>
        </w:rPr>
        <w:t xml:space="preserve"> statistic=</w:t>
      </w:r>
      <w:r w:rsidR="00C81CCD" w:rsidRPr="00C81CCD">
        <w:rPr>
          <w:rFonts w:ascii="Arial" w:hAnsi="Arial" w:cs="Arial"/>
          <w:color w:val="282625"/>
          <w:sz w:val="22"/>
          <w:szCs w:val="22"/>
        </w:rPr>
        <w:t xml:space="preserve">0.55, </w:t>
      </w:r>
      <w:proofErr w:type="spellStart"/>
      <w:r w:rsidR="00C81CCD" w:rsidRPr="00C81CCD">
        <w:rPr>
          <w:rFonts w:ascii="Arial" w:hAnsi="Arial" w:cs="Arial"/>
          <w:color w:val="282625"/>
          <w:sz w:val="22"/>
          <w:szCs w:val="22"/>
        </w:rPr>
        <w:t>pvalue</w:t>
      </w:r>
      <w:proofErr w:type="spellEnd"/>
      <w:r w:rsidR="00C81CCD" w:rsidRPr="00C81CCD">
        <w:rPr>
          <w:rFonts w:ascii="Arial" w:hAnsi="Arial" w:cs="Arial"/>
          <w:color w:val="282625"/>
          <w:sz w:val="22"/>
          <w:szCs w:val="22"/>
        </w:rPr>
        <w:t>=0.0</w:t>
      </w:r>
      <w:r w:rsidR="00C81CCD">
        <w:rPr>
          <w:rFonts w:ascii="Arial" w:hAnsi="Arial" w:cs="Arial"/>
          <w:color w:val="282625"/>
          <w:sz w:val="22"/>
          <w:szCs w:val="22"/>
        </w:rPr>
        <w:t>)</w:t>
      </w:r>
      <w:r w:rsidRPr="004B40A6">
        <w:rPr>
          <w:rFonts w:ascii="Arial" w:hAnsi="Arial" w:cs="Arial"/>
          <w:color w:val="282625"/>
          <w:sz w:val="22"/>
          <w:szCs w:val="22"/>
        </w:rPr>
        <w:t xml:space="preserve"> </w:t>
      </w:r>
      <w:r w:rsidR="00C81CCD" w:rsidRPr="004B40A6">
        <w:rPr>
          <w:rFonts w:ascii="Arial" w:hAnsi="Arial" w:cs="Arial"/>
          <w:color w:val="282625"/>
          <w:sz w:val="22"/>
          <w:szCs w:val="22"/>
        </w:rPr>
        <w:t>low</w:t>
      </w:r>
      <w:r w:rsidR="00C81CCD">
        <w:rPr>
          <w:rFonts w:ascii="Arial" w:hAnsi="Arial" w:cs="Arial"/>
          <w:color w:val="282625"/>
          <w:sz w:val="22"/>
          <w:szCs w:val="22"/>
        </w:rPr>
        <w:t xml:space="preserve">er </w:t>
      </w:r>
      <w:r w:rsidR="00C81CCD" w:rsidRPr="004B40A6">
        <w:rPr>
          <w:rFonts w:ascii="Arial" w:hAnsi="Arial" w:cs="Arial"/>
          <w:color w:val="282625"/>
          <w:sz w:val="22"/>
          <w:szCs w:val="22"/>
        </w:rPr>
        <w:t>(</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C81CCD" w:rsidRPr="004B40A6">
        <w:rPr>
          <w:rFonts w:ascii="Arial" w:hAnsi="Arial" w:cs="Arial"/>
          <w:color w:val="282625"/>
          <w:sz w:val="22"/>
          <w:szCs w:val="22"/>
        </w:rPr>
        <w:t xml:space="preserve">=0.32+/-0.04), </w:t>
      </w:r>
      <w:r w:rsidRPr="004B40A6">
        <w:rPr>
          <w:rFonts w:ascii="Arial" w:hAnsi="Arial" w:cs="Arial"/>
          <w:color w:val="282625"/>
          <w:sz w:val="22"/>
          <w:szCs w:val="22"/>
        </w:rPr>
        <w:t xml:space="preserve">despite </w:t>
      </w:r>
      <w:r w:rsidR="00C81CCD">
        <w:rPr>
          <w:rFonts w:ascii="Arial" w:hAnsi="Arial" w:cs="Arial"/>
          <w:color w:val="282625"/>
          <w:sz w:val="22"/>
          <w:szCs w:val="22"/>
        </w:rPr>
        <w:t xml:space="preserve">overall </w:t>
      </w:r>
      <w:r w:rsidRPr="004B40A6">
        <w:rPr>
          <w:rFonts w:ascii="Arial" w:hAnsi="Arial" w:cs="Arial"/>
          <w:color w:val="282625"/>
          <w:sz w:val="22"/>
          <w:szCs w:val="22"/>
        </w:rPr>
        <w:t xml:space="preserve">functional potential recovery </w:t>
      </w:r>
      <w:r w:rsidR="00C81CCD">
        <w:rPr>
          <w:rFonts w:ascii="Arial" w:hAnsi="Arial" w:cs="Arial"/>
          <w:color w:val="282625"/>
          <w:sz w:val="22"/>
          <w:szCs w:val="22"/>
        </w:rPr>
        <w:t>(Figure 1C,D). Finally, t</w:t>
      </w:r>
      <w:r w:rsidRPr="004B40A6">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4B40A6">
        <w:rPr>
          <w:rFonts w:ascii="Arial" w:hAnsi="Arial" w:cs="Arial"/>
          <w:color w:val="282625"/>
          <w:sz w:val="22"/>
          <w:szCs w:val="22"/>
        </w:rPr>
        <w:t>=</w:t>
      </w:r>
      <w:r w:rsidRPr="004B40A6">
        <w:rPr>
          <w:rFonts w:ascii="Arial" w:hAnsi="Arial" w:cs="Arial"/>
          <w:sz w:val="22"/>
          <w:szCs w:val="22"/>
        </w:rPr>
        <w:t xml:space="preserve"> </w:t>
      </w:r>
      <w:r w:rsidRPr="004B40A6">
        <w:rPr>
          <w:rFonts w:ascii="Arial" w:hAnsi="Arial" w:cs="Arial"/>
          <w:color w:val="282625"/>
          <w:sz w:val="22"/>
          <w:szCs w:val="22"/>
        </w:rPr>
        <w:t xml:space="preserve">0.43+/-0.09). </w:t>
      </w:r>
      <w:r w:rsidR="00565498" w:rsidRPr="004B40A6">
        <w:rPr>
          <w:rFonts w:ascii="Arial" w:hAnsi="Arial" w:cs="Arial"/>
          <w:color w:val="282625"/>
          <w:sz w:val="22"/>
          <w:szCs w:val="22"/>
        </w:rPr>
        <w:t>Taken together with the recovery in overall functional potential (Figure 1C,D)</w:t>
      </w:r>
      <w:r w:rsidRPr="004B40A6">
        <w:rPr>
          <w:rFonts w:ascii="Arial" w:hAnsi="Arial" w:cs="Arial"/>
          <w:color w:val="282625"/>
          <w:sz w:val="22"/>
          <w:szCs w:val="22"/>
        </w:rPr>
        <w:t xml:space="preserve">, these results suggest that while the recovered halite communities function the same as they did prior to the rain, their functional niches are constituted by a new set of organisms. </w:t>
      </w:r>
    </w:p>
    <w:p w14:paraId="57A2F41B" w14:textId="77777777" w:rsidR="00811B54" w:rsidRPr="004B40A6" w:rsidRDefault="00811B54"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4B40A6" w:rsidRDefault="00811B54" w:rsidP="00811B54">
      <w:pPr>
        <w:rPr>
          <w:rFonts w:ascii="Arial" w:hAnsi="Arial" w:cs="Arial"/>
          <w:b/>
          <w:sz w:val="22"/>
          <w:szCs w:val="22"/>
        </w:rPr>
      </w:pPr>
      <w:r w:rsidRPr="004B40A6">
        <w:rPr>
          <w:rFonts w:ascii="Arial" w:hAnsi="Arial" w:cs="Arial"/>
          <w:b/>
          <w:sz w:val="22"/>
          <w:szCs w:val="22"/>
        </w:rPr>
        <w:t xml:space="preserve">The microbiome’s response and recovery </w:t>
      </w:r>
      <w:r w:rsidR="00A52A7F" w:rsidRPr="004B40A6">
        <w:rPr>
          <w:rFonts w:ascii="Arial" w:hAnsi="Arial" w:cs="Arial"/>
          <w:b/>
          <w:sz w:val="22"/>
          <w:szCs w:val="22"/>
        </w:rPr>
        <w:t>from the rain reveal</w:t>
      </w:r>
      <w:r w:rsidRPr="004B40A6">
        <w:rPr>
          <w:rFonts w:ascii="Arial" w:hAnsi="Arial" w:cs="Arial"/>
          <w:b/>
          <w:sz w:val="22"/>
          <w:szCs w:val="22"/>
        </w:rPr>
        <w:t xml:space="preserve"> contrasting community adaptation strategies</w:t>
      </w:r>
    </w:p>
    <w:p w14:paraId="634CC52C" w14:textId="0C01B28F" w:rsidR="00811B54" w:rsidRPr="004B40A6" w:rsidRDefault="00B05421" w:rsidP="006B276A">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r>
      <w:r w:rsidR="006B276A" w:rsidRPr="004B40A6">
        <w:rPr>
          <w:rFonts w:ascii="Arial" w:hAnsi="Arial" w:cs="Arial"/>
          <w:color w:val="282625"/>
          <w:sz w:val="22"/>
          <w:szCs w:val="22"/>
        </w:rPr>
        <w:t xml:space="preserve">The two composition shifts that the halite microbiomes underwent following the rain – the initial response and subsequent recovery – resulted in a similar degree of change to the overall functional potential of the community. However, there two shifts were fundamentally distinct. </w:t>
      </w:r>
      <w:r w:rsidR="004C200E" w:rsidRPr="004B40A6">
        <w:rPr>
          <w:rFonts w:ascii="Arial" w:hAnsi="Arial" w:cs="Arial"/>
          <w:color w:val="282625"/>
          <w:sz w:val="22"/>
          <w:szCs w:val="22"/>
        </w:rPr>
        <w:t xml:space="preserve">The first shift </w:t>
      </w:r>
      <w:r w:rsidR="006B276A" w:rsidRPr="004B40A6">
        <w:rPr>
          <w:rFonts w:ascii="Arial" w:hAnsi="Arial" w:cs="Arial"/>
          <w:color w:val="282625"/>
          <w:sz w:val="22"/>
          <w:szCs w:val="22"/>
        </w:rPr>
        <w:t xml:space="preserve">resulted from </w:t>
      </w:r>
      <w:r w:rsidR="004C200E" w:rsidRPr="004B40A6">
        <w:rPr>
          <w:rFonts w:ascii="Arial" w:hAnsi="Arial" w:cs="Arial"/>
          <w:color w:val="282625"/>
          <w:sz w:val="22"/>
          <w:szCs w:val="22"/>
        </w:rPr>
        <w:t xml:space="preserve">rapid </w:t>
      </w:r>
      <w:r w:rsidR="006B276A" w:rsidRPr="004B40A6">
        <w:rPr>
          <w:rFonts w:ascii="Arial" w:hAnsi="Arial" w:cs="Arial"/>
          <w:color w:val="282625"/>
          <w:sz w:val="22"/>
          <w:szCs w:val="22"/>
        </w:rPr>
        <w:t xml:space="preserve">changes in selective pressures following </w:t>
      </w:r>
      <w:r w:rsidR="00D7076D" w:rsidRPr="004B40A6">
        <w:rPr>
          <w:rFonts w:ascii="Arial" w:hAnsi="Arial" w:cs="Arial"/>
          <w:color w:val="282625"/>
          <w:sz w:val="22"/>
          <w:szCs w:val="22"/>
        </w:rPr>
        <w:t>the rain</w:t>
      </w:r>
      <w:r w:rsidR="006B276A" w:rsidRPr="004B40A6">
        <w:rPr>
          <w:rFonts w:ascii="Arial" w:hAnsi="Arial" w:cs="Arial"/>
          <w:color w:val="282625"/>
          <w:sz w:val="22"/>
          <w:szCs w:val="22"/>
        </w:rPr>
        <w:t xml:space="preserve">, and required </w:t>
      </w:r>
      <w:r w:rsidR="001D0D8D" w:rsidRPr="004B40A6">
        <w:rPr>
          <w:rFonts w:ascii="Arial" w:hAnsi="Arial" w:cs="Arial"/>
          <w:color w:val="282625"/>
          <w:sz w:val="22"/>
          <w:szCs w:val="22"/>
        </w:rPr>
        <w:t>functional rearrangement not only at the community level by means of changing relative abundances of major taxa, but also within finer taxonomic ranks</w:t>
      </w:r>
      <w:r w:rsidR="00D7076D" w:rsidRPr="004B40A6">
        <w:rPr>
          <w:rFonts w:ascii="Arial" w:hAnsi="Arial" w:cs="Arial"/>
          <w:color w:val="282625"/>
          <w:sz w:val="22"/>
          <w:szCs w:val="22"/>
        </w:rPr>
        <w:t xml:space="preserve"> (</w:t>
      </w:r>
      <w:r w:rsidR="008D7BF8">
        <w:rPr>
          <w:rFonts w:ascii="Arial" w:hAnsi="Arial" w:cs="Arial"/>
          <w:color w:val="282625"/>
          <w:sz w:val="22"/>
          <w:szCs w:val="22"/>
        </w:rPr>
        <w:t>Figure S4</w:t>
      </w:r>
      <w:r w:rsidR="00557014" w:rsidRPr="004B40A6">
        <w:rPr>
          <w:rFonts w:ascii="Arial" w:hAnsi="Arial" w:cs="Arial"/>
          <w:color w:val="282625"/>
          <w:sz w:val="22"/>
          <w:szCs w:val="22"/>
        </w:rPr>
        <w:t>)</w:t>
      </w:r>
      <w:r w:rsidR="006B276A" w:rsidRPr="004B40A6">
        <w:rPr>
          <w:rFonts w:ascii="Arial" w:hAnsi="Arial" w:cs="Arial"/>
          <w:color w:val="282625"/>
          <w:sz w:val="22"/>
          <w:szCs w:val="22"/>
        </w:rPr>
        <w:t xml:space="preserve">. </w:t>
      </w:r>
      <w:r w:rsidR="004C200E" w:rsidRPr="004B40A6">
        <w:rPr>
          <w:rFonts w:ascii="Arial" w:hAnsi="Arial" w:cs="Arial"/>
          <w:color w:val="282625"/>
          <w:sz w:val="22"/>
          <w:szCs w:val="22"/>
        </w:rPr>
        <w:t xml:space="preserve">The second </w:t>
      </w:r>
      <w:r w:rsidR="00D7076D" w:rsidRPr="004B40A6">
        <w:rPr>
          <w:rFonts w:ascii="Arial" w:hAnsi="Arial" w:cs="Arial"/>
          <w:color w:val="282625"/>
          <w:sz w:val="22"/>
          <w:szCs w:val="22"/>
        </w:rPr>
        <w:t xml:space="preserve">functional potential </w:t>
      </w:r>
      <w:r w:rsidR="006B276A" w:rsidRPr="004B40A6">
        <w:rPr>
          <w:rFonts w:ascii="Arial" w:hAnsi="Arial" w:cs="Arial"/>
          <w:color w:val="282625"/>
          <w:sz w:val="22"/>
          <w:szCs w:val="22"/>
        </w:rPr>
        <w:t xml:space="preserve">shift </w:t>
      </w:r>
      <w:r w:rsidR="00565498" w:rsidRPr="004B40A6">
        <w:rPr>
          <w:rFonts w:ascii="Arial" w:hAnsi="Arial" w:cs="Arial"/>
          <w:color w:val="282625"/>
          <w:sz w:val="22"/>
          <w:szCs w:val="22"/>
        </w:rPr>
        <w:t xml:space="preserve">occurred during the recovery phase, and </w:t>
      </w:r>
      <w:r w:rsidR="00D7076D" w:rsidRPr="004B40A6">
        <w:rPr>
          <w:rFonts w:ascii="Arial" w:hAnsi="Arial" w:cs="Arial"/>
          <w:color w:val="282625"/>
          <w:sz w:val="22"/>
          <w:szCs w:val="22"/>
        </w:rPr>
        <w:t>was</w:t>
      </w:r>
      <w:r w:rsidR="00565498" w:rsidRPr="004B40A6">
        <w:rPr>
          <w:rFonts w:ascii="Arial" w:hAnsi="Arial" w:cs="Arial"/>
          <w:color w:val="282625"/>
          <w:sz w:val="22"/>
          <w:szCs w:val="22"/>
        </w:rPr>
        <w:t xml:space="preserve"> much more gradual in nature, resulting </w:t>
      </w:r>
      <w:r w:rsidR="00D7076D" w:rsidRPr="004B40A6">
        <w:rPr>
          <w:rFonts w:ascii="Arial" w:hAnsi="Arial" w:cs="Arial"/>
          <w:color w:val="282625"/>
          <w:sz w:val="22"/>
          <w:szCs w:val="22"/>
        </w:rPr>
        <w:t>largely</w:t>
      </w:r>
      <w:r w:rsidR="006B276A" w:rsidRPr="004B40A6">
        <w:rPr>
          <w:rFonts w:ascii="Arial" w:hAnsi="Arial" w:cs="Arial"/>
          <w:color w:val="282625"/>
          <w:sz w:val="22"/>
          <w:szCs w:val="22"/>
        </w:rPr>
        <w:t xml:space="preserve"> </w:t>
      </w:r>
      <w:r w:rsidR="00811B54" w:rsidRPr="004B40A6">
        <w:rPr>
          <w:rFonts w:ascii="Arial" w:hAnsi="Arial" w:cs="Arial"/>
          <w:color w:val="282625"/>
          <w:sz w:val="22"/>
          <w:szCs w:val="22"/>
        </w:rPr>
        <w:t xml:space="preserve">from </w:t>
      </w:r>
      <w:r w:rsidR="00557014" w:rsidRPr="004B40A6">
        <w:rPr>
          <w:rFonts w:ascii="Arial" w:hAnsi="Arial" w:cs="Arial"/>
          <w:color w:val="282625"/>
          <w:sz w:val="22"/>
          <w:szCs w:val="22"/>
        </w:rPr>
        <w:t xml:space="preserve">changes in relative abundance of diverse </w:t>
      </w:r>
      <w:proofErr w:type="spellStart"/>
      <w:r w:rsidR="00557014" w:rsidRPr="004B40A6">
        <w:rPr>
          <w:rFonts w:ascii="Arial" w:hAnsi="Arial" w:cs="Arial"/>
          <w:i/>
          <w:color w:val="282625"/>
          <w:sz w:val="22"/>
          <w:szCs w:val="22"/>
        </w:rPr>
        <w:t>Halobacteria</w:t>
      </w:r>
      <w:proofErr w:type="spellEnd"/>
      <w:r w:rsidR="00557014" w:rsidRPr="004B40A6">
        <w:rPr>
          <w:rFonts w:ascii="Arial" w:hAnsi="Arial" w:cs="Arial"/>
          <w:color w:val="282625"/>
          <w:sz w:val="22"/>
          <w:szCs w:val="22"/>
        </w:rPr>
        <w:t xml:space="preserve"> and </w:t>
      </w:r>
      <w:proofErr w:type="spellStart"/>
      <w:r w:rsidR="00557014" w:rsidRPr="004B40A6">
        <w:rPr>
          <w:rFonts w:ascii="Arial" w:hAnsi="Arial" w:cs="Arial"/>
          <w:i/>
          <w:color w:val="282625"/>
          <w:sz w:val="22"/>
          <w:szCs w:val="22"/>
        </w:rPr>
        <w:t>Bacteroidetes</w:t>
      </w:r>
      <w:proofErr w:type="spellEnd"/>
      <w:r w:rsidR="00811B54" w:rsidRPr="004B40A6">
        <w:rPr>
          <w:rFonts w:ascii="Arial" w:hAnsi="Arial" w:cs="Arial"/>
          <w:color w:val="282625"/>
          <w:sz w:val="22"/>
          <w:szCs w:val="22"/>
        </w:rPr>
        <w:t xml:space="preserve">, which themselves remained </w:t>
      </w:r>
      <w:r w:rsidR="006B276A" w:rsidRPr="004B40A6">
        <w:rPr>
          <w:rFonts w:ascii="Arial" w:hAnsi="Arial" w:cs="Arial"/>
          <w:color w:val="282625"/>
          <w:sz w:val="22"/>
          <w:szCs w:val="22"/>
        </w:rPr>
        <w:t xml:space="preserve">largely unchanged. </w:t>
      </w:r>
    </w:p>
    <w:p w14:paraId="2F09CC3E" w14:textId="77777777" w:rsidR="00D71C9F" w:rsidRDefault="00D7076D" w:rsidP="00D71C9F">
      <w:pPr>
        <w:rPr>
          <w:rFonts w:ascii="Arial" w:hAnsi="Arial" w:cs="Arial"/>
          <w:b/>
          <w:color w:val="282625"/>
          <w:sz w:val="22"/>
          <w:szCs w:val="22"/>
        </w:rPr>
      </w:pPr>
      <w:r w:rsidRPr="004B40A6">
        <w:rPr>
          <w:rFonts w:ascii="Arial" w:eastAsia="Times New Roman" w:hAnsi="Arial" w:cs="Arial"/>
          <w:color w:val="282625"/>
          <w:sz w:val="22"/>
          <w:szCs w:val="22"/>
          <w:shd w:val="clear" w:color="auto" w:fill="FFFFFF"/>
        </w:rPr>
        <w:tab/>
      </w:r>
      <w:r w:rsidR="006B276A" w:rsidRPr="004B40A6">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4B40A6">
        <w:rPr>
          <w:rFonts w:ascii="Arial" w:hAnsi="Arial" w:cs="Arial"/>
          <w:color w:val="282625"/>
          <w:sz w:val="22"/>
          <w:szCs w:val="22"/>
        </w:rPr>
        <w:t xml:space="preserve"> in response to the changing environment</w:t>
      </w:r>
      <w:r w:rsidR="006B276A" w:rsidRPr="004B40A6">
        <w:rPr>
          <w:rFonts w:ascii="Arial" w:hAnsi="Arial" w:cs="Arial"/>
          <w:color w:val="282625"/>
          <w:sz w:val="22"/>
          <w:szCs w:val="22"/>
        </w:rPr>
        <w:t xml:space="preserve">. We postulate that microbial communities can undergo two fundamentally </w:t>
      </w:r>
      <w:r w:rsidRPr="004B40A6">
        <w:rPr>
          <w:rFonts w:ascii="Arial" w:hAnsi="Arial" w:cs="Arial"/>
          <w:color w:val="282625"/>
          <w:sz w:val="22"/>
          <w:szCs w:val="22"/>
        </w:rPr>
        <w:t xml:space="preserve">distinct </w:t>
      </w:r>
      <w:r w:rsidR="006B276A" w:rsidRPr="004B40A6">
        <w:rPr>
          <w:rFonts w:ascii="Arial" w:hAnsi="Arial" w:cs="Arial"/>
          <w:color w:val="282625"/>
          <w:sz w:val="22"/>
          <w:szCs w:val="22"/>
        </w:rPr>
        <w:t xml:space="preserve">types of </w:t>
      </w:r>
      <w:r w:rsidRPr="004B40A6">
        <w:rPr>
          <w:rFonts w:ascii="Arial" w:hAnsi="Arial" w:cs="Arial"/>
          <w:color w:val="282625"/>
          <w:sz w:val="22"/>
          <w:szCs w:val="22"/>
        </w:rPr>
        <w:t>functional potential</w:t>
      </w:r>
      <w:r w:rsidR="006B276A" w:rsidRPr="004B40A6">
        <w:rPr>
          <w:rFonts w:ascii="Arial" w:hAnsi="Arial" w:cs="Arial"/>
          <w:color w:val="282625"/>
          <w:sz w:val="22"/>
          <w:szCs w:val="22"/>
        </w:rPr>
        <w:t xml:space="preserve"> shifts in response to changin</w:t>
      </w:r>
      <w:r w:rsidRPr="004B40A6">
        <w:rPr>
          <w:rFonts w:ascii="Arial" w:hAnsi="Arial" w:cs="Arial"/>
          <w:color w:val="282625"/>
          <w:sz w:val="22"/>
          <w:szCs w:val="22"/>
        </w:rPr>
        <w:t xml:space="preserve">g selective pressures – a </w:t>
      </w:r>
      <w:r w:rsidR="006B276A" w:rsidRPr="004B40A6">
        <w:rPr>
          <w:rFonts w:ascii="Arial" w:hAnsi="Arial" w:cs="Arial"/>
          <w:color w:val="282625"/>
          <w:sz w:val="22"/>
          <w:szCs w:val="22"/>
        </w:rPr>
        <w:t xml:space="preserve">rapid </w:t>
      </w:r>
      <w:r w:rsidRPr="004B40A6">
        <w:rPr>
          <w:rFonts w:ascii="Arial" w:hAnsi="Arial" w:cs="Arial"/>
          <w:color w:val="282625"/>
          <w:sz w:val="22"/>
          <w:szCs w:val="22"/>
        </w:rPr>
        <w:t xml:space="preserve">rearrangement of the community at higher and lower taxonomic ranks, </w:t>
      </w:r>
      <w:r w:rsidR="00557014" w:rsidRPr="004B40A6">
        <w:rPr>
          <w:rFonts w:ascii="Arial" w:hAnsi="Arial" w:cs="Arial"/>
          <w:color w:val="282625"/>
          <w:sz w:val="22"/>
          <w:szCs w:val="22"/>
        </w:rPr>
        <w:t>or</w:t>
      </w:r>
      <w:r w:rsidRPr="004B40A6">
        <w:rPr>
          <w:rFonts w:ascii="Arial" w:hAnsi="Arial" w:cs="Arial"/>
          <w:color w:val="282625"/>
          <w:sz w:val="22"/>
          <w:szCs w:val="22"/>
        </w:rPr>
        <w:t xml:space="preserve"> a</w:t>
      </w:r>
      <w:r w:rsidR="006B276A" w:rsidRPr="004B40A6">
        <w:rPr>
          <w:rFonts w:ascii="Arial" w:hAnsi="Arial" w:cs="Arial"/>
          <w:color w:val="282625"/>
          <w:sz w:val="22"/>
          <w:szCs w:val="22"/>
        </w:rPr>
        <w:t xml:space="preserve"> gradual </w:t>
      </w:r>
      <w:r w:rsidRPr="004B40A6">
        <w:rPr>
          <w:rFonts w:ascii="Arial" w:hAnsi="Arial" w:cs="Arial"/>
          <w:color w:val="282625"/>
          <w:sz w:val="22"/>
          <w:szCs w:val="22"/>
        </w:rPr>
        <w:t xml:space="preserve">shift resulting from </w:t>
      </w:r>
      <w:r w:rsidR="00557014" w:rsidRPr="004B40A6">
        <w:rPr>
          <w:rFonts w:ascii="Arial" w:hAnsi="Arial" w:cs="Arial"/>
          <w:color w:val="282625"/>
          <w:sz w:val="22"/>
          <w:szCs w:val="22"/>
        </w:rPr>
        <w:t xml:space="preserve">changes in </w:t>
      </w:r>
      <w:r w:rsidR="006B276A" w:rsidRPr="004B40A6">
        <w:rPr>
          <w:rFonts w:ascii="Arial" w:hAnsi="Arial" w:cs="Arial"/>
          <w:color w:val="282625"/>
          <w:sz w:val="22"/>
          <w:szCs w:val="22"/>
        </w:rPr>
        <w:t>abundances of higher-order taxa</w:t>
      </w:r>
      <w:r w:rsidR="00DB2465" w:rsidRPr="004B40A6">
        <w:rPr>
          <w:rFonts w:ascii="Arial" w:hAnsi="Arial" w:cs="Arial"/>
          <w:color w:val="282625"/>
          <w:sz w:val="22"/>
          <w:szCs w:val="22"/>
        </w:rPr>
        <w:t xml:space="preserve"> (Figure 3)</w:t>
      </w:r>
      <w:r w:rsidR="006B276A" w:rsidRPr="004B40A6">
        <w:rPr>
          <w:rFonts w:ascii="Arial" w:hAnsi="Arial" w:cs="Arial"/>
          <w:color w:val="282625"/>
          <w:sz w:val="22"/>
          <w:szCs w:val="22"/>
        </w:rPr>
        <w:t xml:space="preserve">. </w:t>
      </w:r>
    </w:p>
    <w:p w14:paraId="1944F746" w14:textId="25ED3BB8" w:rsidR="005E5F0F" w:rsidRPr="00D71C9F" w:rsidRDefault="005E5F0F" w:rsidP="00D71C9F">
      <w:pPr>
        <w:rPr>
          <w:rFonts w:ascii="Arial" w:hAnsi="Arial" w:cs="Arial"/>
          <w:color w:val="282625"/>
          <w:sz w:val="22"/>
          <w:szCs w:val="22"/>
        </w:rPr>
      </w:pPr>
      <w:r w:rsidRPr="004B40A6">
        <w:rPr>
          <w:rFonts w:ascii="Arial" w:hAnsi="Arial" w:cs="Arial"/>
          <w:b/>
          <w:color w:val="282625"/>
          <w:sz w:val="22"/>
          <w:szCs w:val="22"/>
        </w:rPr>
        <w:t>DISCUSSION</w:t>
      </w:r>
    </w:p>
    <w:p w14:paraId="2BC67680" w14:textId="63652574" w:rsidR="00954475" w:rsidRPr="004B40A6" w:rsidRDefault="005E5F0F" w:rsidP="00954475">
      <w:pPr>
        <w:rPr>
          <w:rFonts w:ascii="Arial" w:eastAsia="Times New Roman" w:hAnsi="Arial" w:cs="Arial"/>
          <w:color w:val="282625"/>
          <w:sz w:val="22"/>
          <w:szCs w:val="22"/>
          <w:shd w:val="clear" w:color="auto" w:fill="FFFFFF"/>
        </w:rPr>
      </w:pPr>
      <w:r w:rsidRPr="004B40A6">
        <w:rPr>
          <w:rFonts w:ascii="Arial" w:hAnsi="Arial" w:cs="Arial"/>
          <w:color w:val="282625"/>
          <w:sz w:val="22"/>
          <w:szCs w:val="22"/>
        </w:rPr>
        <w:tab/>
      </w:r>
      <w:r w:rsidRPr="004B40A6">
        <w:rPr>
          <w:rFonts w:ascii="Arial" w:eastAsia="Times New Roman" w:hAnsi="Arial" w:cs="Arial"/>
          <w:color w:val="282625"/>
          <w:sz w:val="22"/>
          <w:szCs w:val="22"/>
          <w:shd w:val="clear" w:color="auto" w:fill="FFFFFF"/>
        </w:rPr>
        <w:t xml:space="preserve">The highly specialized nature of halite microbiomes renders them sensitive to </w:t>
      </w:r>
      <w:r w:rsidR="009D5901" w:rsidRPr="004B40A6">
        <w:rPr>
          <w:rFonts w:ascii="Arial" w:eastAsia="Times New Roman" w:hAnsi="Arial" w:cs="Arial"/>
          <w:color w:val="282625"/>
          <w:sz w:val="22"/>
          <w:szCs w:val="22"/>
          <w:shd w:val="clear" w:color="auto" w:fill="FFFFFF"/>
        </w:rPr>
        <w:t xml:space="preserve">environmental </w:t>
      </w:r>
      <w:r w:rsidRPr="004B40A6">
        <w:rPr>
          <w:rFonts w:ascii="Arial" w:eastAsia="Times New Roman" w:hAnsi="Arial" w:cs="Arial"/>
          <w:color w:val="282625"/>
          <w:sz w:val="22"/>
          <w:szCs w:val="22"/>
          <w:shd w:val="clear" w:color="auto" w:fill="FFFFFF"/>
        </w:rPr>
        <w:t xml:space="preserve">changes, particularly to changes in water availability, </w:t>
      </w:r>
      <w:r w:rsidR="009D5901" w:rsidRPr="004B40A6">
        <w:rPr>
          <w:rFonts w:ascii="Arial" w:eastAsia="Times New Roman" w:hAnsi="Arial" w:cs="Arial"/>
          <w:color w:val="282625"/>
          <w:sz w:val="22"/>
          <w:szCs w:val="22"/>
          <w:shd w:val="clear" w:color="auto" w:fill="FFFFFF"/>
        </w:rPr>
        <w:t>which</w:t>
      </w:r>
      <w:r w:rsidRPr="004B40A6">
        <w:rPr>
          <w:rFonts w:ascii="Arial" w:eastAsia="Times New Roman" w:hAnsi="Arial" w:cs="Arial"/>
          <w:color w:val="282625"/>
          <w:sz w:val="22"/>
          <w:szCs w:val="22"/>
          <w:shd w:val="clear" w:color="auto" w:fill="FFFFFF"/>
        </w:rPr>
        <w:t xml:space="preserve"> is a limiting factor for life in </w:t>
      </w:r>
      <w:r w:rsidR="009D5901" w:rsidRPr="004B40A6">
        <w:rPr>
          <w:rFonts w:ascii="Arial" w:eastAsia="Times New Roman" w:hAnsi="Arial" w:cs="Arial"/>
          <w:color w:val="282625"/>
          <w:sz w:val="22"/>
          <w:szCs w:val="22"/>
          <w:shd w:val="clear" w:color="auto" w:fill="FFFFFF"/>
        </w:rPr>
        <w:t xml:space="preserve">this </w:t>
      </w:r>
      <w:r w:rsidRPr="004B40A6">
        <w:rPr>
          <w:rFonts w:ascii="Arial" w:eastAsia="Times New Roman" w:hAnsi="Arial" w:cs="Arial"/>
          <w:color w:val="282625"/>
          <w:sz w:val="22"/>
          <w:szCs w:val="22"/>
          <w:shd w:val="clear" w:color="auto" w:fill="FFFFFF"/>
        </w:rPr>
        <w:t>desiccated environment. From</w:t>
      </w:r>
      <w:r w:rsidR="007F0C78" w:rsidRPr="004B40A6">
        <w:rPr>
          <w:rFonts w:ascii="Arial" w:eastAsia="Times New Roman" w:hAnsi="Arial" w:cs="Arial"/>
          <w:color w:val="282625"/>
          <w:sz w:val="22"/>
          <w:szCs w:val="22"/>
          <w:shd w:val="clear" w:color="auto" w:fill="FFFFFF"/>
        </w:rPr>
        <w:t xml:space="preserve"> adaptations in</w:t>
      </w:r>
      <w:r w:rsidRPr="004B40A6">
        <w:rPr>
          <w:rFonts w:ascii="Arial" w:eastAsia="Times New Roman" w:hAnsi="Arial" w:cs="Arial"/>
          <w:color w:val="282625"/>
          <w:sz w:val="22"/>
          <w:szCs w:val="22"/>
          <w:shd w:val="clear" w:color="auto" w:fill="FFFFFF"/>
        </w:rPr>
        <w:t xml:space="preserve"> </w:t>
      </w:r>
      <w:r w:rsidR="007F0C78" w:rsidRPr="004B40A6">
        <w:rPr>
          <w:rFonts w:ascii="Arial" w:eastAsia="Times New Roman" w:hAnsi="Arial" w:cs="Arial"/>
          <w:color w:val="282625"/>
          <w:sz w:val="22"/>
          <w:szCs w:val="22"/>
          <w:shd w:val="clear" w:color="auto" w:fill="FFFFFF"/>
        </w:rPr>
        <w:t>isoelectric point (</w:t>
      </w:r>
      <w:proofErr w:type="spellStart"/>
      <w:r w:rsidR="007F0C78" w:rsidRPr="004B40A6">
        <w:rPr>
          <w:rFonts w:ascii="Arial" w:eastAsia="Times New Roman" w:hAnsi="Arial" w:cs="Arial"/>
          <w:i/>
          <w:color w:val="282625"/>
          <w:sz w:val="22"/>
          <w:szCs w:val="22"/>
          <w:shd w:val="clear" w:color="auto" w:fill="FFFFFF"/>
        </w:rPr>
        <w:t>pI</w:t>
      </w:r>
      <w:proofErr w:type="spellEnd"/>
      <w:r w:rsidR="007F0C78" w:rsidRPr="004B40A6">
        <w:rPr>
          <w:rFonts w:ascii="Arial" w:eastAsia="Times New Roman" w:hAnsi="Arial" w:cs="Arial"/>
          <w:color w:val="282625"/>
          <w:sz w:val="22"/>
          <w:szCs w:val="22"/>
          <w:shd w:val="clear" w:color="auto" w:fill="FFFFFF"/>
        </w:rPr>
        <w:t>) and pota</w:t>
      </w:r>
      <w:r w:rsidRPr="004B40A6">
        <w:rPr>
          <w:rFonts w:ascii="Arial" w:eastAsia="Times New Roman" w:hAnsi="Arial" w:cs="Arial"/>
          <w:color w:val="282625"/>
          <w:sz w:val="22"/>
          <w:szCs w:val="22"/>
          <w:shd w:val="clear" w:color="auto" w:fill="FFFFFF"/>
        </w:rPr>
        <w:t xml:space="preserve">ssium </w:t>
      </w:r>
      <w:r w:rsidRPr="004B40A6">
        <w:rPr>
          <w:rFonts w:ascii="Arial" w:eastAsia="Times New Roman" w:hAnsi="Arial" w:cs="Arial"/>
          <w:color w:val="282625"/>
          <w:sz w:val="22"/>
          <w:szCs w:val="22"/>
          <w:shd w:val="clear" w:color="auto" w:fill="FFFFFF"/>
        </w:rPr>
        <w:lastRenderedPageBreak/>
        <w:t xml:space="preserve">uptake of the community’s salt-in </w:t>
      </w:r>
      <w:r w:rsidR="007F0C78" w:rsidRPr="004B40A6">
        <w:rPr>
          <w:rFonts w:ascii="Arial" w:eastAsia="Times New Roman" w:hAnsi="Arial" w:cs="Arial"/>
          <w:color w:val="282625"/>
          <w:sz w:val="22"/>
          <w:szCs w:val="22"/>
          <w:shd w:val="clear" w:color="auto" w:fill="FFFFFF"/>
        </w:rPr>
        <w:t>strategists, we deduce that</w:t>
      </w:r>
      <w:r w:rsidRPr="004B40A6">
        <w:rPr>
          <w:rFonts w:ascii="Arial" w:eastAsia="Times New Roman" w:hAnsi="Arial" w:cs="Arial"/>
          <w:color w:val="282625"/>
          <w:sz w:val="22"/>
          <w:szCs w:val="22"/>
          <w:shd w:val="clear" w:color="auto" w:fill="FFFFFF"/>
        </w:rPr>
        <w:t xml:space="preserve"> </w:t>
      </w:r>
      <w:r w:rsidR="007F0C78" w:rsidRPr="004B40A6">
        <w:rPr>
          <w:rFonts w:ascii="Arial" w:eastAsia="Times New Roman" w:hAnsi="Arial" w:cs="Arial"/>
          <w:color w:val="282625"/>
          <w:sz w:val="22"/>
          <w:szCs w:val="22"/>
          <w:shd w:val="clear" w:color="auto" w:fill="FFFFFF"/>
        </w:rPr>
        <w:t>t</w:t>
      </w:r>
      <w:r w:rsidRPr="004B40A6">
        <w:rPr>
          <w:rFonts w:ascii="Arial" w:eastAsia="Times New Roman" w:hAnsi="Arial" w:cs="Arial"/>
          <w:color w:val="282625"/>
          <w:sz w:val="22"/>
          <w:szCs w:val="22"/>
          <w:shd w:val="clear" w:color="auto" w:fill="FFFFFF"/>
        </w:rPr>
        <w:t xml:space="preserve">he 2015 rain, which was the first major precipitation in 13 years, likely temporarily decreased the salt concentrations within the colonized pores of the halites, </w:t>
      </w:r>
      <w:r w:rsidR="007F0C78" w:rsidRPr="004B40A6">
        <w:rPr>
          <w:rFonts w:ascii="Arial" w:eastAsia="Times New Roman" w:hAnsi="Arial" w:cs="Arial"/>
          <w:color w:val="282625"/>
          <w:sz w:val="22"/>
          <w:szCs w:val="22"/>
          <w:shd w:val="clear" w:color="auto" w:fill="FFFFFF"/>
        </w:rPr>
        <w:t xml:space="preserve">disrupting existing </w:t>
      </w:r>
      <w:r w:rsidRPr="004B40A6">
        <w:rPr>
          <w:rFonts w:ascii="Arial" w:eastAsia="Times New Roman" w:hAnsi="Arial" w:cs="Arial"/>
          <w:color w:val="282625"/>
          <w:sz w:val="22"/>
          <w:szCs w:val="22"/>
          <w:shd w:val="clear" w:color="auto" w:fill="FFFFFF"/>
        </w:rPr>
        <w:t>micro niches</w:t>
      </w:r>
      <w:r w:rsidR="007F0C78" w:rsidRPr="004B40A6">
        <w:rPr>
          <w:rFonts w:ascii="Arial" w:eastAsia="Times New Roman" w:hAnsi="Arial" w:cs="Arial"/>
          <w:color w:val="282625"/>
          <w:sz w:val="22"/>
          <w:szCs w:val="22"/>
          <w:shd w:val="clear" w:color="auto" w:fill="FFFFFF"/>
        </w:rPr>
        <w:t xml:space="preserve"> within</w:t>
      </w:r>
      <w:r w:rsidRPr="004B40A6">
        <w:rPr>
          <w:rFonts w:ascii="Arial" w:eastAsia="Times New Roman" w:hAnsi="Arial" w:cs="Arial"/>
          <w:color w:val="282625"/>
          <w:sz w:val="22"/>
          <w:szCs w:val="22"/>
          <w:shd w:val="clear" w:color="auto" w:fill="FFFFFF"/>
        </w:rPr>
        <w:t xml:space="preserve">. </w:t>
      </w:r>
      <w:r w:rsidR="007F0C78" w:rsidRPr="004B40A6">
        <w:rPr>
          <w:rFonts w:ascii="Arial" w:eastAsia="Times New Roman" w:hAnsi="Arial" w:cs="Arial"/>
          <w:color w:val="282625"/>
          <w:sz w:val="22"/>
          <w:szCs w:val="22"/>
          <w:shd w:val="clear" w:color="auto" w:fill="FFFFFF"/>
        </w:rPr>
        <w:t xml:space="preserve">Due to </w:t>
      </w:r>
      <w:r w:rsidR="009D5901" w:rsidRPr="004B40A6">
        <w:rPr>
          <w:rFonts w:ascii="Arial" w:eastAsia="Times New Roman" w:hAnsi="Arial" w:cs="Arial"/>
          <w:color w:val="282625"/>
          <w:sz w:val="22"/>
          <w:szCs w:val="22"/>
          <w:shd w:val="clear" w:color="auto" w:fill="FFFFFF"/>
        </w:rPr>
        <w:t>the rapid change</w:t>
      </w:r>
      <w:r w:rsidR="007F0C78" w:rsidRPr="004B40A6">
        <w:rPr>
          <w:rFonts w:ascii="Arial" w:eastAsia="Times New Roman" w:hAnsi="Arial" w:cs="Arial"/>
          <w:color w:val="282625"/>
          <w:sz w:val="22"/>
          <w:szCs w:val="22"/>
          <w:shd w:val="clear" w:color="auto" w:fill="FFFFFF"/>
        </w:rPr>
        <w:t xml:space="preserve"> in selective pressures, this acute perturbation resulted in composition adjustments at the higher-order taxonomic ranks, as well as a complete rearrangement of the finer taxa that constitute them. It is </w:t>
      </w:r>
      <w:r w:rsidR="00565498" w:rsidRPr="004B40A6">
        <w:rPr>
          <w:rFonts w:ascii="Arial" w:eastAsia="Times New Roman" w:hAnsi="Arial" w:cs="Arial"/>
          <w:color w:val="282625"/>
          <w:sz w:val="22"/>
          <w:szCs w:val="22"/>
          <w:shd w:val="clear" w:color="auto" w:fill="FFFFFF"/>
        </w:rPr>
        <w:t>surprising</w:t>
      </w:r>
      <w:r w:rsidR="007F0C78" w:rsidRPr="004B40A6">
        <w:rPr>
          <w:rFonts w:ascii="Arial" w:eastAsia="Times New Roman" w:hAnsi="Arial" w:cs="Arial"/>
          <w:color w:val="282625"/>
          <w:sz w:val="22"/>
          <w:szCs w:val="22"/>
          <w:shd w:val="clear" w:color="auto" w:fill="FFFFFF"/>
        </w:rPr>
        <w:t xml:space="preserve"> that we </w:t>
      </w:r>
      <w:r w:rsidR="00954475" w:rsidRPr="004B40A6">
        <w:rPr>
          <w:rFonts w:ascii="Arial" w:eastAsia="Times New Roman" w:hAnsi="Arial" w:cs="Arial"/>
          <w:color w:val="282625"/>
          <w:sz w:val="22"/>
          <w:szCs w:val="22"/>
          <w:shd w:val="clear" w:color="auto" w:fill="FFFFFF"/>
        </w:rPr>
        <w:t>observe</w:t>
      </w:r>
      <w:r w:rsidR="007F0C78" w:rsidRPr="004B40A6">
        <w:rPr>
          <w:rFonts w:ascii="Arial" w:eastAsia="Times New Roman" w:hAnsi="Arial" w:cs="Arial"/>
          <w:color w:val="282625"/>
          <w:sz w:val="22"/>
          <w:szCs w:val="22"/>
          <w:shd w:val="clear" w:color="auto" w:fill="FFFFFF"/>
        </w:rPr>
        <w:t xml:space="preserve"> these changes in samples harvested 6 months after the rain (2016-02 samples), and it suggests that the immediate effects of the rain may have been much more drastic.</w:t>
      </w:r>
      <w:r w:rsidR="00954475" w:rsidRPr="004B40A6">
        <w:rPr>
          <w:rFonts w:ascii="Arial" w:eastAsia="Times New Roman" w:hAnsi="Arial" w:cs="Arial"/>
          <w:color w:val="282625"/>
          <w:sz w:val="22"/>
          <w:szCs w:val="22"/>
          <w:shd w:val="clear" w:color="auto" w:fill="FFFFFF"/>
        </w:rPr>
        <w:t xml:space="preserve"> This </w:t>
      </w:r>
      <w:r w:rsidR="00565498" w:rsidRPr="004B40A6">
        <w:rPr>
          <w:rFonts w:ascii="Arial" w:eastAsia="Times New Roman" w:hAnsi="Arial" w:cs="Arial"/>
          <w:color w:val="282625"/>
          <w:sz w:val="22"/>
          <w:szCs w:val="22"/>
          <w:shd w:val="clear" w:color="auto" w:fill="FFFFFF"/>
        </w:rPr>
        <w:t xml:space="preserve">also reveals </w:t>
      </w:r>
      <w:r w:rsidR="00954475" w:rsidRPr="004B40A6">
        <w:rPr>
          <w:rFonts w:ascii="Arial" w:eastAsia="Times New Roman" w:hAnsi="Arial" w:cs="Arial"/>
          <w:color w:val="282625"/>
          <w:sz w:val="22"/>
          <w:szCs w:val="22"/>
          <w:shd w:val="clear" w:color="auto" w:fill="FFFFFF"/>
        </w:rPr>
        <w:t xml:space="preserve">the slow-growing nature of these microbiomes, which </w:t>
      </w:r>
      <w:r w:rsidR="00565498" w:rsidRPr="004B40A6">
        <w:rPr>
          <w:rFonts w:ascii="Arial" w:eastAsia="Times New Roman" w:hAnsi="Arial" w:cs="Arial"/>
          <w:color w:val="282625"/>
          <w:sz w:val="22"/>
          <w:szCs w:val="22"/>
          <w:shd w:val="clear" w:color="auto" w:fill="FFFFFF"/>
        </w:rPr>
        <w:t xml:space="preserve">likely </w:t>
      </w:r>
      <w:r w:rsidR="00954475" w:rsidRPr="004B40A6">
        <w:rPr>
          <w:rFonts w:ascii="Arial" w:eastAsia="Times New Roman" w:hAnsi="Arial" w:cs="Arial"/>
          <w:color w:val="282625"/>
          <w:sz w:val="22"/>
          <w:szCs w:val="22"/>
          <w:shd w:val="clear" w:color="auto" w:fill="FFFFFF"/>
        </w:rPr>
        <w:t xml:space="preserve">results from scarce resources and harsh environmental conditions. </w:t>
      </w:r>
    </w:p>
    <w:p w14:paraId="674F1E9C" w14:textId="662C0EDF" w:rsidR="007F0C78" w:rsidRPr="004B40A6" w:rsidRDefault="00954475" w:rsidP="005E5F0F">
      <w:pPr>
        <w:rPr>
          <w:rFonts w:ascii="Arial" w:eastAsia="Times New Roman" w:hAnsi="Arial" w:cs="Arial"/>
          <w:color w:val="282625"/>
          <w:sz w:val="22"/>
          <w:szCs w:val="22"/>
          <w:shd w:val="clear" w:color="auto" w:fill="FFFFFF"/>
        </w:rPr>
      </w:pPr>
      <w:r w:rsidRPr="004B40A6">
        <w:rPr>
          <w:rFonts w:ascii="Arial" w:eastAsia="Times New Roman" w:hAnsi="Arial" w:cs="Arial"/>
          <w:color w:val="282625"/>
          <w:sz w:val="22"/>
          <w:szCs w:val="22"/>
          <w:shd w:val="clear" w:color="auto" w:fill="FFFFFF"/>
        </w:rPr>
        <w:tab/>
      </w:r>
      <w:r w:rsidR="009D5901" w:rsidRPr="004B40A6">
        <w:rPr>
          <w:rFonts w:ascii="Arial" w:eastAsia="Times New Roman" w:hAnsi="Arial" w:cs="Arial"/>
          <w:color w:val="282625"/>
          <w:sz w:val="22"/>
          <w:szCs w:val="22"/>
          <w:shd w:val="clear" w:color="auto" w:fill="FFFFFF"/>
        </w:rPr>
        <w:t>Despite the major shift</w:t>
      </w:r>
      <w:r w:rsidRPr="004B40A6">
        <w:rPr>
          <w:rFonts w:ascii="Arial" w:eastAsia="Times New Roman" w:hAnsi="Arial" w:cs="Arial"/>
          <w:color w:val="282625"/>
          <w:sz w:val="22"/>
          <w:szCs w:val="22"/>
          <w:shd w:val="clear" w:color="auto" w:fill="FFFFFF"/>
        </w:rPr>
        <w:t xml:space="preserve"> however, the community was able to gradually recover functionally and taxonomically (at domain and phylum levels) over the course of 18 months. Contrasting the original shift, </w:t>
      </w:r>
      <w:r w:rsidR="007F0C78" w:rsidRPr="004B40A6">
        <w:rPr>
          <w:rFonts w:ascii="Arial" w:eastAsia="Times New Roman" w:hAnsi="Arial" w:cs="Arial"/>
          <w:color w:val="282625"/>
          <w:sz w:val="22"/>
          <w:szCs w:val="22"/>
          <w:shd w:val="clear" w:color="auto" w:fill="FFFFFF"/>
        </w:rPr>
        <w:t xml:space="preserve">the community returned to the pre-rain functional potential </w:t>
      </w:r>
      <w:r w:rsidR="009D5901" w:rsidRPr="004B40A6">
        <w:rPr>
          <w:rFonts w:ascii="Arial" w:eastAsia="Times New Roman" w:hAnsi="Arial" w:cs="Arial"/>
          <w:color w:val="282625"/>
          <w:sz w:val="22"/>
          <w:szCs w:val="22"/>
          <w:shd w:val="clear" w:color="auto" w:fill="FFFFFF"/>
        </w:rPr>
        <w:t xml:space="preserve">almost exclusively </w:t>
      </w:r>
      <w:r w:rsidR="007F0C78" w:rsidRPr="004B40A6">
        <w:rPr>
          <w:rFonts w:ascii="Arial" w:eastAsia="Times New Roman" w:hAnsi="Arial" w:cs="Arial"/>
          <w:color w:val="282625"/>
          <w:sz w:val="22"/>
          <w:szCs w:val="22"/>
          <w:shd w:val="clear" w:color="auto" w:fill="FFFFFF"/>
        </w:rPr>
        <w:t>via changes in relative abundance of higher-order taxonomic groups</w:t>
      </w:r>
      <w:r w:rsidRPr="004B40A6">
        <w:rPr>
          <w:rFonts w:ascii="Arial" w:eastAsia="Times New Roman" w:hAnsi="Arial" w:cs="Arial"/>
          <w:color w:val="282625"/>
          <w:sz w:val="22"/>
          <w:szCs w:val="22"/>
          <w:shd w:val="clear" w:color="auto" w:fill="FFFFFF"/>
        </w:rPr>
        <w:t>, which themselves remained largely unchanged functionally and taxonomically</w:t>
      </w:r>
      <w:r w:rsidR="007F0C78" w:rsidRPr="004B40A6">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The recovered community appears to be functionally equivalent to the pre-rain community, while being comprised of a new set of individual organisms. This makes sense in context of functional redundancy of clo</w:t>
      </w:r>
      <w:r w:rsidR="006D3B21" w:rsidRPr="004B40A6">
        <w:rPr>
          <w:rFonts w:ascii="Arial" w:eastAsia="Times New Roman" w:hAnsi="Arial" w:cs="Arial"/>
          <w:color w:val="282625"/>
          <w:sz w:val="22"/>
          <w:szCs w:val="22"/>
          <w:shd w:val="clear" w:color="auto" w:fill="FFFFFF"/>
        </w:rPr>
        <w:t xml:space="preserve">sely-related community members, as previously low-abundance taxa were able to take advantage of the perturbed system and occupy existing functional niches without consequence to the functioning of the community as a whole. </w:t>
      </w:r>
    </w:p>
    <w:p w14:paraId="15651285" w14:textId="5DE23249" w:rsidR="005E5F0F" w:rsidRPr="004B40A6" w:rsidRDefault="005E5F0F" w:rsidP="005E5F0F">
      <w:pPr>
        <w:rPr>
          <w:rFonts w:ascii="Arial" w:eastAsia="Times New Roman" w:hAnsi="Arial" w:cs="Arial"/>
          <w:color w:val="282625"/>
          <w:sz w:val="22"/>
          <w:szCs w:val="22"/>
          <w:shd w:val="clear" w:color="auto" w:fill="FFFFFF"/>
        </w:rPr>
      </w:pPr>
      <w:r w:rsidRPr="004B40A6">
        <w:rPr>
          <w:rFonts w:ascii="Arial" w:hAnsi="Arial" w:cs="Arial"/>
          <w:sz w:val="22"/>
          <w:szCs w:val="22"/>
        </w:rPr>
        <w:tab/>
      </w:r>
      <w:r w:rsidR="00CB0AD0" w:rsidRPr="004B40A6">
        <w:rPr>
          <w:rFonts w:ascii="Arial" w:hAnsi="Arial" w:cs="Arial"/>
          <w:sz w:val="22"/>
          <w:szCs w:val="22"/>
        </w:rPr>
        <w:t xml:space="preserve">Our findings show the that highly specialized extremophilic </w:t>
      </w:r>
      <w:proofErr w:type="spellStart"/>
      <w:r w:rsidR="00CB0AD0" w:rsidRPr="004B40A6">
        <w:rPr>
          <w:rFonts w:ascii="Arial" w:hAnsi="Arial" w:cs="Arial"/>
          <w:sz w:val="22"/>
          <w:szCs w:val="22"/>
        </w:rPr>
        <w:t>endoliths</w:t>
      </w:r>
      <w:proofErr w:type="spellEnd"/>
      <w:r w:rsidR="00CB0AD0" w:rsidRPr="004B40A6">
        <w:rPr>
          <w:rFonts w:ascii="Arial" w:hAnsi="Arial" w:cs="Arial"/>
          <w:sz w:val="22"/>
          <w:szCs w:val="22"/>
        </w:rPr>
        <w:t xml:space="preserve"> of Atacama Desert are hyper-sensitive to environmental changes, however their higher-order taxonomic structure and functional potential are resilient in the long-term. We found that just </w:t>
      </w:r>
      <w:r w:rsidR="00CB0AD0" w:rsidRPr="004B40A6">
        <w:rPr>
          <w:rFonts w:ascii="Arial" w:eastAsia="Times New Roman" w:hAnsi="Arial" w:cs="Arial"/>
          <w:color w:val="282625"/>
          <w:sz w:val="22"/>
          <w:szCs w:val="22"/>
          <w:shd w:val="clear" w:color="auto" w:fill="FFFFFF"/>
        </w:rPr>
        <w:t xml:space="preserve">4mm of rainfall induced a drastic temporary change the higher-order community structure structure, and a permanent rearrangement of the individual composition of the community. The response and recovery of this system to the perturbation allowed for inference of two contrasting models of microbial community shift </w:t>
      </w:r>
      <w:r w:rsidR="009D5901" w:rsidRPr="004B40A6">
        <w:rPr>
          <w:rFonts w:ascii="Arial" w:hAnsi="Arial" w:cs="Arial"/>
          <w:sz w:val="22"/>
          <w:szCs w:val="22"/>
        </w:rPr>
        <w:t>in response to changing environmental conditions</w:t>
      </w:r>
      <w:r w:rsidRPr="004B40A6">
        <w:rPr>
          <w:rFonts w:ascii="Arial" w:hAnsi="Arial" w:cs="Arial"/>
          <w:sz w:val="22"/>
          <w:szCs w:val="22"/>
        </w:rPr>
        <w:t>.</w:t>
      </w:r>
      <w:r w:rsidR="00CB0AD0" w:rsidRPr="004B40A6">
        <w:rPr>
          <w:rFonts w:ascii="Arial" w:hAnsi="Arial" w:cs="Arial"/>
          <w:sz w:val="22"/>
          <w:szCs w:val="22"/>
        </w:rPr>
        <w:t xml:space="preserve"> The first type of shift an adjustment in existing community structure, and results from more gradual changes in environmental conditions. The functional potential changes in this type of shift are driven by changes in overall higher-order taxonomic composition. </w:t>
      </w:r>
      <w:r w:rsidRPr="004B40A6">
        <w:rPr>
          <w:rFonts w:ascii="Arial" w:hAnsi="Arial" w:cs="Arial"/>
          <w:sz w:val="22"/>
          <w:szCs w:val="22"/>
        </w:rPr>
        <w:t xml:space="preserve">The </w:t>
      </w:r>
      <w:r w:rsidR="00CB0AD0" w:rsidRPr="004B40A6">
        <w:rPr>
          <w:rFonts w:ascii="Arial" w:hAnsi="Arial" w:cs="Arial"/>
          <w:sz w:val="22"/>
          <w:szCs w:val="22"/>
        </w:rPr>
        <w:t>second</w:t>
      </w:r>
      <w:r w:rsidR="006D3B21" w:rsidRPr="004B40A6">
        <w:rPr>
          <w:rFonts w:ascii="Arial" w:hAnsi="Arial" w:cs="Arial"/>
          <w:sz w:val="22"/>
          <w:szCs w:val="22"/>
        </w:rPr>
        <w:t xml:space="preserve"> type </w:t>
      </w:r>
      <w:r w:rsidR="00CB0AD0" w:rsidRPr="004B40A6">
        <w:rPr>
          <w:rFonts w:ascii="Arial" w:hAnsi="Arial" w:cs="Arial"/>
          <w:sz w:val="22"/>
          <w:szCs w:val="22"/>
        </w:rPr>
        <w:t xml:space="preserve">of shift </w:t>
      </w:r>
      <w:r w:rsidR="006D3B21" w:rsidRPr="004B40A6">
        <w:rPr>
          <w:rFonts w:ascii="Arial" w:hAnsi="Arial" w:cs="Arial"/>
          <w:sz w:val="22"/>
          <w:szCs w:val="22"/>
        </w:rPr>
        <w:t xml:space="preserve">is a community rearrangement, resulting from adaptations </w:t>
      </w:r>
      <w:r w:rsidRPr="004B40A6">
        <w:rPr>
          <w:rFonts w:ascii="Arial" w:hAnsi="Arial" w:cs="Arial"/>
          <w:sz w:val="22"/>
          <w:szCs w:val="22"/>
        </w:rPr>
        <w:t>t</w:t>
      </w:r>
      <w:r w:rsidR="006D3B21" w:rsidRPr="004B40A6">
        <w:rPr>
          <w:rFonts w:ascii="Arial" w:hAnsi="Arial" w:cs="Arial"/>
          <w:sz w:val="22"/>
          <w:szCs w:val="22"/>
        </w:rPr>
        <w:t>o a sudden</w:t>
      </w:r>
      <w:r w:rsidR="009D5901" w:rsidRPr="004B40A6">
        <w:rPr>
          <w:rFonts w:ascii="Arial" w:hAnsi="Arial" w:cs="Arial"/>
          <w:sz w:val="22"/>
          <w:szCs w:val="22"/>
        </w:rPr>
        <w:t xml:space="preserve"> major perturbation</w:t>
      </w:r>
      <w:r w:rsidRPr="004B40A6">
        <w:rPr>
          <w:rFonts w:ascii="Arial" w:hAnsi="Arial" w:cs="Arial"/>
          <w:sz w:val="22"/>
          <w:szCs w:val="22"/>
        </w:rPr>
        <w:t xml:space="preserve">. In this type of response, the changes in the community’s overall functional potential are driven by changes in higher order taxonomic composition, as well as functional </w:t>
      </w:r>
      <w:r w:rsidR="006D3B21" w:rsidRPr="004B40A6">
        <w:rPr>
          <w:rFonts w:ascii="Arial" w:hAnsi="Arial" w:cs="Arial"/>
          <w:sz w:val="22"/>
          <w:szCs w:val="22"/>
        </w:rPr>
        <w:t xml:space="preserve">changes within individual taxa. </w:t>
      </w:r>
    </w:p>
    <w:p w14:paraId="3F85A7FC" w14:textId="77777777" w:rsidR="009D5901" w:rsidRPr="004B40A6" w:rsidRDefault="009D5901" w:rsidP="00811B54">
      <w:pPr>
        <w:rPr>
          <w:rFonts w:ascii="Arial" w:eastAsia="Times New Roman" w:hAnsi="Arial" w:cs="Arial"/>
          <w:color w:val="282625"/>
          <w:sz w:val="22"/>
          <w:szCs w:val="22"/>
          <w:shd w:val="clear" w:color="auto" w:fill="FFFFFF"/>
        </w:rPr>
      </w:pPr>
    </w:p>
    <w:p w14:paraId="058A4039" w14:textId="77777777" w:rsidR="009D5901" w:rsidRPr="004B40A6" w:rsidRDefault="009D5901" w:rsidP="00811B54">
      <w:pPr>
        <w:rPr>
          <w:rFonts w:ascii="Arial" w:eastAsia="Times New Roman" w:hAnsi="Arial" w:cs="Arial"/>
          <w:color w:val="282625"/>
          <w:sz w:val="22"/>
          <w:szCs w:val="22"/>
          <w:shd w:val="clear" w:color="auto" w:fill="FFFFFF"/>
        </w:rPr>
      </w:pPr>
    </w:p>
    <w:p w14:paraId="44DCC860" w14:textId="104D8D34" w:rsidR="00235FAA" w:rsidRPr="00F2278E" w:rsidRDefault="00434F4B" w:rsidP="00316D51">
      <w:pPr>
        <w:rPr>
          <w:rFonts w:ascii="Arial" w:hAnsi="Arial" w:cs="Arial"/>
          <w:b/>
          <w:color w:val="282625"/>
          <w:sz w:val="22"/>
          <w:szCs w:val="22"/>
        </w:rPr>
      </w:pPr>
      <w:r w:rsidRPr="004B40A6">
        <w:rPr>
          <w:rFonts w:ascii="Arial" w:eastAsia="Times New Roman" w:hAnsi="Arial" w:cs="Arial"/>
          <w:color w:val="282625"/>
          <w:sz w:val="22"/>
          <w:szCs w:val="22"/>
          <w:shd w:val="clear" w:color="auto" w:fill="FFFFFF"/>
        </w:rPr>
        <w:br w:type="page"/>
      </w:r>
      <w:bookmarkStart w:id="0" w:name="_GoBack"/>
      <w:bookmarkEnd w:id="0"/>
    </w:p>
    <w:p w14:paraId="42B6CC2F" w14:textId="1132ECA4" w:rsidR="004C25C3" w:rsidRPr="00F2278E" w:rsidRDefault="00E0217F" w:rsidP="00E0217F">
      <w:pPr>
        <w:rPr>
          <w:rFonts w:ascii="Arial" w:hAnsi="Arial" w:cs="Arial"/>
          <w:b/>
          <w:sz w:val="22"/>
          <w:szCs w:val="22"/>
        </w:rPr>
      </w:pPr>
      <w:r w:rsidRPr="00F2278E">
        <w:rPr>
          <w:rFonts w:ascii="Arial" w:hAnsi="Arial" w:cs="Arial"/>
          <w:b/>
          <w:sz w:val="22"/>
          <w:szCs w:val="22"/>
        </w:rPr>
        <w:lastRenderedPageBreak/>
        <w:t>METHODS</w:t>
      </w:r>
    </w:p>
    <w:p w14:paraId="65879EC1" w14:textId="709E85E5" w:rsidR="00E0217F" w:rsidRPr="004B40A6" w:rsidRDefault="00E0217F" w:rsidP="00E0217F">
      <w:pPr>
        <w:rPr>
          <w:rFonts w:ascii="Arial" w:hAnsi="Arial" w:cs="Arial"/>
          <w:b/>
          <w:sz w:val="22"/>
          <w:szCs w:val="22"/>
        </w:rPr>
      </w:pPr>
      <w:r w:rsidRPr="00F2278E">
        <w:rPr>
          <w:rFonts w:ascii="Arial" w:hAnsi="Arial" w:cs="Arial"/>
          <w:b/>
          <w:sz w:val="22"/>
          <w:szCs w:val="22"/>
        </w:rPr>
        <w:t>Sam</w:t>
      </w:r>
      <w:r w:rsidRPr="004B40A6">
        <w:rPr>
          <w:rFonts w:ascii="Arial" w:hAnsi="Arial" w:cs="Arial"/>
          <w:b/>
          <w:sz w:val="22"/>
          <w:szCs w:val="22"/>
        </w:rPr>
        <w:t>ple collection</w:t>
      </w:r>
      <w:r w:rsidR="00D05536">
        <w:rPr>
          <w:rFonts w:ascii="Arial" w:hAnsi="Arial" w:cs="Arial"/>
          <w:b/>
          <w:sz w:val="22"/>
          <w:szCs w:val="22"/>
        </w:rPr>
        <w:t xml:space="preserve"> and DNA extraction</w:t>
      </w:r>
    </w:p>
    <w:p w14:paraId="6B034FC5" w14:textId="1EC4F5DB" w:rsidR="00E0217F" w:rsidRPr="00D05536" w:rsidRDefault="00E0217F" w:rsidP="00E0217F">
      <w:pPr>
        <w:rPr>
          <w:rFonts w:ascii="Arial" w:hAnsi="Arial" w:cs="Arial"/>
          <w:sz w:val="22"/>
          <w:szCs w:val="22"/>
        </w:rPr>
      </w:pPr>
      <w:r w:rsidRPr="004B40A6">
        <w:rPr>
          <w:rFonts w:ascii="Arial" w:hAnsi="Arial" w:cs="Arial"/>
          <w:sz w:val="22"/>
          <w:szCs w:val="22"/>
        </w:rPr>
        <w:t>In this study, halites from three sites were harvested in Salar Grande in the Atacama Desert – site 1 (used for pre- and post-rain replicates) at the at 20°57’12.006”S 70°1’10.5996”W 680m above sea level, site 2 (used only for post-rain samples) at the bottom of that hill at 20°57’8.5212”S 70°1’1.2612”W 664m above sea level, and site 3 (for supplementary sequencing to improve binning results) at 20°55’48.18”S 70°0’49.32”W 676m above sea level. At each sit</w:t>
      </w:r>
      <w:r w:rsidR="00E00568">
        <w:rPr>
          <w:rFonts w:ascii="Arial" w:hAnsi="Arial" w:cs="Arial"/>
          <w:sz w:val="22"/>
          <w:szCs w:val="22"/>
        </w:rPr>
        <w:t>e, a 50</w:t>
      </w:r>
      <w:r w:rsidR="00E00568">
        <w:rPr>
          <w:rFonts w:ascii="Arial" w:hAnsi="Arial" w:cs="Arial"/>
          <w:sz w:val="22"/>
          <w:szCs w:val="22"/>
          <w:vertAlign w:val="superscript"/>
        </w:rPr>
        <w:t>2</w:t>
      </w:r>
      <w:r w:rsidR="00E00568">
        <w:rPr>
          <w:rFonts w:ascii="Arial" w:hAnsi="Arial" w:cs="Arial"/>
          <w:sz w:val="22"/>
          <w:szCs w:val="22"/>
        </w:rPr>
        <w:t xml:space="preserve">m area </w:t>
      </w:r>
      <w:r w:rsidRPr="004B40A6">
        <w:rPr>
          <w:rFonts w:ascii="Arial" w:hAnsi="Arial" w:cs="Arial"/>
          <w:sz w:val="22"/>
          <w:szCs w:val="22"/>
        </w:rPr>
        <w:t xml:space="preserve">was randomly sampled. Halite nodules were randomly broken with a geological hammer into smaller pieces (&lt;20cm), and pieces of halite with visible green coloration (indicative of colonization), were </w:t>
      </w:r>
      <w:r w:rsidR="00A52A7F" w:rsidRPr="004B40A6">
        <w:rPr>
          <w:rFonts w:ascii="Arial" w:hAnsi="Arial" w:cs="Arial"/>
          <w:sz w:val="22"/>
          <w:szCs w:val="22"/>
        </w:rPr>
        <w:t>ground into powder</w:t>
      </w:r>
      <w:r w:rsidRPr="004B40A6">
        <w:rPr>
          <w:rFonts w:ascii="Arial" w:hAnsi="Arial" w:cs="Arial"/>
          <w:sz w:val="22"/>
          <w:szCs w:val="22"/>
        </w:rPr>
        <w:t>. Colonized halite powder was pooled from 1-3 nodules until sufficient material was collected</w:t>
      </w:r>
      <w:r w:rsidR="00D05536">
        <w:rPr>
          <w:rFonts w:ascii="Arial" w:hAnsi="Arial" w:cs="Arial"/>
          <w:sz w:val="22"/>
          <w:szCs w:val="22"/>
        </w:rPr>
        <w:t xml:space="preserve">, and </w:t>
      </w:r>
      <w:r w:rsidRPr="004B40A6">
        <w:rPr>
          <w:rFonts w:ascii="Arial" w:hAnsi="Arial" w:cs="Arial"/>
          <w:sz w:val="22"/>
          <w:szCs w:val="22"/>
        </w:rPr>
        <w:t>stored in dark, dry conditions until DNA extraction in the lab.</w:t>
      </w:r>
      <w:r w:rsidR="00D05536">
        <w:rPr>
          <w:rFonts w:ascii="Arial" w:hAnsi="Arial" w:cs="Arial"/>
          <w:sz w:val="22"/>
          <w:szCs w:val="22"/>
        </w:rPr>
        <w:t xml:space="preserve"> The halite powder was gradually dissolved in water and the cells spun down into a pellet as previously described </w:t>
      </w:r>
      <w:r w:rsidR="00D05536">
        <w:rPr>
          <w:rFonts w:ascii="Arial" w:hAnsi="Arial" w:cs="Arial"/>
          <w:sz w:val="22"/>
          <w:szCs w:val="22"/>
        </w:rPr>
        <w:fldChar w:fldCharType="begin">
          <w:fldData xml:space="preserve">PEVuZE5vdGU+PENpdGU+PEF1dGhvcj5Dcml0cy1DaHJpc3RvcGg8L0F1dGhvcj48WWVhcj4yMDE2
PC9ZZWFyPjxSZWNOdW0+ODc3NjwvUmVjTnVtPjxEaXNwbGF5VGV4dD5bMTIsIDE0XTwvRGlzcGxh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D05536">
        <w:rPr>
          <w:rFonts w:ascii="Arial" w:hAnsi="Arial" w:cs="Arial"/>
          <w:sz w:val="22"/>
          <w:szCs w:val="22"/>
        </w:rPr>
        <w:instrText xml:space="preserve"> ADDIN EN.CITE </w:instrText>
      </w:r>
      <w:r w:rsidR="00D05536">
        <w:rPr>
          <w:rFonts w:ascii="Arial" w:hAnsi="Arial" w:cs="Arial"/>
          <w:sz w:val="22"/>
          <w:szCs w:val="22"/>
        </w:rPr>
        <w:fldChar w:fldCharType="begin">
          <w:fldData xml:space="preserve">PEVuZE5vdGU+PENpdGU+PEF1dGhvcj5Dcml0cy1DaHJpc3RvcGg8L0F1dGhvcj48WWVhcj4yMDE2
PC9ZZWFyPjxSZWNOdW0+ODc3NjwvUmVjTnVtPjxEaXNwbGF5VGV4dD5bMTIsIDE0XTwvRGlzcGxh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D05536">
        <w:rPr>
          <w:rFonts w:ascii="Arial" w:hAnsi="Arial" w:cs="Arial"/>
          <w:sz w:val="22"/>
          <w:szCs w:val="22"/>
        </w:rPr>
        <w:instrText xml:space="preserve"> ADDIN EN.CITE.DATA </w:instrText>
      </w:r>
      <w:r w:rsidR="00D05536">
        <w:rPr>
          <w:rFonts w:ascii="Arial" w:hAnsi="Arial" w:cs="Arial"/>
          <w:sz w:val="22"/>
          <w:szCs w:val="22"/>
        </w:rPr>
      </w:r>
      <w:r w:rsidR="00D05536">
        <w:rPr>
          <w:rFonts w:ascii="Arial" w:hAnsi="Arial" w:cs="Arial"/>
          <w:sz w:val="22"/>
          <w:szCs w:val="22"/>
        </w:rPr>
        <w:fldChar w:fldCharType="end"/>
      </w:r>
      <w:r w:rsidR="00D05536">
        <w:rPr>
          <w:rFonts w:ascii="Arial" w:hAnsi="Arial" w:cs="Arial"/>
          <w:sz w:val="22"/>
          <w:szCs w:val="22"/>
        </w:rPr>
      </w:r>
      <w:r w:rsidR="00D05536">
        <w:rPr>
          <w:rFonts w:ascii="Arial" w:hAnsi="Arial" w:cs="Arial"/>
          <w:sz w:val="22"/>
          <w:szCs w:val="22"/>
        </w:rPr>
        <w:fldChar w:fldCharType="separate"/>
      </w:r>
      <w:r w:rsidR="00D05536">
        <w:rPr>
          <w:rFonts w:ascii="Arial" w:hAnsi="Arial" w:cs="Arial"/>
          <w:noProof/>
          <w:sz w:val="22"/>
          <w:szCs w:val="22"/>
        </w:rPr>
        <w:t>[12, 14]</w:t>
      </w:r>
      <w:r w:rsidR="00D05536">
        <w:rPr>
          <w:rFonts w:ascii="Arial" w:hAnsi="Arial" w:cs="Arial"/>
          <w:sz w:val="22"/>
          <w:szCs w:val="22"/>
        </w:rPr>
        <w:fldChar w:fldCharType="end"/>
      </w:r>
      <w:r w:rsidRPr="004B40A6">
        <w:rPr>
          <w:rFonts w:ascii="Arial" w:hAnsi="Arial" w:cs="Arial"/>
          <w:sz w:val="22"/>
          <w:szCs w:val="22"/>
        </w:rPr>
        <w:t>.</w:t>
      </w:r>
      <w:r w:rsidRPr="004B40A6">
        <w:rPr>
          <w:rFonts w:ascii="Arial" w:eastAsia="Times New Roman" w:hAnsi="Arial" w:cs="Arial"/>
          <w:sz w:val="22"/>
          <w:szCs w:val="22"/>
        </w:rPr>
        <w:t xml:space="preserve"> </w:t>
      </w:r>
      <w:r w:rsidRPr="004B40A6">
        <w:rPr>
          <w:rFonts w:ascii="Arial" w:hAnsi="Arial" w:cs="Arial"/>
          <w:sz w:val="22"/>
          <w:szCs w:val="22"/>
        </w:rPr>
        <w:t xml:space="preserve">The </w:t>
      </w:r>
      <w:proofErr w:type="spellStart"/>
      <w:r w:rsidR="00D05536">
        <w:rPr>
          <w:rFonts w:ascii="Arial" w:hAnsi="Arial" w:cs="Arial"/>
          <w:sz w:val="22"/>
          <w:szCs w:val="22"/>
        </w:rPr>
        <w:t>g</w:t>
      </w:r>
      <w:r w:rsidRPr="004B40A6">
        <w:rPr>
          <w:rFonts w:ascii="Arial" w:hAnsi="Arial" w:cs="Arial"/>
          <w:sz w:val="22"/>
          <w:szCs w:val="22"/>
        </w:rPr>
        <w:t>DNA</w:t>
      </w:r>
      <w:proofErr w:type="spellEnd"/>
      <w:r w:rsidRPr="004B40A6">
        <w:rPr>
          <w:rFonts w:ascii="Arial" w:hAnsi="Arial" w:cs="Arial"/>
          <w:sz w:val="22"/>
          <w:szCs w:val="22"/>
        </w:rPr>
        <w:t xml:space="preserve"> was extracted from the cells by using the </w:t>
      </w:r>
      <w:proofErr w:type="spellStart"/>
      <w:r w:rsidRPr="004B40A6">
        <w:rPr>
          <w:rFonts w:ascii="Arial" w:hAnsi="Arial" w:cs="Arial"/>
          <w:sz w:val="22"/>
          <w:szCs w:val="22"/>
        </w:rPr>
        <w:t>DNAeasy</w:t>
      </w:r>
      <w:proofErr w:type="spellEnd"/>
      <w:r w:rsidRPr="004B40A6">
        <w:rPr>
          <w:rFonts w:ascii="Arial" w:hAnsi="Arial" w:cs="Arial"/>
          <w:sz w:val="22"/>
          <w:szCs w:val="22"/>
        </w:rPr>
        <w:t xml:space="preserve"> </w:t>
      </w:r>
      <w:proofErr w:type="spellStart"/>
      <w:r w:rsidRPr="004B40A6">
        <w:rPr>
          <w:rFonts w:ascii="Arial" w:hAnsi="Arial" w:cs="Arial"/>
          <w:sz w:val="22"/>
          <w:szCs w:val="22"/>
        </w:rPr>
        <w:t>Powersoil</w:t>
      </w:r>
      <w:proofErr w:type="spellEnd"/>
      <w:r w:rsidRPr="004B40A6">
        <w:rPr>
          <w:rFonts w:ascii="Arial" w:hAnsi="Arial" w:cs="Arial"/>
          <w:sz w:val="22"/>
          <w:szCs w:val="22"/>
        </w:rPr>
        <w:t xml:space="preserve"> DNA extraction kit </w:t>
      </w:r>
      <w:r w:rsidR="00B91B64">
        <w:rPr>
          <w:rFonts w:ascii="Arial" w:hAnsi="Arial" w:cs="Arial"/>
          <w:sz w:val="22"/>
          <w:szCs w:val="22"/>
        </w:rPr>
        <w:t>(</w:t>
      </w:r>
      <w:r w:rsidRPr="004B40A6">
        <w:rPr>
          <w:rFonts w:ascii="Arial" w:hAnsi="Arial" w:cs="Arial"/>
          <w:sz w:val="22"/>
          <w:szCs w:val="22"/>
        </w:rPr>
        <w:t>QIAGEN</w:t>
      </w:r>
      <w:r w:rsidR="00B91B64">
        <w:rPr>
          <w:rFonts w:ascii="Arial" w:hAnsi="Arial" w:cs="Arial"/>
          <w:sz w:val="22"/>
          <w:szCs w:val="22"/>
        </w:rPr>
        <w:t>)</w:t>
      </w:r>
      <w:r w:rsidR="00D05536">
        <w:rPr>
          <w:rFonts w:ascii="Arial" w:hAnsi="Arial" w:cs="Arial"/>
          <w:sz w:val="22"/>
          <w:szCs w:val="22"/>
        </w:rPr>
        <w:t xml:space="preserve">, </w:t>
      </w:r>
      <w:r w:rsidRPr="004B40A6">
        <w:rPr>
          <w:rFonts w:ascii="Arial" w:hAnsi="Arial" w:cs="Arial"/>
          <w:sz w:val="22"/>
          <w:szCs w:val="22"/>
        </w:rPr>
        <w:t>and quantified by using the Qubit dsDNA HS Assay Kit from Invitrogen.</w:t>
      </w:r>
    </w:p>
    <w:p w14:paraId="791829C8" w14:textId="77777777" w:rsidR="00E0217F" w:rsidRPr="004B40A6" w:rsidRDefault="00E0217F" w:rsidP="00E0217F">
      <w:pPr>
        <w:rPr>
          <w:rFonts w:ascii="Arial" w:hAnsi="Arial" w:cs="Arial"/>
          <w:sz w:val="22"/>
          <w:szCs w:val="22"/>
        </w:rPr>
      </w:pPr>
    </w:p>
    <w:p w14:paraId="2F07C92E" w14:textId="7E5C9926" w:rsidR="00E0217F" w:rsidRPr="004B40A6" w:rsidRDefault="00E00568" w:rsidP="00E0217F">
      <w:pPr>
        <w:rPr>
          <w:rFonts w:ascii="Arial" w:hAnsi="Arial" w:cs="Arial"/>
          <w:b/>
          <w:sz w:val="22"/>
          <w:szCs w:val="22"/>
        </w:rPr>
      </w:pPr>
      <w:r>
        <w:rPr>
          <w:rFonts w:ascii="Arial" w:hAnsi="Arial" w:cs="Arial"/>
          <w:b/>
          <w:sz w:val="22"/>
          <w:szCs w:val="22"/>
        </w:rPr>
        <w:t xml:space="preserve">16S rDNA </w:t>
      </w:r>
      <w:r w:rsidR="00E0217F" w:rsidRPr="004B40A6">
        <w:rPr>
          <w:rFonts w:ascii="Arial" w:hAnsi="Arial" w:cs="Arial"/>
          <w:b/>
          <w:sz w:val="22"/>
          <w:szCs w:val="22"/>
        </w:rPr>
        <w:t>amplicon library preparation</w:t>
      </w:r>
      <w:r>
        <w:rPr>
          <w:rFonts w:ascii="Arial" w:hAnsi="Arial" w:cs="Arial"/>
          <w:b/>
          <w:sz w:val="22"/>
          <w:szCs w:val="22"/>
        </w:rPr>
        <w:t xml:space="preserve"> and sequencing</w:t>
      </w:r>
    </w:p>
    <w:p w14:paraId="58BDB65D" w14:textId="4076869C" w:rsidR="00E0217F" w:rsidRPr="00E00568" w:rsidRDefault="00E0217F" w:rsidP="00E0217F">
      <w:pPr>
        <w:rPr>
          <w:rFonts w:ascii="Arial" w:hAnsi="Arial" w:cs="Arial"/>
          <w:sz w:val="22"/>
          <w:szCs w:val="22"/>
        </w:rPr>
      </w:pPr>
      <w:r w:rsidRPr="004B40A6">
        <w:rPr>
          <w:rFonts w:ascii="Arial" w:hAnsi="Arial" w:cs="Arial"/>
          <w:sz w:val="22"/>
          <w:szCs w:val="22"/>
        </w:rPr>
        <w:t xml:space="preserve">The </w:t>
      </w:r>
      <w:r w:rsidR="00630401">
        <w:rPr>
          <w:rFonts w:ascii="Arial" w:hAnsi="Arial" w:cs="Arial"/>
          <w:sz w:val="22"/>
          <w:szCs w:val="22"/>
        </w:rPr>
        <w:t>communities’</w:t>
      </w:r>
      <w:r w:rsidRPr="004B40A6">
        <w:rPr>
          <w:rFonts w:ascii="Arial" w:hAnsi="Arial" w:cs="Arial"/>
          <w:sz w:val="22"/>
          <w:szCs w:val="22"/>
        </w:rPr>
        <w:t xml:space="preserve"> 16S </w:t>
      </w:r>
      <w:r w:rsidR="00D05536">
        <w:rPr>
          <w:rFonts w:ascii="Arial" w:hAnsi="Arial" w:cs="Arial"/>
          <w:sz w:val="22"/>
          <w:szCs w:val="22"/>
        </w:rPr>
        <w:t>r</w:t>
      </w:r>
      <w:r w:rsidRPr="004B40A6">
        <w:rPr>
          <w:rFonts w:ascii="Arial" w:hAnsi="Arial" w:cs="Arial"/>
          <w:sz w:val="22"/>
          <w:szCs w:val="22"/>
        </w:rPr>
        <w:t xml:space="preserve">DNA was amplified </w:t>
      </w:r>
      <w:r w:rsidR="00E00568">
        <w:rPr>
          <w:rFonts w:ascii="Arial" w:hAnsi="Arial" w:cs="Arial"/>
          <w:sz w:val="22"/>
          <w:szCs w:val="22"/>
        </w:rPr>
        <w:t xml:space="preserve">with a 2-step amplification and barcoding PCR strategy as previously described </w:t>
      </w:r>
      <w:r w:rsidR="00E00568">
        <w:rPr>
          <w:rFonts w:ascii="Arial" w:hAnsi="Arial" w:cs="Arial"/>
          <w:sz w:val="22"/>
          <w:szCs w:val="22"/>
        </w:rPr>
        <w:fldChar w:fldCharType="begin"/>
      </w:r>
      <w:r w:rsidR="00E00568">
        <w:rPr>
          <w:rFonts w:ascii="Arial" w:hAnsi="Arial" w:cs="Arial"/>
          <w:sz w:val="22"/>
          <w:szCs w:val="22"/>
        </w:rPr>
        <w:instrText xml:space="preserve"> ADDIN EN.CITE &lt;EndNote&gt;&lt;Cite&gt;&lt;Author&gt;Robinson&lt;/Author&gt;&lt;Year&gt;2015&lt;/Year&gt;&lt;RecNum&gt;6954&lt;/RecNum&gt;&lt;DisplayText&gt;[14]&lt;/DisplayText&gt;&lt;record&gt;&lt;rec-number&gt;6954&lt;/rec-number&gt;&lt;foreign-keys&gt;&lt;key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E00568">
        <w:rPr>
          <w:rFonts w:ascii="Arial" w:hAnsi="Arial" w:cs="Arial"/>
          <w:sz w:val="22"/>
          <w:szCs w:val="22"/>
        </w:rPr>
        <w:fldChar w:fldCharType="separate"/>
      </w:r>
      <w:r w:rsidR="00E00568">
        <w:rPr>
          <w:rFonts w:ascii="Arial" w:hAnsi="Arial" w:cs="Arial"/>
          <w:noProof/>
          <w:sz w:val="22"/>
          <w:szCs w:val="22"/>
        </w:rPr>
        <w:t>[14]</w:t>
      </w:r>
      <w:r w:rsidR="00E00568">
        <w:rPr>
          <w:rFonts w:ascii="Arial" w:hAnsi="Arial" w:cs="Arial"/>
          <w:sz w:val="22"/>
          <w:szCs w:val="22"/>
        </w:rPr>
        <w:fldChar w:fldCharType="end"/>
      </w:r>
      <w:r w:rsidR="00E00568">
        <w:rPr>
          <w:rFonts w:ascii="Arial" w:hAnsi="Arial" w:cs="Arial"/>
          <w:sz w:val="22"/>
          <w:szCs w:val="22"/>
        </w:rPr>
        <w:t xml:space="preserve"> </w:t>
      </w:r>
      <w:r w:rsidR="00630401">
        <w:rPr>
          <w:rFonts w:ascii="Arial" w:hAnsi="Arial" w:cs="Arial"/>
          <w:sz w:val="22"/>
          <w:szCs w:val="22"/>
        </w:rPr>
        <w:t>by amplifying the hypervariable V3-V4 region with</w:t>
      </w:r>
      <w:r w:rsidR="00E00568">
        <w:rPr>
          <w:rFonts w:ascii="Arial" w:hAnsi="Arial" w:cs="Arial"/>
          <w:sz w:val="22"/>
          <w:szCs w:val="22"/>
        </w:rPr>
        <w:t xml:space="preserve"> </w:t>
      </w:r>
      <w:r w:rsidRPr="004B40A6">
        <w:rPr>
          <w:rFonts w:ascii="Arial" w:hAnsi="Arial" w:cs="Arial"/>
          <w:sz w:val="22"/>
          <w:szCs w:val="22"/>
        </w:rPr>
        <w:t>515F (</w:t>
      </w:r>
      <w:r w:rsidRPr="004B40A6">
        <w:rPr>
          <w:rFonts w:ascii="Arial" w:hAnsi="Arial" w:cs="Arial"/>
          <w:color w:val="0A2850"/>
          <w:sz w:val="22"/>
          <w:szCs w:val="22"/>
        </w:rPr>
        <w:t>ACACGACGCTCTTCCGATCTGTGYCAGCMGCCGCGGTAA</w:t>
      </w:r>
      <w:r w:rsidRPr="004B40A6">
        <w:rPr>
          <w:rFonts w:ascii="Arial" w:hAnsi="Arial" w:cs="Arial"/>
          <w:sz w:val="22"/>
          <w:szCs w:val="22"/>
        </w:rPr>
        <w:t>) and 926R (</w:t>
      </w:r>
      <w:r w:rsidRPr="004B40A6">
        <w:rPr>
          <w:rFonts w:ascii="Arial" w:hAnsi="Arial" w:cs="Arial"/>
          <w:color w:val="0A2850"/>
          <w:sz w:val="22"/>
          <w:szCs w:val="22"/>
        </w:rPr>
        <w:t>CGGCATTCCTGCTGAACCGCTCTTCCGATCTCCGYCAATTYMTTTRAGTTT</w:t>
      </w:r>
      <w:r w:rsidRPr="004B40A6">
        <w:rPr>
          <w:rFonts w:ascii="Arial" w:hAnsi="Arial" w:cs="Arial"/>
          <w:sz w:val="22"/>
          <w:szCs w:val="22"/>
        </w:rPr>
        <w:t xml:space="preserve">) </w:t>
      </w:r>
      <w:r w:rsidR="00E00568">
        <w:rPr>
          <w:rFonts w:ascii="Arial" w:hAnsi="Arial" w:cs="Arial"/>
          <w:sz w:val="22"/>
          <w:szCs w:val="22"/>
        </w:rPr>
        <w:t>universal</w:t>
      </w:r>
      <w:r w:rsidR="00630401">
        <w:rPr>
          <w:rFonts w:ascii="Arial" w:hAnsi="Arial" w:cs="Arial"/>
          <w:sz w:val="22"/>
          <w:szCs w:val="22"/>
        </w:rPr>
        <w:t xml:space="preserve"> primers, and then adding unique barcoding sequences</w:t>
      </w:r>
      <w:r w:rsidR="00B91B64">
        <w:rPr>
          <w:rFonts w:ascii="Arial" w:hAnsi="Arial" w:cs="Arial"/>
          <w:sz w:val="22"/>
          <w:szCs w:val="22"/>
        </w:rPr>
        <w:t xml:space="preserve">. PCR was done </w:t>
      </w:r>
      <w:r w:rsidR="00630401">
        <w:rPr>
          <w:rFonts w:ascii="Arial" w:hAnsi="Arial" w:cs="Arial"/>
          <w:sz w:val="22"/>
          <w:szCs w:val="22"/>
        </w:rPr>
        <w:t xml:space="preserve">with </w:t>
      </w:r>
      <w:r w:rsidRPr="004B40A6">
        <w:rPr>
          <w:rFonts w:ascii="Arial" w:hAnsi="Arial" w:cs="Arial"/>
          <w:sz w:val="22"/>
          <w:szCs w:val="22"/>
        </w:rPr>
        <w:t xml:space="preserve">the </w:t>
      </w:r>
      <w:proofErr w:type="spellStart"/>
      <w:r w:rsidRPr="004B40A6">
        <w:rPr>
          <w:rFonts w:ascii="Arial" w:hAnsi="Arial" w:cs="Arial"/>
          <w:sz w:val="22"/>
          <w:szCs w:val="22"/>
        </w:rPr>
        <w:t>Phusion</w:t>
      </w:r>
      <w:proofErr w:type="spellEnd"/>
      <w:r w:rsidRPr="004B40A6">
        <w:rPr>
          <w:rFonts w:ascii="Arial" w:hAnsi="Arial" w:cs="Arial"/>
          <w:sz w:val="22"/>
          <w:szCs w:val="22"/>
        </w:rPr>
        <w:t xml:space="preserve"> High-Fidelity PCR kit</w:t>
      </w:r>
      <w:r w:rsidR="00E00568">
        <w:rPr>
          <w:rFonts w:ascii="Arial" w:hAnsi="Arial" w:cs="Arial"/>
          <w:sz w:val="22"/>
          <w:szCs w:val="22"/>
        </w:rPr>
        <w:t xml:space="preserve"> </w:t>
      </w:r>
      <w:r w:rsidR="00B91B64">
        <w:rPr>
          <w:rFonts w:ascii="Arial" w:hAnsi="Arial" w:cs="Arial"/>
          <w:sz w:val="22"/>
          <w:szCs w:val="22"/>
        </w:rPr>
        <w:t>(</w:t>
      </w:r>
      <w:r w:rsidRPr="004B40A6">
        <w:rPr>
          <w:rFonts w:ascii="Arial" w:hAnsi="Arial" w:cs="Arial"/>
          <w:sz w:val="22"/>
          <w:szCs w:val="22"/>
        </w:rPr>
        <w:t xml:space="preserve">New England </w:t>
      </w:r>
      <w:proofErr w:type="spellStart"/>
      <w:r w:rsidRPr="004B40A6">
        <w:rPr>
          <w:rFonts w:ascii="Arial" w:hAnsi="Arial" w:cs="Arial"/>
          <w:sz w:val="22"/>
          <w:szCs w:val="22"/>
        </w:rPr>
        <w:t>BioLabs</w:t>
      </w:r>
      <w:proofErr w:type="spellEnd"/>
      <w:r w:rsidR="00B91B64">
        <w:rPr>
          <w:rFonts w:ascii="Arial" w:hAnsi="Arial" w:cs="Arial"/>
          <w:sz w:val="22"/>
          <w:szCs w:val="22"/>
        </w:rPr>
        <w:t xml:space="preserve">) on 40ng of </w:t>
      </w:r>
      <w:proofErr w:type="spellStart"/>
      <w:r w:rsidR="00B91B64">
        <w:rPr>
          <w:rFonts w:ascii="Arial" w:hAnsi="Arial" w:cs="Arial"/>
          <w:sz w:val="22"/>
          <w:szCs w:val="22"/>
        </w:rPr>
        <w:t>gDNA</w:t>
      </w:r>
      <w:proofErr w:type="spellEnd"/>
      <w:r w:rsidR="00B91B64">
        <w:rPr>
          <w:rFonts w:ascii="Arial" w:hAnsi="Arial" w:cs="Arial"/>
          <w:sz w:val="22"/>
          <w:szCs w:val="22"/>
        </w:rPr>
        <w:t xml:space="preserve"> input</w:t>
      </w:r>
      <w:r w:rsidRPr="004B40A6">
        <w:rPr>
          <w:rFonts w:ascii="Arial" w:hAnsi="Arial" w:cs="Arial"/>
          <w:sz w:val="22"/>
          <w:szCs w:val="22"/>
        </w:rPr>
        <w:t xml:space="preserve">. </w:t>
      </w:r>
      <w:r w:rsidR="00E00568">
        <w:rPr>
          <w:rFonts w:ascii="Arial" w:hAnsi="Arial" w:cs="Arial"/>
          <w:sz w:val="22"/>
          <w:szCs w:val="22"/>
        </w:rPr>
        <w:t xml:space="preserve">Barcoded samples were </w:t>
      </w:r>
      <w:r w:rsidRPr="004B40A6">
        <w:rPr>
          <w:rFonts w:ascii="Arial" w:hAnsi="Arial" w:cs="Arial"/>
          <w:sz w:val="22"/>
          <w:szCs w:val="22"/>
        </w:rPr>
        <w:t xml:space="preserve">quantified with the Qubit dsDNA HS Assay Kit </w:t>
      </w:r>
      <w:r w:rsidR="00B91B64">
        <w:rPr>
          <w:rFonts w:ascii="Arial" w:hAnsi="Arial" w:cs="Arial"/>
          <w:sz w:val="22"/>
          <w:szCs w:val="22"/>
        </w:rPr>
        <w:t>(</w:t>
      </w:r>
      <w:r w:rsidRPr="004B40A6">
        <w:rPr>
          <w:rFonts w:ascii="Arial" w:hAnsi="Arial" w:cs="Arial"/>
          <w:sz w:val="22"/>
          <w:szCs w:val="22"/>
        </w:rPr>
        <w:t>Invitrogen</w:t>
      </w:r>
      <w:r w:rsidR="00B91B64">
        <w:rPr>
          <w:rFonts w:ascii="Arial" w:hAnsi="Arial" w:cs="Arial"/>
          <w:sz w:val="22"/>
          <w:szCs w:val="22"/>
        </w:rPr>
        <w:t>)</w:t>
      </w:r>
      <w:r w:rsidRPr="004B40A6">
        <w:rPr>
          <w:rFonts w:ascii="Arial" w:hAnsi="Arial" w:cs="Arial"/>
          <w:sz w:val="22"/>
          <w:szCs w:val="22"/>
        </w:rPr>
        <w:t>, pooled together to equ</w:t>
      </w:r>
      <w:r w:rsidR="00E00568">
        <w:rPr>
          <w:rFonts w:ascii="Arial" w:hAnsi="Arial" w:cs="Arial"/>
          <w:sz w:val="22"/>
          <w:szCs w:val="22"/>
        </w:rPr>
        <w:t xml:space="preserve">al molarity, and sequenced on Illumina’s </w:t>
      </w:r>
      <w:proofErr w:type="spellStart"/>
      <w:r w:rsidR="00E00568">
        <w:rPr>
          <w:rFonts w:ascii="Arial" w:hAnsi="Arial" w:cs="Arial"/>
          <w:sz w:val="22"/>
          <w:szCs w:val="22"/>
        </w:rPr>
        <w:t>MiSeq</w:t>
      </w:r>
      <w:proofErr w:type="spellEnd"/>
      <w:r w:rsidR="00E00568">
        <w:rPr>
          <w:rFonts w:ascii="Arial" w:hAnsi="Arial" w:cs="Arial"/>
          <w:sz w:val="22"/>
          <w:szCs w:val="22"/>
        </w:rPr>
        <w:t xml:space="preserve"> platform with paired 250bp reads at Johns Hopkins Genetic Resources Core Facility (GRCF).</w:t>
      </w:r>
    </w:p>
    <w:p w14:paraId="0109E0A9" w14:textId="77777777" w:rsidR="00E0217F" w:rsidRDefault="00E0217F" w:rsidP="00E0217F">
      <w:pPr>
        <w:rPr>
          <w:rFonts w:ascii="Arial" w:hAnsi="Arial" w:cs="Arial"/>
          <w:sz w:val="22"/>
          <w:szCs w:val="22"/>
        </w:rPr>
      </w:pPr>
    </w:p>
    <w:p w14:paraId="65ECD910" w14:textId="77777777" w:rsidR="00630401" w:rsidRPr="004B40A6" w:rsidRDefault="00630401" w:rsidP="00630401">
      <w:pPr>
        <w:rPr>
          <w:rFonts w:ascii="Arial" w:hAnsi="Arial" w:cs="Arial"/>
          <w:b/>
          <w:sz w:val="22"/>
          <w:szCs w:val="22"/>
        </w:rPr>
      </w:pPr>
      <w:r w:rsidRPr="004B40A6">
        <w:rPr>
          <w:rFonts w:ascii="Arial" w:hAnsi="Arial" w:cs="Arial"/>
          <w:b/>
          <w:sz w:val="22"/>
          <w:szCs w:val="22"/>
        </w:rPr>
        <w:t>WMG library preparation</w:t>
      </w:r>
    </w:p>
    <w:p w14:paraId="7C40F9E0" w14:textId="63BF0BAC" w:rsidR="00BC2AE0" w:rsidRPr="004B40A6" w:rsidRDefault="00630401" w:rsidP="00630401">
      <w:pPr>
        <w:rPr>
          <w:rFonts w:ascii="Arial" w:hAnsi="Arial" w:cs="Arial"/>
          <w:sz w:val="22"/>
          <w:szCs w:val="22"/>
        </w:rPr>
      </w:pPr>
      <w:r w:rsidRPr="004B40A6">
        <w:rPr>
          <w:rFonts w:ascii="Arial" w:hAnsi="Arial" w:cs="Arial"/>
          <w:sz w:val="22"/>
          <w:szCs w:val="22"/>
        </w:rPr>
        <w:t xml:space="preserve">The whole genome sequencing libraries of the halite DNA were prepared using the KAPA </w:t>
      </w:r>
      <w:proofErr w:type="spellStart"/>
      <w:r w:rsidRPr="004B40A6">
        <w:rPr>
          <w:rFonts w:ascii="Arial" w:hAnsi="Arial" w:cs="Arial"/>
          <w:sz w:val="22"/>
          <w:szCs w:val="22"/>
        </w:rPr>
        <w:t>HyperPlus</w:t>
      </w:r>
      <w:proofErr w:type="spellEnd"/>
      <w:r w:rsidRPr="004B40A6">
        <w:rPr>
          <w:rFonts w:ascii="Arial" w:hAnsi="Arial" w:cs="Arial"/>
          <w:sz w:val="22"/>
          <w:szCs w:val="22"/>
        </w:rPr>
        <w:t xml:space="preserve"> kit (Roche). The fragmentation was performed on 5ng of input </w:t>
      </w:r>
      <w:proofErr w:type="spellStart"/>
      <w:r w:rsidRPr="004B40A6">
        <w:rPr>
          <w:rFonts w:ascii="Arial" w:hAnsi="Arial" w:cs="Arial"/>
          <w:sz w:val="22"/>
          <w:szCs w:val="22"/>
        </w:rPr>
        <w:t>gDNA</w:t>
      </w:r>
      <w:proofErr w:type="spellEnd"/>
      <w:r w:rsidRPr="004B40A6">
        <w:rPr>
          <w:rFonts w:ascii="Arial" w:hAnsi="Arial" w:cs="Arial"/>
          <w:sz w:val="22"/>
          <w:szCs w:val="22"/>
        </w:rPr>
        <w:t xml:space="preserve"> for 6 minutes to achieve </w:t>
      </w:r>
      <w:r w:rsidR="00B91B64">
        <w:rPr>
          <w:rFonts w:ascii="Arial" w:hAnsi="Arial" w:cs="Arial"/>
          <w:sz w:val="22"/>
          <w:szCs w:val="22"/>
        </w:rPr>
        <w:t>size peaks</w:t>
      </w:r>
      <w:r w:rsidRPr="004B40A6">
        <w:rPr>
          <w:rFonts w:ascii="Arial" w:hAnsi="Arial" w:cs="Arial"/>
          <w:sz w:val="22"/>
          <w:szCs w:val="22"/>
        </w:rPr>
        <w:t xml:space="preserve"> </w:t>
      </w:r>
      <w:r w:rsidR="00B91B64">
        <w:rPr>
          <w:rFonts w:ascii="Arial" w:hAnsi="Arial" w:cs="Arial"/>
          <w:sz w:val="22"/>
          <w:szCs w:val="22"/>
        </w:rPr>
        <w:t xml:space="preserve">of </w:t>
      </w:r>
      <w:r w:rsidRPr="004B40A6">
        <w:rPr>
          <w:rFonts w:ascii="Arial" w:hAnsi="Arial" w:cs="Arial"/>
          <w:sz w:val="22"/>
          <w:szCs w:val="22"/>
        </w:rPr>
        <w:t xml:space="preserve">800bp. Library amplification was done with dual-index primers for a total of 7 cycles, and the product library was cleaned up 3 times with XP </w:t>
      </w:r>
      <w:proofErr w:type="spellStart"/>
      <w:r w:rsidRPr="004B40A6">
        <w:rPr>
          <w:rFonts w:ascii="Arial" w:hAnsi="Arial" w:cs="Arial"/>
          <w:sz w:val="22"/>
          <w:szCs w:val="22"/>
        </w:rPr>
        <w:t>AMPure</w:t>
      </w:r>
      <w:proofErr w:type="spellEnd"/>
      <w:r w:rsidRPr="004B40A6">
        <w:rPr>
          <w:rFonts w:ascii="Arial" w:hAnsi="Arial" w:cs="Arial"/>
          <w:sz w:val="22"/>
          <w:szCs w:val="22"/>
        </w:rPr>
        <w:t xml:space="preserve"> Beads (New England </w:t>
      </w:r>
      <w:proofErr w:type="spellStart"/>
      <w:r w:rsidRPr="004B40A6">
        <w:rPr>
          <w:rFonts w:ascii="Arial" w:hAnsi="Arial" w:cs="Arial"/>
          <w:sz w:val="22"/>
          <w:szCs w:val="22"/>
        </w:rPr>
        <w:t>BioLabs</w:t>
      </w:r>
      <w:proofErr w:type="spellEnd"/>
      <w:r w:rsidRPr="004B40A6">
        <w:rPr>
          <w:rFonts w:ascii="Arial" w:hAnsi="Arial" w:cs="Arial"/>
          <w:sz w:val="22"/>
          <w:szCs w:val="22"/>
        </w:rPr>
        <w:t xml:space="preserve">) with the following bead ratios: 1X ratio (discard unbound), 0.4X (discard beads), and 0.6 (discard unbound). </w:t>
      </w:r>
      <w:r w:rsidR="00B91B64">
        <w:rPr>
          <w:rFonts w:ascii="Arial" w:hAnsi="Arial" w:cs="Arial"/>
          <w:sz w:val="22"/>
          <w:szCs w:val="22"/>
        </w:rPr>
        <w:t>O</w:t>
      </w:r>
      <w:r w:rsidRPr="004B40A6">
        <w:rPr>
          <w:rFonts w:ascii="Arial" w:hAnsi="Arial" w:cs="Arial"/>
          <w:sz w:val="22"/>
          <w:szCs w:val="22"/>
        </w:rPr>
        <w:t xml:space="preserve">ther steps </w:t>
      </w:r>
      <w:r w:rsidR="00B91B64">
        <w:rPr>
          <w:rFonts w:ascii="Arial" w:hAnsi="Arial" w:cs="Arial"/>
          <w:sz w:val="22"/>
          <w:szCs w:val="22"/>
        </w:rPr>
        <w:t xml:space="preserve">followed the manufacturer’s </w:t>
      </w:r>
      <w:r w:rsidRPr="004B40A6">
        <w:rPr>
          <w:rFonts w:ascii="Arial" w:hAnsi="Arial" w:cs="Arial"/>
          <w:sz w:val="22"/>
          <w:szCs w:val="22"/>
        </w:rPr>
        <w:t xml:space="preserve">recommendations. The final </w:t>
      </w:r>
      <w:r w:rsidR="00B91B64">
        <w:rPr>
          <w:rFonts w:ascii="Arial" w:hAnsi="Arial" w:cs="Arial"/>
          <w:sz w:val="22"/>
          <w:szCs w:val="22"/>
        </w:rPr>
        <w:t xml:space="preserve">barcoded libraries </w:t>
      </w:r>
      <w:r w:rsidRPr="004B40A6">
        <w:rPr>
          <w:rFonts w:ascii="Arial" w:hAnsi="Arial" w:cs="Arial"/>
          <w:sz w:val="22"/>
          <w:szCs w:val="22"/>
        </w:rPr>
        <w:t xml:space="preserve">were quantified with Qubit dsDNA HS kit, inspected on a dsDNA HS </w:t>
      </w:r>
      <w:proofErr w:type="spellStart"/>
      <w:r w:rsidRPr="004B40A6">
        <w:rPr>
          <w:rFonts w:ascii="Arial" w:hAnsi="Arial" w:cs="Arial"/>
          <w:sz w:val="22"/>
          <w:szCs w:val="22"/>
        </w:rPr>
        <w:t>Bioanalyzer</w:t>
      </w:r>
      <w:proofErr w:type="spellEnd"/>
      <w:r w:rsidRPr="004B40A6">
        <w:rPr>
          <w:rFonts w:ascii="Arial" w:hAnsi="Arial" w:cs="Arial"/>
          <w:sz w:val="22"/>
          <w:szCs w:val="22"/>
        </w:rPr>
        <w:t xml:space="preserve">, pooled to equal molarity, and sequenced </w:t>
      </w:r>
      <w:r w:rsidR="00B91B64">
        <w:rPr>
          <w:rFonts w:ascii="Arial" w:hAnsi="Arial" w:cs="Arial"/>
          <w:sz w:val="22"/>
          <w:szCs w:val="22"/>
        </w:rPr>
        <w:t xml:space="preserve">with paired 150bp reads </w:t>
      </w:r>
      <w:r w:rsidRPr="004B40A6">
        <w:rPr>
          <w:rFonts w:ascii="Arial" w:hAnsi="Arial" w:cs="Arial"/>
          <w:sz w:val="22"/>
          <w:szCs w:val="22"/>
        </w:rPr>
        <w:t>on the HiSeq 2000</w:t>
      </w:r>
      <w:r w:rsidR="00B91B64">
        <w:rPr>
          <w:rFonts w:ascii="Arial" w:hAnsi="Arial" w:cs="Arial"/>
          <w:sz w:val="22"/>
          <w:szCs w:val="22"/>
        </w:rPr>
        <w:t xml:space="preserve"> at GRCF</w:t>
      </w:r>
      <w:r w:rsidR="00BC2AE0">
        <w:rPr>
          <w:rFonts w:ascii="Arial" w:hAnsi="Arial" w:cs="Arial"/>
          <w:sz w:val="22"/>
          <w:szCs w:val="22"/>
        </w:rPr>
        <w:t>.</w:t>
      </w:r>
    </w:p>
    <w:p w14:paraId="643F27F5" w14:textId="77777777" w:rsidR="00630401" w:rsidRPr="004B40A6" w:rsidRDefault="00630401" w:rsidP="00E0217F">
      <w:pPr>
        <w:rPr>
          <w:rFonts w:ascii="Arial" w:hAnsi="Arial" w:cs="Arial"/>
          <w:sz w:val="22"/>
          <w:szCs w:val="22"/>
        </w:rPr>
      </w:pPr>
    </w:p>
    <w:p w14:paraId="72FC62D2" w14:textId="73893FC8" w:rsidR="00E0217F" w:rsidRPr="004B40A6" w:rsidRDefault="008D37B3" w:rsidP="00E0217F">
      <w:pPr>
        <w:rPr>
          <w:rFonts w:ascii="Arial" w:hAnsi="Arial" w:cs="Arial"/>
          <w:sz w:val="22"/>
          <w:szCs w:val="22"/>
        </w:rPr>
      </w:pPr>
      <w:r>
        <w:rPr>
          <w:rFonts w:ascii="Arial" w:hAnsi="Arial" w:cs="Arial"/>
          <w:b/>
          <w:sz w:val="22"/>
          <w:szCs w:val="22"/>
        </w:rPr>
        <w:t xml:space="preserve">16S rDNA </w:t>
      </w:r>
      <w:r w:rsidRPr="004B40A6">
        <w:rPr>
          <w:rFonts w:ascii="Arial" w:hAnsi="Arial" w:cs="Arial"/>
          <w:b/>
          <w:sz w:val="22"/>
          <w:szCs w:val="22"/>
        </w:rPr>
        <w:t>amplicon</w:t>
      </w:r>
      <w:r>
        <w:rPr>
          <w:rFonts w:ascii="Arial" w:hAnsi="Arial" w:cs="Arial"/>
          <w:b/>
          <w:sz w:val="22"/>
          <w:szCs w:val="22"/>
        </w:rPr>
        <w:t xml:space="preserve"> </w:t>
      </w:r>
      <w:r w:rsidR="00396869">
        <w:rPr>
          <w:rFonts w:ascii="Arial" w:hAnsi="Arial" w:cs="Arial"/>
          <w:b/>
          <w:sz w:val="22"/>
          <w:szCs w:val="22"/>
        </w:rPr>
        <w:t xml:space="preserve">sequence </w:t>
      </w:r>
      <w:r>
        <w:rPr>
          <w:rFonts w:ascii="Arial" w:hAnsi="Arial" w:cs="Arial"/>
          <w:b/>
          <w:sz w:val="22"/>
          <w:szCs w:val="22"/>
        </w:rPr>
        <w:t xml:space="preserve">processing </w:t>
      </w:r>
    </w:p>
    <w:p w14:paraId="18AD767B" w14:textId="77777777" w:rsidR="00396869" w:rsidRDefault="00E0217F" w:rsidP="00E0217F">
      <w:pPr>
        <w:rPr>
          <w:rFonts w:ascii="Arial" w:hAnsi="Arial" w:cs="Arial"/>
          <w:sz w:val="22"/>
          <w:szCs w:val="22"/>
        </w:rPr>
      </w:pPr>
      <w:r w:rsidRPr="004B40A6">
        <w:rPr>
          <w:rFonts w:ascii="Arial" w:hAnsi="Arial" w:cs="Arial"/>
          <w:sz w:val="22"/>
          <w:szCs w:val="22"/>
        </w:rPr>
        <w:t xml:space="preserve">The de-multiplexed and quality trimmed 16S amplicon reads from the </w:t>
      </w:r>
      <w:proofErr w:type="spellStart"/>
      <w:r w:rsidRPr="004B40A6">
        <w:rPr>
          <w:rFonts w:ascii="Arial" w:hAnsi="Arial" w:cs="Arial"/>
          <w:sz w:val="22"/>
          <w:szCs w:val="22"/>
        </w:rPr>
        <w:t>MiSeq</w:t>
      </w:r>
      <w:proofErr w:type="spellEnd"/>
      <w:r w:rsidRPr="004B40A6">
        <w:rPr>
          <w:rFonts w:ascii="Arial" w:hAnsi="Arial" w:cs="Arial"/>
          <w:sz w:val="22"/>
          <w:szCs w:val="22"/>
        </w:rPr>
        <w:t xml:space="preserve"> sequencer were processed with </w:t>
      </w:r>
      <w:proofErr w:type="spellStart"/>
      <w:r w:rsidRPr="004B40A6">
        <w:rPr>
          <w:rFonts w:ascii="Arial" w:hAnsi="Arial" w:cs="Arial"/>
          <w:sz w:val="22"/>
          <w:szCs w:val="22"/>
        </w:rPr>
        <w:t>MacQIIME</w:t>
      </w:r>
      <w:proofErr w:type="spellEnd"/>
      <w:r w:rsidRPr="004B40A6">
        <w:rPr>
          <w:rFonts w:ascii="Arial" w:hAnsi="Arial" w:cs="Arial"/>
          <w:sz w:val="22"/>
          <w:szCs w:val="22"/>
        </w:rPr>
        <w:t xml:space="preserve"> v1.9.1 </w:t>
      </w:r>
      <w:r w:rsidRPr="004B40A6">
        <w:rPr>
          <w:rFonts w:ascii="Arial" w:hAnsi="Arial" w:cs="Arial"/>
          <w:sz w:val="22"/>
          <w:szCs w:val="22"/>
        </w:rPr>
        <w:fldChar w:fldCharType="begin">
          <w:fldData xml:space="preserve">PEVuZE5vdGU+PENpdGU+PEF1dGhvcj5DYXBvcmFzbzwvQXV0aG9yPjxZZWFyPjIwMTA8L1llYXI+
PFJlY051bT42NDM1PC9SZWNOdW0+PERpc3BsYXlUZXh0PlsyNl08L0Rpc3BsYXlUZXh0PjxyZWNv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Pr="004B40A6">
        <w:rPr>
          <w:rFonts w:ascii="Arial" w:hAnsi="Arial" w:cs="Arial"/>
          <w:sz w:val="22"/>
          <w:szCs w:val="22"/>
        </w:rPr>
        <w:instrText xml:space="preserve"> ADDIN EN.CITE </w:instrText>
      </w:r>
      <w:r w:rsidRPr="004B40A6">
        <w:rPr>
          <w:rFonts w:ascii="Arial" w:hAnsi="Arial" w:cs="Arial"/>
          <w:sz w:val="22"/>
          <w:szCs w:val="22"/>
        </w:rPr>
        <w:fldChar w:fldCharType="begin">
          <w:fldData xml:space="preserve">PEVuZE5vdGU+PENpdGU+PEF1dGhvcj5DYXBvcmFzbzwvQXV0aG9yPjxZZWFyPjIwMTA8L1llYXI+
PFJlY051bT42NDM1PC9SZWNOdW0+PERpc3BsYXlUZXh0PlsyNl08L0Rpc3BsYXlUZXh0PjxyZWNv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Pr="004B40A6">
        <w:rPr>
          <w:rFonts w:ascii="Arial" w:hAnsi="Arial" w:cs="Arial"/>
          <w:sz w:val="22"/>
          <w:szCs w:val="22"/>
        </w:rPr>
        <w:instrText xml:space="preserve"> ADDIN EN.CITE.DATA </w:instrText>
      </w:r>
      <w:r w:rsidRPr="004B40A6">
        <w:rPr>
          <w:rFonts w:ascii="Arial" w:hAnsi="Arial" w:cs="Arial"/>
          <w:sz w:val="22"/>
          <w:szCs w:val="22"/>
        </w:rPr>
      </w:r>
      <w:r w:rsidRPr="004B40A6">
        <w:rPr>
          <w:rFonts w:ascii="Arial" w:hAnsi="Arial" w:cs="Arial"/>
          <w:sz w:val="22"/>
          <w:szCs w:val="22"/>
        </w:rPr>
        <w:fldChar w:fldCharType="end"/>
      </w:r>
      <w:r w:rsidRPr="004B40A6">
        <w:rPr>
          <w:rFonts w:ascii="Arial" w:hAnsi="Arial" w:cs="Arial"/>
          <w:sz w:val="22"/>
          <w:szCs w:val="22"/>
        </w:rPr>
      </w:r>
      <w:r w:rsidRPr="004B40A6">
        <w:rPr>
          <w:rFonts w:ascii="Arial" w:hAnsi="Arial" w:cs="Arial"/>
          <w:sz w:val="22"/>
          <w:szCs w:val="22"/>
        </w:rPr>
        <w:fldChar w:fldCharType="separate"/>
      </w:r>
      <w:r w:rsidRPr="004B40A6">
        <w:rPr>
          <w:rFonts w:ascii="Arial" w:hAnsi="Arial" w:cs="Arial"/>
          <w:noProof/>
          <w:sz w:val="22"/>
          <w:szCs w:val="22"/>
        </w:rPr>
        <w:t>[26]</w:t>
      </w:r>
      <w:r w:rsidRPr="004B40A6">
        <w:rPr>
          <w:rFonts w:ascii="Arial" w:hAnsi="Arial" w:cs="Arial"/>
          <w:sz w:val="22"/>
          <w:szCs w:val="22"/>
        </w:rPr>
        <w:fldChar w:fldCharType="end"/>
      </w:r>
      <w:r w:rsidRPr="004B40A6">
        <w:rPr>
          <w:rFonts w:ascii="Arial" w:hAnsi="Arial" w:cs="Arial"/>
          <w:sz w:val="22"/>
          <w:szCs w:val="22"/>
        </w:rPr>
        <w:t xml:space="preserve">. </w:t>
      </w:r>
      <w:r w:rsidR="00BC2AE0">
        <w:rPr>
          <w:rFonts w:ascii="Arial" w:hAnsi="Arial" w:cs="Arial"/>
          <w:sz w:val="22"/>
          <w:szCs w:val="22"/>
        </w:rPr>
        <w:t xml:space="preserve">Samples from site 1 and 2 </w:t>
      </w:r>
      <w:r w:rsidRPr="004B40A6">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Pr="004B40A6">
        <w:rPr>
          <w:rFonts w:ascii="Arial" w:hAnsi="Arial" w:cs="Arial"/>
          <w:sz w:val="22"/>
          <w:szCs w:val="22"/>
        </w:rPr>
        <w:fldChar w:fldCharType="begin"/>
      </w:r>
      <w:r w:rsidRPr="004B40A6">
        <w:rPr>
          <w:rFonts w:ascii="Arial" w:hAnsi="Arial" w:cs="Arial"/>
          <w:sz w:val="22"/>
          <w:szCs w:val="22"/>
        </w:rPr>
        <w:instrText xml:space="preserve"> ADDIN EN.CITE &lt;EndNote&gt;&lt;Cite&gt;&lt;Author&gt;Quast&lt;/Author&gt;&lt;Year&gt;2013&lt;/Year&gt;&lt;RecNum&gt;8819&lt;/RecNum&gt;&lt;DisplayText&gt;[27]&lt;/DisplayText&gt;&lt;record&gt;&lt;rec-number&gt;8819&lt;/rec-number&gt;&lt;foreign-keys&gt;&lt;key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Pr="004B40A6">
        <w:rPr>
          <w:rFonts w:ascii="Arial" w:hAnsi="Arial" w:cs="Arial"/>
          <w:sz w:val="22"/>
          <w:szCs w:val="22"/>
        </w:rPr>
        <w:fldChar w:fldCharType="separate"/>
      </w:r>
      <w:r w:rsidRPr="004B40A6">
        <w:rPr>
          <w:rFonts w:ascii="Arial" w:hAnsi="Arial" w:cs="Arial"/>
          <w:noProof/>
          <w:sz w:val="22"/>
          <w:szCs w:val="22"/>
        </w:rPr>
        <w:t>[27]</w:t>
      </w:r>
      <w:r w:rsidRPr="004B40A6">
        <w:rPr>
          <w:rFonts w:ascii="Arial" w:hAnsi="Arial" w:cs="Arial"/>
          <w:sz w:val="22"/>
          <w:szCs w:val="22"/>
        </w:rPr>
        <w:fldChar w:fldCharType="end"/>
      </w:r>
      <w:r w:rsidRPr="004B40A6">
        <w:rPr>
          <w:rFonts w:ascii="Arial" w:hAnsi="Arial" w:cs="Arial"/>
          <w:sz w:val="22"/>
          <w:szCs w:val="22"/>
        </w:rPr>
        <w:t xml:space="preserve"> release as reference and USEARCH v6.1.554 </w:t>
      </w:r>
      <w:r w:rsidRPr="004B40A6">
        <w:rPr>
          <w:rFonts w:ascii="Arial" w:hAnsi="Arial" w:cs="Arial"/>
          <w:sz w:val="22"/>
          <w:szCs w:val="22"/>
        </w:rPr>
        <w:fldChar w:fldCharType="begin"/>
      </w:r>
      <w:r w:rsidRPr="004B40A6">
        <w:rPr>
          <w:rFonts w:ascii="Arial" w:hAnsi="Arial" w:cs="Arial"/>
          <w:sz w:val="22"/>
          <w:szCs w:val="22"/>
        </w:rPr>
        <w:instrText xml:space="preserve"> ADDIN EN.CITE &lt;EndNote&gt;&lt;Cite&gt;&lt;Author&gt;Edgar&lt;/Author&gt;&lt;Year&gt;2010&lt;/Year&gt;&lt;RecNum&gt;6687&lt;/RecNum&gt;&lt;DisplayText&gt;[28]&lt;/DisplayText&gt;&lt;record&gt;&lt;rec-number&gt;6687&lt;/rec-number&gt;&lt;foreign-keys&gt;&lt;key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Pr="004B40A6">
        <w:rPr>
          <w:rFonts w:ascii="Arial" w:hAnsi="Arial" w:cs="Arial"/>
          <w:sz w:val="22"/>
          <w:szCs w:val="22"/>
        </w:rPr>
        <w:fldChar w:fldCharType="separate"/>
      </w:r>
      <w:r w:rsidRPr="004B40A6">
        <w:rPr>
          <w:rFonts w:ascii="Arial" w:hAnsi="Arial" w:cs="Arial"/>
          <w:noProof/>
          <w:sz w:val="22"/>
          <w:szCs w:val="22"/>
        </w:rPr>
        <w:t>[28]</w:t>
      </w:r>
      <w:r w:rsidRPr="004B40A6">
        <w:rPr>
          <w:rFonts w:ascii="Arial" w:hAnsi="Arial" w:cs="Arial"/>
          <w:sz w:val="22"/>
          <w:szCs w:val="22"/>
        </w:rPr>
        <w:fldChar w:fldCharType="end"/>
      </w:r>
      <w:r w:rsidRPr="004B40A6">
        <w:rPr>
          <w:rFonts w:ascii="Arial" w:hAnsi="Arial" w:cs="Arial"/>
          <w:sz w:val="22"/>
          <w:szCs w:val="22"/>
        </w:rPr>
        <w:t xml:space="preserve">. The OTUs were filtered with filter_otus_from_otu_table.py (-n 2 option), resulting in a total of </w:t>
      </w:r>
      <w:r w:rsidR="00BC2AE0" w:rsidRPr="00BC2AE0">
        <w:rPr>
          <w:rFonts w:ascii="Arial" w:hAnsi="Arial" w:cs="Arial"/>
          <w:sz w:val="22"/>
          <w:szCs w:val="22"/>
        </w:rPr>
        <w:t xml:space="preserve">472 </w:t>
      </w:r>
      <w:r w:rsidRPr="004B40A6">
        <w:rPr>
          <w:rFonts w:ascii="Arial" w:hAnsi="Arial" w:cs="Arial"/>
          <w:sz w:val="22"/>
          <w:szCs w:val="22"/>
        </w:rPr>
        <w:t xml:space="preserve">OTUs for </w:t>
      </w:r>
      <w:r w:rsidR="00BC2AE0">
        <w:rPr>
          <w:rFonts w:ascii="Arial" w:hAnsi="Arial" w:cs="Arial"/>
          <w:sz w:val="22"/>
          <w:szCs w:val="22"/>
        </w:rPr>
        <w:t xml:space="preserve">site 1 </w:t>
      </w:r>
      <w:r w:rsidRPr="004B40A6">
        <w:rPr>
          <w:rFonts w:ascii="Arial" w:hAnsi="Arial" w:cs="Arial"/>
          <w:sz w:val="22"/>
          <w:szCs w:val="22"/>
        </w:rPr>
        <w:t xml:space="preserve">and </w:t>
      </w:r>
      <w:r w:rsidR="00BC2AE0" w:rsidRPr="00BC2AE0">
        <w:rPr>
          <w:rFonts w:ascii="Arial" w:hAnsi="Arial" w:cs="Arial"/>
          <w:sz w:val="22"/>
          <w:szCs w:val="22"/>
        </w:rPr>
        <w:t xml:space="preserve">329 </w:t>
      </w:r>
      <w:r w:rsidRPr="004B40A6">
        <w:rPr>
          <w:rFonts w:ascii="Arial" w:hAnsi="Arial" w:cs="Arial"/>
          <w:sz w:val="22"/>
          <w:szCs w:val="22"/>
        </w:rPr>
        <w:t xml:space="preserve">OTUs for site </w:t>
      </w:r>
      <w:r w:rsidR="00BC2AE0">
        <w:rPr>
          <w:rFonts w:ascii="Arial" w:hAnsi="Arial" w:cs="Arial"/>
          <w:sz w:val="22"/>
          <w:szCs w:val="22"/>
        </w:rPr>
        <w:t>2</w:t>
      </w:r>
      <w:r w:rsidRPr="004B40A6">
        <w:rPr>
          <w:rFonts w:ascii="Arial" w:hAnsi="Arial" w:cs="Arial"/>
          <w:sz w:val="22"/>
          <w:szCs w:val="22"/>
        </w:rPr>
        <w:t xml:space="preserve">. The taxonomic composition of the samples was visualized with summarize_taxa_through_plots.py (default options). </w:t>
      </w:r>
    </w:p>
    <w:p w14:paraId="10CEDEC6" w14:textId="77777777" w:rsidR="00396869" w:rsidRDefault="00396869" w:rsidP="00E0217F">
      <w:pPr>
        <w:rPr>
          <w:rFonts w:ascii="Arial" w:hAnsi="Arial" w:cs="Arial"/>
          <w:sz w:val="22"/>
          <w:szCs w:val="22"/>
        </w:rPr>
      </w:pPr>
    </w:p>
    <w:p w14:paraId="7360C6A7" w14:textId="2CCD341F" w:rsidR="00396869" w:rsidRDefault="00396869" w:rsidP="00E0217F">
      <w:pPr>
        <w:rPr>
          <w:rFonts w:ascii="Arial" w:hAnsi="Arial" w:cs="Arial"/>
          <w:sz w:val="22"/>
          <w:szCs w:val="22"/>
        </w:rPr>
      </w:pPr>
      <w:r>
        <w:rPr>
          <w:rFonts w:ascii="Arial" w:hAnsi="Arial" w:cs="Arial"/>
          <w:b/>
          <w:sz w:val="22"/>
          <w:szCs w:val="22"/>
        </w:rPr>
        <w:t xml:space="preserve">16S rDNA </w:t>
      </w:r>
      <w:r w:rsidRPr="004B40A6">
        <w:rPr>
          <w:rFonts w:ascii="Arial" w:hAnsi="Arial" w:cs="Arial"/>
          <w:b/>
          <w:sz w:val="22"/>
          <w:szCs w:val="22"/>
        </w:rPr>
        <w:t>amplicon</w:t>
      </w:r>
      <w:r>
        <w:rPr>
          <w:rFonts w:ascii="Arial" w:hAnsi="Arial" w:cs="Arial"/>
          <w:b/>
          <w:sz w:val="22"/>
          <w:szCs w:val="22"/>
        </w:rPr>
        <w:t xml:space="preserve"> statistical analysis</w:t>
      </w:r>
    </w:p>
    <w:p w14:paraId="55EB4910" w14:textId="51A70DF2" w:rsidR="00E15127" w:rsidRDefault="00E0217F" w:rsidP="00E0217F">
      <w:pPr>
        <w:rPr>
          <w:rFonts w:ascii="Arial" w:hAnsi="Arial" w:cs="Arial"/>
          <w:sz w:val="22"/>
          <w:szCs w:val="22"/>
        </w:rPr>
      </w:pPr>
      <w:r w:rsidRPr="004B40A6">
        <w:rPr>
          <w:rFonts w:ascii="Arial" w:hAnsi="Arial" w:cs="Arial"/>
          <w:sz w:val="22"/>
          <w:szCs w:val="22"/>
        </w:rPr>
        <w:t xml:space="preserve">The beta diversity metrics of samples in the two sites were compared by normalizing the OTU tables with normalize_table.py (default options), and then running beta_diversity.py (-m </w:t>
      </w:r>
      <w:proofErr w:type="spellStart"/>
      <w:r w:rsidRPr="004B40A6">
        <w:rPr>
          <w:rFonts w:ascii="Arial" w:hAnsi="Arial" w:cs="Arial"/>
          <w:sz w:val="22"/>
          <w:szCs w:val="22"/>
        </w:rPr>
        <w:lastRenderedPageBreak/>
        <w:t>unweighted_unifrac</w:t>
      </w:r>
      <w:proofErr w:type="spellEnd"/>
      <w:r w:rsidRPr="004B40A6">
        <w:rPr>
          <w:rFonts w:ascii="Arial" w:hAnsi="Arial" w:cs="Arial"/>
          <w:sz w:val="22"/>
          <w:szCs w:val="22"/>
        </w:rPr>
        <w:t xml:space="preserve">, </w:t>
      </w:r>
      <w:proofErr w:type="spellStart"/>
      <w:r w:rsidRPr="004B40A6">
        <w:rPr>
          <w:rFonts w:ascii="Arial" w:hAnsi="Arial" w:cs="Arial"/>
          <w:sz w:val="22"/>
          <w:szCs w:val="22"/>
        </w:rPr>
        <w:t>weighted_unifrac</w:t>
      </w:r>
      <w:proofErr w:type="spellEnd"/>
      <w:r w:rsidRPr="004B40A6">
        <w:rPr>
          <w:rFonts w:ascii="Arial" w:hAnsi="Arial" w:cs="Arial"/>
          <w:sz w:val="22"/>
          <w:szCs w:val="22"/>
        </w:rPr>
        <w:t xml:space="preserve">). The sample dissimilarity matrices were visualized on </w:t>
      </w:r>
      <w:proofErr w:type="spellStart"/>
      <w:r w:rsidRPr="004B40A6">
        <w:rPr>
          <w:rFonts w:ascii="Arial" w:hAnsi="Arial" w:cs="Arial"/>
          <w:sz w:val="22"/>
          <w:szCs w:val="22"/>
        </w:rPr>
        <w:t>PCoA</w:t>
      </w:r>
      <w:proofErr w:type="spellEnd"/>
      <w:r w:rsidRPr="004B40A6">
        <w:rPr>
          <w:rFonts w:ascii="Arial" w:hAnsi="Arial" w:cs="Arial"/>
          <w:sz w:val="22"/>
          <w:szCs w:val="22"/>
        </w:rPr>
        <w:t xml:space="preserve"> plots with principal_coordinates.py</w:t>
      </w:r>
      <w:r w:rsidR="00BC2AE0">
        <w:rPr>
          <w:rFonts w:ascii="Arial" w:hAnsi="Arial" w:cs="Arial"/>
          <w:sz w:val="22"/>
          <w:szCs w:val="22"/>
        </w:rPr>
        <w:t xml:space="preserve"> (default parameters)</w:t>
      </w:r>
      <w:r w:rsidRPr="004B40A6">
        <w:rPr>
          <w:rFonts w:ascii="Arial" w:hAnsi="Arial" w:cs="Arial"/>
          <w:sz w:val="22"/>
          <w:szCs w:val="22"/>
        </w:rPr>
        <w:t xml:space="preserve"> and </w:t>
      </w:r>
      <w:r w:rsidR="0065437D">
        <w:rPr>
          <w:rFonts w:ascii="Arial" w:hAnsi="Arial" w:cs="Arial"/>
          <w:sz w:val="22"/>
          <w:szCs w:val="22"/>
        </w:rPr>
        <w:t xml:space="preserve">clustered heat maps with </w:t>
      </w:r>
      <w:proofErr w:type="spellStart"/>
      <w:r w:rsidR="0065437D">
        <w:rPr>
          <w:rFonts w:ascii="Arial" w:hAnsi="Arial" w:cs="Arial"/>
          <w:sz w:val="22"/>
          <w:szCs w:val="22"/>
        </w:rPr>
        <w:t>cluster</w:t>
      </w:r>
      <w:r w:rsidR="00BC2AE0">
        <w:rPr>
          <w:rFonts w:ascii="Arial" w:hAnsi="Arial" w:cs="Arial"/>
          <w:sz w:val="22"/>
          <w:szCs w:val="22"/>
        </w:rPr>
        <w:t>map</w:t>
      </w:r>
      <w:proofErr w:type="spellEnd"/>
      <w:r w:rsidRPr="004B40A6">
        <w:rPr>
          <w:rFonts w:ascii="Arial" w:hAnsi="Arial" w:cs="Arial"/>
          <w:sz w:val="22"/>
          <w:szCs w:val="22"/>
        </w:rPr>
        <w:t xml:space="preserve"> </w:t>
      </w:r>
      <w:r w:rsidR="00BC2AE0">
        <w:rPr>
          <w:rFonts w:ascii="Arial" w:hAnsi="Arial" w:cs="Arial"/>
          <w:sz w:val="22"/>
          <w:szCs w:val="22"/>
        </w:rPr>
        <w:t xml:space="preserve">in </w:t>
      </w:r>
      <w:proofErr w:type="spellStart"/>
      <w:r w:rsidRPr="004B40A6">
        <w:rPr>
          <w:rFonts w:ascii="Arial" w:hAnsi="Arial" w:cs="Arial"/>
          <w:sz w:val="22"/>
          <w:szCs w:val="22"/>
        </w:rPr>
        <w:t>Seaborn</w:t>
      </w:r>
      <w:proofErr w:type="spellEnd"/>
      <w:r w:rsidRPr="004B40A6">
        <w:rPr>
          <w:rFonts w:ascii="Arial" w:hAnsi="Arial" w:cs="Arial"/>
          <w:sz w:val="22"/>
          <w:szCs w:val="22"/>
        </w:rPr>
        <w:t xml:space="preserve"> v0.8 </w:t>
      </w:r>
      <w:r w:rsidRPr="004B40A6">
        <w:rPr>
          <w:rFonts w:ascii="Arial" w:hAnsi="Arial" w:cs="Arial"/>
          <w:sz w:val="22"/>
          <w:szCs w:val="22"/>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Pr="004B40A6">
        <w:rPr>
          <w:rFonts w:ascii="Arial" w:hAnsi="Arial" w:cs="Arial"/>
          <w:sz w:val="22"/>
          <w:szCs w:val="22"/>
        </w:rPr>
        <w:instrText xml:space="preserve"> ADDIN EN.CITE </w:instrText>
      </w:r>
      <w:r w:rsidRPr="004B40A6">
        <w:rPr>
          <w:rFonts w:ascii="Arial" w:hAnsi="Arial" w:cs="Arial"/>
          <w:sz w:val="22"/>
          <w:szCs w:val="22"/>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Pr="004B40A6">
        <w:rPr>
          <w:rFonts w:ascii="Arial" w:hAnsi="Arial" w:cs="Arial"/>
          <w:sz w:val="22"/>
          <w:szCs w:val="22"/>
        </w:rPr>
        <w:instrText xml:space="preserve"> ADDIN EN.CITE.DATA </w:instrText>
      </w:r>
      <w:r w:rsidRPr="004B40A6">
        <w:rPr>
          <w:rFonts w:ascii="Arial" w:hAnsi="Arial" w:cs="Arial"/>
          <w:sz w:val="22"/>
          <w:szCs w:val="22"/>
        </w:rPr>
      </w:r>
      <w:r w:rsidRPr="004B40A6">
        <w:rPr>
          <w:rFonts w:ascii="Arial" w:hAnsi="Arial" w:cs="Arial"/>
          <w:sz w:val="22"/>
          <w:szCs w:val="22"/>
        </w:rPr>
        <w:fldChar w:fldCharType="end"/>
      </w:r>
      <w:r w:rsidRPr="004B40A6">
        <w:rPr>
          <w:rFonts w:ascii="Arial" w:hAnsi="Arial" w:cs="Arial"/>
          <w:sz w:val="22"/>
          <w:szCs w:val="22"/>
        </w:rPr>
      </w:r>
      <w:r w:rsidRPr="004B40A6">
        <w:rPr>
          <w:rFonts w:ascii="Arial" w:hAnsi="Arial" w:cs="Arial"/>
          <w:sz w:val="22"/>
          <w:szCs w:val="22"/>
        </w:rPr>
        <w:fldChar w:fldCharType="separate"/>
      </w:r>
      <w:r w:rsidRPr="004B40A6">
        <w:rPr>
          <w:rFonts w:ascii="Arial" w:hAnsi="Arial" w:cs="Arial"/>
          <w:noProof/>
          <w:sz w:val="22"/>
          <w:szCs w:val="22"/>
        </w:rPr>
        <w:t>[29]</w:t>
      </w:r>
      <w:r w:rsidRPr="004B40A6">
        <w:rPr>
          <w:rFonts w:ascii="Arial" w:hAnsi="Arial" w:cs="Arial"/>
          <w:sz w:val="22"/>
          <w:szCs w:val="22"/>
        </w:rPr>
        <w:fldChar w:fldCharType="end"/>
      </w:r>
      <w:r w:rsidR="00BC2AE0">
        <w:rPr>
          <w:rFonts w:ascii="Arial" w:hAnsi="Arial" w:cs="Arial"/>
          <w:sz w:val="22"/>
          <w:szCs w:val="22"/>
        </w:rPr>
        <w:t xml:space="preserve"> (</w:t>
      </w:r>
      <w:r w:rsidR="0065437D">
        <w:rPr>
          <w:rFonts w:ascii="Arial" w:hAnsi="Arial" w:cs="Arial"/>
          <w:sz w:val="22"/>
          <w:szCs w:val="22"/>
        </w:rPr>
        <w:t>method=‘average’, metric=‘</w:t>
      </w:r>
      <w:r w:rsidR="0065437D" w:rsidRPr="0065437D">
        <w:rPr>
          <w:rFonts w:ascii="Arial" w:hAnsi="Arial" w:cs="Arial"/>
          <w:sz w:val="22"/>
          <w:szCs w:val="22"/>
        </w:rPr>
        <w:t>correlation</w:t>
      </w:r>
      <w:r w:rsidR="0065437D">
        <w:rPr>
          <w:rFonts w:ascii="Arial" w:hAnsi="Arial" w:cs="Arial"/>
          <w:sz w:val="22"/>
          <w:szCs w:val="22"/>
        </w:rPr>
        <w:t>’</w:t>
      </w:r>
      <w:r w:rsidR="00BC2AE0">
        <w:rPr>
          <w:rFonts w:ascii="Arial" w:hAnsi="Arial" w:cs="Arial"/>
          <w:sz w:val="22"/>
          <w:szCs w:val="22"/>
        </w:rPr>
        <w:t>)</w:t>
      </w:r>
      <w:r w:rsidRPr="004B40A6">
        <w:rPr>
          <w:rFonts w:ascii="Arial" w:hAnsi="Arial" w:cs="Arial"/>
          <w:sz w:val="22"/>
          <w:szCs w:val="22"/>
        </w:rPr>
        <w:t>.</w:t>
      </w:r>
      <w:r w:rsidR="005F320F">
        <w:rPr>
          <w:rFonts w:ascii="Arial" w:hAnsi="Arial" w:cs="Arial"/>
          <w:sz w:val="22"/>
          <w:szCs w:val="22"/>
        </w:rPr>
        <w:t xml:space="preserve"> </w:t>
      </w:r>
      <w:r w:rsidR="00317C3B">
        <w:rPr>
          <w:rFonts w:ascii="Arial" w:hAnsi="Arial" w:cs="Arial"/>
          <w:sz w:val="22"/>
          <w:szCs w:val="22"/>
        </w:rPr>
        <w:t xml:space="preserve">Group significance was determined with </w:t>
      </w:r>
      <w:r w:rsidR="005541CF" w:rsidRPr="005541CF">
        <w:rPr>
          <w:rFonts w:ascii="Arial" w:hAnsi="Arial" w:cs="Arial"/>
          <w:sz w:val="22"/>
          <w:szCs w:val="22"/>
        </w:rPr>
        <w:t xml:space="preserve">compare_categories.py </w:t>
      </w:r>
      <w:r w:rsidR="005541CF">
        <w:rPr>
          <w:rFonts w:ascii="Arial" w:hAnsi="Arial" w:cs="Arial"/>
          <w:sz w:val="22"/>
          <w:szCs w:val="22"/>
        </w:rPr>
        <w:t>(</w:t>
      </w:r>
      <w:r w:rsidR="005541CF" w:rsidRPr="005541CF">
        <w:rPr>
          <w:rFonts w:ascii="Arial" w:hAnsi="Arial" w:cs="Arial"/>
          <w:sz w:val="22"/>
          <w:szCs w:val="22"/>
        </w:rPr>
        <w:t>--method=</w:t>
      </w:r>
      <w:proofErr w:type="spellStart"/>
      <w:r w:rsidR="005541CF" w:rsidRPr="005541CF">
        <w:rPr>
          <w:rFonts w:ascii="Arial" w:hAnsi="Arial" w:cs="Arial"/>
          <w:sz w:val="22"/>
          <w:szCs w:val="22"/>
        </w:rPr>
        <w:t>permanova</w:t>
      </w:r>
      <w:proofErr w:type="spellEnd"/>
      <w:r w:rsidR="005541CF">
        <w:rPr>
          <w:rFonts w:ascii="Arial" w:hAnsi="Arial" w:cs="Arial"/>
          <w:sz w:val="22"/>
          <w:szCs w:val="22"/>
        </w:rPr>
        <w:t>).</w:t>
      </w:r>
      <w:r w:rsidR="005541CF" w:rsidRPr="005541CF">
        <w:rPr>
          <w:rFonts w:ascii="Arial" w:hAnsi="Arial" w:cs="Arial"/>
          <w:sz w:val="22"/>
          <w:szCs w:val="22"/>
        </w:rPr>
        <w:t xml:space="preserve"> </w:t>
      </w:r>
      <w:r w:rsidR="005F320F">
        <w:rPr>
          <w:rFonts w:ascii="Arial" w:hAnsi="Arial" w:cs="Arial"/>
          <w:sz w:val="22"/>
          <w:szCs w:val="22"/>
        </w:rPr>
        <w:t xml:space="preserve">Relative similarity between metadata categories (harvest dates) was calculated with the </w:t>
      </w:r>
      <w:r w:rsidR="005F320F" w:rsidRPr="005F320F">
        <w:rPr>
          <w:rFonts w:ascii="Arial" w:hAnsi="Arial" w:cs="Arial"/>
          <w:sz w:val="22"/>
          <w:szCs w:val="22"/>
        </w:rPr>
        <w:t>make_distance_boxplots.py</w:t>
      </w:r>
      <w:r w:rsidR="005F320F">
        <w:rPr>
          <w:rFonts w:ascii="Arial" w:hAnsi="Arial" w:cs="Arial"/>
          <w:sz w:val="22"/>
          <w:szCs w:val="22"/>
        </w:rPr>
        <w:t xml:space="preserve"> statistical package, which summarized the distances between pairs of sample groups (from Weighted or Unweighted </w:t>
      </w:r>
      <w:proofErr w:type="spellStart"/>
      <w:r w:rsidR="005F320F">
        <w:rPr>
          <w:rFonts w:ascii="Arial" w:hAnsi="Arial" w:cs="Arial"/>
          <w:sz w:val="22"/>
          <w:szCs w:val="22"/>
        </w:rPr>
        <w:t>Unifrac</w:t>
      </w:r>
      <w:proofErr w:type="spellEnd"/>
      <w:r w:rsidR="005F320F">
        <w:rPr>
          <w:rFonts w:ascii="Arial" w:hAnsi="Arial" w:cs="Arial"/>
          <w:sz w:val="22"/>
          <w:szCs w:val="22"/>
        </w:rPr>
        <w:t xml:space="preserve"> dissimilarity matrixes), and then performed a </w:t>
      </w:r>
      <w:r w:rsidR="005F320F" w:rsidRPr="005F320F">
        <w:rPr>
          <w:rFonts w:ascii="Arial" w:hAnsi="Arial" w:cs="Arial"/>
          <w:sz w:val="22"/>
          <w:szCs w:val="22"/>
        </w:rPr>
        <w:t>two-sided Student's two-sample t-test</w:t>
      </w:r>
      <w:r w:rsidR="005F320F">
        <w:rPr>
          <w:rFonts w:ascii="Arial" w:hAnsi="Arial" w:cs="Arial"/>
          <w:sz w:val="22"/>
          <w:szCs w:val="22"/>
        </w:rPr>
        <w:t xml:space="preserve"> to evaluate the significance of differences between the distances.</w:t>
      </w:r>
      <w:r w:rsidR="00570500">
        <w:rPr>
          <w:rFonts w:ascii="Arial" w:hAnsi="Arial" w:cs="Arial"/>
          <w:sz w:val="22"/>
          <w:szCs w:val="22"/>
        </w:rPr>
        <w:t xml:space="preserve"> </w:t>
      </w:r>
      <w:r w:rsidR="00F37D7E">
        <w:rPr>
          <w:rFonts w:ascii="Arial" w:hAnsi="Arial" w:cs="Arial"/>
          <w:sz w:val="22"/>
          <w:szCs w:val="22"/>
        </w:rPr>
        <w:t>Relative a</w:t>
      </w:r>
      <w:r w:rsidR="00570500">
        <w:rPr>
          <w:rFonts w:ascii="Arial" w:hAnsi="Arial" w:cs="Arial"/>
          <w:sz w:val="22"/>
          <w:szCs w:val="22"/>
        </w:rPr>
        <w:t xml:space="preserve">bundance of </w:t>
      </w:r>
      <w:r w:rsidR="0031368F">
        <w:rPr>
          <w:rFonts w:ascii="Arial" w:hAnsi="Arial" w:cs="Arial"/>
          <w:sz w:val="22"/>
          <w:szCs w:val="22"/>
        </w:rPr>
        <w:t xml:space="preserve">phyla </w:t>
      </w:r>
      <w:r w:rsidR="00F37D7E">
        <w:rPr>
          <w:rFonts w:ascii="Arial" w:hAnsi="Arial" w:cs="Arial"/>
          <w:sz w:val="22"/>
          <w:szCs w:val="22"/>
        </w:rPr>
        <w:t xml:space="preserve">and domain taxa were computed from the sum of abundances of OTUs with their respective taxonomy, and group significance calculated with a </w:t>
      </w:r>
      <w:r w:rsidR="00F37D7E" w:rsidRPr="005F320F">
        <w:rPr>
          <w:rFonts w:ascii="Arial" w:hAnsi="Arial" w:cs="Arial"/>
          <w:sz w:val="22"/>
          <w:szCs w:val="22"/>
        </w:rPr>
        <w:t>two-sided Student's two-sample t-test</w:t>
      </w:r>
      <w:r w:rsidR="00F37D7E">
        <w:rPr>
          <w:rFonts w:ascii="Arial" w:hAnsi="Arial" w:cs="Arial"/>
          <w:sz w:val="22"/>
          <w:szCs w:val="22"/>
        </w:rPr>
        <w:t xml:space="preserve">. </w:t>
      </w:r>
    </w:p>
    <w:p w14:paraId="4F0A5BEE" w14:textId="77777777" w:rsidR="008D37B3" w:rsidRPr="004B40A6" w:rsidRDefault="008D37B3" w:rsidP="00E0217F">
      <w:pPr>
        <w:rPr>
          <w:rFonts w:ascii="Arial" w:hAnsi="Arial" w:cs="Arial"/>
          <w:sz w:val="22"/>
          <w:szCs w:val="22"/>
        </w:rPr>
      </w:pPr>
    </w:p>
    <w:p w14:paraId="264A4A82" w14:textId="13870620" w:rsidR="00E0217F" w:rsidRPr="004B40A6" w:rsidRDefault="00E0217F" w:rsidP="00E0217F">
      <w:pPr>
        <w:rPr>
          <w:rFonts w:ascii="Arial" w:hAnsi="Arial" w:cs="Arial"/>
          <w:b/>
          <w:sz w:val="22"/>
          <w:szCs w:val="22"/>
        </w:rPr>
      </w:pPr>
      <w:r w:rsidRPr="004B40A6">
        <w:rPr>
          <w:rFonts w:ascii="Arial" w:hAnsi="Arial" w:cs="Arial"/>
          <w:b/>
          <w:sz w:val="22"/>
          <w:szCs w:val="22"/>
        </w:rPr>
        <w:t xml:space="preserve">WMG sequence </w:t>
      </w:r>
      <w:r w:rsidR="00D20932">
        <w:rPr>
          <w:rFonts w:ascii="Arial" w:hAnsi="Arial" w:cs="Arial"/>
          <w:b/>
          <w:sz w:val="22"/>
          <w:szCs w:val="22"/>
        </w:rPr>
        <w:t>processing</w:t>
      </w:r>
    </w:p>
    <w:p w14:paraId="03134C8D" w14:textId="77777777" w:rsidR="002F762B" w:rsidRDefault="00E0217F" w:rsidP="00E0217F">
      <w:pPr>
        <w:rPr>
          <w:rFonts w:ascii="Arial" w:hAnsi="Arial" w:cs="Arial"/>
          <w:sz w:val="22"/>
          <w:szCs w:val="22"/>
        </w:rPr>
      </w:pPr>
      <w:r w:rsidRPr="004B40A6">
        <w:rPr>
          <w:rFonts w:ascii="Arial" w:hAnsi="Arial" w:cs="Arial"/>
          <w:sz w:val="22"/>
          <w:szCs w:val="22"/>
        </w:rPr>
        <w:t xml:space="preserve">The de-multiplexed WMG sequencing reads were processed with the complete metaWRAP </w:t>
      </w:r>
      <w:r w:rsidR="00721357">
        <w:rPr>
          <w:rFonts w:ascii="Arial" w:hAnsi="Arial" w:cs="Arial"/>
          <w:sz w:val="22"/>
          <w:szCs w:val="22"/>
        </w:rPr>
        <w:t xml:space="preserve">v0.8.2 </w:t>
      </w:r>
      <w:r w:rsidRPr="004B40A6">
        <w:rPr>
          <w:rFonts w:ascii="Arial" w:hAnsi="Arial" w:cs="Arial"/>
          <w:sz w:val="22"/>
          <w:szCs w:val="22"/>
        </w:rPr>
        <w:t xml:space="preserve">pipeline </w:t>
      </w:r>
      <w:r w:rsidRPr="004B40A6">
        <w:rPr>
          <w:rFonts w:ascii="Arial" w:hAnsi="Arial" w:cs="Arial"/>
          <w:sz w:val="22"/>
          <w:szCs w:val="22"/>
        </w:rPr>
        <w:fldChar w:fldCharType="begin"/>
      </w:r>
      <w:r w:rsidRPr="004B40A6">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Pr="004B40A6">
        <w:rPr>
          <w:rFonts w:ascii="Arial" w:hAnsi="Arial" w:cs="Arial"/>
          <w:sz w:val="22"/>
          <w:szCs w:val="22"/>
        </w:rPr>
        <w:fldChar w:fldCharType="separate"/>
      </w:r>
      <w:r w:rsidRPr="004B40A6">
        <w:rPr>
          <w:rFonts w:ascii="Arial" w:hAnsi="Arial" w:cs="Arial"/>
          <w:noProof/>
          <w:sz w:val="22"/>
          <w:szCs w:val="22"/>
        </w:rPr>
        <w:t>[25]</w:t>
      </w:r>
      <w:r w:rsidRPr="004B40A6">
        <w:rPr>
          <w:rFonts w:ascii="Arial" w:hAnsi="Arial" w:cs="Arial"/>
          <w:sz w:val="22"/>
          <w:szCs w:val="22"/>
        </w:rPr>
        <w:fldChar w:fldCharType="end"/>
      </w:r>
      <w:r w:rsidR="00F213D8">
        <w:rPr>
          <w:rFonts w:ascii="Arial" w:hAnsi="Arial" w:cs="Arial"/>
          <w:sz w:val="22"/>
          <w:szCs w:val="22"/>
        </w:rPr>
        <w:t xml:space="preserve"> with recommended databases</w:t>
      </w:r>
      <w:r w:rsidRPr="004B40A6">
        <w:rPr>
          <w:rFonts w:ascii="Arial" w:hAnsi="Arial" w:cs="Arial"/>
          <w:sz w:val="22"/>
          <w:szCs w:val="22"/>
        </w:rPr>
        <w:t xml:space="preserve"> on a UNIX cluster with 48 cores and 1024GB of RAM available. Read trimming and human contamination removal was done by the metaWRAP </w:t>
      </w:r>
      <w:proofErr w:type="spellStart"/>
      <w:r w:rsidRPr="004B40A6">
        <w:rPr>
          <w:rFonts w:ascii="Arial" w:hAnsi="Arial" w:cs="Arial"/>
          <w:sz w:val="22"/>
          <w:szCs w:val="22"/>
        </w:rPr>
        <w:t>Read_qc</w:t>
      </w:r>
      <w:proofErr w:type="spellEnd"/>
      <w:r w:rsidRPr="004B40A6">
        <w:rPr>
          <w:rFonts w:ascii="Arial" w:hAnsi="Arial" w:cs="Arial"/>
          <w:sz w:val="22"/>
          <w:szCs w:val="22"/>
        </w:rPr>
        <w:t xml:space="preserve"> module (default parameters) on each separate sample. The taxonomic profiling was done on the trimmed reads with the metaWRAP Kraken module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&lt;EndNote&gt;&lt;Cite&gt;&lt;Author&gt;Wood&lt;/Author&gt;&lt;Year&gt;2014&lt;/Year&gt;&lt;RecNum&gt;8467&lt;/RecNum&gt;&lt;DisplayText&gt;[30]&lt;/DisplayText&gt;&lt;record&gt;&lt;rec-number&gt;8467&lt;/rec-number&gt;&lt;foreign-keys&gt;&lt;key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F213D8">
        <w:rPr>
          <w:rFonts w:ascii="Arial" w:hAnsi="Arial" w:cs="Arial"/>
          <w:sz w:val="22"/>
          <w:szCs w:val="22"/>
        </w:rPr>
        <w:fldChar w:fldCharType="separate"/>
      </w:r>
      <w:r w:rsidR="00F213D8">
        <w:rPr>
          <w:rFonts w:ascii="Arial" w:hAnsi="Arial" w:cs="Arial"/>
          <w:noProof/>
          <w:sz w:val="22"/>
          <w:szCs w:val="22"/>
        </w:rPr>
        <w:t>[30]</w:t>
      </w:r>
      <w:r w:rsidR="00F213D8">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(default parameters, standard KRAKEN database</w:t>
      </w:r>
      <w:r w:rsidR="00721357">
        <w:rPr>
          <w:rFonts w:ascii="Arial" w:hAnsi="Arial" w:cs="Arial"/>
          <w:sz w:val="22"/>
          <w:szCs w:val="22"/>
        </w:rPr>
        <w:t>, 2017</w:t>
      </w:r>
      <w:r w:rsidRPr="004B40A6">
        <w:rPr>
          <w:rFonts w:ascii="Arial" w:hAnsi="Arial" w:cs="Arial"/>
          <w:sz w:val="22"/>
          <w:szCs w:val="22"/>
        </w:rPr>
        <w:t xml:space="preserve">). The reads from all samples were </w:t>
      </w:r>
      <w:r w:rsidR="00105267">
        <w:rPr>
          <w:rFonts w:ascii="Arial" w:hAnsi="Arial" w:cs="Arial"/>
          <w:sz w:val="22"/>
          <w:szCs w:val="22"/>
        </w:rPr>
        <w:t xml:space="preserve">individually assembled (for </w:t>
      </w:r>
      <w:proofErr w:type="spellStart"/>
      <w:r w:rsidR="00105267" w:rsidRPr="00105267">
        <w:rPr>
          <w:rFonts w:ascii="Arial" w:hAnsi="Arial" w:cs="Arial"/>
          <w:i/>
          <w:sz w:val="22"/>
          <w:szCs w:val="22"/>
        </w:rPr>
        <w:t>pI</w:t>
      </w:r>
      <w:proofErr w:type="spellEnd"/>
      <w:r w:rsidR="00105267">
        <w:rPr>
          <w:rFonts w:ascii="Arial" w:hAnsi="Arial" w:cs="Arial"/>
          <w:i/>
          <w:sz w:val="22"/>
          <w:szCs w:val="22"/>
        </w:rPr>
        <w:t xml:space="preserve"> </w:t>
      </w:r>
      <w:r w:rsidR="00105267">
        <w:rPr>
          <w:rFonts w:ascii="Arial" w:hAnsi="Arial" w:cs="Arial"/>
          <w:sz w:val="22"/>
          <w:szCs w:val="22"/>
        </w:rPr>
        <w:t xml:space="preserve">calculations) and </w:t>
      </w:r>
      <w:r w:rsidRPr="004B40A6">
        <w:rPr>
          <w:rFonts w:ascii="Arial" w:hAnsi="Arial" w:cs="Arial"/>
          <w:sz w:val="22"/>
          <w:szCs w:val="22"/>
        </w:rPr>
        <w:t xml:space="preserve">co-assembled </w:t>
      </w:r>
      <w:r w:rsidR="00105267">
        <w:rPr>
          <w:rFonts w:ascii="Arial" w:hAnsi="Arial" w:cs="Arial"/>
          <w:sz w:val="22"/>
          <w:szCs w:val="22"/>
        </w:rPr>
        <w:t xml:space="preserve">(for all other analysis) </w:t>
      </w:r>
      <w:r w:rsidRPr="004B40A6">
        <w:rPr>
          <w:rFonts w:ascii="Arial" w:hAnsi="Arial" w:cs="Arial"/>
          <w:sz w:val="22"/>
          <w:szCs w:val="22"/>
        </w:rPr>
        <w:t>with the metaWRAP Assembly module (--use-</w:t>
      </w:r>
      <w:proofErr w:type="spellStart"/>
      <w:r w:rsidRPr="004B40A6">
        <w:rPr>
          <w:rFonts w:ascii="Arial" w:hAnsi="Arial" w:cs="Arial"/>
          <w:sz w:val="22"/>
          <w:szCs w:val="22"/>
        </w:rPr>
        <w:t>metastades</w:t>
      </w:r>
      <w:proofErr w:type="spellEnd"/>
      <w:r w:rsidRPr="004B40A6">
        <w:rPr>
          <w:rFonts w:ascii="Arial" w:hAnsi="Arial" w:cs="Arial"/>
          <w:sz w:val="22"/>
          <w:szCs w:val="22"/>
        </w:rPr>
        <w:t xml:space="preserve"> option)</w:t>
      </w:r>
      <w:r w:rsidR="00F213D8">
        <w:rPr>
          <w:rFonts w:ascii="Arial" w:hAnsi="Arial" w:cs="Arial"/>
          <w:sz w:val="22"/>
          <w:szCs w:val="22"/>
        </w:rPr>
        <w:t xml:space="preserve">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&lt;EndNote&gt;&lt;Cite&gt;&lt;Author&gt;Nurk&lt;/Author&gt;&lt;Year&gt;2017&lt;/Year&gt;&lt;RecNum&gt;8491&lt;/RecNum&gt;&lt;DisplayText&gt;[31]&lt;/DisplayText&gt;&lt;record&gt;&lt;rec-number&gt;8491&lt;/rec-number&gt;&lt;foreign-keys&gt;&lt;key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F213D8">
        <w:rPr>
          <w:rFonts w:ascii="Arial" w:hAnsi="Arial" w:cs="Arial"/>
          <w:sz w:val="22"/>
          <w:szCs w:val="22"/>
        </w:rPr>
        <w:fldChar w:fldCharType="separate"/>
      </w:r>
      <w:r w:rsidR="00F213D8">
        <w:rPr>
          <w:rFonts w:ascii="Arial" w:hAnsi="Arial" w:cs="Arial"/>
          <w:noProof/>
          <w:sz w:val="22"/>
          <w:szCs w:val="22"/>
        </w:rPr>
        <w:t>[31]</w:t>
      </w:r>
      <w:r w:rsidR="00F213D8">
        <w:rPr>
          <w:rFonts w:ascii="Arial" w:hAnsi="Arial" w:cs="Arial"/>
          <w:sz w:val="22"/>
          <w:szCs w:val="22"/>
        </w:rPr>
        <w:fldChar w:fldCharType="end"/>
      </w:r>
      <w:r w:rsidRPr="004B40A6">
        <w:rPr>
          <w:rFonts w:ascii="Arial" w:hAnsi="Arial" w:cs="Arial"/>
          <w:sz w:val="22"/>
          <w:szCs w:val="22"/>
        </w:rPr>
        <w:t>. For improved assembly and binning of low-</w:t>
      </w:r>
      <w:r w:rsidR="00232AB7">
        <w:rPr>
          <w:rFonts w:ascii="Arial" w:hAnsi="Arial" w:cs="Arial"/>
          <w:sz w:val="22"/>
          <w:szCs w:val="22"/>
        </w:rPr>
        <w:t>abundance organisms</w:t>
      </w:r>
      <w:r w:rsidRPr="004B40A6">
        <w:rPr>
          <w:rFonts w:ascii="Arial" w:hAnsi="Arial" w:cs="Arial"/>
          <w:sz w:val="22"/>
          <w:szCs w:val="22"/>
        </w:rPr>
        <w:t xml:space="preserve">, reads from all samples </w:t>
      </w:r>
      <w:r w:rsidR="00232AB7">
        <w:rPr>
          <w:rFonts w:ascii="Arial" w:hAnsi="Arial" w:cs="Arial"/>
          <w:sz w:val="22"/>
          <w:szCs w:val="22"/>
        </w:rPr>
        <w:t xml:space="preserve">co-assembled and subsequently binned </w:t>
      </w:r>
      <w:r w:rsidRPr="004B40A6">
        <w:rPr>
          <w:rFonts w:ascii="Arial" w:hAnsi="Arial" w:cs="Arial"/>
          <w:sz w:val="22"/>
          <w:szCs w:val="22"/>
        </w:rPr>
        <w:t xml:space="preserve">with the metaWRAP Binning module (--maxbin2 --concoct --metabat2 options) while using all the available samples for differential coverage information. The resulting bins were then consolidated into a final bin set with </w:t>
      </w:r>
      <w:proofErr w:type="spellStart"/>
      <w:r w:rsidRPr="004B40A6">
        <w:rPr>
          <w:rFonts w:ascii="Arial" w:hAnsi="Arial" w:cs="Arial"/>
          <w:sz w:val="22"/>
          <w:szCs w:val="22"/>
        </w:rPr>
        <w:t>metaWRAP’</w:t>
      </w:r>
      <w:r w:rsidR="00721357">
        <w:rPr>
          <w:rFonts w:ascii="Arial" w:hAnsi="Arial" w:cs="Arial"/>
          <w:sz w:val="22"/>
          <w:szCs w:val="22"/>
        </w:rPr>
        <w:t>s</w:t>
      </w:r>
      <w:proofErr w:type="spellEnd"/>
      <w:r w:rsidR="00721357">
        <w:rPr>
          <w:rFonts w:ascii="Arial" w:hAnsi="Arial" w:cs="Arial"/>
          <w:sz w:val="22"/>
          <w:szCs w:val="22"/>
        </w:rPr>
        <w:t xml:space="preserve"> </w:t>
      </w:r>
      <w:proofErr w:type="spellStart"/>
      <w:r w:rsidR="00721357">
        <w:rPr>
          <w:rFonts w:ascii="Arial" w:hAnsi="Arial" w:cs="Arial"/>
          <w:sz w:val="22"/>
          <w:szCs w:val="22"/>
        </w:rPr>
        <w:t>Bin_refinement</w:t>
      </w:r>
      <w:proofErr w:type="spellEnd"/>
      <w:r w:rsidR="00721357">
        <w:rPr>
          <w:rFonts w:ascii="Arial" w:hAnsi="Arial" w:cs="Arial"/>
          <w:sz w:val="22"/>
          <w:szCs w:val="22"/>
        </w:rPr>
        <w:t xml:space="preserve"> module (-c 70 -</w:t>
      </w:r>
      <w:r w:rsidRPr="004B40A6">
        <w:rPr>
          <w:rFonts w:ascii="Arial" w:hAnsi="Arial" w:cs="Arial"/>
          <w:sz w:val="22"/>
          <w:szCs w:val="22"/>
        </w:rPr>
        <w:t xml:space="preserve">x 5 options). The bins and the contig taxonomy were then visualized with the </w:t>
      </w:r>
      <w:proofErr w:type="spellStart"/>
      <w:r w:rsidRPr="004B40A6">
        <w:rPr>
          <w:rFonts w:ascii="Arial" w:hAnsi="Arial" w:cs="Arial"/>
          <w:sz w:val="22"/>
          <w:szCs w:val="22"/>
        </w:rPr>
        <w:t>Blobology</w:t>
      </w:r>
      <w:proofErr w:type="spellEnd"/>
      <w:r w:rsidRPr="004B40A6">
        <w:rPr>
          <w:rFonts w:ascii="Arial" w:hAnsi="Arial" w:cs="Arial"/>
          <w:sz w:val="22"/>
          <w:szCs w:val="22"/>
        </w:rPr>
        <w:t xml:space="preserve">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&lt;EndNote&gt;&lt;Cite&gt;&lt;Author&gt;Kumar&lt;/Author&gt;&lt;Year&gt;2013&lt;/Year&gt;&lt;RecNum&gt;8279&lt;/RecNum&gt;&lt;DisplayText&gt;[32]&lt;/DisplayText&gt;&lt;record&gt;&lt;rec-number&gt;8279&lt;/rec-number&gt;&lt;foreign-keys&gt;&lt;key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F213D8">
        <w:rPr>
          <w:rFonts w:ascii="Arial" w:hAnsi="Arial" w:cs="Arial"/>
          <w:sz w:val="22"/>
          <w:szCs w:val="22"/>
        </w:rPr>
        <w:fldChar w:fldCharType="separate"/>
      </w:r>
      <w:r w:rsidR="00F213D8">
        <w:rPr>
          <w:rFonts w:ascii="Arial" w:hAnsi="Arial" w:cs="Arial"/>
          <w:noProof/>
          <w:sz w:val="22"/>
          <w:szCs w:val="22"/>
        </w:rPr>
        <w:t>[32]</w:t>
      </w:r>
      <w:r w:rsidR="00F213D8">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 xml:space="preserve">module (--bins option specified), classified with the </w:t>
      </w:r>
      <w:proofErr w:type="spellStart"/>
      <w:r w:rsidRPr="004B40A6">
        <w:rPr>
          <w:rFonts w:ascii="Arial" w:hAnsi="Arial" w:cs="Arial"/>
          <w:sz w:val="22"/>
          <w:szCs w:val="22"/>
        </w:rPr>
        <w:t>Classify_bins</w:t>
      </w:r>
      <w:proofErr w:type="spellEnd"/>
      <w:r w:rsidRPr="004B40A6">
        <w:rPr>
          <w:rFonts w:ascii="Arial" w:hAnsi="Arial" w:cs="Arial"/>
          <w:sz w:val="22"/>
          <w:szCs w:val="22"/>
        </w:rPr>
        <w:t xml:space="preserve"> module (default parameters), and quantified </w:t>
      </w:r>
      <w:r w:rsidR="00F213D8">
        <w:rPr>
          <w:rFonts w:ascii="Arial" w:hAnsi="Arial" w:cs="Arial"/>
          <w:sz w:val="22"/>
          <w:szCs w:val="22"/>
        </w:rPr>
        <w:t xml:space="preserve">by Salmon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&lt;EndNote&gt;&lt;Cite&gt;&lt;Author&gt;Patro&lt;/Author&gt;&lt;Year&gt;2017&lt;/Year&gt;&lt;RecNum&gt;8556&lt;/RecNum&gt;&lt;DisplayText&gt;[33]&lt;/DisplayText&gt;&lt;record&gt;&lt;rec-number&gt;8556&lt;/rec-number&gt;&lt;foreign-keys&gt;&lt;key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F213D8">
        <w:rPr>
          <w:rFonts w:ascii="Arial" w:hAnsi="Arial" w:cs="Arial"/>
          <w:sz w:val="22"/>
          <w:szCs w:val="22"/>
        </w:rPr>
        <w:fldChar w:fldCharType="separate"/>
      </w:r>
      <w:r w:rsidR="00F213D8">
        <w:rPr>
          <w:rFonts w:ascii="Arial" w:hAnsi="Arial" w:cs="Arial"/>
          <w:noProof/>
          <w:sz w:val="22"/>
          <w:szCs w:val="22"/>
        </w:rPr>
        <w:t>[33]</w:t>
      </w:r>
      <w:r w:rsidR="00F213D8">
        <w:rPr>
          <w:rFonts w:ascii="Arial" w:hAnsi="Arial" w:cs="Arial"/>
          <w:sz w:val="22"/>
          <w:szCs w:val="22"/>
        </w:rPr>
        <w:fldChar w:fldCharType="end"/>
      </w:r>
      <w:r w:rsidR="00F213D8">
        <w:rPr>
          <w:rFonts w:ascii="Arial" w:hAnsi="Arial" w:cs="Arial"/>
          <w:sz w:val="22"/>
          <w:szCs w:val="22"/>
        </w:rPr>
        <w:t xml:space="preserve"> with </w:t>
      </w:r>
      <w:r w:rsidRPr="004B40A6">
        <w:rPr>
          <w:rFonts w:ascii="Arial" w:hAnsi="Arial" w:cs="Arial"/>
          <w:sz w:val="22"/>
          <w:szCs w:val="22"/>
        </w:rPr>
        <w:t xml:space="preserve">the </w:t>
      </w:r>
      <w:proofErr w:type="spellStart"/>
      <w:r w:rsidRPr="004B40A6">
        <w:rPr>
          <w:rFonts w:ascii="Arial" w:hAnsi="Arial" w:cs="Arial"/>
          <w:sz w:val="22"/>
          <w:szCs w:val="22"/>
        </w:rPr>
        <w:t>Quant_bins</w:t>
      </w:r>
      <w:proofErr w:type="spellEnd"/>
      <w:r w:rsidRPr="004B40A6">
        <w:rPr>
          <w:rFonts w:ascii="Arial" w:hAnsi="Arial" w:cs="Arial"/>
          <w:sz w:val="22"/>
          <w:szCs w:val="22"/>
        </w:rPr>
        <w:t xml:space="preserve"> module (default parameters). </w:t>
      </w:r>
      <w:r w:rsidR="003F72F8">
        <w:rPr>
          <w:rFonts w:ascii="Arial" w:hAnsi="Arial" w:cs="Arial"/>
          <w:sz w:val="22"/>
          <w:szCs w:val="22"/>
        </w:rPr>
        <w:t xml:space="preserve">Contig read depth was estimated with the </w:t>
      </w:r>
      <w:proofErr w:type="spellStart"/>
      <w:r w:rsidR="003F72F8">
        <w:rPr>
          <w:rFonts w:ascii="Arial" w:hAnsi="Arial" w:cs="Arial"/>
          <w:sz w:val="22"/>
          <w:szCs w:val="22"/>
        </w:rPr>
        <w:t>metaW</w:t>
      </w:r>
      <w:r w:rsidR="00F213D8">
        <w:rPr>
          <w:rFonts w:ascii="Arial" w:hAnsi="Arial" w:cs="Arial"/>
          <w:sz w:val="22"/>
          <w:szCs w:val="22"/>
        </w:rPr>
        <w:t>A</w:t>
      </w:r>
      <w:r w:rsidR="003F72F8">
        <w:rPr>
          <w:rFonts w:ascii="Arial" w:hAnsi="Arial" w:cs="Arial"/>
          <w:sz w:val="22"/>
          <w:szCs w:val="22"/>
        </w:rPr>
        <w:t>RP’s</w:t>
      </w:r>
      <w:proofErr w:type="spellEnd"/>
      <w:r w:rsidR="003F72F8">
        <w:rPr>
          <w:rFonts w:ascii="Arial" w:hAnsi="Arial" w:cs="Arial"/>
          <w:sz w:val="22"/>
          <w:szCs w:val="22"/>
        </w:rPr>
        <w:t xml:space="preserve"> </w:t>
      </w:r>
      <w:proofErr w:type="spellStart"/>
      <w:r w:rsidR="003F72F8">
        <w:rPr>
          <w:rFonts w:ascii="Arial" w:hAnsi="Arial" w:cs="Arial"/>
          <w:sz w:val="22"/>
          <w:szCs w:val="22"/>
        </w:rPr>
        <w:t>Quant_bins</w:t>
      </w:r>
      <w:proofErr w:type="spellEnd"/>
      <w:r w:rsidR="003F72F8">
        <w:rPr>
          <w:rFonts w:ascii="Arial" w:hAnsi="Arial" w:cs="Arial"/>
          <w:sz w:val="22"/>
          <w:szCs w:val="22"/>
        </w:rPr>
        <w:t xml:space="preserve"> module, and the weighted contig abundance calculated by multiplying the </w:t>
      </w:r>
      <w:proofErr w:type="spellStart"/>
      <w:r w:rsidR="00B02AE0">
        <w:rPr>
          <w:rFonts w:ascii="Arial" w:hAnsi="Arial" w:cs="Arial"/>
          <w:sz w:val="22"/>
          <w:szCs w:val="22"/>
        </w:rPr>
        <w:t>contig’s</w:t>
      </w:r>
      <w:proofErr w:type="spellEnd"/>
      <w:r w:rsidR="00B02AE0">
        <w:rPr>
          <w:rFonts w:ascii="Arial" w:hAnsi="Arial" w:cs="Arial"/>
          <w:sz w:val="22"/>
          <w:szCs w:val="22"/>
        </w:rPr>
        <w:t xml:space="preserve"> </w:t>
      </w:r>
      <w:r w:rsidR="003F72F8">
        <w:rPr>
          <w:rFonts w:ascii="Arial" w:hAnsi="Arial" w:cs="Arial"/>
          <w:sz w:val="22"/>
          <w:szCs w:val="22"/>
        </w:rPr>
        <w:t xml:space="preserve">depth by </w:t>
      </w:r>
      <w:r w:rsidR="00B02AE0">
        <w:rPr>
          <w:rFonts w:ascii="Arial" w:hAnsi="Arial" w:cs="Arial"/>
          <w:sz w:val="22"/>
          <w:szCs w:val="22"/>
        </w:rPr>
        <w:t xml:space="preserve">its </w:t>
      </w:r>
      <w:r w:rsidR="00105267">
        <w:rPr>
          <w:rFonts w:ascii="Arial" w:hAnsi="Arial" w:cs="Arial"/>
          <w:sz w:val="22"/>
          <w:szCs w:val="22"/>
        </w:rPr>
        <w:t>length</w:t>
      </w:r>
      <w:r w:rsidR="00166A45">
        <w:rPr>
          <w:rFonts w:ascii="Arial" w:hAnsi="Arial" w:cs="Arial"/>
          <w:sz w:val="22"/>
          <w:szCs w:val="22"/>
        </w:rPr>
        <w:t>, and standardizing to the total contig abundance in each replicate</w:t>
      </w:r>
      <w:r w:rsidR="00105267">
        <w:rPr>
          <w:rFonts w:ascii="Arial" w:hAnsi="Arial" w:cs="Arial"/>
          <w:sz w:val="22"/>
          <w:szCs w:val="22"/>
        </w:rPr>
        <w:t>.</w:t>
      </w:r>
      <w:r w:rsidR="008F0D79" w:rsidRPr="008F0D79">
        <w:rPr>
          <w:rFonts w:ascii="Arial" w:hAnsi="Arial" w:cs="Arial"/>
          <w:sz w:val="22"/>
          <w:szCs w:val="22"/>
        </w:rPr>
        <w:t xml:space="preserve"> </w:t>
      </w:r>
    </w:p>
    <w:p w14:paraId="5AAAA380" w14:textId="77777777" w:rsidR="002F762B" w:rsidRDefault="002F762B" w:rsidP="00E0217F">
      <w:pPr>
        <w:rPr>
          <w:rFonts w:ascii="Arial" w:hAnsi="Arial" w:cs="Arial"/>
          <w:sz w:val="22"/>
          <w:szCs w:val="22"/>
        </w:rPr>
      </w:pPr>
    </w:p>
    <w:p w14:paraId="5F4F4AE0" w14:textId="7FF86A5C" w:rsidR="002F762B" w:rsidRPr="002F762B" w:rsidRDefault="002F762B" w:rsidP="00E0217F">
      <w:pPr>
        <w:rPr>
          <w:rFonts w:ascii="Arial" w:hAnsi="Arial" w:cs="Arial"/>
          <w:b/>
          <w:sz w:val="22"/>
          <w:szCs w:val="22"/>
        </w:rPr>
      </w:pPr>
      <w:r w:rsidRPr="002F762B">
        <w:rPr>
          <w:rFonts w:ascii="Arial" w:hAnsi="Arial" w:cs="Arial"/>
          <w:b/>
          <w:sz w:val="22"/>
          <w:szCs w:val="22"/>
        </w:rPr>
        <w:t>Functional annotation</w:t>
      </w:r>
    </w:p>
    <w:p w14:paraId="2F32AC99" w14:textId="166C7AAB" w:rsidR="0047216E" w:rsidRDefault="008F0D79" w:rsidP="00E0217F">
      <w:pPr>
        <w:rPr>
          <w:rFonts w:ascii="Arial" w:hAnsi="Arial" w:cs="Arial"/>
          <w:sz w:val="22"/>
          <w:szCs w:val="22"/>
        </w:rPr>
      </w:pPr>
      <w:r w:rsidRPr="004B40A6">
        <w:rPr>
          <w:rFonts w:ascii="Arial" w:hAnsi="Arial" w:cs="Arial"/>
          <w:sz w:val="22"/>
          <w:szCs w:val="22"/>
        </w:rPr>
        <w:t xml:space="preserve">Gene prediction and functional annotation of the co-assembly was done with the </w:t>
      </w:r>
      <w:r>
        <w:rPr>
          <w:rFonts w:ascii="Arial" w:hAnsi="Arial" w:cs="Arial"/>
          <w:sz w:val="22"/>
          <w:szCs w:val="22"/>
        </w:rPr>
        <w:t xml:space="preserve">JGI </w:t>
      </w:r>
      <w:r w:rsidRPr="004B40A6">
        <w:rPr>
          <w:rFonts w:ascii="Arial" w:hAnsi="Arial" w:cs="Arial"/>
          <w:sz w:val="22"/>
          <w:szCs w:val="22"/>
        </w:rPr>
        <w:t xml:space="preserve">Integrated Microbial Genomes &amp; Microbiomes (IMG) </w:t>
      </w:r>
      <w:r>
        <w:rPr>
          <w:rFonts w:ascii="Arial" w:hAnsi="Arial" w:cs="Arial"/>
          <w:sz w:val="22"/>
          <w:szCs w:val="22"/>
        </w:rPr>
        <w:fldChar w:fldCharType="begin">
          <w:fldData xml:space="preserve">PEVuZE5vdGU+PENpdGU+PEF1dGhvcj5DaGVuPC9BdXRob3I+PFllYXI+MjAxNzwvWWVhcj48UmVj
TnVtPjg0NDE8L1JlY051bT48RGlzcGxheVRleHQ+WzM0XTwvRGlzcGxheVRleHQ+PHJlY29yZD48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213D8">
        <w:rPr>
          <w:rFonts w:ascii="Arial" w:hAnsi="Arial" w:cs="Arial"/>
          <w:sz w:val="22"/>
          <w:szCs w:val="22"/>
        </w:rPr>
        <w:instrText xml:space="preserve"> ADDIN EN.CITE </w:instrText>
      </w:r>
      <w:r w:rsidR="00F213D8">
        <w:rPr>
          <w:rFonts w:ascii="Arial" w:hAnsi="Arial" w:cs="Arial"/>
          <w:sz w:val="22"/>
          <w:szCs w:val="22"/>
        </w:rPr>
        <w:fldChar w:fldCharType="begin">
          <w:fldData xml:space="preserve">PEVuZE5vdGU+PENpdGU+PEF1dGhvcj5DaGVuPC9BdXRob3I+PFllYXI+MjAxNzwvWWVhcj48UmVj
TnVtPjg0NDE8L1JlY051bT48RGlzcGxheVRleHQ+WzM0XTwvRGlzcGxheVRleHQ+PHJlY29yZD48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213D8">
        <w:rPr>
          <w:rFonts w:ascii="Arial" w:hAnsi="Arial" w:cs="Arial"/>
          <w:sz w:val="22"/>
          <w:szCs w:val="22"/>
        </w:rPr>
        <w:instrText xml:space="preserve"> ADDIN EN.CITE.DATA </w:instrText>
      </w:r>
      <w:r w:rsidR="00F213D8">
        <w:rPr>
          <w:rFonts w:ascii="Arial" w:hAnsi="Arial" w:cs="Arial"/>
          <w:sz w:val="22"/>
          <w:szCs w:val="22"/>
        </w:rPr>
      </w:r>
      <w:r w:rsidR="00F213D8">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00F213D8">
        <w:rPr>
          <w:rFonts w:ascii="Arial" w:hAnsi="Arial" w:cs="Arial"/>
          <w:noProof/>
          <w:sz w:val="22"/>
          <w:szCs w:val="22"/>
        </w:rPr>
        <w:t>[34]</w:t>
      </w:r>
      <w:r>
        <w:rPr>
          <w:rFonts w:ascii="Arial" w:hAnsi="Arial" w:cs="Arial"/>
          <w:sz w:val="22"/>
          <w:szCs w:val="22"/>
        </w:rPr>
        <w:fldChar w:fldCharType="end"/>
      </w:r>
      <w:r>
        <w:rPr>
          <w:rFonts w:ascii="Arial" w:hAnsi="Arial" w:cs="Arial"/>
          <w:sz w:val="22"/>
          <w:szCs w:val="22"/>
        </w:rPr>
        <w:t xml:space="preserve"> </w:t>
      </w:r>
      <w:r w:rsidRPr="004B40A6">
        <w:rPr>
          <w:rFonts w:ascii="Arial" w:hAnsi="Arial" w:cs="Arial"/>
          <w:sz w:val="22"/>
          <w:szCs w:val="22"/>
        </w:rPr>
        <w:t>annotation service.</w:t>
      </w:r>
      <w:r>
        <w:rPr>
          <w:rFonts w:ascii="Arial" w:hAnsi="Arial" w:cs="Arial"/>
          <w:sz w:val="22"/>
          <w:szCs w:val="22"/>
        </w:rPr>
        <w:t xml:space="preserve"> </w:t>
      </w:r>
      <w:r w:rsidR="009E784C">
        <w:rPr>
          <w:rFonts w:ascii="Arial" w:hAnsi="Arial" w:cs="Arial"/>
          <w:sz w:val="22"/>
          <w:szCs w:val="22"/>
        </w:rPr>
        <w:t xml:space="preserve">Gene abundances were assumed to be the depths of the contigs carrying those genes. </w:t>
      </w:r>
      <w:r>
        <w:rPr>
          <w:rFonts w:ascii="Arial" w:hAnsi="Arial" w:cs="Arial"/>
          <w:sz w:val="22"/>
          <w:szCs w:val="22"/>
        </w:rPr>
        <w:t xml:space="preserve">KEGG KO identifiers were linked to their respective functions using the KEGG BRITE pathway classification </w:t>
      </w:r>
      <w:r>
        <w:rPr>
          <w:rFonts w:ascii="Arial" w:hAnsi="Arial" w:cs="Arial"/>
          <w:sz w:val="22"/>
          <w:szCs w:val="22"/>
        </w:rPr>
        <w:fldChar w:fldCharType="begin"/>
      </w:r>
      <w:r w:rsidR="00F213D8">
        <w:rPr>
          <w:rFonts w:ascii="Arial" w:hAnsi="Arial" w:cs="Arial"/>
          <w:sz w:val="22"/>
          <w:szCs w:val="22"/>
        </w:rPr>
        <w:instrText xml:space="preserve"> ADDIN EN.CITE &lt;EndNote&gt;&lt;Cite&gt;&lt;Author&gt;Kanehisa&lt;/Author&gt;&lt;Year&gt;2016&lt;/Year&gt;&lt;RecNum&gt;8829&lt;/RecNum&gt;&lt;DisplayText&gt;[35]&lt;/DisplayText&gt;&lt;record&gt;&lt;rec-number&gt;8829&lt;/rec-number&gt;&lt;foreign-keys&gt;&lt;key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Pr>
          <w:rFonts w:ascii="Arial" w:hAnsi="Arial" w:cs="Arial"/>
          <w:sz w:val="22"/>
          <w:szCs w:val="22"/>
        </w:rPr>
        <w:fldChar w:fldCharType="separate"/>
      </w:r>
      <w:r w:rsidR="00F213D8">
        <w:rPr>
          <w:rFonts w:ascii="Arial" w:hAnsi="Arial" w:cs="Arial"/>
          <w:noProof/>
          <w:sz w:val="22"/>
          <w:szCs w:val="22"/>
        </w:rPr>
        <w:t>[35]</w:t>
      </w:r>
      <w:r>
        <w:rPr>
          <w:rFonts w:ascii="Arial" w:hAnsi="Arial" w:cs="Arial"/>
          <w:sz w:val="22"/>
          <w:szCs w:val="22"/>
        </w:rPr>
        <w:fldChar w:fldCharType="end"/>
      </w:r>
      <w:r>
        <w:rPr>
          <w:rFonts w:ascii="Arial" w:hAnsi="Arial" w:cs="Arial"/>
          <w:sz w:val="22"/>
          <w:szCs w:val="22"/>
        </w:rPr>
        <w:t xml:space="preserve">. KEGG pathway abundances were calculated as the sum of depths of genes </w:t>
      </w:r>
      <w:r w:rsidR="009E784C">
        <w:rPr>
          <w:rFonts w:ascii="Arial" w:hAnsi="Arial" w:cs="Arial"/>
          <w:sz w:val="22"/>
          <w:szCs w:val="22"/>
        </w:rPr>
        <w:t xml:space="preserve">(estimated from the depths of the contigs carrying them) </w:t>
      </w:r>
      <w:r>
        <w:rPr>
          <w:rFonts w:ascii="Arial" w:hAnsi="Arial" w:cs="Arial"/>
          <w:sz w:val="22"/>
          <w:szCs w:val="22"/>
        </w:rPr>
        <w:t>classified to be part of the pathway.</w:t>
      </w:r>
    </w:p>
    <w:p w14:paraId="4614455F" w14:textId="77777777" w:rsidR="0047216E" w:rsidRDefault="0047216E" w:rsidP="00E0217F">
      <w:pPr>
        <w:rPr>
          <w:rFonts w:ascii="Arial" w:hAnsi="Arial" w:cs="Arial"/>
          <w:sz w:val="22"/>
          <w:szCs w:val="22"/>
        </w:rPr>
      </w:pPr>
    </w:p>
    <w:p w14:paraId="080823F1" w14:textId="77A433CC" w:rsidR="00B40965" w:rsidRPr="00B40965" w:rsidRDefault="00B40965" w:rsidP="00E0217F">
      <w:pPr>
        <w:rPr>
          <w:rFonts w:ascii="Arial" w:hAnsi="Arial" w:cs="Arial"/>
          <w:b/>
          <w:sz w:val="22"/>
          <w:szCs w:val="22"/>
        </w:rPr>
      </w:pPr>
      <w:r w:rsidRPr="00B40965">
        <w:rPr>
          <w:rFonts w:ascii="Arial" w:hAnsi="Arial" w:cs="Arial"/>
          <w:b/>
          <w:sz w:val="22"/>
          <w:szCs w:val="22"/>
        </w:rPr>
        <w:t>Isoelectric point (</w:t>
      </w:r>
      <w:proofErr w:type="spellStart"/>
      <w:r w:rsidRPr="00B40965">
        <w:rPr>
          <w:rFonts w:ascii="Arial" w:hAnsi="Arial" w:cs="Arial"/>
          <w:b/>
          <w:i/>
          <w:sz w:val="22"/>
          <w:szCs w:val="22"/>
        </w:rPr>
        <w:t>pI</w:t>
      </w:r>
      <w:proofErr w:type="spellEnd"/>
      <w:r w:rsidRPr="00B40965">
        <w:rPr>
          <w:rFonts w:ascii="Arial" w:hAnsi="Arial" w:cs="Arial"/>
          <w:b/>
          <w:sz w:val="22"/>
          <w:szCs w:val="22"/>
        </w:rPr>
        <w:t>) analysis</w:t>
      </w:r>
    </w:p>
    <w:p w14:paraId="71641483" w14:textId="0DE69173" w:rsidR="00B40965" w:rsidRDefault="00B40965" w:rsidP="00E0217F">
      <w:pPr>
        <w:rPr>
          <w:rFonts w:ascii="Arial" w:hAnsi="Arial" w:cs="Arial"/>
          <w:sz w:val="22"/>
          <w:szCs w:val="22"/>
        </w:rPr>
      </w:pPr>
      <w:r>
        <w:rPr>
          <w:rFonts w:ascii="Arial" w:hAnsi="Arial" w:cs="Arial"/>
          <w:sz w:val="22"/>
          <w:szCs w:val="22"/>
        </w:rPr>
        <w:t xml:space="preserve">The average isoelectric points of gene pools were calculated from individual replicate metagenomic assemblies. </w:t>
      </w:r>
      <w:r w:rsidR="00F213D8">
        <w:rPr>
          <w:rFonts w:ascii="Arial" w:hAnsi="Arial" w:cs="Arial"/>
          <w:sz w:val="22"/>
          <w:szCs w:val="22"/>
        </w:rPr>
        <w:t xml:space="preserve">Open reading frames (ORFs) were predicted by PRODIGAL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&lt;EndNote&gt;&lt;Cite&gt;&lt;Author&gt;Hyatt&lt;/Author&gt;&lt;Year&gt;2010&lt;/Year&gt;&lt;RecNum&gt;8093&lt;/RecNum&gt;&lt;DisplayText&gt;[36]&lt;/DisplayText&gt;&lt;record&gt;&lt;rec-number&gt;8093&lt;/rec-number&gt;&lt;foreign-keys&gt;&lt;key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F213D8">
        <w:rPr>
          <w:rFonts w:ascii="Arial" w:hAnsi="Arial" w:cs="Arial"/>
          <w:sz w:val="22"/>
          <w:szCs w:val="22"/>
        </w:rPr>
        <w:fldChar w:fldCharType="separate"/>
      </w:r>
      <w:r w:rsidR="00F213D8">
        <w:rPr>
          <w:rFonts w:ascii="Arial" w:hAnsi="Arial" w:cs="Arial"/>
          <w:noProof/>
          <w:sz w:val="22"/>
          <w:szCs w:val="22"/>
        </w:rPr>
        <w:t>[36]</w:t>
      </w:r>
      <w:r w:rsidR="00F213D8">
        <w:rPr>
          <w:rFonts w:ascii="Arial" w:hAnsi="Arial" w:cs="Arial"/>
          <w:sz w:val="22"/>
          <w:szCs w:val="22"/>
        </w:rPr>
        <w:fldChar w:fldCharType="end"/>
      </w:r>
      <w:r w:rsidR="00F213D8">
        <w:rPr>
          <w:rFonts w:ascii="Arial" w:hAnsi="Arial" w:cs="Arial"/>
          <w:sz w:val="22"/>
          <w:szCs w:val="22"/>
        </w:rPr>
        <w:t xml:space="preserve"> with the use of metaWRAP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F213D8">
        <w:rPr>
          <w:rFonts w:ascii="Arial" w:hAnsi="Arial" w:cs="Arial"/>
          <w:sz w:val="22"/>
          <w:szCs w:val="22"/>
        </w:rPr>
        <w:fldChar w:fldCharType="separate"/>
      </w:r>
      <w:r w:rsidR="00F213D8">
        <w:rPr>
          <w:rFonts w:ascii="Arial" w:hAnsi="Arial" w:cs="Arial"/>
          <w:noProof/>
          <w:sz w:val="22"/>
          <w:szCs w:val="22"/>
        </w:rPr>
        <w:t>[25]</w:t>
      </w:r>
      <w:r w:rsidR="00F213D8">
        <w:rPr>
          <w:rFonts w:ascii="Arial" w:hAnsi="Arial" w:cs="Arial"/>
          <w:sz w:val="22"/>
          <w:szCs w:val="22"/>
        </w:rPr>
        <w:fldChar w:fldCharType="end"/>
      </w:r>
      <w:r w:rsidR="00F213D8">
        <w:rPr>
          <w:rFonts w:ascii="Arial" w:hAnsi="Arial" w:cs="Arial"/>
          <w:sz w:val="22"/>
          <w:szCs w:val="22"/>
        </w:rPr>
        <w:t xml:space="preserve">, and the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each ORF was calculate with </w:t>
      </w:r>
      <w:proofErr w:type="spellStart"/>
      <w:r w:rsidR="00F213D8">
        <w:rPr>
          <w:rFonts w:ascii="Arial" w:hAnsi="Arial" w:cs="Arial"/>
          <w:sz w:val="22"/>
          <w:szCs w:val="22"/>
        </w:rPr>
        <w:t>ProPAS</w:t>
      </w:r>
      <w:proofErr w:type="spellEnd"/>
      <w:r w:rsidR="00F213D8">
        <w:rPr>
          <w:rFonts w:ascii="Arial" w:hAnsi="Arial" w:cs="Arial"/>
          <w:sz w:val="22"/>
          <w:szCs w:val="22"/>
        </w:rPr>
        <w:t xml:space="preserve"> </w:t>
      </w:r>
      <w:r w:rsidR="00F213D8">
        <w:rPr>
          <w:rFonts w:ascii="Arial" w:hAnsi="Arial" w:cs="Arial"/>
          <w:sz w:val="22"/>
          <w:szCs w:val="22"/>
        </w:rPr>
        <w:fldChar w:fldCharType="begin"/>
      </w:r>
      <w:r w:rsidR="00F213D8">
        <w:rPr>
          <w:rFonts w:ascii="Arial" w:hAnsi="Arial" w:cs="Arial"/>
          <w:sz w:val="22"/>
          <w:szCs w:val="22"/>
        </w:rPr>
        <w:instrText xml:space="preserve"> ADDIN EN.CITE &lt;EndNote&gt;&lt;Cite&gt;&lt;Author&gt;Wu&lt;/Author&gt;&lt;Year&gt;2012&lt;/Year&gt;&lt;RecNum&gt;8833&lt;/RecNum&gt;&lt;DisplayText&gt;[37]&lt;/DisplayText&gt;&lt;record&gt;&lt;rec-number&gt;8833&lt;/rec-number&gt;&lt;foreign-keys&gt;&lt;key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F213D8">
        <w:rPr>
          <w:rFonts w:ascii="Arial" w:hAnsi="Arial" w:cs="Arial"/>
          <w:sz w:val="22"/>
          <w:szCs w:val="22"/>
        </w:rPr>
        <w:fldChar w:fldCharType="separate"/>
      </w:r>
      <w:r w:rsidR="00F213D8">
        <w:rPr>
          <w:rFonts w:ascii="Arial" w:hAnsi="Arial" w:cs="Arial"/>
          <w:noProof/>
          <w:sz w:val="22"/>
          <w:szCs w:val="22"/>
        </w:rPr>
        <w:t>[37]</w:t>
      </w:r>
      <w:r w:rsidR="00F213D8">
        <w:rPr>
          <w:rFonts w:ascii="Arial" w:hAnsi="Arial" w:cs="Arial"/>
          <w:sz w:val="22"/>
          <w:szCs w:val="22"/>
        </w:rPr>
        <w:fldChar w:fldCharType="end"/>
      </w:r>
      <w:r w:rsidR="00F213D8">
        <w:rPr>
          <w:rFonts w:ascii="Arial" w:hAnsi="Arial" w:cs="Arial"/>
          <w:sz w:val="22"/>
          <w:szCs w:val="22"/>
        </w:rPr>
        <w:t xml:space="preserve">. The average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the entire gene pool as well as individual taxa were calculated from the average </w:t>
      </w:r>
      <w:proofErr w:type="spellStart"/>
      <w:r w:rsidR="00F213D8" w:rsidRPr="00310DF8">
        <w:rPr>
          <w:rFonts w:ascii="Arial" w:hAnsi="Arial" w:cs="Arial"/>
          <w:i/>
          <w:sz w:val="22"/>
          <w:szCs w:val="22"/>
        </w:rPr>
        <w:t>pI</w:t>
      </w:r>
      <w:proofErr w:type="spellEnd"/>
      <w:r w:rsidR="00F213D8">
        <w:rPr>
          <w:rFonts w:ascii="Arial" w:hAnsi="Arial" w:cs="Arial"/>
          <w:sz w:val="22"/>
          <w:szCs w:val="22"/>
        </w:rPr>
        <w:t xml:space="preserve"> of </w:t>
      </w:r>
      <w:r w:rsidR="00310DF8">
        <w:rPr>
          <w:rFonts w:ascii="Arial" w:hAnsi="Arial" w:cs="Arial"/>
          <w:sz w:val="22"/>
          <w:szCs w:val="22"/>
        </w:rPr>
        <w:t>proteins encoded</w:t>
      </w:r>
      <w:r w:rsidR="00F213D8">
        <w:rPr>
          <w:rFonts w:ascii="Arial" w:hAnsi="Arial" w:cs="Arial"/>
          <w:sz w:val="22"/>
          <w:szCs w:val="22"/>
        </w:rPr>
        <w:t xml:space="preserve"> on contigs of relevant </w:t>
      </w:r>
      <w:r w:rsidR="00310DF8">
        <w:rPr>
          <w:rFonts w:ascii="Arial" w:hAnsi="Arial" w:cs="Arial"/>
          <w:sz w:val="22"/>
          <w:szCs w:val="22"/>
        </w:rPr>
        <w:t xml:space="preserve">(KRAKEN) </w:t>
      </w:r>
      <w:r w:rsidR="002F762B">
        <w:rPr>
          <w:rFonts w:ascii="Arial" w:hAnsi="Arial" w:cs="Arial"/>
          <w:sz w:val="22"/>
          <w:szCs w:val="22"/>
        </w:rPr>
        <w:t>taxonomy</w:t>
      </w:r>
      <w:r w:rsidR="00310DF8">
        <w:rPr>
          <w:rFonts w:ascii="Arial" w:hAnsi="Arial" w:cs="Arial"/>
          <w:sz w:val="22"/>
          <w:szCs w:val="22"/>
        </w:rPr>
        <w:t>.</w:t>
      </w:r>
      <w:r w:rsidR="00F213D8">
        <w:rPr>
          <w:rFonts w:ascii="Arial" w:hAnsi="Arial" w:cs="Arial"/>
          <w:sz w:val="22"/>
          <w:szCs w:val="22"/>
        </w:rPr>
        <w:t xml:space="preserve"> </w:t>
      </w:r>
    </w:p>
    <w:p w14:paraId="4717D4A8" w14:textId="77777777" w:rsidR="001D660E" w:rsidRPr="001D660E"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47216E" w:rsidRDefault="001D660E" w:rsidP="001D660E">
      <w:pPr>
        <w:pStyle w:val="NormalWeb"/>
        <w:shd w:val="clear" w:color="auto" w:fill="FFFFFF"/>
        <w:spacing w:before="0" w:beforeAutospacing="0" w:after="0" w:afterAutospacing="0"/>
        <w:rPr>
          <w:rFonts w:ascii="Arial" w:hAnsi="Arial" w:cs="Arial"/>
          <w:b/>
          <w:i/>
          <w:sz w:val="22"/>
          <w:szCs w:val="22"/>
        </w:rPr>
      </w:pPr>
      <w:r w:rsidRPr="00B02AE0">
        <w:rPr>
          <w:rFonts w:ascii="Arial" w:hAnsi="Arial" w:cs="Arial"/>
          <w:b/>
          <w:sz w:val="22"/>
          <w:szCs w:val="22"/>
        </w:rPr>
        <w:t>Taxonomic rearrangement index</w:t>
      </w:r>
      <w:r>
        <w:rPr>
          <w:rFonts w:ascii="Arial" w:hAnsi="Arial" w:cs="Arial"/>
          <w:b/>
          <w:sz w:val="22"/>
          <w:szCs w:val="22"/>
        </w:rPr>
        <w:t xml:space="preserve"> (</w:t>
      </w:r>
      <w:r>
        <w:rPr>
          <w:rFonts w:ascii="Arial" w:hAnsi="Arial" w:cs="Arial"/>
          <w:b/>
          <w:i/>
          <w:sz w:val="22"/>
          <w:szCs w:val="22"/>
        </w:rPr>
        <w:t>RI</w:t>
      </w:r>
      <w:r w:rsidRPr="0047216E">
        <w:rPr>
          <w:rFonts w:ascii="Arial" w:hAnsi="Arial" w:cs="Arial"/>
          <w:b/>
          <w:sz w:val="22"/>
          <w:szCs w:val="22"/>
        </w:rPr>
        <w:t>)</w:t>
      </w:r>
    </w:p>
    <w:p w14:paraId="35C0A5A0" w14:textId="5EF9BAB8" w:rsidR="001D660E" w:rsidRDefault="001D660E" w:rsidP="001D660E">
      <w:pPr>
        <w:pStyle w:val="NormalWeb"/>
        <w:shd w:val="clear" w:color="auto" w:fill="FFFFFF"/>
        <w:spacing w:before="0" w:beforeAutospacing="0" w:after="0" w:afterAutospacing="0"/>
        <w:rPr>
          <w:rFonts w:ascii="Arial" w:hAnsi="Arial" w:cs="Arial"/>
          <w:sz w:val="22"/>
          <w:szCs w:val="22"/>
        </w:rPr>
      </w:pPr>
      <w:r w:rsidRPr="004B40A6">
        <w:rPr>
          <w:rFonts w:ascii="Arial" w:hAnsi="Arial" w:cs="Arial"/>
          <w:color w:val="282625"/>
          <w:sz w:val="22"/>
          <w:szCs w:val="22"/>
        </w:rPr>
        <w:t>The rearrangement index</w:t>
      </w:r>
      <w:r>
        <w:rPr>
          <w:rFonts w:ascii="Arial" w:hAnsi="Arial" w:cs="Arial"/>
          <w:color w:val="282625"/>
          <w:sz w:val="22"/>
          <w:szCs w:val="22"/>
        </w:rPr>
        <w:t xml:space="preserve">es of gene functions represent the changes in co-assembled contigs carrying them. To calculate the </w:t>
      </w:r>
      <w:r w:rsidRPr="0047216E">
        <w:rPr>
          <w:rFonts w:ascii="Arial" w:hAnsi="Arial" w:cs="Arial"/>
          <w:i/>
          <w:color w:val="282625"/>
          <w:sz w:val="22"/>
          <w:szCs w:val="22"/>
        </w:rPr>
        <w:t>RI</w:t>
      </w:r>
      <w:r>
        <w:rPr>
          <w:rFonts w:ascii="Arial" w:hAnsi="Arial" w:cs="Arial"/>
          <w:color w:val="282625"/>
          <w:sz w:val="22"/>
          <w:szCs w:val="22"/>
        </w:rPr>
        <w:t>, we found a</w:t>
      </w:r>
      <w:r w:rsidRPr="004B40A6">
        <w:rPr>
          <w:rFonts w:ascii="Arial" w:hAnsi="Arial" w:cs="Arial"/>
          <w:color w:val="282625"/>
          <w:sz w:val="22"/>
          <w:szCs w:val="22"/>
        </w:rPr>
        <w:t xml:space="preserve">ll contigs </w:t>
      </w:r>
      <w:r>
        <w:rPr>
          <w:rFonts w:ascii="Arial" w:hAnsi="Arial" w:cs="Arial"/>
          <w:color w:val="282625"/>
          <w:sz w:val="22"/>
          <w:szCs w:val="22"/>
        </w:rPr>
        <w:t xml:space="preserve">carrying </w:t>
      </w:r>
      <w:r w:rsidRPr="004B40A6">
        <w:rPr>
          <w:rFonts w:ascii="Arial" w:hAnsi="Arial" w:cs="Arial"/>
          <w:color w:val="282625"/>
          <w:sz w:val="22"/>
          <w:szCs w:val="22"/>
        </w:rPr>
        <w:t>genes</w:t>
      </w:r>
      <w:r>
        <w:rPr>
          <w:rFonts w:ascii="Arial" w:hAnsi="Arial" w:cs="Arial"/>
          <w:color w:val="282625"/>
          <w:sz w:val="22"/>
          <w:szCs w:val="22"/>
        </w:rPr>
        <w:t xml:space="preserve"> of a given KEGG KO identifier</w:t>
      </w:r>
      <w:r w:rsidRPr="004B40A6">
        <w:rPr>
          <w:rFonts w:ascii="Arial" w:hAnsi="Arial" w:cs="Arial"/>
          <w:color w:val="282625"/>
          <w:sz w:val="22"/>
          <w:szCs w:val="22"/>
        </w:rPr>
        <w:t xml:space="preserve">, </w:t>
      </w:r>
      <w:r>
        <w:rPr>
          <w:rFonts w:ascii="Arial" w:hAnsi="Arial" w:cs="Arial"/>
          <w:color w:val="282625"/>
          <w:sz w:val="22"/>
          <w:szCs w:val="22"/>
        </w:rPr>
        <w:t xml:space="preserve">calculated the change in their read depths </w:t>
      </w:r>
      <w:r w:rsidRPr="004B40A6">
        <w:rPr>
          <w:rFonts w:ascii="Arial" w:hAnsi="Arial" w:cs="Arial"/>
          <w:color w:val="282625"/>
          <w:sz w:val="22"/>
          <w:szCs w:val="22"/>
        </w:rPr>
        <w:t xml:space="preserve">between two </w:t>
      </w:r>
      <w:r>
        <w:rPr>
          <w:rFonts w:ascii="Arial" w:hAnsi="Arial" w:cs="Arial"/>
          <w:color w:val="282625"/>
          <w:sz w:val="22"/>
          <w:szCs w:val="22"/>
        </w:rPr>
        <w:t xml:space="preserve">time-points </w:t>
      </w:r>
      <w:r w:rsidRPr="004B40A6">
        <w:rPr>
          <w:rFonts w:ascii="Arial" w:hAnsi="Arial" w:cs="Arial"/>
          <w:color w:val="282625"/>
          <w:sz w:val="22"/>
          <w:szCs w:val="22"/>
        </w:rPr>
        <w:t xml:space="preserve">of interest, and </w:t>
      </w:r>
      <w:r>
        <w:rPr>
          <w:rFonts w:ascii="Arial" w:hAnsi="Arial" w:cs="Arial"/>
          <w:color w:val="282625"/>
          <w:sz w:val="22"/>
          <w:szCs w:val="22"/>
        </w:rPr>
        <w:lastRenderedPageBreak/>
        <w:t xml:space="preserve">took </w:t>
      </w:r>
      <w:r w:rsidRPr="004B40A6">
        <w:rPr>
          <w:rFonts w:ascii="Arial" w:hAnsi="Arial" w:cs="Arial"/>
          <w:color w:val="282625"/>
          <w:sz w:val="22"/>
          <w:szCs w:val="22"/>
        </w:rPr>
        <w:t xml:space="preserve">the weighted </w:t>
      </w:r>
      <w:r>
        <w:rPr>
          <w:rFonts w:ascii="Arial" w:hAnsi="Arial" w:cs="Arial"/>
          <w:color w:val="282625"/>
          <w:sz w:val="22"/>
          <w:szCs w:val="22"/>
        </w:rPr>
        <w:t>average</w:t>
      </w:r>
      <w:r w:rsidRPr="004B40A6">
        <w:rPr>
          <w:rFonts w:ascii="Arial" w:hAnsi="Arial" w:cs="Arial"/>
          <w:color w:val="282625"/>
          <w:sz w:val="22"/>
          <w:szCs w:val="22"/>
        </w:rPr>
        <w:t xml:space="preserve"> of the absolute values of these changes (Equation 1</w:t>
      </w:r>
      <w:r>
        <w:rPr>
          <w:rFonts w:ascii="Arial" w:hAnsi="Arial" w:cs="Arial"/>
          <w:color w:val="282625"/>
          <w:sz w:val="22"/>
          <w:szCs w:val="22"/>
        </w:rPr>
        <w:t>). Contig depths for entire time points were taken to be the sum of the contig depths in individual replicates.</w:t>
      </w:r>
    </w:p>
    <w:p w14:paraId="3A9EB7A1" w14:textId="77777777" w:rsidR="001D660E" w:rsidRPr="00327CB8"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77777777" w:rsidR="001D660E" w:rsidRDefault="001D660E" w:rsidP="001D660E">
      <w:pPr>
        <w:rPr>
          <w:rFonts w:ascii="Arial" w:hAnsi="Arial" w:cs="Arial"/>
          <w:i/>
          <w:sz w:val="22"/>
          <w:szCs w:val="22"/>
        </w:rPr>
      </w:pPr>
      <w:r w:rsidRPr="004B40A6">
        <w:rPr>
          <w:rFonts w:ascii="Arial" w:hAnsi="Arial" w:cs="Arial"/>
          <w:b/>
          <w:i/>
          <w:sz w:val="22"/>
          <w:szCs w:val="22"/>
        </w:rPr>
        <w:t>Equation 1:</w:t>
      </w:r>
      <w:r w:rsidRPr="004B40A6">
        <w:rPr>
          <w:rFonts w:ascii="Arial" w:hAnsi="Arial" w:cs="Arial"/>
          <w:i/>
          <w:sz w:val="22"/>
          <w:szCs w:val="22"/>
        </w:rPr>
        <w:t xml:space="preserve"> Formula calculating one function’s rearrangement index RI, where T1 and T2 are standardized abundances of a contigs carrying that function in two samples, and N is the number of contigs carrying that function.</w:t>
      </w:r>
    </w:p>
    <w:p w14:paraId="3B5781A9" w14:textId="77777777" w:rsidR="00B40965" w:rsidRPr="004B40A6" w:rsidRDefault="00B40965" w:rsidP="00E0217F">
      <w:pPr>
        <w:rPr>
          <w:rFonts w:ascii="Arial" w:hAnsi="Arial" w:cs="Arial"/>
          <w:sz w:val="22"/>
          <w:szCs w:val="22"/>
        </w:rPr>
      </w:pPr>
    </w:p>
    <w:p w14:paraId="3047FCDA" w14:textId="148D6249" w:rsidR="00BC5892" w:rsidRPr="008F0D79" w:rsidRDefault="00F519AA" w:rsidP="008F0D79">
      <w:pPr>
        <w:rPr>
          <w:rFonts w:ascii="Arial" w:hAnsi="Arial" w:cs="Arial"/>
          <w:b/>
          <w:sz w:val="22"/>
          <w:szCs w:val="22"/>
        </w:rPr>
      </w:pPr>
      <w:r>
        <w:rPr>
          <w:rFonts w:ascii="Arial" w:hAnsi="Arial" w:cs="Arial"/>
          <w:b/>
          <w:sz w:val="22"/>
          <w:szCs w:val="22"/>
        </w:rPr>
        <w:t>WMG s</w:t>
      </w:r>
      <w:r w:rsidRPr="00F519AA">
        <w:rPr>
          <w:rFonts w:ascii="Arial" w:hAnsi="Arial" w:cs="Arial"/>
          <w:b/>
          <w:sz w:val="22"/>
          <w:szCs w:val="22"/>
        </w:rPr>
        <w:t>tatistical analysis</w:t>
      </w:r>
    </w:p>
    <w:p w14:paraId="2D7D07D3" w14:textId="4CE6669E" w:rsidR="001D660E" w:rsidRPr="00166A45" w:rsidRDefault="00B40965" w:rsidP="001D660E">
      <w:pPr>
        <w:pStyle w:val="NormalWeb"/>
        <w:shd w:val="clear" w:color="auto" w:fill="FFFFFF"/>
        <w:spacing w:before="0" w:beforeAutospacing="0" w:after="0" w:afterAutospacing="0"/>
        <w:rPr>
          <w:rFonts w:ascii="Arial" w:hAnsi="Arial" w:cs="Arial"/>
          <w:sz w:val="22"/>
          <w:szCs w:val="22"/>
        </w:rPr>
      </w:pPr>
      <w:r>
        <w:rPr>
          <w:rFonts w:ascii="Arial" w:hAnsi="Arial" w:cs="Arial"/>
          <w:color w:val="282625"/>
          <w:sz w:val="22"/>
          <w:szCs w:val="22"/>
        </w:rPr>
        <w:t xml:space="preserve">The significance in abundance changes of gene functions (i.e. KEGG </w:t>
      </w:r>
      <w:r w:rsidR="002F762B">
        <w:rPr>
          <w:rFonts w:ascii="Arial" w:hAnsi="Arial" w:cs="Arial"/>
          <w:color w:val="282625"/>
          <w:sz w:val="22"/>
          <w:szCs w:val="22"/>
        </w:rPr>
        <w:t xml:space="preserve">KO identifiers), functional </w:t>
      </w:r>
      <w:r>
        <w:rPr>
          <w:rFonts w:ascii="Arial" w:hAnsi="Arial" w:cs="Arial"/>
          <w:color w:val="282625"/>
          <w:sz w:val="22"/>
          <w:szCs w:val="22"/>
        </w:rPr>
        <w:t>pathways (i.e. KEGG BRITE identifiers)</w:t>
      </w:r>
      <w:r w:rsidR="002F762B">
        <w:rPr>
          <w:rFonts w:ascii="Arial" w:hAnsi="Arial" w:cs="Arial"/>
          <w:color w:val="282625"/>
          <w:sz w:val="22"/>
          <w:szCs w:val="22"/>
        </w:rPr>
        <w:t xml:space="preserve">, and average </w:t>
      </w:r>
      <w:proofErr w:type="spellStart"/>
      <w:r w:rsidR="002F762B" w:rsidRPr="002F762B">
        <w:rPr>
          <w:rFonts w:ascii="Arial" w:hAnsi="Arial" w:cs="Arial"/>
          <w:i/>
          <w:color w:val="282625"/>
          <w:sz w:val="22"/>
          <w:szCs w:val="22"/>
        </w:rPr>
        <w:t>pI</w:t>
      </w:r>
      <w:proofErr w:type="spellEnd"/>
      <w:r w:rsidR="002F762B">
        <w:rPr>
          <w:rFonts w:ascii="Arial" w:hAnsi="Arial" w:cs="Arial"/>
          <w:color w:val="282625"/>
          <w:sz w:val="22"/>
          <w:szCs w:val="22"/>
        </w:rPr>
        <w:t xml:space="preserve"> of gene pools</w:t>
      </w:r>
      <w:r>
        <w:rPr>
          <w:rFonts w:ascii="Arial" w:hAnsi="Arial" w:cs="Arial"/>
          <w:color w:val="282625"/>
          <w:sz w:val="22"/>
          <w:szCs w:val="22"/>
        </w:rPr>
        <w:t xml:space="preserve"> </w:t>
      </w:r>
      <w:r w:rsidR="002F762B">
        <w:rPr>
          <w:rFonts w:ascii="Arial" w:hAnsi="Arial" w:cs="Arial"/>
          <w:color w:val="282625"/>
          <w:sz w:val="22"/>
          <w:szCs w:val="22"/>
        </w:rPr>
        <w:t xml:space="preserve">were </w:t>
      </w:r>
      <w:r>
        <w:rPr>
          <w:rFonts w:ascii="Arial" w:hAnsi="Arial" w:cs="Arial"/>
          <w:color w:val="282625"/>
          <w:sz w:val="22"/>
          <w:szCs w:val="22"/>
        </w:rPr>
        <w:t xml:space="preserve">estimated with a two-sided Student’s two-sample t-test. </w:t>
      </w:r>
      <w:r w:rsidR="00920FB1">
        <w:rPr>
          <w:rFonts w:ascii="Arial" w:hAnsi="Arial" w:cs="Arial"/>
          <w:color w:val="282625"/>
          <w:sz w:val="22"/>
          <w:szCs w:val="22"/>
        </w:rPr>
        <w:t>The relative similarity between</w:t>
      </w:r>
      <w:r w:rsidR="00F519AA">
        <w:rPr>
          <w:rFonts w:ascii="Arial" w:hAnsi="Arial" w:cs="Arial"/>
          <w:color w:val="282625"/>
          <w:sz w:val="22"/>
          <w:szCs w:val="22"/>
        </w:rPr>
        <w:t xml:space="preserve"> groups of replicates (ordered by harvest dates)</w:t>
      </w:r>
      <w:r w:rsidR="00920FB1">
        <w:rPr>
          <w:rFonts w:ascii="Arial" w:hAnsi="Arial" w:cs="Arial"/>
          <w:color w:val="282625"/>
          <w:sz w:val="22"/>
          <w:szCs w:val="22"/>
        </w:rPr>
        <w:t xml:space="preserve"> in terms of total pathway abundances (Figure 1C) and</w:t>
      </w:r>
      <w:r w:rsidR="00105267">
        <w:rPr>
          <w:rFonts w:ascii="Arial" w:hAnsi="Arial" w:cs="Arial"/>
          <w:color w:val="282625"/>
          <w:sz w:val="22"/>
          <w:szCs w:val="22"/>
        </w:rPr>
        <w:t xml:space="preserve"> co-assembly</w:t>
      </w:r>
      <w:r w:rsidR="00920FB1">
        <w:rPr>
          <w:rFonts w:ascii="Arial" w:hAnsi="Arial" w:cs="Arial"/>
          <w:color w:val="282625"/>
          <w:sz w:val="22"/>
          <w:szCs w:val="22"/>
        </w:rPr>
        <w:t xml:space="preserve"> contig abundances (Figure 2C)</w:t>
      </w:r>
      <w:r w:rsidR="00F519AA">
        <w:rPr>
          <w:rFonts w:ascii="Arial" w:hAnsi="Arial" w:cs="Arial"/>
          <w:color w:val="282625"/>
          <w:sz w:val="22"/>
          <w:szCs w:val="22"/>
        </w:rPr>
        <w:t xml:space="preserve"> </w:t>
      </w:r>
      <w:r w:rsidR="00920FB1">
        <w:rPr>
          <w:rFonts w:ascii="Arial" w:hAnsi="Arial" w:cs="Arial"/>
          <w:color w:val="282625"/>
          <w:sz w:val="22"/>
          <w:szCs w:val="22"/>
        </w:rPr>
        <w:t xml:space="preserve">were computed by comparing correlations between samples. A </w:t>
      </w:r>
      <w:r w:rsidR="00F519AA">
        <w:rPr>
          <w:rFonts w:ascii="Arial" w:hAnsi="Arial" w:cs="Arial"/>
          <w:color w:val="282625"/>
          <w:sz w:val="22"/>
          <w:szCs w:val="22"/>
        </w:rPr>
        <w:t xml:space="preserve">Pearson correlation coefficient distance matrix </w:t>
      </w:r>
      <w:r w:rsidR="00920FB1">
        <w:rPr>
          <w:rFonts w:ascii="Arial" w:hAnsi="Arial" w:cs="Arial"/>
          <w:color w:val="282625"/>
          <w:sz w:val="22"/>
          <w:szCs w:val="22"/>
        </w:rPr>
        <w:t xml:space="preserve">was computed from </w:t>
      </w:r>
      <w:r w:rsidR="00F519AA">
        <w:rPr>
          <w:rFonts w:ascii="Arial" w:hAnsi="Arial" w:cs="Arial"/>
          <w:color w:val="282625"/>
          <w:sz w:val="22"/>
          <w:szCs w:val="22"/>
        </w:rPr>
        <w:t>all replicates, and then performing a two-sided Student’</w:t>
      </w:r>
      <w:r w:rsidR="00920FB1">
        <w:rPr>
          <w:rFonts w:ascii="Arial" w:hAnsi="Arial" w:cs="Arial"/>
          <w:color w:val="282625"/>
          <w:sz w:val="22"/>
          <w:szCs w:val="22"/>
        </w:rPr>
        <w:t xml:space="preserve">s two-sample t-test to evaluate the significance of the difference between the correlation distances. The relative distances were also evaluated visually with weighted Principal Component analysis and hierarchical clustering with </w:t>
      </w:r>
      <w:proofErr w:type="spellStart"/>
      <w:r w:rsidR="00920FB1" w:rsidRPr="004B40A6">
        <w:rPr>
          <w:rFonts w:ascii="Arial" w:hAnsi="Arial" w:cs="Arial"/>
          <w:sz w:val="22"/>
          <w:szCs w:val="22"/>
        </w:rPr>
        <w:t>Seaborn</w:t>
      </w:r>
      <w:proofErr w:type="spellEnd"/>
      <w:r w:rsidR="00920FB1" w:rsidRPr="004B40A6">
        <w:rPr>
          <w:rFonts w:ascii="Arial" w:hAnsi="Arial" w:cs="Arial"/>
          <w:sz w:val="22"/>
          <w:szCs w:val="22"/>
        </w:rPr>
        <w:t xml:space="preserve"> v0.8 </w:t>
      </w:r>
      <w:r w:rsidR="00920FB1" w:rsidRPr="004B40A6">
        <w:rPr>
          <w:rFonts w:ascii="Arial" w:hAnsi="Arial" w:cs="Arial"/>
          <w:sz w:val="22"/>
          <w:szCs w:val="22"/>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920FB1" w:rsidRPr="004B40A6">
        <w:rPr>
          <w:rFonts w:ascii="Arial" w:hAnsi="Arial" w:cs="Arial"/>
          <w:sz w:val="22"/>
          <w:szCs w:val="22"/>
        </w:rPr>
        <w:instrText xml:space="preserve"> ADDIN EN.CITE </w:instrText>
      </w:r>
      <w:r w:rsidR="00920FB1" w:rsidRPr="004B40A6">
        <w:rPr>
          <w:rFonts w:ascii="Arial" w:hAnsi="Arial" w:cs="Arial"/>
          <w:sz w:val="22"/>
          <w:szCs w:val="22"/>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920FB1" w:rsidRPr="004B40A6">
        <w:rPr>
          <w:rFonts w:ascii="Arial" w:hAnsi="Arial" w:cs="Arial"/>
          <w:sz w:val="22"/>
          <w:szCs w:val="22"/>
        </w:rPr>
        <w:instrText xml:space="preserve"> ADDIN EN.CITE.DATA </w:instrText>
      </w:r>
      <w:r w:rsidR="00920FB1" w:rsidRPr="004B40A6">
        <w:rPr>
          <w:rFonts w:ascii="Arial" w:hAnsi="Arial" w:cs="Arial"/>
          <w:sz w:val="22"/>
          <w:szCs w:val="22"/>
        </w:rPr>
      </w:r>
      <w:r w:rsidR="00920FB1" w:rsidRPr="004B40A6">
        <w:rPr>
          <w:rFonts w:ascii="Arial" w:hAnsi="Arial" w:cs="Arial"/>
          <w:sz w:val="22"/>
          <w:szCs w:val="22"/>
        </w:rPr>
        <w:fldChar w:fldCharType="end"/>
      </w:r>
      <w:r w:rsidR="00920FB1" w:rsidRPr="004B40A6">
        <w:rPr>
          <w:rFonts w:ascii="Arial" w:hAnsi="Arial" w:cs="Arial"/>
          <w:sz w:val="22"/>
          <w:szCs w:val="22"/>
        </w:rPr>
      </w:r>
      <w:r w:rsidR="00920FB1" w:rsidRPr="004B40A6">
        <w:rPr>
          <w:rFonts w:ascii="Arial" w:hAnsi="Arial" w:cs="Arial"/>
          <w:sz w:val="22"/>
          <w:szCs w:val="22"/>
        </w:rPr>
        <w:fldChar w:fldCharType="separate"/>
      </w:r>
      <w:r w:rsidR="00920FB1" w:rsidRPr="004B40A6">
        <w:rPr>
          <w:rFonts w:ascii="Arial" w:hAnsi="Arial" w:cs="Arial"/>
          <w:noProof/>
          <w:sz w:val="22"/>
          <w:szCs w:val="22"/>
        </w:rPr>
        <w:t>[29]</w:t>
      </w:r>
      <w:r w:rsidR="00920FB1" w:rsidRPr="004B40A6">
        <w:rPr>
          <w:rFonts w:ascii="Arial" w:hAnsi="Arial" w:cs="Arial"/>
          <w:sz w:val="22"/>
          <w:szCs w:val="22"/>
        </w:rPr>
        <w:fldChar w:fldCharType="end"/>
      </w:r>
      <w:r w:rsidR="00920FB1">
        <w:rPr>
          <w:rFonts w:ascii="Arial" w:hAnsi="Arial" w:cs="Arial"/>
          <w:sz w:val="22"/>
          <w:szCs w:val="22"/>
        </w:rPr>
        <w:t xml:space="preserve"> (method=’average’, metric=’</w:t>
      </w:r>
      <w:proofErr w:type="spellStart"/>
      <w:r w:rsidR="00920FB1">
        <w:rPr>
          <w:rFonts w:ascii="Arial" w:hAnsi="Arial" w:cs="Arial"/>
          <w:sz w:val="22"/>
          <w:szCs w:val="22"/>
        </w:rPr>
        <w:t>euclidean</w:t>
      </w:r>
      <w:proofErr w:type="spellEnd"/>
      <w:r w:rsidR="00920FB1">
        <w:rPr>
          <w:rFonts w:ascii="Arial" w:hAnsi="Arial" w:cs="Arial"/>
          <w:sz w:val="22"/>
          <w:szCs w:val="22"/>
        </w:rPr>
        <w:t>’)</w:t>
      </w:r>
      <w:r w:rsidR="00570500">
        <w:rPr>
          <w:rFonts w:ascii="Arial" w:hAnsi="Arial" w:cs="Arial"/>
          <w:sz w:val="22"/>
          <w:szCs w:val="22"/>
        </w:rPr>
        <w:t xml:space="preserve">. </w:t>
      </w:r>
      <w:r w:rsidR="001D660E">
        <w:rPr>
          <w:rFonts w:ascii="Arial" w:hAnsi="Arial" w:cs="Arial"/>
          <w:color w:val="282625"/>
          <w:sz w:val="22"/>
          <w:szCs w:val="22"/>
        </w:rPr>
        <w:t xml:space="preserve">The significance of the differences in distributions of </w:t>
      </w:r>
      <w:r w:rsidR="001D660E" w:rsidRPr="00166A45">
        <w:rPr>
          <w:rFonts w:ascii="Arial" w:hAnsi="Arial" w:cs="Arial"/>
          <w:i/>
          <w:color w:val="282625"/>
          <w:sz w:val="22"/>
          <w:szCs w:val="22"/>
        </w:rPr>
        <w:t>RI</w:t>
      </w:r>
      <w:r w:rsidR="001D660E">
        <w:rPr>
          <w:rFonts w:ascii="Arial" w:hAnsi="Arial" w:cs="Arial"/>
          <w:i/>
          <w:color w:val="282625"/>
          <w:sz w:val="22"/>
          <w:szCs w:val="22"/>
        </w:rPr>
        <w:t xml:space="preserve">s </w:t>
      </w:r>
      <w:r w:rsidR="001D660E">
        <w:rPr>
          <w:rFonts w:ascii="Arial" w:hAnsi="Arial" w:cs="Arial"/>
          <w:color w:val="282625"/>
          <w:sz w:val="22"/>
          <w:szCs w:val="22"/>
        </w:rPr>
        <w:t>between pairs of time points</w:t>
      </w:r>
      <w:r w:rsidR="00310DF8">
        <w:rPr>
          <w:rFonts w:ascii="Arial" w:hAnsi="Arial" w:cs="Arial"/>
          <w:color w:val="282625"/>
          <w:sz w:val="22"/>
          <w:szCs w:val="22"/>
        </w:rPr>
        <w:t xml:space="preserve">, as well as differences in </w:t>
      </w:r>
      <w:proofErr w:type="spellStart"/>
      <w:r w:rsidR="00310DF8" w:rsidRPr="002F762B">
        <w:rPr>
          <w:rFonts w:ascii="Arial" w:hAnsi="Arial" w:cs="Arial"/>
          <w:i/>
          <w:color w:val="282625"/>
          <w:sz w:val="22"/>
          <w:szCs w:val="22"/>
        </w:rPr>
        <w:t>pI</w:t>
      </w:r>
      <w:proofErr w:type="spellEnd"/>
      <w:r w:rsidR="00310DF8">
        <w:rPr>
          <w:rFonts w:ascii="Arial" w:hAnsi="Arial" w:cs="Arial"/>
          <w:color w:val="282625"/>
          <w:sz w:val="22"/>
          <w:szCs w:val="22"/>
        </w:rPr>
        <w:t xml:space="preserve"> distributions of gene pool proteins were </w:t>
      </w:r>
      <w:r w:rsidR="001D660E">
        <w:rPr>
          <w:rFonts w:ascii="Arial" w:hAnsi="Arial" w:cs="Arial"/>
          <w:color w:val="282625"/>
          <w:sz w:val="22"/>
          <w:szCs w:val="22"/>
        </w:rPr>
        <w:t>calculated with the Kolmogorov-Smirnov 2-sample test.</w:t>
      </w:r>
      <w:r w:rsidR="000D24A3">
        <w:rPr>
          <w:rFonts w:ascii="Arial" w:hAnsi="Arial" w:cs="Arial"/>
          <w:color w:val="282625"/>
          <w:sz w:val="22"/>
          <w:szCs w:val="22"/>
        </w:rPr>
        <w:t xml:space="preserve"> Significance of MAG and contig abundance clustering was determined with </w:t>
      </w:r>
      <w:proofErr w:type="spellStart"/>
      <w:r w:rsidR="000D24A3">
        <w:rPr>
          <w:rFonts w:ascii="Arial" w:hAnsi="Arial" w:cs="Arial"/>
          <w:color w:val="282625"/>
          <w:sz w:val="22"/>
          <w:szCs w:val="22"/>
        </w:rPr>
        <w:t>SigClust</w:t>
      </w:r>
      <w:proofErr w:type="spellEnd"/>
      <w:r w:rsidR="000D24A3">
        <w:rPr>
          <w:rFonts w:ascii="Arial" w:hAnsi="Arial" w:cs="Arial"/>
          <w:color w:val="282625"/>
          <w:sz w:val="22"/>
          <w:szCs w:val="22"/>
        </w:rPr>
        <w:t xml:space="preserve"> (</w:t>
      </w:r>
      <w:proofErr w:type="spellStart"/>
      <w:r w:rsidR="000D24A3">
        <w:rPr>
          <w:rFonts w:ascii="Arial" w:hAnsi="Arial" w:cs="Arial"/>
          <w:color w:val="282625"/>
          <w:sz w:val="22"/>
          <w:szCs w:val="22"/>
        </w:rPr>
        <w:t>ns</w:t>
      </w:r>
      <w:r w:rsidR="00CF3BCE">
        <w:rPr>
          <w:rFonts w:ascii="Arial" w:hAnsi="Arial" w:cs="Arial"/>
          <w:color w:val="282625"/>
          <w:sz w:val="22"/>
          <w:szCs w:val="22"/>
        </w:rPr>
        <w:t>im</w:t>
      </w:r>
      <w:proofErr w:type="spellEnd"/>
      <w:r w:rsidR="00CF3BCE">
        <w:rPr>
          <w:rFonts w:ascii="Arial" w:hAnsi="Arial" w:cs="Arial"/>
          <w:color w:val="282625"/>
          <w:sz w:val="22"/>
          <w:szCs w:val="22"/>
        </w:rPr>
        <w:t>=1000</w:t>
      </w:r>
      <w:r w:rsidR="000D24A3">
        <w:rPr>
          <w:rFonts w:ascii="Arial" w:hAnsi="Arial" w:cs="Arial"/>
          <w:color w:val="282625"/>
          <w:sz w:val="22"/>
          <w:szCs w:val="22"/>
        </w:rPr>
        <w:t xml:space="preserve">, </w:t>
      </w:r>
      <w:proofErr w:type="spellStart"/>
      <w:r w:rsidR="000D24A3" w:rsidRPr="000D24A3">
        <w:rPr>
          <w:rFonts w:ascii="Arial" w:hAnsi="Arial" w:cs="Arial"/>
          <w:color w:val="282625"/>
          <w:sz w:val="22"/>
          <w:szCs w:val="22"/>
        </w:rPr>
        <w:t>icovest</w:t>
      </w:r>
      <w:proofErr w:type="spellEnd"/>
      <w:r w:rsidR="000D24A3" w:rsidRPr="000D24A3">
        <w:rPr>
          <w:rFonts w:ascii="Arial" w:hAnsi="Arial" w:cs="Arial"/>
          <w:color w:val="282625"/>
          <w:sz w:val="22"/>
          <w:szCs w:val="22"/>
        </w:rPr>
        <w:t>=3</w:t>
      </w:r>
      <w:r w:rsidR="000D24A3">
        <w:rPr>
          <w:rFonts w:ascii="Arial" w:hAnsi="Arial" w:cs="Arial"/>
          <w:color w:val="282625"/>
          <w:sz w:val="22"/>
          <w:szCs w:val="22"/>
        </w:rPr>
        <w:t xml:space="preserve">) </w:t>
      </w:r>
      <w:r w:rsidR="000D24A3">
        <w:rPr>
          <w:rFonts w:ascii="Arial" w:hAnsi="Arial" w:cs="Arial"/>
          <w:color w:val="282625"/>
          <w:sz w:val="22"/>
          <w:szCs w:val="22"/>
        </w:rPr>
        <w:fldChar w:fldCharType="begin"/>
      </w:r>
      <w:r w:rsidR="000D24A3">
        <w:rPr>
          <w:rFonts w:ascii="Arial" w:hAnsi="Arial" w:cs="Arial"/>
          <w:color w:val="282625"/>
          <w:sz w:val="22"/>
          <w:szCs w:val="22"/>
        </w:rPr>
        <w:instrText xml:space="preserve"> ADDIN EN.CITE &lt;EndNote&gt;&lt;Cite&gt;&lt;Author&gt;Liu&lt;/Author&gt;&lt;Year&gt;2008&lt;/Year&gt;&lt;RecNum&gt;8840&lt;/RecNum&gt;&lt;DisplayText&gt;[38]&lt;/DisplayText&gt;&lt;record&gt;&lt;rec-number&gt;8840&lt;/rec-number&gt;&lt;foreign-keys&gt;&lt;key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0D24A3">
        <w:rPr>
          <w:rFonts w:ascii="Arial" w:hAnsi="Arial" w:cs="Arial"/>
          <w:color w:val="282625"/>
          <w:sz w:val="22"/>
          <w:szCs w:val="22"/>
        </w:rPr>
        <w:fldChar w:fldCharType="separate"/>
      </w:r>
      <w:r w:rsidR="000D24A3">
        <w:rPr>
          <w:rFonts w:ascii="Arial" w:hAnsi="Arial" w:cs="Arial"/>
          <w:noProof/>
          <w:color w:val="282625"/>
          <w:sz w:val="22"/>
          <w:szCs w:val="22"/>
        </w:rPr>
        <w:t>[38]</w:t>
      </w:r>
      <w:r w:rsidR="000D24A3">
        <w:rPr>
          <w:rFonts w:ascii="Arial" w:hAnsi="Arial" w:cs="Arial"/>
          <w:color w:val="282625"/>
          <w:sz w:val="22"/>
          <w:szCs w:val="22"/>
        </w:rPr>
        <w:fldChar w:fldCharType="end"/>
      </w:r>
      <w:r w:rsidR="000D24A3">
        <w:rPr>
          <w:rFonts w:ascii="Arial" w:hAnsi="Arial" w:cs="Arial"/>
          <w:color w:val="282625"/>
          <w:sz w:val="22"/>
          <w:szCs w:val="22"/>
        </w:rPr>
        <w:t>.</w:t>
      </w:r>
      <w:r w:rsidR="00CF3BCE">
        <w:rPr>
          <w:rFonts w:ascii="Arial" w:hAnsi="Arial" w:cs="Arial"/>
          <w:color w:val="282625"/>
          <w:sz w:val="22"/>
          <w:szCs w:val="22"/>
        </w:rPr>
        <w:t xml:space="preserve"> For time considerations, the contig clustering test was limited to contigs over 5kbp in </w:t>
      </w:r>
      <w:proofErr w:type="spellStart"/>
      <w:r w:rsidR="00CF3BCE">
        <w:rPr>
          <w:rFonts w:ascii="Arial" w:hAnsi="Arial" w:cs="Arial"/>
          <w:color w:val="282625"/>
          <w:sz w:val="22"/>
          <w:szCs w:val="22"/>
        </w:rPr>
        <w:t>lenegth</w:t>
      </w:r>
      <w:proofErr w:type="spellEnd"/>
      <w:r w:rsidR="00CF3BCE">
        <w:rPr>
          <w:rFonts w:ascii="Arial" w:hAnsi="Arial" w:cs="Arial"/>
          <w:color w:val="282625"/>
          <w:sz w:val="22"/>
          <w:szCs w:val="22"/>
        </w:rPr>
        <w:t xml:space="preserve">, which were then subsampled randomly to </w:t>
      </w:r>
      <w:r w:rsidR="00DF7EA4">
        <w:rPr>
          <w:rFonts w:ascii="Arial" w:hAnsi="Arial" w:cs="Arial"/>
          <w:color w:val="282625"/>
          <w:sz w:val="22"/>
          <w:szCs w:val="22"/>
        </w:rPr>
        <w:t>5000 contigs prior to the test.</w:t>
      </w:r>
    </w:p>
    <w:p w14:paraId="662417C6" w14:textId="2B60992B" w:rsidR="00F37D7E" w:rsidRPr="002F762B"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Default="00F37D7E" w:rsidP="00920FB1">
      <w:pPr>
        <w:pStyle w:val="NormalWeb"/>
        <w:shd w:val="clear" w:color="auto" w:fill="FFFFFF"/>
        <w:spacing w:before="0" w:beforeAutospacing="0" w:after="0" w:afterAutospacing="0"/>
        <w:rPr>
          <w:rFonts w:ascii="Arial" w:hAnsi="Arial" w:cs="Arial"/>
          <w:sz w:val="22"/>
          <w:szCs w:val="22"/>
        </w:rPr>
      </w:pPr>
    </w:p>
    <w:p w14:paraId="2AF38797" w14:textId="77777777" w:rsidR="0047216E" w:rsidRDefault="0047216E" w:rsidP="00920FB1">
      <w:pPr>
        <w:pStyle w:val="NormalWeb"/>
        <w:shd w:val="clear" w:color="auto" w:fill="FFFFFF"/>
        <w:spacing w:before="0" w:beforeAutospacing="0" w:after="0" w:afterAutospacing="0"/>
        <w:rPr>
          <w:rFonts w:ascii="Arial" w:hAnsi="Arial" w:cs="Arial"/>
          <w:sz w:val="22"/>
          <w:szCs w:val="22"/>
        </w:rPr>
      </w:pPr>
    </w:p>
    <w:p w14:paraId="535CC378" w14:textId="11B0E45E" w:rsidR="00235FAA" w:rsidRPr="00F519AA" w:rsidRDefault="00235FAA" w:rsidP="00920FB1">
      <w:pPr>
        <w:pStyle w:val="NormalWeb"/>
        <w:shd w:val="clear" w:color="auto" w:fill="FFFFFF"/>
        <w:spacing w:before="0" w:beforeAutospacing="0" w:after="0" w:afterAutospacing="0"/>
        <w:rPr>
          <w:rFonts w:ascii="Arial" w:hAnsi="Arial" w:cs="Arial"/>
          <w:sz w:val="22"/>
          <w:szCs w:val="22"/>
        </w:rPr>
      </w:pPr>
      <w:r w:rsidRPr="00F519AA">
        <w:rPr>
          <w:rFonts w:ascii="Arial" w:hAnsi="Arial" w:cs="Arial"/>
          <w:sz w:val="22"/>
          <w:szCs w:val="22"/>
        </w:rPr>
        <w:br w:type="page"/>
      </w:r>
    </w:p>
    <w:p w14:paraId="431D89BF" w14:textId="67AF83B6" w:rsidR="00FA024C" w:rsidRPr="004B40A6" w:rsidRDefault="00B94FAA" w:rsidP="00456013">
      <w:pPr>
        <w:rPr>
          <w:rFonts w:ascii="Arial" w:hAnsi="Arial" w:cs="Arial"/>
          <w:b/>
          <w:sz w:val="22"/>
          <w:szCs w:val="22"/>
        </w:rPr>
      </w:pPr>
      <w:r w:rsidRPr="004B40A6">
        <w:rPr>
          <w:rFonts w:ascii="Arial" w:hAnsi="Arial" w:cs="Arial"/>
          <w:b/>
          <w:sz w:val="22"/>
          <w:szCs w:val="22"/>
        </w:rPr>
        <w:lastRenderedPageBreak/>
        <w:t>BIBLIOGRAPHY</w:t>
      </w:r>
    </w:p>
    <w:p w14:paraId="6106D7CB" w14:textId="77777777" w:rsidR="000D24A3" w:rsidRPr="000D24A3" w:rsidRDefault="00FA024C" w:rsidP="000D24A3">
      <w:pPr>
        <w:pStyle w:val="EndNoteBibliography"/>
        <w:ind w:left="720" w:hanging="720"/>
        <w:rPr>
          <w:noProof/>
        </w:rPr>
      </w:pPr>
      <w:r w:rsidRPr="004B40A6">
        <w:rPr>
          <w:rFonts w:ascii="Arial" w:hAnsi="Arial" w:cs="Arial"/>
          <w:sz w:val="22"/>
          <w:szCs w:val="22"/>
        </w:rPr>
        <w:fldChar w:fldCharType="begin"/>
      </w:r>
      <w:r w:rsidRPr="004B40A6">
        <w:rPr>
          <w:rFonts w:ascii="Arial" w:hAnsi="Arial" w:cs="Arial"/>
          <w:sz w:val="22"/>
          <w:szCs w:val="22"/>
        </w:rPr>
        <w:instrText xml:space="preserve"> ADDIN EN.REFLIST </w:instrText>
      </w:r>
      <w:r w:rsidRPr="004B40A6">
        <w:rPr>
          <w:rFonts w:ascii="Arial" w:hAnsi="Arial" w:cs="Arial"/>
          <w:sz w:val="22"/>
          <w:szCs w:val="22"/>
        </w:rPr>
        <w:fldChar w:fldCharType="separate"/>
      </w:r>
      <w:r w:rsidR="000D24A3" w:rsidRPr="000D24A3">
        <w:rPr>
          <w:noProof/>
        </w:rPr>
        <w:t>1.</w:t>
      </w:r>
      <w:r w:rsidR="000D24A3" w:rsidRPr="000D24A3">
        <w:rPr>
          <w:noProof/>
        </w:rPr>
        <w:tab/>
        <w:t xml:space="preserve">Raymond F, Deraspe M, Boissinot M, Bergeron MG, Corbeil J: </w:t>
      </w:r>
      <w:r w:rsidR="000D24A3" w:rsidRPr="000D24A3">
        <w:rPr>
          <w:b/>
          <w:noProof/>
        </w:rPr>
        <w:t>Partial recovery of microbiomes after antibiotic treatment</w:t>
      </w:r>
      <w:r w:rsidR="000D24A3" w:rsidRPr="000D24A3">
        <w:rPr>
          <w:noProof/>
        </w:rPr>
        <w:t xml:space="preserve">. </w:t>
      </w:r>
      <w:r w:rsidR="000D24A3" w:rsidRPr="000D24A3">
        <w:rPr>
          <w:i/>
          <w:noProof/>
        </w:rPr>
        <w:t xml:space="preserve">Gut Microbes </w:t>
      </w:r>
      <w:r w:rsidR="000D24A3" w:rsidRPr="000D24A3">
        <w:rPr>
          <w:noProof/>
        </w:rPr>
        <w:t xml:space="preserve">2016, </w:t>
      </w:r>
      <w:r w:rsidR="000D24A3" w:rsidRPr="000D24A3">
        <w:rPr>
          <w:b/>
          <w:noProof/>
        </w:rPr>
        <w:t>7</w:t>
      </w:r>
      <w:r w:rsidR="000D24A3" w:rsidRPr="000D24A3">
        <w:rPr>
          <w:noProof/>
        </w:rPr>
        <w:t>(5):428-434.</w:t>
      </w:r>
    </w:p>
    <w:p w14:paraId="731F049A" w14:textId="77777777" w:rsidR="000D24A3" w:rsidRPr="000D24A3" w:rsidRDefault="000D24A3" w:rsidP="000D24A3">
      <w:pPr>
        <w:pStyle w:val="EndNoteBibliography"/>
        <w:ind w:left="720" w:hanging="720"/>
        <w:rPr>
          <w:noProof/>
        </w:rPr>
      </w:pPr>
      <w:r w:rsidRPr="000D24A3">
        <w:rPr>
          <w:noProof/>
        </w:rPr>
        <w:t>2.</w:t>
      </w:r>
      <w:r w:rsidRPr="000D24A3">
        <w:rPr>
          <w:noProof/>
        </w:rPr>
        <w:tab/>
        <w:t>David LA, Maurice CF, Carmody RN, Gootenberg DB, Button JE, Wolfe BE, Ling AV, Devlin AS, Varma Y, Fischbach MA</w:t>
      </w:r>
      <w:r w:rsidRPr="000D24A3">
        <w:rPr>
          <w:i/>
          <w:noProof/>
        </w:rPr>
        <w:t xml:space="preserve"> et al</w:t>
      </w:r>
      <w:r w:rsidRPr="000D24A3">
        <w:rPr>
          <w:noProof/>
        </w:rPr>
        <w:t xml:space="preserve">: </w:t>
      </w:r>
      <w:r w:rsidRPr="000D24A3">
        <w:rPr>
          <w:b/>
          <w:noProof/>
        </w:rPr>
        <w:t>Diet rapidly and reproducibly alters the human gut microbiome</w:t>
      </w:r>
      <w:r w:rsidRPr="000D24A3">
        <w:rPr>
          <w:noProof/>
        </w:rPr>
        <w:t xml:space="preserve">. </w:t>
      </w:r>
      <w:r w:rsidRPr="000D24A3">
        <w:rPr>
          <w:i/>
          <w:noProof/>
        </w:rPr>
        <w:t xml:space="preserve">Nature </w:t>
      </w:r>
      <w:r w:rsidRPr="000D24A3">
        <w:rPr>
          <w:noProof/>
        </w:rPr>
        <w:t xml:space="preserve">2014, </w:t>
      </w:r>
      <w:r w:rsidRPr="000D24A3">
        <w:rPr>
          <w:b/>
          <w:noProof/>
        </w:rPr>
        <w:t>505</w:t>
      </w:r>
      <w:r w:rsidRPr="000D24A3">
        <w:rPr>
          <w:noProof/>
        </w:rPr>
        <w:t>(7484):559-563.</w:t>
      </w:r>
    </w:p>
    <w:p w14:paraId="06F8EF57" w14:textId="77777777" w:rsidR="000D24A3" w:rsidRPr="000D24A3" w:rsidRDefault="000D24A3" w:rsidP="000D24A3">
      <w:pPr>
        <w:pStyle w:val="EndNoteBibliography"/>
        <w:ind w:left="720" w:hanging="720"/>
        <w:rPr>
          <w:noProof/>
        </w:rPr>
      </w:pPr>
      <w:r w:rsidRPr="000D24A3">
        <w:rPr>
          <w:noProof/>
        </w:rPr>
        <w:t>3.</w:t>
      </w:r>
      <w:r w:rsidRPr="000D24A3">
        <w:rPr>
          <w:noProof/>
        </w:rPr>
        <w:tab/>
        <w:t xml:space="preserve">Goldford JE, Lu N, Bajic D, Estrela S, Tikhonov M, Sanchez-Gorostiaga A, Segre D, Mehta P, Sanchez A: </w:t>
      </w:r>
      <w:r w:rsidRPr="000D24A3">
        <w:rPr>
          <w:b/>
          <w:noProof/>
        </w:rPr>
        <w:t>Emergent Simplicity in Microbial Community Assembly</w:t>
      </w:r>
      <w:r w:rsidRPr="000D24A3">
        <w:rPr>
          <w:noProof/>
        </w:rPr>
        <w:t xml:space="preserve">. </w:t>
      </w:r>
      <w:r w:rsidRPr="000D24A3">
        <w:rPr>
          <w:i/>
          <w:noProof/>
        </w:rPr>
        <w:t xml:space="preserve">bioRxiv </w:t>
      </w:r>
      <w:r w:rsidRPr="000D24A3">
        <w:rPr>
          <w:noProof/>
        </w:rPr>
        <w:t>2017, 10.1101/205831.</w:t>
      </w:r>
    </w:p>
    <w:p w14:paraId="5AD0EB1B" w14:textId="77777777" w:rsidR="000D24A3" w:rsidRPr="000D24A3" w:rsidRDefault="000D24A3" w:rsidP="000D24A3">
      <w:pPr>
        <w:pStyle w:val="EndNoteBibliography"/>
        <w:ind w:left="720" w:hanging="720"/>
        <w:rPr>
          <w:noProof/>
        </w:rPr>
      </w:pPr>
      <w:r w:rsidRPr="000D24A3">
        <w:rPr>
          <w:noProof/>
        </w:rPr>
        <w:t>4.</w:t>
      </w:r>
      <w:r w:rsidRPr="000D24A3">
        <w:rPr>
          <w:noProof/>
        </w:rPr>
        <w:tab/>
        <w:t xml:space="preserve">Eng A, Borenstein E: </w:t>
      </w:r>
      <w:r w:rsidRPr="000D24A3">
        <w:rPr>
          <w:b/>
          <w:noProof/>
        </w:rPr>
        <w:t>Taxa-function robustness in microbial communities</w:t>
      </w:r>
      <w:r w:rsidRPr="000D24A3">
        <w:rPr>
          <w:noProof/>
        </w:rPr>
        <w:t xml:space="preserve">. </w:t>
      </w:r>
      <w:r w:rsidRPr="000D24A3">
        <w:rPr>
          <w:i/>
          <w:noProof/>
        </w:rPr>
        <w:t xml:space="preserve">Microbiome </w:t>
      </w:r>
      <w:r w:rsidRPr="000D24A3">
        <w:rPr>
          <w:noProof/>
        </w:rPr>
        <w:t xml:space="preserve">2018, </w:t>
      </w:r>
      <w:r w:rsidRPr="000D24A3">
        <w:rPr>
          <w:b/>
          <w:noProof/>
        </w:rPr>
        <w:t>6</w:t>
      </w:r>
      <w:r w:rsidRPr="000D24A3">
        <w:rPr>
          <w:noProof/>
        </w:rPr>
        <w:t>(1):45.</w:t>
      </w:r>
    </w:p>
    <w:p w14:paraId="1B7BC949" w14:textId="77777777" w:rsidR="000D24A3" w:rsidRPr="000D24A3" w:rsidRDefault="000D24A3" w:rsidP="000D24A3">
      <w:pPr>
        <w:pStyle w:val="EndNoteBibliography"/>
        <w:ind w:left="720" w:hanging="720"/>
        <w:rPr>
          <w:noProof/>
        </w:rPr>
      </w:pPr>
      <w:r w:rsidRPr="000D24A3">
        <w:rPr>
          <w:noProof/>
        </w:rPr>
        <w:t>5.</w:t>
      </w:r>
      <w:r w:rsidRPr="000D24A3">
        <w:rPr>
          <w:noProof/>
        </w:rPr>
        <w:tab/>
        <w:t xml:space="preserve">Louca S, Jacques SMS, Pires APF, Leal JS, Srivastava DS, Parfrey LW, Farjalla VF, Doebeli M: </w:t>
      </w:r>
      <w:r w:rsidRPr="000D24A3">
        <w:rPr>
          <w:b/>
          <w:noProof/>
        </w:rPr>
        <w:t>High taxonomic variability despite stable functional structure across microbial communities</w:t>
      </w:r>
      <w:r w:rsidRPr="000D24A3">
        <w:rPr>
          <w:noProof/>
        </w:rPr>
        <w:t xml:space="preserve">. </w:t>
      </w:r>
      <w:r w:rsidRPr="000D24A3">
        <w:rPr>
          <w:i/>
          <w:noProof/>
        </w:rPr>
        <w:t xml:space="preserve">Nat Ecol Evol </w:t>
      </w:r>
      <w:r w:rsidRPr="000D24A3">
        <w:rPr>
          <w:noProof/>
        </w:rPr>
        <w:t xml:space="preserve">2016, </w:t>
      </w:r>
      <w:r w:rsidRPr="000D24A3">
        <w:rPr>
          <w:b/>
          <w:noProof/>
        </w:rPr>
        <w:t>1</w:t>
      </w:r>
      <w:r w:rsidRPr="000D24A3">
        <w:rPr>
          <w:noProof/>
        </w:rPr>
        <w:t>(1):15.</w:t>
      </w:r>
    </w:p>
    <w:p w14:paraId="5A75BB70" w14:textId="77777777" w:rsidR="000D24A3" w:rsidRPr="000D24A3" w:rsidRDefault="000D24A3" w:rsidP="000D24A3">
      <w:pPr>
        <w:pStyle w:val="EndNoteBibliography"/>
        <w:ind w:left="720" w:hanging="720"/>
        <w:rPr>
          <w:noProof/>
        </w:rPr>
      </w:pPr>
      <w:r w:rsidRPr="000D24A3">
        <w:rPr>
          <w:noProof/>
        </w:rPr>
        <w:t>6.</w:t>
      </w:r>
      <w:r w:rsidRPr="000D24A3">
        <w:rPr>
          <w:noProof/>
        </w:rPr>
        <w:tab/>
        <w:t xml:space="preserve">Nie Y, Zhao JY, Tang YQ, Guo P, Yang Y, Wu XL, Zhao F: </w:t>
      </w:r>
      <w:r w:rsidRPr="000D24A3">
        <w:rPr>
          <w:b/>
          <w:noProof/>
        </w:rPr>
        <w:t>Species Divergence vs. Functional Convergence Characterizes Crude Oil Microbial Community Assembly</w:t>
      </w:r>
      <w:r w:rsidRPr="000D24A3">
        <w:rPr>
          <w:noProof/>
        </w:rPr>
        <w:t xml:space="preserve">. </w:t>
      </w:r>
      <w:r w:rsidRPr="000D24A3">
        <w:rPr>
          <w:i/>
          <w:noProof/>
        </w:rPr>
        <w:t xml:space="preserve">Front Microbiol </w:t>
      </w:r>
      <w:r w:rsidRPr="000D24A3">
        <w:rPr>
          <w:noProof/>
        </w:rPr>
        <w:t xml:space="preserve">2016, </w:t>
      </w:r>
      <w:r w:rsidRPr="000D24A3">
        <w:rPr>
          <w:b/>
          <w:noProof/>
        </w:rPr>
        <w:t>7</w:t>
      </w:r>
      <w:r w:rsidRPr="000D24A3">
        <w:rPr>
          <w:noProof/>
        </w:rPr>
        <w:t>:1254.</w:t>
      </w:r>
    </w:p>
    <w:p w14:paraId="2FF26E11" w14:textId="77777777" w:rsidR="000D24A3" w:rsidRPr="000D24A3" w:rsidRDefault="000D24A3" w:rsidP="000D24A3">
      <w:pPr>
        <w:pStyle w:val="EndNoteBibliography"/>
        <w:ind w:left="720" w:hanging="720"/>
        <w:rPr>
          <w:noProof/>
        </w:rPr>
      </w:pPr>
      <w:r w:rsidRPr="000D24A3">
        <w:rPr>
          <w:noProof/>
        </w:rPr>
        <w:t>7.</w:t>
      </w:r>
      <w:r w:rsidRPr="000D24A3">
        <w:rPr>
          <w:noProof/>
        </w:rPr>
        <w:tab/>
        <w:t xml:space="preserve">Jurburg SD, Nunes I, Brejnrod A, Jacquiod S, Prieme A, Sorensen SJ, Van Elsas JD, Salles JF: </w:t>
      </w:r>
      <w:r w:rsidRPr="000D24A3">
        <w:rPr>
          <w:b/>
          <w:noProof/>
        </w:rPr>
        <w:t>Legacy Effects on the Recovery of Soil Bacterial Communities from Extreme Temperature Perturbation</w:t>
      </w:r>
      <w:r w:rsidRPr="000D24A3">
        <w:rPr>
          <w:noProof/>
        </w:rPr>
        <w:t xml:space="preserve">. </w:t>
      </w:r>
      <w:r w:rsidRPr="000D24A3">
        <w:rPr>
          <w:i/>
          <w:noProof/>
        </w:rPr>
        <w:t xml:space="preserve">Front Microbiol </w:t>
      </w:r>
      <w:r w:rsidRPr="000D24A3">
        <w:rPr>
          <w:noProof/>
        </w:rPr>
        <w:t xml:space="preserve">2017, </w:t>
      </w:r>
      <w:r w:rsidRPr="000D24A3">
        <w:rPr>
          <w:b/>
          <w:noProof/>
        </w:rPr>
        <w:t>8</w:t>
      </w:r>
      <w:r w:rsidRPr="000D24A3">
        <w:rPr>
          <w:noProof/>
        </w:rPr>
        <w:t>:1832.</w:t>
      </w:r>
    </w:p>
    <w:p w14:paraId="6B4F3783" w14:textId="77777777" w:rsidR="000D24A3" w:rsidRPr="000D24A3" w:rsidRDefault="000D24A3" w:rsidP="000D24A3">
      <w:pPr>
        <w:pStyle w:val="EndNoteBibliography"/>
        <w:ind w:left="720" w:hanging="720"/>
        <w:rPr>
          <w:noProof/>
        </w:rPr>
      </w:pPr>
      <w:r w:rsidRPr="000D24A3">
        <w:rPr>
          <w:noProof/>
        </w:rPr>
        <w:t>8.</w:t>
      </w:r>
      <w:r w:rsidRPr="000D24A3">
        <w:rPr>
          <w:noProof/>
        </w:rPr>
        <w:tab/>
        <w:t xml:space="preserve">Lozupone CA, Stombaugh JI, Gordon JI, Jansson JK, Knight R: </w:t>
      </w:r>
      <w:r w:rsidRPr="000D24A3">
        <w:rPr>
          <w:b/>
          <w:noProof/>
        </w:rPr>
        <w:t>Diversity, stability and resilience of the human gut microbiota</w:t>
      </w:r>
      <w:r w:rsidRPr="000D24A3">
        <w:rPr>
          <w:noProof/>
        </w:rPr>
        <w:t xml:space="preserve">. </w:t>
      </w:r>
      <w:r w:rsidRPr="000D24A3">
        <w:rPr>
          <w:i/>
          <w:noProof/>
        </w:rPr>
        <w:t xml:space="preserve">Nature </w:t>
      </w:r>
      <w:r w:rsidRPr="000D24A3">
        <w:rPr>
          <w:noProof/>
        </w:rPr>
        <w:t xml:space="preserve">2012, </w:t>
      </w:r>
      <w:r w:rsidRPr="000D24A3">
        <w:rPr>
          <w:b/>
          <w:noProof/>
        </w:rPr>
        <w:t>489</w:t>
      </w:r>
      <w:r w:rsidRPr="000D24A3">
        <w:rPr>
          <w:noProof/>
        </w:rPr>
        <w:t>(7415):220-230.</w:t>
      </w:r>
    </w:p>
    <w:p w14:paraId="2C3CDC07" w14:textId="77777777" w:rsidR="000D24A3" w:rsidRPr="000D24A3" w:rsidRDefault="000D24A3" w:rsidP="000D24A3">
      <w:pPr>
        <w:pStyle w:val="EndNoteBibliography"/>
        <w:ind w:left="720" w:hanging="720"/>
        <w:rPr>
          <w:noProof/>
        </w:rPr>
      </w:pPr>
      <w:r w:rsidRPr="000D24A3">
        <w:rPr>
          <w:noProof/>
        </w:rPr>
        <w:t>9.</w:t>
      </w:r>
      <w:r w:rsidRPr="000D24A3">
        <w:rPr>
          <w:noProof/>
        </w:rPr>
        <w:tab/>
        <w:t xml:space="preserve">Haro-Moreno JM, Lopez-Perez M, de la Torre JR, Picazo A, Camacho A, Rodriguez-Valera F: </w:t>
      </w:r>
      <w:r w:rsidRPr="000D24A3">
        <w:rPr>
          <w:b/>
          <w:noProof/>
        </w:rPr>
        <w:t>Fine metagenomic profile of the Mediterranean stratified and mixed water columns revealed by assembly and recruitment</w:t>
      </w:r>
      <w:r w:rsidRPr="000D24A3">
        <w:rPr>
          <w:noProof/>
        </w:rPr>
        <w:t xml:space="preserve">. </w:t>
      </w:r>
      <w:r w:rsidRPr="000D24A3">
        <w:rPr>
          <w:i/>
          <w:noProof/>
        </w:rPr>
        <w:t xml:space="preserve">Microbiome </w:t>
      </w:r>
      <w:r w:rsidRPr="000D24A3">
        <w:rPr>
          <w:noProof/>
        </w:rPr>
        <w:t xml:space="preserve">2018, </w:t>
      </w:r>
      <w:r w:rsidRPr="000D24A3">
        <w:rPr>
          <w:b/>
          <w:noProof/>
        </w:rPr>
        <w:t>6</w:t>
      </w:r>
      <w:r w:rsidRPr="000D24A3">
        <w:rPr>
          <w:noProof/>
        </w:rPr>
        <w:t>(1):128.</w:t>
      </w:r>
    </w:p>
    <w:p w14:paraId="034A0C9F" w14:textId="77777777" w:rsidR="000D24A3" w:rsidRPr="000D24A3" w:rsidRDefault="000D24A3" w:rsidP="000D24A3">
      <w:pPr>
        <w:pStyle w:val="EndNoteBibliography"/>
        <w:ind w:left="720" w:hanging="720"/>
        <w:rPr>
          <w:noProof/>
        </w:rPr>
      </w:pPr>
      <w:r w:rsidRPr="000D24A3">
        <w:rPr>
          <w:noProof/>
        </w:rPr>
        <w:t>10.</w:t>
      </w:r>
      <w:r w:rsidRPr="000D24A3">
        <w:rPr>
          <w:noProof/>
        </w:rPr>
        <w:tab/>
        <w:t xml:space="preserve">Bozkurt D, Rondanelli R, Garreaud R, Arriagada A: </w:t>
      </w:r>
      <w:r w:rsidRPr="000D24A3">
        <w:rPr>
          <w:b/>
          <w:noProof/>
        </w:rPr>
        <w:t>Impact of Warmer Eastern Tropical Pacific SST on the March 2015 Atacama Floods</w:t>
      </w:r>
      <w:r w:rsidRPr="000D24A3">
        <w:rPr>
          <w:noProof/>
        </w:rPr>
        <w:t xml:space="preserve">. </w:t>
      </w:r>
      <w:r w:rsidRPr="000D24A3">
        <w:rPr>
          <w:i/>
          <w:noProof/>
        </w:rPr>
        <w:t xml:space="preserve">Monthly Weather Review </w:t>
      </w:r>
      <w:r w:rsidRPr="000D24A3">
        <w:rPr>
          <w:noProof/>
        </w:rPr>
        <w:t xml:space="preserve">2016, </w:t>
      </w:r>
      <w:r w:rsidRPr="000D24A3">
        <w:rPr>
          <w:b/>
          <w:noProof/>
        </w:rPr>
        <w:t>144</w:t>
      </w:r>
      <w:r w:rsidRPr="000D24A3">
        <w:rPr>
          <w:noProof/>
        </w:rPr>
        <w:t>(11):4441-4460.</w:t>
      </w:r>
    </w:p>
    <w:p w14:paraId="1CBFECC8" w14:textId="77777777" w:rsidR="000D24A3" w:rsidRPr="000D24A3" w:rsidRDefault="000D24A3" w:rsidP="000D24A3">
      <w:pPr>
        <w:pStyle w:val="EndNoteBibliography"/>
        <w:ind w:left="720" w:hanging="720"/>
        <w:rPr>
          <w:noProof/>
        </w:rPr>
      </w:pPr>
      <w:r w:rsidRPr="000D24A3">
        <w:rPr>
          <w:noProof/>
        </w:rPr>
        <w:t>11.</w:t>
      </w:r>
      <w:r w:rsidRPr="000D24A3">
        <w:rPr>
          <w:noProof/>
        </w:rPr>
        <w:tab/>
        <w:t xml:space="preserve">Azua-Bustos A, Gonzalez-Silva C, Arenas-Fajardo C, Vicuna R: </w:t>
      </w:r>
      <w:r w:rsidRPr="000D24A3">
        <w:rPr>
          <w:b/>
          <w:noProof/>
        </w:rPr>
        <w:t>Extreme environments as potential drivers of convergent evolution by exaptation: the Atacama Desert Coastal Range case</w:t>
      </w:r>
      <w:r w:rsidRPr="000D24A3">
        <w:rPr>
          <w:noProof/>
        </w:rPr>
        <w:t xml:space="preserve">. </w:t>
      </w:r>
      <w:r w:rsidRPr="000D24A3">
        <w:rPr>
          <w:i/>
          <w:noProof/>
        </w:rPr>
        <w:t xml:space="preserve">Front Microbiol </w:t>
      </w:r>
      <w:r w:rsidRPr="000D24A3">
        <w:rPr>
          <w:noProof/>
        </w:rPr>
        <w:t xml:space="preserve">2012, </w:t>
      </w:r>
      <w:r w:rsidRPr="000D24A3">
        <w:rPr>
          <w:b/>
          <w:noProof/>
        </w:rPr>
        <w:t>3</w:t>
      </w:r>
      <w:r w:rsidRPr="000D24A3">
        <w:rPr>
          <w:noProof/>
        </w:rPr>
        <w:t>:426.</w:t>
      </w:r>
    </w:p>
    <w:p w14:paraId="0BC8C0D7" w14:textId="77777777" w:rsidR="000D24A3" w:rsidRPr="000D24A3" w:rsidRDefault="000D24A3" w:rsidP="000D24A3">
      <w:pPr>
        <w:pStyle w:val="EndNoteBibliography"/>
        <w:ind w:left="720" w:hanging="720"/>
        <w:rPr>
          <w:noProof/>
        </w:rPr>
      </w:pPr>
      <w:r w:rsidRPr="000D24A3">
        <w:rPr>
          <w:noProof/>
        </w:rPr>
        <w:t>12.</w:t>
      </w:r>
      <w:r w:rsidRPr="000D24A3">
        <w:rPr>
          <w:noProof/>
        </w:rPr>
        <w:tab/>
        <w:t xml:space="preserve">Crits-Christoph A, Gelsinger DR, Ma B, Wierzchos J, Ravel J, Davila A, Casero MC, DiRuggiero J: </w:t>
      </w:r>
      <w:r w:rsidRPr="000D24A3">
        <w:rPr>
          <w:b/>
          <w:noProof/>
        </w:rPr>
        <w:t>Functional interactions of archaea, bacteria and viruses in a hypersaline endolithic community</w:t>
      </w:r>
      <w:r w:rsidRPr="000D24A3">
        <w:rPr>
          <w:noProof/>
        </w:rPr>
        <w:t xml:space="preserve">. </w:t>
      </w:r>
      <w:r w:rsidRPr="000D24A3">
        <w:rPr>
          <w:i/>
          <w:noProof/>
        </w:rPr>
        <w:t xml:space="preserve">Environ Microbiol </w:t>
      </w:r>
      <w:r w:rsidRPr="000D24A3">
        <w:rPr>
          <w:noProof/>
        </w:rPr>
        <w:t xml:space="preserve">2016, </w:t>
      </w:r>
      <w:r w:rsidRPr="000D24A3">
        <w:rPr>
          <w:b/>
          <w:noProof/>
        </w:rPr>
        <w:t>18</w:t>
      </w:r>
      <w:r w:rsidRPr="000D24A3">
        <w:rPr>
          <w:noProof/>
        </w:rPr>
        <w:t>(6):2064-2077.</w:t>
      </w:r>
    </w:p>
    <w:p w14:paraId="67DCDD24" w14:textId="77777777" w:rsidR="000D24A3" w:rsidRPr="000D24A3" w:rsidRDefault="000D24A3" w:rsidP="000D24A3">
      <w:pPr>
        <w:pStyle w:val="EndNoteBibliography"/>
        <w:ind w:left="720" w:hanging="720"/>
        <w:rPr>
          <w:noProof/>
        </w:rPr>
      </w:pPr>
      <w:r w:rsidRPr="000D24A3">
        <w:rPr>
          <w:noProof/>
        </w:rPr>
        <w:t>13.</w:t>
      </w:r>
      <w:r w:rsidRPr="000D24A3">
        <w:rPr>
          <w:noProof/>
        </w:rPr>
        <w:tab/>
        <w:t xml:space="preserve">Finstad KM, Probst AJ, Thomas BC, Andersen GL, Demergasso C, Echeverria A, Amundson RG, Banfield JF: </w:t>
      </w:r>
      <w:r w:rsidRPr="000D24A3">
        <w:rPr>
          <w:b/>
          <w:noProof/>
        </w:rPr>
        <w:t>Microbial Community Structure and the Persistence of Cyanobacterial Populations in Salt Crusts of the Hyperarid Atacama Desert from Genome-Resolved Metagenomics</w:t>
      </w:r>
      <w:r w:rsidRPr="000D24A3">
        <w:rPr>
          <w:noProof/>
        </w:rPr>
        <w:t xml:space="preserve">. </w:t>
      </w:r>
      <w:r w:rsidRPr="000D24A3">
        <w:rPr>
          <w:i/>
          <w:noProof/>
        </w:rPr>
        <w:t xml:space="preserve">Front Microbiol </w:t>
      </w:r>
      <w:r w:rsidRPr="000D24A3">
        <w:rPr>
          <w:noProof/>
        </w:rPr>
        <w:t xml:space="preserve">2017, </w:t>
      </w:r>
      <w:r w:rsidRPr="000D24A3">
        <w:rPr>
          <w:b/>
          <w:noProof/>
        </w:rPr>
        <w:t>8</w:t>
      </w:r>
      <w:r w:rsidRPr="000D24A3">
        <w:rPr>
          <w:noProof/>
        </w:rPr>
        <w:t>:1435.</w:t>
      </w:r>
    </w:p>
    <w:p w14:paraId="7DD862C0" w14:textId="77777777" w:rsidR="000D24A3" w:rsidRPr="000D24A3" w:rsidRDefault="000D24A3" w:rsidP="000D24A3">
      <w:pPr>
        <w:pStyle w:val="EndNoteBibliography"/>
        <w:ind w:left="720" w:hanging="720"/>
        <w:rPr>
          <w:noProof/>
        </w:rPr>
      </w:pPr>
      <w:r w:rsidRPr="000D24A3">
        <w:rPr>
          <w:noProof/>
        </w:rPr>
        <w:t>14.</w:t>
      </w:r>
      <w:r w:rsidRPr="000D24A3">
        <w:rPr>
          <w:noProof/>
        </w:rPr>
        <w:tab/>
        <w:t>Robinson CK, Wierzchos J, Black C, Crits-Christoph A, Ma B, Ravel J, Ascaso C, Artieda O, Valea S, Roldan M</w:t>
      </w:r>
      <w:r w:rsidRPr="000D24A3">
        <w:rPr>
          <w:i/>
          <w:noProof/>
        </w:rPr>
        <w:t xml:space="preserve"> et al</w:t>
      </w:r>
      <w:r w:rsidRPr="000D24A3">
        <w:rPr>
          <w:noProof/>
        </w:rPr>
        <w:t xml:space="preserve">: </w:t>
      </w:r>
      <w:r w:rsidRPr="000D24A3">
        <w:rPr>
          <w:b/>
          <w:noProof/>
        </w:rPr>
        <w:t>Microbial diversity and the presence of algae in halite endolithic communities are correlated to atmospheric moisture in the hyper-arid zone of the Atacama Desert</w:t>
      </w:r>
      <w:r w:rsidRPr="000D24A3">
        <w:rPr>
          <w:noProof/>
        </w:rPr>
        <w:t xml:space="preserve">. </w:t>
      </w:r>
      <w:r w:rsidRPr="000D24A3">
        <w:rPr>
          <w:i/>
          <w:noProof/>
        </w:rPr>
        <w:t xml:space="preserve">Environ Microbiol </w:t>
      </w:r>
      <w:r w:rsidRPr="000D24A3">
        <w:rPr>
          <w:noProof/>
        </w:rPr>
        <w:t xml:space="preserve">2015, </w:t>
      </w:r>
      <w:r w:rsidRPr="000D24A3">
        <w:rPr>
          <w:b/>
          <w:noProof/>
        </w:rPr>
        <w:t>17</w:t>
      </w:r>
      <w:r w:rsidRPr="000D24A3">
        <w:rPr>
          <w:noProof/>
        </w:rPr>
        <w:t>:299-315.</w:t>
      </w:r>
    </w:p>
    <w:p w14:paraId="36035725" w14:textId="77777777" w:rsidR="000D24A3" w:rsidRPr="000D24A3" w:rsidRDefault="000D24A3" w:rsidP="000D24A3">
      <w:pPr>
        <w:pStyle w:val="EndNoteBibliography"/>
        <w:ind w:left="720" w:hanging="720"/>
        <w:rPr>
          <w:noProof/>
        </w:rPr>
      </w:pPr>
      <w:r w:rsidRPr="000D24A3">
        <w:rPr>
          <w:noProof/>
        </w:rPr>
        <w:t>15.</w:t>
      </w:r>
      <w:r w:rsidRPr="000D24A3">
        <w:rPr>
          <w:noProof/>
        </w:rPr>
        <w:tab/>
        <w:t xml:space="preserve">Davila AF, Hawes I, Araya JG, Gelsinger DR, DiRuggiero J, Ascaso C, Osano A, Wierzchos J: </w:t>
      </w:r>
      <w:r w:rsidRPr="000D24A3">
        <w:rPr>
          <w:b/>
          <w:noProof/>
        </w:rPr>
        <w:t>In situ metabolism in halite endolithic microbial communities of the hyperarid Atacama Desert</w:t>
      </w:r>
      <w:r w:rsidRPr="000D24A3">
        <w:rPr>
          <w:noProof/>
        </w:rPr>
        <w:t xml:space="preserve">. </w:t>
      </w:r>
      <w:r w:rsidRPr="000D24A3">
        <w:rPr>
          <w:i/>
          <w:noProof/>
        </w:rPr>
        <w:t xml:space="preserve">Front Microbiol </w:t>
      </w:r>
      <w:r w:rsidRPr="000D24A3">
        <w:rPr>
          <w:noProof/>
        </w:rPr>
        <w:t xml:space="preserve">2015, </w:t>
      </w:r>
      <w:r w:rsidRPr="000D24A3">
        <w:rPr>
          <w:b/>
          <w:noProof/>
        </w:rPr>
        <w:t>6</w:t>
      </w:r>
      <w:r w:rsidRPr="000D24A3">
        <w:rPr>
          <w:noProof/>
        </w:rPr>
        <w:t>:1035.</w:t>
      </w:r>
    </w:p>
    <w:p w14:paraId="04687EF2" w14:textId="27CE7412" w:rsidR="000D24A3" w:rsidRPr="000D24A3" w:rsidRDefault="000D24A3" w:rsidP="000D24A3">
      <w:pPr>
        <w:pStyle w:val="EndNoteBibliography"/>
        <w:ind w:left="720" w:hanging="720"/>
        <w:rPr>
          <w:noProof/>
        </w:rPr>
      </w:pPr>
      <w:r w:rsidRPr="000D24A3">
        <w:rPr>
          <w:noProof/>
        </w:rPr>
        <w:t>16.</w:t>
      </w:r>
      <w:r w:rsidRPr="000D24A3">
        <w:rPr>
          <w:noProof/>
        </w:rPr>
        <w:tab/>
        <w:t>Mongodin EF, Nelson KE, Daugherty S, DeBoy RT, Wister J, Khouri H, Weidman J, Walsh DA, Papke RT, Sanchez Perez G</w:t>
      </w:r>
      <w:r w:rsidRPr="000D24A3">
        <w:rPr>
          <w:i/>
          <w:noProof/>
        </w:rPr>
        <w:t xml:space="preserve"> et al</w:t>
      </w:r>
      <w:r w:rsidRPr="000D24A3">
        <w:rPr>
          <w:noProof/>
        </w:rPr>
        <w:t xml:space="preserve">: </w:t>
      </w:r>
      <w:r w:rsidRPr="000D24A3">
        <w:rPr>
          <w:b/>
          <w:noProof/>
        </w:rPr>
        <w:t xml:space="preserve">The genome of Salinibacter ruber: </w:t>
      </w:r>
      <w:r w:rsidRPr="000D24A3">
        <w:rPr>
          <w:b/>
          <w:noProof/>
        </w:rPr>
        <w:lastRenderedPageBreak/>
        <w:t>Convergence and gene exchange among hyperhalophilic bacteria and archaea</w:t>
      </w:r>
      <w:r w:rsidRPr="000D24A3">
        <w:rPr>
          <w:noProof/>
        </w:rPr>
        <w:t xml:space="preserve">. </w:t>
      </w:r>
      <w:r w:rsidRPr="000D24A3">
        <w:rPr>
          <w:i/>
          <w:noProof/>
        </w:rPr>
        <w:t xml:space="preserve">PNAS </w:t>
      </w:r>
      <w:r w:rsidRPr="000D24A3">
        <w:rPr>
          <w:noProof/>
        </w:rPr>
        <w:t xml:space="preserve">2005, </w:t>
      </w:r>
      <w:hyperlink r:id="rId6" w:history="1">
        <w:r w:rsidRPr="000D24A3">
          <w:rPr>
            <w:rStyle w:val="Hyperlink"/>
            <w:noProof/>
          </w:rPr>
          <w:t>http://www.pnas.org/cgi/content/abstract/0509073102v1:0509073102</w:t>
        </w:r>
      </w:hyperlink>
      <w:r w:rsidRPr="000D24A3">
        <w:rPr>
          <w:noProof/>
        </w:rPr>
        <w:t>.</w:t>
      </w:r>
    </w:p>
    <w:p w14:paraId="54E52711" w14:textId="77777777" w:rsidR="000D24A3" w:rsidRPr="000D24A3" w:rsidRDefault="000D24A3" w:rsidP="000D24A3">
      <w:pPr>
        <w:pStyle w:val="EndNoteBibliography"/>
        <w:ind w:left="720" w:hanging="720"/>
        <w:rPr>
          <w:noProof/>
        </w:rPr>
      </w:pPr>
      <w:r w:rsidRPr="000D24A3">
        <w:rPr>
          <w:noProof/>
        </w:rPr>
        <w:t>17.</w:t>
      </w:r>
      <w:r w:rsidRPr="000D24A3">
        <w:rPr>
          <w:noProof/>
        </w:rPr>
        <w:tab/>
        <w:t xml:space="preserve">Monard C, Gantner S, Bertilsson S, Hallin S, Stenlid J: </w:t>
      </w:r>
      <w:r w:rsidRPr="000D24A3">
        <w:rPr>
          <w:b/>
          <w:noProof/>
        </w:rPr>
        <w:t>Habitat generalists and specialists in microbial communities across a terrestrial-freshwater gradient</w:t>
      </w:r>
      <w:r w:rsidRPr="000D24A3">
        <w:rPr>
          <w:noProof/>
        </w:rPr>
        <w:t xml:space="preserve">. </w:t>
      </w:r>
      <w:r w:rsidRPr="000D24A3">
        <w:rPr>
          <w:i/>
          <w:noProof/>
        </w:rPr>
        <w:t xml:space="preserve">Sci Rep </w:t>
      </w:r>
      <w:r w:rsidRPr="000D24A3">
        <w:rPr>
          <w:noProof/>
        </w:rPr>
        <w:t xml:space="preserve">2016, </w:t>
      </w:r>
      <w:r w:rsidRPr="000D24A3">
        <w:rPr>
          <w:b/>
          <w:noProof/>
        </w:rPr>
        <w:t>6</w:t>
      </w:r>
      <w:r w:rsidRPr="000D24A3">
        <w:rPr>
          <w:noProof/>
        </w:rPr>
        <w:t>:37719.</w:t>
      </w:r>
    </w:p>
    <w:p w14:paraId="294EE34E" w14:textId="77777777" w:rsidR="000D24A3" w:rsidRPr="000D24A3" w:rsidRDefault="000D24A3" w:rsidP="000D24A3">
      <w:pPr>
        <w:pStyle w:val="EndNoteBibliography"/>
        <w:ind w:left="720" w:hanging="720"/>
        <w:rPr>
          <w:noProof/>
        </w:rPr>
      </w:pPr>
      <w:r w:rsidRPr="000D24A3">
        <w:rPr>
          <w:noProof/>
        </w:rPr>
        <w:t>18.</w:t>
      </w:r>
      <w:r w:rsidRPr="000D24A3">
        <w:rPr>
          <w:noProof/>
        </w:rPr>
        <w:tab/>
        <w:t xml:space="preserve">Oren A: </w:t>
      </w:r>
      <w:r w:rsidRPr="000D24A3">
        <w:rPr>
          <w:b/>
          <w:noProof/>
        </w:rPr>
        <w:t>Bioenergetic aspects of halophilism</w:t>
      </w:r>
      <w:r w:rsidRPr="000D24A3">
        <w:rPr>
          <w:noProof/>
        </w:rPr>
        <w:t xml:space="preserve">. </w:t>
      </w:r>
      <w:r w:rsidRPr="000D24A3">
        <w:rPr>
          <w:i/>
          <w:noProof/>
        </w:rPr>
        <w:t xml:space="preserve">Microbiol Mol Biol Rev </w:t>
      </w:r>
      <w:r w:rsidRPr="000D24A3">
        <w:rPr>
          <w:noProof/>
        </w:rPr>
        <w:t xml:space="preserve">1999, </w:t>
      </w:r>
      <w:r w:rsidRPr="000D24A3">
        <w:rPr>
          <w:b/>
          <w:noProof/>
        </w:rPr>
        <w:t>63</w:t>
      </w:r>
      <w:r w:rsidRPr="000D24A3">
        <w:rPr>
          <w:noProof/>
        </w:rPr>
        <w:t>(2):334-348.</w:t>
      </w:r>
    </w:p>
    <w:p w14:paraId="08A92B44" w14:textId="77777777" w:rsidR="000D24A3" w:rsidRPr="000D24A3" w:rsidRDefault="000D24A3" w:rsidP="000D24A3">
      <w:pPr>
        <w:pStyle w:val="EndNoteBibliography"/>
        <w:ind w:left="720" w:hanging="720"/>
        <w:rPr>
          <w:noProof/>
        </w:rPr>
      </w:pPr>
      <w:r w:rsidRPr="000D24A3">
        <w:rPr>
          <w:noProof/>
        </w:rPr>
        <w:t>19.</w:t>
      </w:r>
      <w:r w:rsidRPr="000D24A3">
        <w:rPr>
          <w:noProof/>
        </w:rPr>
        <w:tab/>
        <w:t xml:space="preserve">Oren A: </w:t>
      </w:r>
      <w:r w:rsidRPr="000D24A3">
        <w:rPr>
          <w:b/>
          <w:noProof/>
        </w:rPr>
        <w:t>Life at high salt concentrations, intracellular KCl concentrations, and acidic proteomes</w:t>
      </w:r>
      <w:r w:rsidRPr="000D24A3">
        <w:rPr>
          <w:noProof/>
        </w:rPr>
        <w:t xml:space="preserve">. </w:t>
      </w:r>
      <w:r w:rsidRPr="000D24A3">
        <w:rPr>
          <w:i/>
          <w:noProof/>
        </w:rPr>
        <w:t xml:space="preserve">Front Microbiol </w:t>
      </w:r>
      <w:r w:rsidRPr="000D24A3">
        <w:rPr>
          <w:noProof/>
        </w:rPr>
        <w:t xml:space="preserve">2013, </w:t>
      </w:r>
      <w:r w:rsidRPr="000D24A3">
        <w:rPr>
          <w:b/>
          <w:noProof/>
        </w:rPr>
        <w:t>4</w:t>
      </w:r>
      <w:r w:rsidRPr="000D24A3">
        <w:rPr>
          <w:noProof/>
        </w:rPr>
        <w:t>:315.</w:t>
      </w:r>
    </w:p>
    <w:p w14:paraId="1FCE21E0" w14:textId="77777777" w:rsidR="000D24A3" w:rsidRPr="000D24A3" w:rsidRDefault="000D24A3" w:rsidP="000D24A3">
      <w:pPr>
        <w:pStyle w:val="EndNoteBibliography"/>
        <w:ind w:left="720" w:hanging="720"/>
        <w:rPr>
          <w:noProof/>
        </w:rPr>
      </w:pPr>
      <w:r w:rsidRPr="000D24A3">
        <w:rPr>
          <w:noProof/>
        </w:rPr>
        <w:t>20.</w:t>
      </w:r>
      <w:r w:rsidRPr="000D24A3">
        <w:rPr>
          <w:noProof/>
        </w:rPr>
        <w:tab/>
        <w:t xml:space="preserve">Paul S, Bag SK, Das S, Harvill ET, Dutta C: </w:t>
      </w:r>
      <w:r w:rsidRPr="000D24A3">
        <w:rPr>
          <w:b/>
          <w:noProof/>
        </w:rPr>
        <w:t>Molecular signature of hypersaline adaptation: insights from genome and proteome composition of halophilic prokaryotes</w:t>
      </w:r>
      <w:r w:rsidRPr="000D24A3">
        <w:rPr>
          <w:noProof/>
        </w:rPr>
        <w:t xml:space="preserve">. </w:t>
      </w:r>
      <w:r w:rsidRPr="000D24A3">
        <w:rPr>
          <w:i/>
          <w:noProof/>
        </w:rPr>
        <w:t xml:space="preserve">Genome Biol </w:t>
      </w:r>
      <w:r w:rsidRPr="000D24A3">
        <w:rPr>
          <w:noProof/>
        </w:rPr>
        <w:t xml:space="preserve">2008, </w:t>
      </w:r>
      <w:r w:rsidRPr="000D24A3">
        <w:rPr>
          <w:b/>
          <w:noProof/>
        </w:rPr>
        <w:t>9</w:t>
      </w:r>
      <w:r w:rsidRPr="000D24A3">
        <w:rPr>
          <w:noProof/>
        </w:rPr>
        <w:t>(4):R70.</w:t>
      </w:r>
    </w:p>
    <w:p w14:paraId="54657143" w14:textId="77777777" w:rsidR="000D24A3" w:rsidRPr="000D24A3" w:rsidRDefault="000D24A3" w:rsidP="000D24A3">
      <w:pPr>
        <w:pStyle w:val="EndNoteBibliography"/>
        <w:ind w:left="720" w:hanging="720"/>
        <w:rPr>
          <w:noProof/>
        </w:rPr>
      </w:pPr>
      <w:r w:rsidRPr="000D24A3">
        <w:rPr>
          <w:noProof/>
        </w:rPr>
        <w:t>21.</w:t>
      </w:r>
      <w:r w:rsidRPr="000D24A3">
        <w:rPr>
          <w:noProof/>
        </w:rPr>
        <w:tab/>
        <w:t>Mongodin EF, Nelson KE, Daugherty S, Deboy RT, Wister J, Khouri H, Weidman J, Walsh DA, Papke RT, Sanchez Perez G</w:t>
      </w:r>
      <w:r w:rsidRPr="000D24A3">
        <w:rPr>
          <w:i/>
          <w:noProof/>
        </w:rPr>
        <w:t xml:space="preserve"> et al</w:t>
      </w:r>
      <w:r w:rsidRPr="000D24A3">
        <w:rPr>
          <w:noProof/>
        </w:rPr>
        <w:t xml:space="preserve">: </w:t>
      </w:r>
      <w:r w:rsidRPr="000D24A3">
        <w:rPr>
          <w:b/>
          <w:noProof/>
        </w:rPr>
        <w:t>The genome of Salinibacter ruber: convergence and gene exchange among hyperhalophilic bacteria and archaea</w:t>
      </w:r>
      <w:r w:rsidRPr="000D24A3">
        <w:rPr>
          <w:noProof/>
        </w:rPr>
        <w:t xml:space="preserve">. </w:t>
      </w:r>
      <w:r w:rsidRPr="000D24A3">
        <w:rPr>
          <w:i/>
          <w:noProof/>
        </w:rPr>
        <w:t xml:space="preserve">Proc Natl Acad Sci U S A </w:t>
      </w:r>
      <w:r w:rsidRPr="000D24A3">
        <w:rPr>
          <w:noProof/>
        </w:rPr>
        <w:t xml:space="preserve">2005, </w:t>
      </w:r>
      <w:r w:rsidRPr="000D24A3">
        <w:rPr>
          <w:b/>
          <w:noProof/>
        </w:rPr>
        <w:t>102</w:t>
      </w:r>
      <w:r w:rsidRPr="000D24A3">
        <w:rPr>
          <w:noProof/>
        </w:rPr>
        <w:t>(50):18147-18152.</w:t>
      </w:r>
    </w:p>
    <w:p w14:paraId="525A4056" w14:textId="77777777" w:rsidR="000D24A3" w:rsidRPr="000D24A3" w:rsidRDefault="000D24A3" w:rsidP="000D24A3">
      <w:pPr>
        <w:pStyle w:val="EndNoteBibliography"/>
        <w:ind w:left="720" w:hanging="720"/>
        <w:rPr>
          <w:noProof/>
        </w:rPr>
      </w:pPr>
      <w:r w:rsidRPr="000D24A3">
        <w:rPr>
          <w:noProof/>
        </w:rPr>
        <w:t>22.</w:t>
      </w:r>
      <w:r w:rsidRPr="000D24A3">
        <w:rPr>
          <w:noProof/>
        </w:rPr>
        <w:tab/>
        <w:t xml:space="preserve">Davila AF, Hawes I, Ascaso C, Wierzchos J: </w:t>
      </w:r>
      <w:r w:rsidRPr="000D24A3">
        <w:rPr>
          <w:b/>
          <w:noProof/>
        </w:rPr>
        <w:t>Salt deliquescence drives photosynthesis in the hyperarid Atacama Desert</w:t>
      </w:r>
      <w:r w:rsidRPr="000D24A3">
        <w:rPr>
          <w:noProof/>
        </w:rPr>
        <w:t xml:space="preserve">. </w:t>
      </w:r>
      <w:r w:rsidRPr="000D24A3">
        <w:rPr>
          <w:i/>
          <w:noProof/>
        </w:rPr>
        <w:t xml:space="preserve">Environ Microbial </w:t>
      </w:r>
      <w:r w:rsidRPr="000D24A3">
        <w:rPr>
          <w:noProof/>
        </w:rPr>
        <w:t>2013, (DOI: 10.1111/1758-2229.12050).</w:t>
      </w:r>
    </w:p>
    <w:p w14:paraId="53BCB453" w14:textId="64387E09" w:rsidR="000D24A3" w:rsidRPr="000D24A3" w:rsidRDefault="000D24A3" w:rsidP="000D24A3">
      <w:pPr>
        <w:pStyle w:val="EndNoteBibliography"/>
        <w:ind w:left="720" w:hanging="720"/>
        <w:rPr>
          <w:noProof/>
        </w:rPr>
      </w:pPr>
      <w:r w:rsidRPr="000D24A3">
        <w:rPr>
          <w:noProof/>
        </w:rPr>
        <w:t>23.</w:t>
      </w:r>
      <w:r w:rsidRPr="000D24A3">
        <w:rPr>
          <w:noProof/>
        </w:rPr>
        <w:tab/>
      </w:r>
      <w:r w:rsidRPr="000D24A3">
        <w:rPr>
          <w:b/>
          <w:noProof/>
        </w:rPr>
        <w:t xml:space="preserve">Servicios Climáticos </w:t>
      </w:r>
      <w:r w:rsidRPr="000D24A3">
        <w:rPr>
          <w:noProof/>
        </w:rPr>
        <w:t>[</w:t>
      </w:r>
      <w:hyperlink r:id="rId7" w:history="1">
        <w:r w:rsidRPr="000D24A3">
          <w:rPr>
            <w:rStyle w:val="Hyperlink"/>
            <w:noProof/>
          </w:rPr>
          <w:t>https://climatologia.meteochile.gob.cl/application/index/productos/RE2009</w:t>
        </w:r>
      </w:hyperlink>
      <w:r w:rsidRPr="000D24A3">
        <w:rPr>
          <w:noProof/>
        </w:rPr>
        <w:t>]</w:t>
      </w:r>
    </w:p>
    <w:p w14:paraId="11C9C97D" w14:textId="77777777" w:rsidR="000D24A3" w:rsidRPr="000D24A3" w:rsidRDefault="000D24A3" w:rsidP="000D24A3">
      <w:pPr>
        <w:pStyle w:val="EndNoteBibliography"/>
        <w:ind w:left="720" w:hanging="720"/>
        <w:rPr>
          <w:noProof/>
        </w:rPr>
      </w:pPr>
      <w:r w:rsidRPr="000D24A3">
        <w:rPr>
          <w:noProof/>
        </w:rPr>
        <w:t>24.</w:t>
      </w:r>
      <w:r w:rsidRPr="000D24A3">
        <w:rPr>
          <w:noProof/>
        </w:rPr>
        <w:tab/>
        <w:t xml:space="preserve">N. S, P. BJ, P. A: </w:t>
      </w:r>
      <w:r w:rsidRPr="000D24A3">
        <w:rPr>
          <w:b/>
          <w:noProof/>
        </w:rPr>
        <w:t>Climate change along the arid coast of northern Chile</w:t>
      </w:r>
      <w:r w:rsidRPr="000D24A3">
        <w:rPr>
          <w:noProof/>
        </w:rPr>
        <w:t xml:space="preserve">. </w:t>
      </w:r>
      <w:r w:rsidRPr="000D24A3">
        <w:rPr>
          <w:i/>
          <w:noProof/>
        </w:rPr>
        <w:t xml:space="preserve">International Journal of Climatology </w:t>
      </w:r>
      <w:r w:rsidRPr="000D24A3">
        <w:rPr>
          <w:noProof/>
        </w:rPr>
        <w:t xml:space="preserve">2012, </w:t>
      </w:r>
      <w:r w:rsidRPr="000D24A3">
        <w:rPr>
          <w:b/>
          <w:noProof/>
        </w:rPr>
        <w:t>32</w:t>
      </w:r>
      <w:r w:rsidRPr="000D24A3">
        <w:rPr>
          <w:noProof/>
        </w:rPr>
        <w:t>(12):1803-1814.</w:t>
      </w:r>
    </w:p>
    <w:p w14:paraId="6C331FE1" w14:textId="77777777" w:rsidR="000D24A3" w:rsidRPr="000D24A3" w:rsidRDefault="000D24A3" w:rsidP="000D24A3">
      <w:pPr>
        <w:pStyle w:val="EndNoteBibliography"/>
        <w:ind w:left="720" w:hanging="720"/>
        <w:rPr>
          <w:noProof/>
        </w:rPr>
      </w:pPr>
      <w:r w:rsidRPr="000D24A3">
        <w:rPr>
          <w:noProof/>
        </w:rPr>
        <w:t>25.</w:t>
      </w:r>
      <w:r w:rsidRPr="000D24A3">
        <w:rPr>
          <w:noProof/>
        </w:rPr>
        <w:tab/>
        <w:t xml:space="preserve">Uritskiy GV, DiRuggiero J, Taylor J: </w:t>
      </w:r>
      <w:r w:rsidRPr="000D24A3">
        <w:rPr>
          <w:b/>
          <w:noProof/>
        </w:rPr>
        <w:t>MetaWRAP - a flexible pipeline for genome-resolved metagenomic data analysis</w:t>
      </w:r>
      <w:r w:rsidRPr="000D24A3">
        <w:rPr>
          <w:noProof/>
        </w:rPr>
        <w:t xml:space="preserve">. </w:t>
      </w:r>
      <w:r w:rsidRPr="000D24A3">
        <w:rPr>
          <w:i/>
          <w:noProof/>
        </w:rPr>
        <w:t xml:space="preserve">bioRxiv </w:t>
      </w:r>
      <w:r w:rsidRPr="000D24A3">
        <w:rPr>
          <w:noProof/>
        </w:rPr>
        <w:t>2018, 10.1101/277442.</w:t>
      </w:r>
    </w:p>
    <w:p w14:paraId="18ACE5BC" w14:textId="77777777" w:rsidR="000D24A3" w:rsidRPr="000D24A3" w:rsidRDefault="000D24A3" w:rsidP="000D24A3">
      <w:pPr>
        <w:pStyle w:val="EndNoteBibliography"/>
        <w:ind w:left="720" w:hanging="720"/>
        <w:rPr>
          <w:noProof/>
        </w:rPr>
      </w:pPr>
      <w:r w:rsidRPr="000D24A3">
        <w:rPr>
          <w:noProof/>
        </w:rPr>
        <w:t>26.</w:t>
      </w:r>
      <w:r w:rsidRPr="000D24A3">
        <w:rPr>
          <w:noProof/>
        </w:rPr>
        <w:tab/>
        <w:t>Caporaso JG, Kuczynski J, Stombaugh J, Bittinger K, Bushman FD, Costello EK, Fierer N, Pena AG, Goodrich JK, Gordon JI</w:t>
      </w:r>
      <w:r w:rsidRPr="000D24A3">
        <w:rPr>
          <w:i/>
          <w:noProof/>
        </w:rPr>
        <w:t xml:space="preserve"> et al</w:t>
      </w:r>
      <w:r w:rsidRPr="000D24A3">
        <w:rPr>
          <w:noProof/>
        </w:rPr>
        <w:t xml:space="preserve">: </w:t>
      </w:r>
      <w:r w:rsidRPr="000D24A3">
        <w:rPr>
          <w:b/>
          <w:noProof/>
        </w:rPr>
        <w:t>QIIME allows analysis of high-throughput community sequencing data</w:t>
      </w:r>
      <w:r w:rsidRPr="000D24A3">
        <w:rPr>
          <w:noProof/>
        </w:rPr>
        <w:t xml:space="preserve">. </w:t>
      </w:r>
      <w:r w:rsidRPr="000D24A3">
        <w:rPr>
          <w:i/>
          <w:noProof/>
        </w:rPr>
        <w:t xml:space="preserve">Nat Methods </w:t>
      </w:r>
      <w:r w:rsidRPr="000D24A3">
        <w:rPr>
          <w:noProof/>
        </w:rPr>
        <w:t xml:space="preserve">2010, </w:t>
      </w:r>
      <w:r w:rsidRPr="000D24A3">
        <w:rPr>
          <w:b/>
          <w:noProof/>
        </w:rPr>
        <w:t>7</w:t>
      </w:r>
      <w:r w:rsidRPr="000D24A3">
        <w:rPr>
          <w:noProof/>
        </w:rPr>
        <w:t>(5):335-336.</w:t>
      </w:r>
    </w:p>
    <w:p w14:paraId="5BF4F438" w14:textId="77777777" w:rsidR="000D24A3" w:rsidRPr="000D24A3" w:rsidRDefault="000D24A3" w:rsidP="000D24A3">
      <w:pPr>
        <w:pStyle w:val="EndNoteBibliography"/>
        <w:ind w:left="720" w:hanging="720"/>
        <w:rPr>
          <w:noProof/>
        </w:rPr>
      </w:pPr>
      <w:r w:rsidRPr="000D24A3">
        <w:rPr>
          <w:noProof/>
        </w:rPr>
        <w:t>27.</w:t>
      </w:r>
      <w:r w:rsidRPr="000D24A3">
        <w:rPr>
          <w:noProof/>
        </w:rPr>
        <w:tab/>
        <w:t xml:space="preserve">Quast C, Pruesse E, Yilmaz P, Gerken J, Schweer T, Yarza P, Peplies J, Glockner FO: </w:t>
      </w:r>
      <w:r w:rsidRPr="000D24A3">
        <w:rPr>
          <w:b/>
          <w:noProof/>
        </w:rPr>
        <w:t>The SILVA ribosomal RNA gene database project: improved data processing and web-based tools</w:t>
      </w:r>
      <w:r w:rsidRPr="000D24A3">
        <w:rPr>
          <w:noProof/>
        </w:rPr>
        <w:t xml:space="preserve">. </w:t>
      </w:r>
      <w:r w:rsidRPr="000D24A3">
        <w:rPr>
          <w:i/>
          <w:noProof/>
        </w:rPr>
        <w:t xml:space="preserve">Nucleic Acids Res </w:t>
      </w:r>
      <w:r w:rsidRPr="000D24A3">
        <w:rPr>
          <w:noProof/>
        </w:rPr>
        <w:t xml:space="preserve">2013, </w:t>
      </w:r>
      <w:r w:rsidRPr="000D24A3">
        <w:rPr>
          <w:b/>
          <w:noProof/>
        </w:rPr>
        <w:t>41</w:t>
      </w:r>
      <w:r w:rsidRPr="000D24A3">
        <w:rPr>
          <w:noProof/>
        </w:rPr>
        <w:t>(Database issue):D590-596.</w:t>
      </w:r>
    </w:p>
    <w:p w14:paraId="34C10558" w14:textId="77777777" w:rsidR="000D24A3" w:rsidRPr="000D24A3" w:rsidRDefault="000D24A3" w:rsidP="000D24A3">
      <w:pPr>
        <w:pStyle w:val="EndNoteBibliography"/>
        <w:ind w:left="720" w:hanging="720"/>
        <w:rPr>
          <w:noProof/>
        </w:rPr>
      </w:pPr>
      <w:r w:rsidRPr="000D24A3">
        <w:rPr>
          <w:noProof/>
        </w:rPr>
        <w:t>28.</w:t>
      </w:r>
      <w:r w:rsidRPr="000D24A3">
        <w:rPr>
          <w:noProof/>
        </w:rPr>
        <w:tab/>
        <w:t xml:space="preserve">Edgar RC: </w:t>
      </w:r>
      <w:r w:rsidRPr="000D24A3">
        <w:rPr>
          <w:b/>
          <w:noProof/>
        </w:rPr>
        <w:t>Search and clustering orders of magnitude faster than BLAST</w:t>
      </w:r>
      <w:r w:rsidRPr="000D24A3">
        <w:rPr>
          <w:noProof/>
        </w:rPr>
        <w:t xml:space="preserve">. </w:t>
      </w:r>
      <w:r w:rsidRPr="000D24A3">
        <w:rPr>
          <w:i/>
          <w:noProof/>
        </w:rPr>
        <w:t xml:space="preserve">Bioinformatics </w:t>
      </w:r>
      <w:r w:rsidRPr="000D24A3">
        <w:rPr>
          <w:noProof/>
        </w:rPr>
        <w:t xml:space="preserve">2010, </w:t>
      </w:r>
      <w:r w:rsidRPr="000D24A3">
        <w:rPr>
          <w:b/>
          <w:noProof/>
        </w:rPr>
        <w:t>26</w:t>
      </w:r>
      <w:r w:rsidRPr="000D24A3">
        <w:rPr>
          <w:noProof/>
        </w:rPr>
        <w:t>:2460-2461.</w:t>
      </w:r>
    </w:p>
    <w:p w14:paraId="4F083F2D" w14:textId="10EEBBDB" w:rsidR="000D24A3" w:rsidRPr="000D24A3" w:rsidRDefault="000D24A3" w:rsidP="000D24A3">
      <w:pPr>
        <w:pStyle w:val="EndNoteBibliography"/>
        <w:ind w:left="720" w:hanging="720"/>
        <w:rPr>
          <w:noProof/>
        </w:rPr>
      </w:pPr>
      <w:r w:rsidRPr="000D24A3">
        <w:rPr>
          <w:noProof/>
        </w:rPr>
        <w:t>29.</w:t>
      </w:r>
      <w:r w:rsidRPr="000D24A3">
        <w:rPr>
          <w:noProof/>
        </w:rPr>
        <w:tab/>
        <w:t>Waskom M, Botvinnik O, O'Kane D, Hobson P, Lukauskas S, Gemperline DC, Augspurger T, Halchenko Y, Cole JB, Warmenhoven J</w:t>
      </w:r>
      <w:r w:rsidRPr="000D24A3">
        <w:rPr>
          <w:i/>
          <w:noProof/>
        </w:rPr>
        <w:t xml:space="preserve"> et al</w:t>
      </w:r>
      <w:r w:rsidRPr="000D24A3">
        <w:rPr>
          <w:noProof/>
        </w:rPr>
        <w:t xml:space="preserve">: </w:t>
      </w:r>
      <w:r w:rsidRPr="000D24A3">
        <w:rPr>
          <w:b/>
          <w:noProof/>
        </w:rPr>
        <w:t>Seaborn</w:t>
      </w:r>
      <w:r w:rsidRPr="000D24A3">
        <w:rPr>
          <w:noProof/>
        </w:rPr>
        <w:t>. In</w:t>
      </w:r>
      <w:r w:rsidRPr="000D24A3">
        <w:rPr>
          <w:i/>
          <w:noProof/>
        </w:rPr>
        <w:t>.</w:t>
      </w:r>
      <w:r w:rsidRPr="000D24A3">
        <w:rPr>
          <w:noProof/>
        </w:rPr>
        <w:t xml:space="preserve">, 10.5281/zenodo.883859, 0.8.1 edn: GitHub; 2017: </w:t>
      </w:r>
      <w:hyperlink r:id="rId8" w:history="1">
        <w:r w:rsidRPr="000D24A3">
          <w:rPr>
            <w:rStyle w:val="Hyperlink"/>
            <w:noProof/>
          </w:rPr>
          <w:t>https://github.com/mwaskom/seaborn</w:t>
        </w:r>
      </w:hyperlink>
      <w:r w:rsidRPr="000D24A3">
        <w:rPr>
          <w:noProof/>
        </w:rPr>
        <w:t>.</w:t>
      </w:r>
    </w:p>
    <w:p w14:paraId="7DC1BD7D" w14:textId="77777777" w:rsidR="000D24A3" w:rsidRPr="000D24A3" w:rsidRDefault="000D24A3" w:rsidP="000D24A3">
      <w:pPr>
        <w:pStyle w:val="EndNoteBibliography"/>
        <w:ind w:left="720" w:hanging="720"/>
        <w:rPr>
          <w:noProof/>
        </w:rPr>
      </w:pPr>
      <w:r w:rsidRPr="000D24A3">
        <w:rPr>
          <w:noProof/>
        </w:rPr>
        <w:t>30.</w:t>
      </w:r>
      <w:r w:rsidRPr="000D24A3">
        <w:rPr>
          <w:noProof/>
        </w:rPr>
        <w:tab/>
        <w:t xml:space="preserve">Wood DE, Salzberg SL: </w:t>
      </w:r>
      <w:r w:rsidRPr="000D24A3">
        <w:rPr>
          <w:b/>
          <w:noProof/>
        </w:rPr>
        <w:t>Kraken: ultrafast metagenomic sequence classification using exact alignments</w:t>
      </w:r>
      <w:r w:rsidRPr="000D24A3">
        <w:rPr>
          <w:noProof/>
        </w:rPr>
        <w:t xml:space="preserve">. </w:t>
      </w:r>
      <w:r w:rsidRPr="000D24A3">
        <w:rPr>
          <w:i/>
          <w:noProof/>
        </w:rPr>
        <w:t xml:space="preserve">Genome Biol </w:t>
      </w:r>
      <w:r w:rsidRPr="000D24A3">
        <w:rPr>
          <w:noProof/>
        </w:rPr>
        <w:t xml:space="preserve">2014, </w:t>
      </w:r>
      <w:r w:rsidRPr="000D24A3">
        <w:rPr>
          <w:b/>
          <w:noProof/>
        </w:rPr>
        <w:t>15</w:t>
      </w:r>
      <w:r w:rsidRPr="000D24A3">
        <w:rPr>
          <w:noProof/>
        </w:rPr>
        <w:t>(3):R46.</w:t>
      </w:r>
    </w:p>
    <w:p w14:paraId="7F2E0848" w14:textId="77777777" w:rsidR="000D24A3" w:rsidRPr="000D24A3" w:rsidRDefault="000D24A3" w:rsidP="000D24A3">
      <w:pPr>
        <w:pStyle w:val="EndNoteBibliography"/>
        <w:ind w:left="720" w:hanging="720"/>
        <w:rPr>
          <w:noProof/>
        </w:rPr>
      </w:pPr>
      <w:r w:rsidRPr="000D24A3">
        <w:rPr>
          <w:noProof/>
        </w:rPr>
        <w:t>31.</w:t>
      </w:r>
      <w:r w:rsidRPr="000D24A3">
        <w:rPr>
          <w:noProof/>
        </w:rPr>
        <w:tab/>
        <w:t xml:space="preserve">Nurk S, Meleshko D, Korobeynikov A, Pevzner PA: </w:t>
      </w:r>
      <w:r w:rsidRPr="000D24A3">
        <w:rPr>
          <w:b/>
          <w:noProof/>
        </w:rPr>
        <w:t>metaSPAdes: a new versatile metagenomic assembler</w:t>
      </w:r>
      <w:r w:rsidRPr="000D24A3">
        <w:rPr>
          <w:noProof/>
        </w:rPr>
        <w:t xml:space="preserve">. </w:t>
      </w:r>
      <w:r w:rsidRPr="000D24A3">
        <w:rPr>
          <w:i/>
          <w:noProof/>
        </w:rPr>
        <w:t xml:space="preserve">Genome Res </w:t>
      </w:r>
      <w:r w:rsidRPr="000D24A3">
        <w:rPr>
          <w:noProof/>
        </w:rPr>
        <w:t xml:space="preserve">2017, </w:t>
      </w:r>
      <w:r w:rsidRPr="000D24A3">
        <w:rPr>
          <w:b/>
          <w:noProof/>
        </w:rPr>
        <w:t>27</w:t>
      </w:r>
      <w:r w:rsidRPr="000D24A3">
        <w:rPr>
          <w:noProof/>
        </w:rPr>
        <w:t>(5):824-834.</w:t>
      </w:r>
    </w:p>
    <w:p w14:paraId="301A5E5A" w14:textId="77777777" w:rsidR="000D24A3" w:rsidRPr="000D24A3" w:rsidRDefault="000D24A3" w:rsidP="000D24A3">
      <w:pPr>
        <w:pStyle w:val="EndNoteBibliography"/>
        <w:ind w:left="720" w:hanging="720"/>
        <w:rPr>
          <w:noProof/>
        </w:rPr>
      </w:pPr>
      <w:r w:rsidRPr="000D24A3">
        <w:rPr>
          <w:noProof/>
        </w:rPr>
        <w:t>32.</w:t>
      </w:r>
      <w:r w:rsidRPr="000D24A3">
        <w:rPr>
          <w:noProof/>
        </w:rPr>
        <w:tab/>
        <w:t xml:space="preserve">Kumar S, Jones M, Koutsovoulos G, Clarke M, Blaxter M: </w:t>
      </w:r>
      <w:r w:rsidRPr="000D24A3">
        <w:rPr>
          <w:b/>
          <w:noProof/>
        </w:rPr>
        <w:t>Blobology: exploring raw genome data for contaminants, symbionts and parasites using taxon-annotated GC-coverage plots</w:t>
      </w:r>
      <w:r w:rsidRPr="000D24A3">
        <w:rPr>
          <w:noProof/>
        </w:rPr>
        <w:t xml:space="preserve">. </w:t>
      </w:r>
      <w:r w:rsidRPr="000D24A3">
        <w:rPr>
          <w:i/>
          <w:noProof/>
        </w:rPr>
        <w:t xml:space="preserve">Frontiers in Genetics </w:t>
      </w:r>
      <w:r w:rsidRPr="000D24A3">
        <w:rPr>
          <w:noProof/>
        </w:rPr>
        <w:t xml:space="preserve">2013, </w:t>
      </w:r>
      <w:r w:rsidRPr="000D24A3">
        <w:rPr>
          <w:b/>
          <w:noProof/>
        </w:rPr>
        <w:t>4</w:t>
      </w:r>
      <w:r w:rsidRPr="000D24A3">
        <w:rPr>
          <w:noProof/>
        </w:rPr>
        <w:t>:237.</w:t>
      </w:r>
    </w:p>
    <w:p w14:paraId="689A4D46" w14:textId="77777777" w:rsidR="000D24A3" w:rsidRPr="000D24A3" w:rsidRDefault="000D24A3" w:rsidP="000D24A3">
      <w:pPr>
        <w:pStyle w:val="EndNoteBibliography"/>
        <w:ind w:left="720" w:hanging="720"/>
        <w:rPr>
          <w:noProof/>
        </w:rPr>
      </w:pPr>
      <w:r w:rsidRPr="000D24A3">
        <w:rPr>
          <w:noProof/>
        </w:rPr>
        <w:t>33.</w:t>
      </w:r>
      <w:r w:rsidRPr="000D24A3">
        <w:rPr>
          <w:noProof/>
        </w:rPr>
        <w:tab/>
        <w:t xml:space="preserve">Patro R, Duggal G, Love MI, Irizarry RA, Kingsford C: </w:t>
      </w:r>
      <w:r w:rsidRPr="000D24A3">
        <w:rPr>
          <w:b/>
          <w:noProof/>
        </w:rPr>
        <w:t>Salmon provides fast and bias-aware quantification of transcript expression</w:t>
      </w:r>
      <w:r w:rsidRPr="000D24A3">
        <w:rPr>
          <w:noProof/>
        </w:rPr>
        <w:t xml:space="preserve">. </w:t>
      </w:r>
      <w:r w:rsidRPr="000D24A3">
        <w:rPr>
          <w:i/>
          <w:noProof/>
        </w:rPr>
        <w:t xml:space="preserve">Nat Methods </w:t>
      </w:r>
      <w:r w:rsidRPr="000D24A3">
        <w:rPr>
          <w:noProof/>
        </w:rPr>
        <w:t xml:space="preserve">2017, </w:t>
      </w:r>
      <w:r w:rsidRPr="000D24A3">
        <w:rPr>
          <w:b/>
          <w:noProof/>
        </w:rPr>
        <w:t>14</w:t>
      </w:r>
      <w:r w:rsidRPr="000D24A3">
        <w:rPr>
          <w:noProof/>
        </w:rPr>
        <w:t>(4):417-419.</w:t>
      </w:r>
    </w:p>
    <w:p w14:paraId="6BBFB31A" w14:textId="77777777" w:rsidR="000D24A3" w:rsidRPr="000D24A3" w:rsidRDefault="000D24A3" w:rsidP="000D24A3">
      <w:pPr>
        <w:pStyle w:val="EndNoteBibliography"/>
        <w:ind w:left="720" w:hanging="720"/>
        <w:rPr>
          <w:noProof/>
        </w:rPr>
      </w:pPr>
      <w:r w:rsidRPr="000D24A3">
        <w:rPr>
          <w:noProof/>
        </w:rPr>
        <w:lastRenderedPageBreak/>
        <w:t>34.</w:t>
      </w:r>
      <w:r w:rsidRPr="000D24A3">
        <w:rPr>
          <w:noProof/>
        </w:rPr>
        <w:tab/>
        <w:t>Chen IA, Markowitz VM, Chu K, Palaniappan K, Szeto E, Pillay M, Ratner A, Huang J, Andersen E, Huntemann M</w:t>
      </w:r>
      <w:r w:rsidRPr="000D24A3">
        <w:rPr>
          <w:i/>
          <w:noProof/>
        </w:rPr>
        <w:t xml:space="preserve"> et al</w:t>
      </w:r>
      <w:r w:rsidRPr="000D24A3">
        <w:rPr>
          <w:noProof/>
        </w:rPr>
        <w:t xml:space="preserve">: </w:t>
      </w:r>
      <w:r w:rsidRPr="000D24A3">
        <w:rPr>
          <w:b/>
          <w:noProof/>
        </w:rPr>
        <w:t>IMG/M: integrated genome and metagenome comparative data analysis system</w:t>
      </w:r>
      <w:r w:rsidRPr="000D24A3">
        <w:rPr>
          <w:noProof/>
        </w:rPr>
        <w:t xml:space="preserve">. </w:t>
      </w:r>
      <w:r w:rsidRPr="000D24A3">
        <w:rPr>
          <w:i/>
          <w:noProof/>
        </w:rPr>
        <w:t xml:space="preserve">Nucleic Acids Res </w:t>
      </w:r>
      <w:r w:rsidRPr="000D24A3">
        <w:rPr>
          <w:noProof/>
        </w:rPr>
        <w:t xml:space="preserve">2017, </w:t>
      </w:r>
      <w:r w:rsidRPr="000D24A3">
        <w:rPr>
          <w:b/>
          <w:noProof/>
        </w:rPr>
        <w:t>45</w:t>
      </w:r>
      <w:r w:rsidRPr="000D24A3">
        <w:rPr>
          <w:noProof/>
        </w:rPr>
        <w:t>(D1):D507-D516.</w:t>
      </w:r>
    </w:p>
    <w:p w14:paraId="2F4EC294" w14:textId="77777777" w:rsidR="000D24A3" w:rsidRPr="000D24A3" w:rsidRDefault="000D24A3" w:rsidP="000D24A3">
      <w:pPr>
        <w:pStyle w:val="EndNoteBibliography"/>
        <w:ind w:left="720" w:hanging="720"/>
        <w:rPr>
          <w:noProof/>
        </w:rPr>
      </w:pPr>
      <w:r w:rsidRPr="000D24A3">
        <w:rPr>
          <w:noProof/>
        </w:rPr>
        <w:t>35.</w:t>
      </w:r>
      <w:r w:rsidRPr="000D24A3">
        <w:rPr>
          <w:noProof/>
        </w:rPr>
        <w:tab/>
        <w:t xml:space="preserve">Kanehisa M, Sato Y, Kawashima M, Furumichi M, Tanabe M: </w:t>
      </w:r>
      <w:r w:rsidRPr="000D24A3">
        <w:rPr>
          <w:b/>
          <w:noProof/>
        </w:rPr>
        <w:t>KEGG as a reference resource for gene and protein annotation</w:t>
      </w:r>
      <w:r w:rsidRPr="000D24A3">
        <w:rPr>
          <w:noProof/>
        </w:rPr>
        <w:t xml:space="preserve">. </w:t>
      </w:r>
      <w:r w:rsidRPr="000D24A3">
        <w:rPr>
          <w:i/>
          <w:noProof/>
        </w:rPr>
        <w:t xml:space="preserve">Nucleic Acids Res </w:t>
      </w:r>
      <w:r w:rsidRPr="000D24A3">
        <w:rPr>
          <w:noProof/>
        </w:rPr>
        <w:t xml:space="preserve">2016, </w:t>
      </w:r>
      <w:r w:rsidRPr="000D24A3">
        <w:rPr>
          <w:b/>
          <w:noProof/>
        </w:rPr>
        <w:t>44</w:t>
      </w:r>
      <w:r w:rsidRPr="000D24A3">
        <w:rPr>
          <w:noProof/>
        </w:rPr>
        <w:t>(D1):D457-462.</w:t>
      </w:r>
    </w:p>
    <w:p w14:paraId="019FBC58" w14:textId="77777777" w:rsidR="000D24A3" w:rsidRPr="000D24A3" w:rsidRDefault="000D24A3" w:rsidP="000D24A3">
      <w:pPr>
        <w:pStyle w:val="EndNoteBibliography"/>
        <w:ind w:left="720" w:hanging="720"/>
        <w:rPr>
          <w:noProof/>
        </w:rPr>
      </w:pPr>
      <w:r w:rsidRPr="000D24A3">
        <w:rPr>
          <w:noProof/>
        </w:rPr>
        <w:t>36.</w:t>
      </w:r>
      <w:r w:rsidRPr="000D24A3">
        <w:rPr>
          <w:noProof/>
        </w:rPr>
        <w:tab/>
        <w:t xml:space="preserve">Hyatt D, Chen GL, Locascio PF, Land ML, Larimer FW, Hauser LJ: </w:t>
      </w:r>
      <w:r w:rsidRPr="000D24A3">
        <w:rPr>
          <w:b/>
          <w:noProof/>
        </w:rPr>
        <w:t>Prodigal: prokaryotic gene recognition and translation initiation site identification</w:t>
      </w:r>
      <w:r w:rsidRPr="000D24A3">
        <w:rPr>
          <w:noProof/>
        </w:rPr>
        <w:t xml:space="preserve">. </w:t>
      </w:r>
      <w:r w:rsidRPr="000D24A3">
        <w:rPr>
          <w:i/>
          <w:noProof/>
        </w:rPr>
        <w:t xml:space="preserve">BMC Bioinformatics </w:t>
      </w:r>
      <w:r w:rsidRPr="000D24A3">
        <w:rPr>
          <w:noProof/>
        </w:rPr>
        <w:t xml:space="preserve">2010, </w:t>
      </w:r>
      <w:r w:rsidRPr="000D24A3">
        <w:rPr>
          <w:b/>
          <w:noProof/>
        </w:rPr>
        <w:t>11</w:t>
      </w:r>
      <w:r w:rsidRPr="000D24A3">
        <w:rPr>
          <w:noProof/>
        </w:rPr>
        <w:t>:119.</w:t>
      </w:r>
    </w:p>
    <w:p w14:paraId="433D1C49" w14:textId="77777777" w:rsidR="000D24A3" w:rsidRPr="000D24A3" w:rsidRDefault="000D24A3" w:rsidP="000D24A3">
      <w:pPr>
        <w:pStyle w:val="EndNoteBibliography"/>
        <w:ind w:left="720" w:hanging="720"/>
        <w:rPr>
          <w:noProof/>
        </w:rPr>
      </w:pPr>
      <w:r w:rsidRPr="000D24A3">
        <w:rPr>
          <w:noProof/>
        </w:rPr>
        <w:t>37.</w:t>
      </w:r>
      <w:r w:rsidRPr="000D24A3">
        <w:rPr>
          <w:noProof/>
        </w:rPr>
        <w:tab/>
        <w:t xml:space="preserve">Wu S, Zhu Y: </w:t>
      </w:r>
      <w:r w:rsidRPr="000D24A3">
        <w:rPr>
          <w:b/>
          <w:noProof/>
        </w:rPr>
        <w:t>ProPAS: standalone software to analyze protein properties</w:t>
      </w:r>
      <w:r w:rsidRPr="000D24A3">
        <w:rPr>
          <w:noProof/>
        </w:rPr>
        <w:t xml:space="preserve">. </w:t>
      </w:r>
      <w:r w:rsidRPr="000D24A3">
        <w:rPr>
          <w:i/>
          <w:noProof/>
        </w:rPr>
        <w:t xml:space="preserve">Bioinformation </w:t>
      </w:r>
      <w:r w:rsidRPr="000D24A3">
        <w:rPr>
          <w:noProof/>
        </w:rPr>
        <w:t xml:space="preserve">2012, </w:t>
      </w:r>
      <w:r w:rsidRPr="000D24A3">
        <w:rPr>
          <w:b/>
          <w:noProof/>
        </w:rPr>
        <w:t>8</w:t>
      </w:r>
      <w:r w:rsidRPr="000D24A3">
        <w:rPr>
          <w:noProof/>
        </w:rPr>
        <w:t>(3):167-169.</w:t>
      </w:r>
    </w:p>
    <w:p w14:paraId="1091E4C5" w14:textId="77777777" w:rsidR="000D24A3" w:rsidRPr="000D24A3" w:rsidRDefault="000D24A3" w:rsidP="000D24A3">
      <w:pPr>
        <w:pStyle w:val="EndNoteBibliography"/>
        <w:ind w:left="720" w:hanging="720"/>
        <w:rPr>
          <w:noProof/>
        </w:rPr>
      </w:pPr>
      <w:r w:rsidRPr="000D24A3">
        <w:rPr>
          <w:noProof/>
        </w:rPr>
        <w:t>38.</w:t>
      </w:r>
      <w:r w:rsidRPr="000D24A3">
        <w:rPr>
          <w:noProof/>
        </w:rPr>
        <w:tab/>
        <w:t xml:space="preserve">Liu Y, Hayes DN, Nobel A, Marron JS: </w:t>
      </w:r>
      <w:r w:rsidRPr="000D24A3">
        <w:rPr>
          <w:b/>
          <w:noProof/>
        </w:rPr>
        <w:t>Statistical Significance of Clustering for High-Dimension, Low-Sample Size Data</w:t>
      </w:r>
      <w:r w:rsidRPr="000D24A3">
        <w:rPr>
          <w:noProof/>
        </w:rPr>
        <w:t xml:space="preserve">. </w:t>
      </w:r>
      <w:r w:rsidRPr="000D24A3">
        <w:rPr>
          <w:i/>
          <w:noProof/>
        </w:rPr>
        <w:t xml:space="preserve">Journal of the American Statistical Association </w:t>
      </w:r>
      <w:r w:rsidRPr="000D24A3">
        <w:rPr>
          <w:noProof/>
        </w:rPr>
        <w:t xml:space="preserve">2008, </w:t>
      </w:r>
      <w:r w:rsidRPr="000D24A3">
        <w:rPr>
          <w:b/>
          <w:noProof/>
        </w:rPr>
        <w:t>103</w:t>
      </w:r>
      <w:r w:rsidRPr="000D24A3">
        <w:rPr>
          <w:noProof/>
        </w:rPr>
        <w:t>(483):1281-1293.</w:t>
      </w:r>
    </w:p>
    <w:p w14:paraId="01AD3EC2" w14:textId="4808B198" w:rsidR="00FA024C" w:rsidRPr="004B40A6" w:rsidRDefault="00FA024C" w:rsidP="00456013">
      <w:pPr>
        <w:rPr>
          <w:rFonts w:ascii="Arial" w:hAnsi="Arial" w:cs="Arial"/>
          <w:sz w:val="22"/>
          <w:szCs w:val="22"/>
        </w:rPr>
      </w:pPr>
      <w:r w:rsidRPr="004B40A6">
        <w:rPr>
          <w:rFonts w:ascii="Arial" w:hAnsi="Arial" w:cs="Arial"/>
          <w:sz w:val="22"/>
          <w:szCs w:val="22"/>
        </w:rPr>
        <w:fldChar w:fldCharType="end"/>
      </w:r>
    </w:p>
    <w:sectPr w:rsidR="00FA024C" w:rsidRPr="004B40A6"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7">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2">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2"/>
  </w:num>
  <w:num w:numId="5">
    <w:abstractNumId w:val="7"/>
  </w:num>
  <w:num w:numId="6">
    <w:abstractNumId w:val="0"/>
  </w:num>
  <w:num w:numId="7">
    <w:abstractNumId w:val="1"/>
  </w:num>
  <w:num w:numId="8">
    <w:abstractNumId w:val="5"/>
  </w:num>
  <w:num w:numId="9">
    <w:abstractNumId w:val="8"/>
  </w:num>
  <w:num w:numId="10">
    <w:abstractNumId w:val="9"/>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76&lt;/item&gt;&lt;item&gt;8777&lt;/item&gt;&lt;item&gt;8819&lt;/item&gt;&lt;item&gt;8822&lt;/item&gt;&lt;item&gt;8823&lt;/item&gt;&lt;item&gt;8824&lt;/item&gt;&lt;item&gt;8826&lt;/item&gt;&lt;item&gt;8827&lt;/item&gt;&lt;item&gt;8828&lt;/item&gt;&lt;item&gt;8829&lt;/item&gt;&lt;item&gt;8833&lt;/item&gt;&lt;item&gt;8840&lt;/item&gt;&lt;/record-ids&gt;&lt;/item&gt;&lt;/Libraries&gt;"/>
  </w:docVars>
  <w:rsids>
    <w:rsidRoot w:val="004E5EEC"/>
    <w:rsid w:val="0000045E"/>
    <w:rsid w:val="000036BE"/>
    <w:rsid w:val="000042C7"/>
    <w:rsid w:val="000051E8"/>
    <w:rsid w:val="00012F4C"/>
    <w:rsid w:val="000207A3"/>
    <w:rsid w:val="00020E32"/>
    <w:rsid w:val="000314F4"/>
    <w:rsid w:val="00036F5F"/>
    <w:rsid w:val="000467D2"/>
    <w:rsid w:val="000479E9"/>
    <w:rsid w:val="0005196F"/>
    <w:rsid w:val="000548E1"/>
    <w:rsid w:val="000637FE"/>
    <w:rsid w:val="00067348"/>
    <w:rsid w:val="00071971"/>
    <w:rsid w:val="00080D4B"/>
    <w:rsid w:val="00086B3A"/>
    <w:rsid w:val="00087046"/>
    <w:rsid w:val="00087571"/>
    <w:rsid w:val="00087DCE"/>
    <w:rsid w:val="00097B79"/>
    <w:rsid w:val="000C58E6"/>
    <w:rsid w:val="000C72EE"/>
    <w:rsid w:val="000D24A3"/>
    <w:rsid w:val="000F1D57"/>
    <w:rsid w:val="000F41DC"/>
    <w:rsid w:val="001007B7"/>
    <w:rsid w:val="001043BF"/>
    <w:rsid w:val="00105267"/>
    <w:rsid w:val="00111BEB"/>
    <w:rsid w:val="00126C7B"/>
    <w:rsid w:val="001276F4"/>
    <w:rsid w:val="00132E7F"/>
    <w:rsid w:val="00145170"/>
    <w:rsid w:val="001455AE"/>
    <w:rsid w:val="001458D0"/>
    <w:rsid w:val="001520BA"/>
    <w:rsid w:val="001640CA"/>
    <w:rsid w:val="0016441B"/>
    <w:rsid w:val="001648DB"/>
    <w:rsid w:val="0016612E"/>
    <w:rsid w:val="00166A45"/>
    <w:rsid w:val="001758D9"/>
    <w:rsid w:val="00177EE9"/>
    <w:rsid w:val="00183ABD"/>
    <w:rsid w:val="001A258E"/>
    <w:rsid w:val="001A4D1D"/>
    <w:rsid w:val="001A6CEE"/>
    <w:rsid w:val="001B17FB"/>
    <w:rsid w:val="001B751B"/>
    <w:rsid w:val="001B7CAA"/>
    <w:rsid w:val="001C681A"/>
    <w:rsid w:val="001D0D8D"/>
    <w:rsid w:val="001D5EB8"/>
    <w:rsid w:val="001D660E"/>
    <w:rsid w:val="001F1C97"/>
    <w:rsid w:val="001F4DF5"/>
    <w:rsid w:val="001F7F03"/>
    <w:rsid w:val="00200988"/>
    <w:rsid w:val="00203229"/>
    <w:rsid w:val="0020433F"/>
    <w:rsid w:val="00212A2E"/>
    <w:rsid w:val="0022024B"/>
    <w:rsid w:val="00221842"/>
    <w:rsid w:val="00222CA0"/>
    <w:rsid w:val="00232AB7"/>
    <w:rsid w:val="00235FAA"/>
    <w:rsid w:val="002512D7"/>
    <w:rsid w:val="0025594D"/>
    <w:rsid w:val="002561CC"/>
    <w:rsid w:val="00257165"/>
    <w:rsid w:val="00257533"/>
    <w:rsid w:val="0025788D"/>
    <w:rsid w:val="002615D5"/>
    <w:rsid w:val="002620D8"/>
    <w:rsid w:val="0026772C"/>
    <w:rsid w:val="00271E17"/>
    <w:rsid w:val="00273712"/>
    <w:rsid w:val="00290979"/>
    <w:rsid w:val="002950CF"/>
    <w:rsid w:val="002A0915"/>
    <w:rsid w:val="002A2EED"/>
    <w:rsid w:val="002B05B6"/>
    <w:rsid w:val="002B6EC6"/>
    <w:rsid w:val="002B7FBB"/>
    <w:rsid w:val="002D2EC5"/>
    <w:rsid w:val="002E07CB"/>
    <w:rsid w:val="002E3A7E"/>
    <w:rsid w:val="002E523F"/>
    <w:rsid w:val="002F2722"/>
    <w:rsid w:val="002F325F"/>
    <w:rsid w:val="002F762B"/>
    <w:rsid w:val="00303538"/>
    <w:rsid w:val="00310DF8"/>
    <w:rsid w:val="0031368F"/>
    <w:rsid w:val="00316D51"/>
    <w:rsid w:val="00317C3B"/>
    <w:rsid w:val="00324ABC"/>
    <w:rsid w:val="00327CB8"/>
    <w:rsid w:val="00331B51"/>
    <w:rsid w:val="00333571"/>
    <w:rsid w:val="003407A0"/>
    <w:rsid w:val="00362619"/>
    <w:rsid w:val="00363D45"/>
    <w:rsid w:val="00367CD2"/>
    <w:rsid w:val="00370E85"/>
    <w:rsid w:val="00374714"/>
    <w:rsid w:val="00377809"/>
    <w:rsid w:val="003830A5"/>
    <w:rsid w:val="003870F6"/>
    <w:rsid w:val="00387B77"/>
    <w:rsid w:val="003923DB"/>
    <w:rsid w:val="003943F1"/>
    <w:rsid w:val="003948BF"/>
    <w:rsid w:val="00396869"/>
    <w:rsid w:val="003A07A2"/>
    <w:rsid w:val="003A2DF9"/>
    <w:rsid w:val="003A5150"/>
    <w:rsid w:val="003A6B03"/>
    <w:rsid w:val="003C09BC"/>
    <w:rsid w:val="003C5782"/>
    <w:rsid w:val="003D6855"/>
    <w:rsid w:val="003E0295"/>
    <w:rsid w:val="003F4C33"/>
    <w:rsid w:val="003F72F8"/>
    <w:rsid w:val="00401865"/>
    <w:rsid w:val="00407623"/>
    <w:rsid w:val="004162EC"/>
    <w:rsid w:val="004169B3"/>
    <w:rsid w:val="004215D8"/>
    <w:rsid w:val="00427082"/>
    <w:rsid w:val="00434F4B"/>
    <w:rsid w:val="00436316"/>
    <w:rsid w:val="0044294B"/>
    <w:rsid w:val="00451BAB"/>
    <w:rsid w:val="00455B7A"/>
    <w:rsid w:val="00456013"/>
    <w:rsid w:val="00456650"/>
    <w:rsid w:val="0047055F"/>
    <w:rsid w:val="0047216E"/>
    <w:rsid w:val="004820FB"/>
    <w:rsid w:val="004821B9"/>
    <w:rsid w:val="004850F1"/>
    <w:rsid w:val="00486BAB"/>
    <w:rsid w:val="00496A40"/>
    <w:rsid w:val="00497C48"/>
    <w:rsid w:val="004B36E5"/>
    <w:rsid w:val="004B40A6"/>
    <w:rsid w:val="004B43D5"/>
    <w:rsid w:val="004B6DD3"/>
    <w:rsid w:val="004C200E"/>
    <w:rsid w:val="004C25C3"/>
    <w:rsid w:val="004C3A55"/>
    <w:rsid w:val="004C53E1"/>
    <w:rsid w:val="004C7423"/>
    <w:rsid w:val="004D0BB7"/>
    <w:rsid w:val="004D4153"/>
    <w:rsid w:val="004D5175"/>
    <w:rsid w:val="004D682B"/>
    <w:rsid w:val="004E5EEC"/>
    <w:rsid w:val="004E6317"/>
    <w:rsid w:val="0050795A"/>
    <w:rsid w:val="005414AC"/>
    <w:rsid w:val="00546E04"/>
    <w:rsid w:val="005541CF"/>
    <w:rsid w:val="00557014"/>
    <w:rsid w:val="00564224"/>
    <w:rsid w:val="00564ACE"/>
    <w:rsid w:val="00565498"/>
    <w:rsid w:val="00570500"/>
    <w:rsid w:val="00571991"/>
    <w:rsid w:val="005863A8"/>
    <w:rsid w:val="00587CF3"/>
    <w:rsid w:val="00592765"/>
    <w:rsid w:val="0059283A"/>
    <w:rsid w:val="005A1699"/>
    <w:rsid w:val="005B33B9"/>
    <w:rsid w:val="005B3B7C"/>
    <w:rsid w:val="005B69FA"/>
    <w:rsid w:val="005C032B"/>
    <w:rsid w:val="005C0DEA"/>
    <w:rsid w:val="005C7C24"/>
    <w:rsid w:val="005D1837"/>
    <w:rsid w:val="005D19F8"/>
    <w:rsid w:val="005D1C11"/>
    <w:rsid w:val="005D427A"/>
    <w:rsid w:val="005D6B07"/>
    <w:rsid w:val="005E3A13"/>
    <w:rsid w:val="005E5F0F"/>
    <w:rsid w:val="005F320F"/>
    <w:rsid w:val="005F3798"/>
    <w:rsid w:val="00601691"/>
    <w:rsid w:val="006070A8"/>
    <w:rsid w:val="00607C1C"/>
    <w:rsid w:val="00615CC0"/>
    <w:rsid w:val="0062118A"/>
    <w:rsid w:val="00630401"/>
    <w:rsid w:val="0063603C"/>
    <w:rsid w:val="006369BA"/>
    <w:rsid w:val="00640403"/>
    <w:rsid w:val="00641DE7"/>
    <w:rsid w:val="0065437D"/>
    <w:rsid w:val="00657151"/>
    <w:rsid w:val="0065751F"/>
    <w:rsid w:val="00662E45"/>
    <w:rsid w:val="00664F72"/>
    <w:rsid w:val="00670759"/>
    <w:rsid w:val="006707F3"/>
    <w:rsid w:val="00675E08"/>
    <w:rsid w:val="00696CAB"/>
    <w:rsid w:val="006A1253"/>
    <w:rsid w:val="006A76A1"/>
    <w:rsid w:val="006B1E8B"/>
    <w:rsid w:val="006B276A"/>
    <w:rsid w:val="006C3700"/>
    <w:rsid w:val="006C5756"/>
    <w:rsid w:val="006C7905"/>
    <w:rsid w:val="006D28B5"/>
    <w:rsid w:val="006D3B21"/>
    <w:rsid w:val="006D588F"/>
    <w:rsid w:val="006D7847"/>
    <w:rsid w:val="006E0CBF"/>
    <w:rsid w:val="006E4A3A"/>
    <w:rsid w:val="006E760A"/>
    <w:rsid w:val="006F06BA"/>
    <w:rsid w:val="006F15F2"/>
    <w:rsid w:val="00721357"/>
    <w:rsid w:val="00721720"/>
    <w:rsid w:val="00725E5E"/>
    <w:rsid w:val="007266C9"/>
    <w:rsid w:val="00736DB2"/>
    <w:rsid w:val="00742EA6"/>
    <w:rsid w:val="007458BD"/>
    <w:rsid w:val="00746DCB"/>
    <w:rsid w:val="007474AB"/>
    <w:rsid w:val="00751130"/>
    <w:rsid w:val="007758E1"/>
    <w:rsid w:val="00780E9C"/>
    <w:rsid w:val="007820A8"/>
    <w:rsid w:val="0078235F"/>
    <w:rsid w:val="0078238E"/>
    <w:rsid w:val="00785D6E"/>
    <w:rsid w:val="00791B29"/>
    <w:rsid w:val="007928CC"/>
    <w:rsid w:val="00792BB6"/>
    <w:rsid w:val="00793756"/>
    <w:rsid w:val="007D1DD1"/>
    <w:rsid w:val="007D2F5B"/>
    <w:rsid w:val="007D4B58"/>
    <w:rsid w:val="007E0F2A"/>
    <w:rsid w:val="007E4D66"/>
    <w:rsid w:val="007F0C78"/>
    <w:rsid w:val="00805382"/>
    <w:rsid w:val="00811B54"/>
    <w:rsid w:val="00820A14"/>
    <w:rsid w:val="008210C5"/>
    <w:rsid w:val="00821387"/>
    <w:rsid w:val="00824576"/>
    <w:rsid w:val="00824B04"/>
    <w:rsid w:val="008337DF"/>
    <w:rsid w:val="008472D8"/>
    <w:rsid w:val="0085158A"/>
    <w:rsid w:val="00853788"/>
    <w:rsid w:val="00853AC6"/>
    <w:rsid w:val="00854C90"/>
    <w:rsid w:val="00870264"/>
    <w:rsid w:val="00870495"/>
    <w:rsid w:val="008813F9"/>
    <w:rsid w:val="008850F1"/>
    <w:rsid w:val="00890235"/>
    <w:rsid w:val="0089104A"/>
    <w:rsid w:val="00893CA8"/>
    <w:rsid w:val="008A1EC1"/>
    <w:rsid w:val="008A423E"/>
    <w:rsid w:val="008B12C9"/>
    <w:rsid w:val="008B13D9"/>
    <w:rsid w:val="008B4C37"/>
    <w:rsid w:val="008B5B1D"/>
    <w:rsid w:val="008C1136"/>
    <w:rsid w:val="008D12C7"/>
    <w:rsid w:val="008D1B53"/>
    <w:rsid w:val="008D37B3"/>
    <w:rsid w:val="008D4868"/>
    <w:rsid w:val="008D7BF8"/>
    <w:rsid w:val="008E2C07"/>
    <w:rsid w:val="008E42CA"/>
    <w:rsid w:val="008F0D79"/>
    <w:rsid w:val="008F6B47"/>
    <w:rsid w:val="00910F50"/>
    <w:rsid w:val="009127D7"/>
    <w:rsid w:val="00920FB1"/>
    <w:rsid w:val="0092157B"/>
    <w:rsid w:val="00921FFB"/>
    <w:rsid w:val="009254EB"/>
    <w:rsid w:val="00944A41"/>
    <w:rsid w:val="00944C2D"/>
    <w:rsid w:val="00950A06"/>
    <w:rsid w:val="00954475"/>
    <w:rsid w:val="0096525A"/>
    <w:rsid w:val="009754D6"/>
    <w:rsid w:val="009821E0"/>
    <w:rsid w:val="00983664"/>
    <w:rsid w:val="00985531"/>
    <w:rsid w:val="009969A1"/>
    <w:rsid w:val="00997B8D"/>
    <w:rsid w:val="00997D71"/>
    <w:rsid w:val="009A2644"/>
    <w:rsid w:val="009A2A54"/>
    <w:rsid w:val="009A36A5"/>
    <w:rsid w:val="009B6113"/>
    <w:rsid w:val="009C577D"/>
    <w:rsid w:val="009C6C4E"/>
    <w:rsid w:val="009D5901"/>
    <w:rsid w:val="009E577B"/>
    <w:rsid w:val="009E784C"/>
    <w:rsid w:val="009F127B"/>
    <w:rsid w:val="009F62B4"/>
    <w:rsid w:val="00A01C8F"/>
    <w:rsid w:val="00A04DF2"/>
    <w:rsid w:val="00A13D33"/>
    <w:rsid w:val="00A25AB2"/>
    <w:rsid w:val="00A32733"/>
    <w:rsid w:val="00A33742"/>
    <w:rsid w:val="00A34B9D"/>
    <w:rsid w:val="00A52A7F"/>
    <w:rsid w:val="00A54FB8"/>
    <w:rsid w:val="00A568FA"/>
    <w:rsid w:val="00A6398D"/>
    <w:rsid w:val="00A656A1"/>
    <w:rsid w:val="00A76C69"/>
    <w:rsid w:val="00A87FA5"/>
    <w:rsid w:val="00A911AD"/>
    <w:rsid w:val="00A97C25"/>
    <w:rsid w:val="00AA4462"/>
    <w:rsid w:val="00AA7640"/>
    <w:rsid w:val="00AC01FE"/>
    <w:rsid w:val="00AC02EE"/>
    <w:rsid w:val="00AC1DD8"/>
    <w:rsid w:val="00AC3C17"/>
    <w:rsid w:val="00AC5C99"/>
    <w:rsid w:val="00AC6AA7"/>
    <w:rsid w:val="00AC79B3"/>
    <w:rsid w:val="00AC7E47"/>
    <w:rsid w:val="00AD343D"/>
    <w:rsid w:val="00AD48EC"/>
    <w:rsid w:val="00AE527A"/>
    <w:rsid w:val="00AE530E"/>
    <w:rsid w:val="00AE7014"/>
    <w:rsid w:val="00B02AE0"/>
    <w:rsid w:val="00B05421"/>
    <w:rsid w:val="00B17442"/>
    <w:rsid w:val="00B21E6B"/>
    <w:rsid w:val="00B22E09"/>
    <w:rsid w:val="00B40965"/>
    <w:rsid w:val="00B421FB"/>
    <w:rsid w:val="00B42FC0"/>
    <w:rsid w:val="00B43DBD"/>
    <w:rsid w:val="00B53FF8"/>
    <w:rsid w:val="00B54970"/>
    <w:rsid w:val="00B61502"/>
    <w:rsid w:val="00B666F2"/>
    <w:rsid w:val="00B72DD0"/>
    <w:rsid w:val="00B72FF3"/>
    <w:rsid w:val="00B73277"/>
    <w:rsid w:val="00B845CE"/>
    <w:rsid w:val="00B855C3"/>
    <w:rsid w:val="00B91B64"/>
    <w:rsid w:val="00B945A9"/>
    <w:rsid w:val="00B94DA5"/>
    <w:rsid w:val="00B94FAA"/>
    <w:rsid w:val="00BB37E5"/>
    <w:rsid w:val="00BB3FC9"/>
    <w:rsid w:val="00BB456E"/>
    <w:rsid w:val="00BB5561"/>
    <w:rsid w:val="00BC2AE0"/>
    <w:rsid w:val="00BC5892"/>
    <w:rsid w:val="00BD3000"/>
    <w:rsid w:val="00C01274"/>
    <w:rsid w:val="00C02774"/>
    <w:rsid w:val="00C058A6"/>
    <w:rsid w:val="00C07BD5"/>
    <w:rsid w:val="00C07E28"/>
    <w:rsid w:val="00C10D82"/>
    <w:rsid w:val="00C14102"/>
    <w:rsid w:val="00C24A5F"/>
    <w:rsid w:val="00C3499E"/>
    <w:rsid w:val="00C50F45"/>
    <w:rsid w:val="00C61F9B"/>
    <w:rsid w:val="00C64955"/>
    <w:rsid w:val="00C649E5"/>
    <w:rsid w:val="00C65CE5"/>
    <w:rsid w:val="00C81CCD"/>
    <w:rsid w:val="00C918C4"/>
    <w:rsid w:val="00CA6689"/>
    <w:rsid w:val="00CB0AD0"/>
    <w:rsid w:val="00CC42D7"/>
    <w:rsid w:val="00CC614D"/>
    <w:rsid w:val="00CC62A5"/>
    <w:rsid w:val="00CD47BB"/>
    <w:rsid w:val="00CE4DC5"/>
    <w:rsid w:val="00CE6D6C"/>
    <w:rsid w:val="00CE75F6"/>
    <w:rsid w:val="00CF3BCE"/>
    <w:rsid w:val="00CF4294"/>
    <w:rsid w:val="00D03372"/>
    <w:rsid w:val="00D05536"/>
    <w:rsid w:val="00D13D10"/>
    <w:rsid w:val="00D20932"/>
    <w:rsid w:val="00D23C7C"/>
    <w:rsid w:val="00D251DB"/>
    <w:rsid w:val="00D269FA"/>
    <w:rsid w:val="00D30384"/>
    <w:rsid w:val="00D31881"/>
    <w:rsid w:val="00D32094"/>
    <w:rsid w:val="00D34C94"/>
    <w:rsid w:val="00D50344"/>
    <w:rsid w:val="00D51C60"/>
    <w:rsid w:val="00D562E1"/>
    <w:rsid w:val="00D61CFA"/>
    <w:rsid w:val="00D670B6"/>
    <w:rsid w:val="00D67636"/>
    <w:rsid w:val="00D7076D"/>
    <w:rsid w:val="00D71C9F"/>
    <w:rsid w:val="00D739BF"/>
    <w:rsid w:val="00D753A5"/>
    <w:rsid w:val="00D76AA3"/>
    <w:rsid w:val="00D76BB3"/>
    <w:rsid w:val="00D835A6"/>
    <w:rsid w:val="00D84164"/>
    <w:rsid w:val="00DA5805"/>
    <w:rsid w:val="00DA5A0F"/>
    <w:rsid w:val="00DB2465"/>
    <w:rsid w:val="00DB3389"/>
    <w:rsid w:val="00DC327C"/>
    <w:rsid w:val="00DD11B0"/>
    <w:rsid w:val="00DD5E50"/>
    <w:rsid w:val="00DD5FCA"/>
    <w:rsid w:val="00DE632C"/>
    <w:rsid w:val="00DE6A61"/>
    <w:rsid w:val="00DE707E"/>
    <w:rsid w:val="00DF71B1"/>
    <w:rsid w:val="00DF7EA4"/>
    <w:rsid w:val="00E00568"/>
    <w:rsid w:val="00E0217F"/>
    <w:rsid w:val="00E02E7D"/>
    <w:rsid w:val="00E14F41"/>
    <w:rsid w:val="00E15127"/>
    <w:rsid w:val="00E2051B"/>
    <w:rsid w:val="00E227CB"/>
    <w:rsid w:val="00E23719"/>
    <w:rsid w:val="00E43950"/>
    <w:rsid w:val="00E505AE"/>
    <w:rsid w:val="00E53B67"/>
    <w:rsid w:val="00E543F2"/>
    <w:rsid w:val="00E61F7F"/>
    <w:rsid w:val="00E65B4A"/>
    <w:rsid w:val="00E65F13"/>
    <w:rsid w:val="00E72A12"/>
    <w:rsid w:val="00E74147"/>
    <w:rsid w:val="00E917DE"/>
    <w:rsid w:val="00E95961"/>
    <w:rsid w:val="00E9778C"/>
    <w:rsid w:val="00EA12CB"/>
    <w:rsid w:val="00EB320E"/>
    <w:rsid w:val="00EC17AE"/>
    <w:rsid w:val="00EE44A1"/>
    <w:rsid w:val="00EE7B7C"/>
    <w:rsid w:val="00EF02B5"/>
    <w:rsid w:val="00EF2209"/>
    <w:rsid w:val="00EF509F"/>
    <w:rsid w:val="00F00F6A"/>
    <w:rsid w:val="00F01FBD"/>
    <w:rsid w:val="00F107C8"/>
    <w:rsid w:val="00F13C8E"/>
    <w:rsid w:val="00F14E9B"/>
    <w:rsid w:val="00F16F07"/>
    <w:rsid w:val="00F213D8"/>
    <w:rsid w:val="00F21968"/>
    <w:rsid w:val="00F2278E"/>
    <w:rsid w:val="00F31B83"/>
    <w:rsid w:val="00F320E6"/>
    <w:rsid w:val="00F34532"/>
    <w:rsid w:val="00F3678B"/>
    <w:rsid w:val="00F37D7E"/>
    <w:rsid w:val="00F41A99"/>
    <w:rsid w:val="00F465D0"/>
    <w:rsid w:val="00F519AA"/>
    <w:rsid w:val="00F5253D"/>
    <w:rsid w:val="00F533B5"/>
    <w:rsid w:val="00F61EE4"/>
    <w:rsid w:val="00F61F5E"/>
    <w:rsid w:val="00F82332"/>
    <w:rsid w:val="00F8243F"/>
    <w:rsid w:val="00F92FF4"/>
    <w:rsid w:val="00FA024C"/>
    <w:rsid w:val="00FA46F0"/>
    <w:rsid w:val="00FB6A46"/>
    <w:rsid w:val="00FC0A2E"/>
    <w:rsid w:val="00FE0757"/>
    <w:rsid w:val="00FE2285"/>
    <w:rsid w:val="00FE249B"/>
    <w:rsid w:val="00FF20E4"/>
    <w:rsid w:val="00FF24BC"/>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semiHidden/>
    <w:unhideWhenUsed/>
    <w:rsid w:val="00997D71"/>
  </w:style>
  <w:style w:type="character" w:customStyle="1" w:styleId="CommentTextChar">
    <w:name w:val="Comment Text Char"/>
    <w:basedOn w:val="DefaultParagraphFont"/>
    <w:link w:val="CommentText"/>
    <w:uiPriority w:val="99"/>
    <w:semiHidden/>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E528FC-8F80-0344-9056-6483ACB5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10061</Words>
  <Characters>57354</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67281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cp:revision>
  <cp:lastPrinted>2018-07-18T16:06:00Z</cp:lastPrinted>
  <dcterms:created xsi:type="dcterms:W3CDTF">2018-07-20T19:18:00Z</dcterms:created>
  <dcterms:modified xsi:type="dcterms:W3CDTF">2018-07-20T19:18:00Z</dcterms:modified>
</cp:coreProperties>
</file>