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前后向合同智能解析与履约风险审查系统"/>
    <w:p>
      <w:pPr>
        <w:pStyle w:val="Heading1"/>
      </w:pPr>
      <w:r>
        <w:rPr>
          <w:rFonts w:hint="eastAsia"/>
        </w:rPr>
        <w:t xml:space="preserve">前后向合同智能解析与履约风险审查系统</w:t>
      </w:r>
    </w:p>
    <w:bookmarkStart w:id="20" w:name="系统功能描述及三层架构实现方案"/>
    <w:p>
      <w:pPr>
        <w:pStyle w:val="Heading2"/>
      </w:pPr>
      <w:r>
        <w:t>系统功能描述及三层架构实现方案（V2.0）</w:t>
      </w:r>
    </w:p>
    <w:bookmarkEnd w:id="20"/>
    <w:bookmarkStart w:id="21" w:name="一项目概述"/>
    <w:p>
      <w:pPr>
        <w:pStyle w:val="Heading2"/>
      </w:pPr>
      <w:r>
        <w:rPr>
          <w:rFonts w:hint="eastAsia"/>
        </w:rPr>
        <w:t xml:space="preserve">一、项目概述</w:t>
      </w:r>
    </w:p>
    <w:p>
      <w:pPr>
        <w:pStyle w:val="FirstParagraph"/>
      </w:pPr>
      <w:r>
        <w:rPr>
          <w:rFonts w:hint="eastAsia"/>
        </w:rPr>
        <w:t xml:space="preserve">本系统面向项目履约管理过程中前向合同、后向合同内容分散、人工逐页核对耗时、设备及施工范围容易遗漏、工期衔接难以准确计算等问题，建设一套前后向合同智能解析与履约风险审查系统。</w:t>
      </w:r>
    </w:p>
    <w:p>
      <w:pPr>
        <w:pStyle w:val="BodyText"/>
      </w:pPr>
      <w:r>
        <w:t>系统采用“文档解析与证据定位、确定性结构化与标准化、程序化对比与风险判定”的三层架构，并预留大模型语义增强接口：</w:t>
      </w:r>
    </w:p>
    <w:p>
      <w:pPr>
        <w:pStyle w:val="SourceCode"/>
      </w:pPr>
      <w:r>
        <w:rPr>
          <w:rStyle w:val="VerbatimChar"/>
          <w:rFonts w:hint="eastAsia"/>
        </w:rPr>
        <w:t xml:space="preserve">第一层：合同文档解析与证据定位层</w:t>
      </w:r>
      <w:r>
        <w:br/>
      </w:r>
      <w:r>
        <w:rPr>
          <w:rStyle w:val="VerbatimChar"/>
        </w:rPr>
        <w:t xml:space="preserve">                  ↓</w:t>
      </w:r>
      <w:r>
        <w:br/>
      </w:r>
      <w:r>
        <w:rPr>
          <w:rStyle w:val="VerbatimChar"/>
          <w:rFonts w:hint="eastAsia"/>
        </w:rPr>
        <w:t xml:space="preserve">第二层：合同内容结构化与标准化层</w:t>
      </w:r>
      <w:r>
        <w:br/>
      </w:r>
      <w:r>
        <w:rPr>
          <w:rStyle w:val="VerbatimChar"/>
        </w:rPr>
        <w:t xml:space="preserve">                  ↓</w:t>
      </w:r>
      <w:r>
        <w:br/>
      </w:r>
      <w:r>
        <w:rPr>
          <w:rStyle w:val="VerbatimChar"/>
          <w:rFonts w:hint="eastAsia"/>
        </w:rPr>
        <w:t xml:space="preserve">第三层：程序化对比与风险判定层</w:t>
      </w:r>
      <w:r>
        <w:br/>
      </w:r>
      <w:r>
        <w:rPr>
          <w:rStyle w:val="VerbatimChar"/>
        </w:rPr>
        <w:t xml:space="preserve">                  ↓</w:t>
      </w:r>
      <w:r>
        <w:br/>
      </w:r>
      <w:r>
        <w:rPr>
          <w:rStyle w:val="VerbatimChar"/>
          <w:rFonts w:hint="eastAsia"/>
        </w:rPr>
        <w:t xml:space="preserve">人工复核、风险报告、时间轴及结果导出</w:t>
      </w:r>
    </w:p>
    <w:p>
      <w:pPr>
        <w:pStyle w:val="FirstParagraph"/>
      </w:pPr>
      <w:r>
        <w:rPr>
          <w:rFonts w:hint="eastAsia"/>
        </w:rPr>
        <w:t xml:space="preserve">各层职责如下：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第一层负责将前向、后向合同PDF转换为稳定、完整、可定位的合同证据数据；</w:t>
      </w:r>
    </w:p>
    <w:p>
      <w:pPr>
        <w:pStyle w:val="Compact"/>
        <w:numPr>
          <w:ilvl w:val="0"/>
          <w:numId w:val="1001"/>
        </w:numPr>
      </w:pPr>
      <w:r>
        <w:t>第二层当前由版本化功能函数、正则规则、词典和表格解析器将合同内容转换为统一数据结构；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第三层负责利用固定程序规则完成设备清单、工期和实施内容对比；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人工复核模块负责处理OCR异常、语义歧义、清单匹配不确定及时间依据缺失等问题。</w:t>
      </w:r>
    </w:p>
    <w:p>
      <w:pPr>
        <w:pStyle w:val="FirstParagraph"/>
      </w:pPr>
      <w:r>
        <w:rPr>
          <w:rFonts w:hint="eastAsia"/>
        </w:rPr>
        <w:t xml:space="preserve">系统遵循以下核心原则：</w:t>
      </w:r>
    </w:p>
    <w:p>
      <w:pPr>
        <w:pStyle w:val="BlockText"/>
      </w:pPr>
      <w:r>
        <w:t>当前版本由本地OCR和确定性功能函数负责提取与标准化，程序负责计算和判断，人工负责处理不确定问题；大模型作为可选增强能力，不直接参与现行生产流程。</w:t>
      </w:r>
    </w:p>
    <w:p>
      <w:pPr>
        <w:pStyle w:val="FirstParagraph"/>
      </w:pPr>
      <w:r>
        <w:t>无论后续是否接入大模型，最终风险结论均由版本化程序规则生成，确保同一组结构化输入得到一致结果。</w:t>
      </w:r>
    </w:p>
    <w:p>
      <w:pPr>
        <w:pStyle w:val="Heading2"/>
      </w:pPr>
      <w:r>
        <w:t>本次版本更新（V2.0）</w:t>
      </w:r>
    </w:p>
    <w:p>
      <w:pPr>
        <w:pStyle w:val="FirstParagraph"/>
      </w:pPr>
      <w:r>
        <w:t>V2.0以现有本地代码和真实项目验证结果为基准，新增并固化以下能力：</w:t>
      </w:r>
    </w:p>
    <w:p>
      <w:pPr>
        <w:pStyle w:val="Compact"/>
      </w:pPr>
      <w:r>
        <w:t>一个项目前向可包含主合同及附件，后向允许任意多份合同；</w:t>
      </w:r>
    </w:p>
    <w:p>
      <w:pPr>
        <w:pStyle w:val="Compact"/>
      </w:pPr>
      <w:r>
        <w:t>新增“收入收款计划”目录、Web上传入口及计划日期复核；</w:t>
      </w:r>
    </w:p>
    <w:p>
      <w:pPr>
        <w:pStyle w:val="Compact"/>
      </w:pPr>
      <w:r>
        <w:t>区分采购交付清单、维保/服务对象清单和现场备件库清单；</w:t>
      </w:r>
    </w:p>
    <w:p>
      <w:pPr>
        <w:pStyle w:val="Compact"/>
      </w:pPr>
      <w:r>
        <w:t>明确服务期可从合同固定日期区间提取，文字型期限保留原文而不强制转为数字；</w:t>
      </w:r>
    </w:p>
    <w:p>
      <w:pPr>
        <w:pStyle w:val="Compact"/>
      </w:pPr>
      <w:r>
        <w:t>设备差异结论直接回填到对应清单行，取消重复差异明细；</w:t>
      </w:r>
    </w:p>
    <w:p>
      <w:pPr>
        <w:pStyle w:val="Compact"/>
      </w:pPr>
      <w:r>
        <w:t>审查工作簿固定为五个核心工作表，实施内容差异仅在存在数据时生成；</w:t>
      </w:r>
    </w:p>
    <w:p>
      <w:pPr>
        <w:pStyle w:val="Compact"/>
      </w:pPr>
      <w:r>
        <w:t>当前技术栈为本地RapidOCR、PyMuPDF、FastAPI、SQLite和版本化确定性规则，不调用在线大模型。</w:t>
      </w:r>
    </w:p>
    <w:p>
      <w:pPr>
        <w:pStyle w:val="BodyText"/>
      </w:pPr>
      <w:r>
        <w:t>验证项目XYJAJSNJA260500307：合同履约期为2026-04-16至2027-04-15；收入及收款计划均提前15天；前后向8项维保资源全部覆盖；后向提取42行现场备件要求。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3" w:name="二系统总体功能"/>
    <w:p>
      <w:pPr>
        <w:pStyle w:val="Heading1"/>
      </w:pPr>
      <w:r>
        <w:rPr>
          <w:rFonts w:hint="eastAsia"/>
        </w:rPr>
        <w:t xml:space="preserve">二、系统总体功能</w:t>
      </w:r>
    </w:p>
    <w:bookmarkStart w:id="23" w:name="项目及合同批量管理"/>
    <w:p>
      <w:pPr>
        <w:pStyle w:val="Heading2"/>
      </w:pPr>
      <w:r>
        <w:t xml:space="preserve">1. </w:t>
      </w:r>
      <w:r>
        <w:rPr>
          <w:rFonts w:hint="eastAsia"/>
        </w:rPr>
        <w:t xml:space="preserve">项目及合同批量管理</w:t>
      </w:r>
    </w:p>
    <w:p>
      <w:pPr>
        <w:pStyle w:val="FirstParagraph"/>
      </w:pPr>
      <w:r>
        <w:rPr>
          <w:rFonts w:hint="eastAsia"/>
        </w:rPr>
        <w:t xml:space="preserve">系统以项目编码作为基本处理单位。</w:t>
      </w:r>
    </w:p>
    <w:p>
      <w:pPr>
        <w:pStyle w:val="BodyText"/>
      </w:pPr>
      <w:r>
        <w:rPr>
          <w:rFonts w:hint="eastAsia"/>
        </w:rPr>
        <w:t xml:space="preserve">每个项目固定包含：</w:t>
      </w:r>
    </w:p>
    <w:p>
      <w:pPr>
        <w:pStyle w:val="Compact"/>
        <w:numPr>
          <w:ilvl w:val="0"/>
          <w:numId w:val="1002"/>
        </w:numPr>
      </w:pPr>
      <w:r>
        <w:t>一组前向合同及附件；</w:t>
      </w:r>
    </w:p>
    <w:p>
      <w:pPr>
        <w:pStyle w:val="Compact"/>
        <w:numPr>
          <w:ilvl w:val="0"/>
          <w:numId w:val="1002"/>
        </w:numPr>
      </w:pPr>
      <w:r>
        <w:t>一份或多份后向合同及附件；</w:t>
      </w:r>
    </w:p>
    <w:p>
      <w:pPr>
        <w:pStyle w:val="Compact"/>
      </w:pPr>
      <w:r>
        <w:t>可选收入/收款计划文件。</w:t>
      </w:r>
    </w:p>
    <w:p>
      <w:pPr>
        <w:pStyle w:val="FirstParagraph"/>
      </w:pPr>
      <w:r>
        <w:rPr>
          <w:rFonts w:hint="eastAsia"/>
        </w:rPr>
        <w:t xml:space="preserve">系统支持：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批量扫描项目目录；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自动识别项目编码；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自动形成前后向合同对比任务；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记录合同处理状态；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记录文件哈希和解析版本；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支持断点续跑和指定项目重新处理；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支持单项目失败隔离。</w:t>
      </w:r>
    </w:p>
    <w:p>
      <w:r>
        <w:pict>
          <v:rect style="width:0;height:1.5pt" o:hralign="center" o:hrstd="t" o:hr="t"/>
        </w:pict>
      </w:r>
    </w:p>
    <w:bookmarkEnd w:id="23"/>
    <w:bookmarkStart w:id="24" w:name="合同全文解析"/>
    <w:p>
      <w:pPr>
        <w:pStyle w:val="Heading2"/>
      </w:pPr>
      <w:r>
        <w:t xml:space="preserve">2. </w:t>
      </w:r>
      <w:r>
        <w:rPr>
          <w:rFonts w:hint="eastAsia"/>
        </w:rPr>
        <w:t xml:space="preserve">合同全文解析</w:t>
      </w:r>
    </w:p>
    <w:p>
      <w:pPr>
        <w:pStyle w:val="FirstParagraph"/>
      </w:pPr>
      <w:r>
        <w:rPr>
          <w:rFonts w:hint="eastAsia"/>
        </w:rPr>
        <w:t xml:space="preserve">系统对前向、后向合同分别执行：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PDF原生文本层检测；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中文高精度OCR；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页面版面识别；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条款层级切分；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表格结构恢复；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关键条款检索；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页码和坐标记录；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OCR置信度记录；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原文证据生成。</w:t>
      </w:r>
    </w:p>
    <w:p>
      <w:pPr>
        <w:pStyle w:val="FirstParagraph"/>
      </w:pPr>
      <w:r>
        <w:rPr>
          <w:rFonts w:hint="eastAsia"/>
        </w:rPr>
        <w:t xml:space="preserve">系统不仅保存提取结果，还保存其来源文件、页码、条款号、表格名称和原文上下文。</w:t>
      </w:r>
    </w:p>
    <w:p>
      <w:r>
        <w:pict>
          <v:rect style="width:0;height:1.5pt" o:hralign="center" o:hrstd="t" o:hr="t"/>
        </w:pict>
      </w:r>
    </w:p>
    <w:bookmarkEnd w:id="24"/>
    <w:bookmarkStart w:id="25" w:name="合同信息结构化"/>
    <w:p>
      <w:pPr>
        <w:pStyle w:val="Heading2"/>
      </w:pPr>
      <w:r>
        <w:t xml:space="preserve">3. </w:t>
      </w:r>
      <w:r>
        <w:rPr>
          <w:rFonts w:hint="eastAsia"/>
        </w:rPr>
        <w:t xml:space="preserve">合同信息结构化</w:t>
      </w:r>
    </w:p>
    <w:p>
      <w:pPr>
        <w:pStyle w:val="FirstParagraph"/>
      </w:pPr>
      <w:r>
        <w:rPr>
          <w:rFonts w:hint="eastAsia"/>
        </w:rPr>
        <w:t xml:space="preserve">系统提取并标准化以下内容：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合同基本信息；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合同性质；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合同签订及生效时间；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工期及工期起算条件；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开工、到货、安装、调试、验收等时间节点；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设备、材料及软件清单；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施工和实施内容；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乙方义务；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服务范围；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验收条件；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质保条款；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违约责任；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其他影响履约的关键条款。</w:t>
      </w:r>
    </w:p>
    <w:p>
      <w:pPr>
        <w:pStyle w:val="FirstParagraph"/>
      </w:pPr>
      <w:r>
        <w:rPr>
          <w:rFonts w:hint="eastAsia"/>
        </w:rPr>
        <w:t xml:space="preserve">所有非空字段均必须关联原文证据。</w:t>
      </w:r>
    </w:p>
    <w:p>
      <w:r>
        <w:pict>
          <v:rect style="width:0;height:1.5pt" o:hralign="center" o:hrstd="t" o:hr="t"/>
        </w:pict>
      </w:r>
    </w:p>
    <w:bookmarkEnd w:id="25"/>
    <w:bookmarkStart w:id="29" w:name="前后向合同对比"/>
    <w:p>
      <w:pPr>
        <w:pStyle w:val="Heading2"/>
      </w:pPr>
      <w:r>
        <w:t xml:space="preserve">4. </w:t>
      </w:r>
      <w:r>
        <w:rPr>
          <w:rFonts w:hint="eastAsia"/>
        </w:rPr>
        <w:t xml:space="preserve">前后向合同对比</w:t>
      </w:r>
    </w:p>
    <w:p>
      <w:pPr>
        <w:pStyle w:val="FirstParagraph"/>
      </w:pPr>
      <w:r>
        <w:t>系统重点执行设备/服务对象覆盖、工期节点、实施内容和收入收款计划四类确定性复核。</w:t>
      </w:r>
    </w:p>
    <w:bookmarkStart w:id="26" w:name="设备及材料清单对比"/>
    <w:p>
      <w:pPr>
        <w:pStyle w:val="Heading3"/>
      </w:pPr>
      <w:r>
        <w:t>4.1 设备、材料、服务对象及备件清单对比</w:t>
      </w:r>
    </w:p>
    <w:p>
      <w:pPr>
        <w:pStyle w:val="FirstParagraph"/>
      </w:pPr>
      <w:r>
        <w:t>先区分采购交付清单、维保/服务对象清单和现场备件库清单，再判断前向交付项或服务对象是否被后向合同完整覆盖。</w:t>
      </w:r>
    </w:p>
    <w:p>
      <w:pPr>
        <w:pStyle w:val="BodyText"/>
      </w:pPr>
      <w:r>
        <w:rPr>
          <w:rFonts w:hint="eastAsia"/>
        </w:rPr>
        <w:t xml:space="preserve">主要识别：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后向未采购；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后向数量不足；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后向规格不足；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后向授权期限不足；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单位无法换算；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名称疑似匹配；</w:t>
      </w:r>
    </w:p>
    <w:p>
      <w:pPr>
        <w:pStyle w:val="Compact"/>
        <w:numPr>
          <w:ilvl w:val="0"/>
          <w:numId w:val="1006"/>
        </w:numPr>
      </w:pPr>
      <w:r>
        <w:t>后向新增采购项、服务对象或现场备件要求。</w:t>
      </w:r>
    </w:p>
    <w:bookmarkEnd w:id="26"/>
    <w:bookmarkStart w:id="27" w:name="工期衔接对比"/>
    <w:p>
      <w:pPr>
        <w:pStyle w:val="Heading3"/>
      </w:pPr>
      <w:r>
        <w:t>4.2 工期节点及收入收款计划复核</w:t>
      </w:r>
    </w:p>
    <w:p>
      <w:pPr>
        <w:pStyle w:val="FirstParagraph"/>
      </w:pPr>
      <w:r>
        <w:rPr>
          <w:rFonts w:hint="eastAsia"/>
        </w:rPr>
        <w:t xml:space="preserve">分别识别前向、后向合同的：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工期起算条件；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实际起算日期；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合同工期；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计划完成时间；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到货、安装、调试及验收节点。</w:t>
      </w:r>
    </w:p>
    <w:p>
      <w:pPr>
        <w:pStyle w:val="FirstParagraph"/>
      </w:pPr>
      <w:r>
        <w:rPr>
          <w:rFonts w:hint="eastAsia"/>
        </w:rPr>
        <w:t xml:space="preserve">程序根据实际日期计算后向合同能否满足前向履约期限，并提示：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工期满足；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工期紧张；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明确来不及；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缺少起算依据；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起算条件尚未触发；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前后向时间条件不一致。</w:t>
      </w:r>
    </w:p>
    <w:bookmarkEnd w:id="27"/>
    <w:bookmarkStart w:id="28" w:name="实施内容对比"/>
    <w:p>
      <w:pPr>
        <w:pStyle w:val="Heading3"/>
      </w:pPr>
      <w:r>
        <w:t xml:space="preserve">4.3 </w:t>
      </w:r>
      <w:r>
        <w:rPr>
          <w:rFonts w:hint="eastAsia"/>
        </w:rPr>
        <w:t xml:space="preserve">实施内容对比</w:t>
      </w:r>
    </w:p>
    <w:p>
      <w:pPr>
        <w:pStyle w:val="FirstParagraph"/>
      </w:pPr>
      <w:r>
        <w:rPr>
          <w:rFonts w:hint="eastAsia"/>
        </w:rPr>
        <w:t xml:space="preserve">判断后向合同的供货、施工、安装、调试、开发、数据迁移、培训、试运行、验收和资料编制等内容，是否完整覆盖前向合同承诺的实施范围。</w:t>
      </w:r>
    </w:p>
    <w:p>
      <w:pPr>
        <w:pStyle w:val="BodyText"/>
      </w:pPr>
      <w:r>
        <w:rPr>
          <w:rFonts w:hint="eastAsia"/>
        </w:rPr>
        <w:t xml:space="preserve">主要识别：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实施内容缺失；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实施范围不足；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工作对象不完整；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责任程度弱化；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验收标准缺失；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后向新增工作内容。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项目时间轴"/>
    <w:p>
      <w:pPr>
        <w:pStyle w:val="Heading2"/>
      </w:pPr>
      <w:r>
        <w:t>5. 合同时间与收入收款计划复核</w:t>
      </w:r>
    </w:p>
    <w:p>
      <w:pPr>
        <w:pStyle w:val="FirstParagraph"/>
      </w:pPr>
      <w:r>
        <w:t>系统在合同解析结果中统一保留签约、生效、履约起止、到货、初验和终验等时间节点，并与收入/收款计划进行复核：</w:t>
      </w:r>
    </w:p>
    <w:p>
      <w:pPr>
        <w:pStyle w:val="SourceCode"/>
      </w:pPr>
      <w:r>
        <w:rPr>
          <w:rStyle w:val="VerbatimChar"/>
          <w:rFonts w:hint="eastAsia"/>
        </w:rPr>
        <w:t xml:space="preserve">合同签订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  <w:rFonts w:hint="eastAsia"/>
        </w:rPr>
        <w:t xml:space="preserve">合同生效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  <w:rFonts w:hint="eastAsia"/>
        </w:rPr>
        <w:t xml:space="preserve">开工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  <w:rFonts w:hint="eastAsia"/>
        </w:rPr>
        <w:t xml:space="preserve">设备到货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  <w:rFonts w:hint="eastAsia"/>
        </w:rPr>
        <w:t xml:space="preserve">安装完成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  <w:rFonts w:hint="eastAsia"/>
        </w:rPr>
        <w:t xml:space="preserve">系统调试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  <w:rFonts w:hint="eastAsia"/>
        </w:rPr>
        <w:t xml:space="preserve">试运行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  <w:rFonts w:hint="eastAsia"/>
        </w:rPr>
        <w:t xml:space="preserve">初验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  <w:rFonts w:hint="eastAsia"/>
        </w:rPr>
        <w:t xml:space="preserve">终验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  <w:rFonts w:hint="eastAsia"/>
        </w:rPr>
        <w:t xml:space="preserve">质保结束</w:t>
      </w:r>
    </w:p>
    <w:p>
      <w:pPr>
        <w:pStyle w:val="FirstParagraph"/>
      </w:pPr>
      <w:r>
        <w:t>时间节点与合同解析结果共用同一份结构化数据，不再单独重复导出时间轴；复核结果标识节点缺失、日期偏差和潜在工期缺口。</w:t>
      </w:r>
    </w:p>
    <w:p>
      <w:r>
        <w:pict>
          <v:rect style="width:0;height:1.5pt" o:hralign="center" o:hrstd="t" o:hr="t"/>
        </w:pict>
      </w:r>
    </w:p>
    <w:bookmarkEnd w:id="30"/>
    <w:bookmarkStart w:id="31" w:name="人工复核"/>
    <w:p>
      <w:pPr>
        <w:pStyle w:val="Heading2"/>
      </w:pPr>
      <w:r>
        <w:t xml:space="preserve">6. </w:t>
      </w:r>
      <w:r>
        <w:rPr>
          <w:rFonts w:hint="eastAsia"/>
        </w:rPr>
        <w:t xml:space="preserve">人工复核</w:t>
      </w:r>
    </w:p>
    <w:p>
      <w:pPr>
        <w:pStyle w:val="FirstParagraph"/>
      </w:pPr>
      <w:r>
        <w:rPr>
          <w:rFonts w:hint="eastAsia"/>
        </w:rPr>
        <w:t xml:space="preserve">以下情况进入人工复核：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PDF损坏、加密或缺页；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OCR置信度过低；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关键数字存在多种识别结果；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工期或节点存在两处冲突；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合同引用的附件未包含在PDF中；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设备名称无法准确匹配；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“套”</w:t>
      </w:r>
      <w:r>
        <w:rPr>
          <w:rFonts w:hint="eastAsia"/>
        </w:rPr>
        <w:t xml:space="preserve">“批”</w:t>
      </w:r>
      <w:r>
        <w:rPr>
          <w:rFonts w:hint="eastAsia"/>
        </w:rPr>
        <w:t xml:space="preserve">“系统”</w:t>
      </w:r>
      <w:r>
        <w:rPr>
          <w:rFonts w:hint="eastAsia"/>
        </w:rPr>
        <w:t xml:space="preserve">等单位无法展开；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责任主体不清；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实施内容语义相近但无法确定覆盖关系；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缺少计算工期所需的实际日期；</w:t>
      </w:r>
    </w:p>
    <w:p>
      <w:pPr>
        <w:pStyle w:val="Compact"/>
        <w:numPr>
          <w:ilvl w:val="0"/>
          <w:numId w:val="1010"/>
        </w:numPr>
      </w:pPr>
      <w:r>
        <w:t>自动提取结果与确定性二次校验或人工纠正结果不一致。</w:t>
      </w:r>
    </w:p>
    <w:p>
      <w:pPr>
        <w:pStyle w:val="FirstParagraph"/>
      </w:pPr>
      <w:r>
        <w:rPr>
          <w:rFonts w:hint="eastAsia"/>
        </w:rPr>
        <w:t xml:space="preserve">人工确认后的标准名称、实施分类及字段结果可写入映射库，后续优先通过程序直接处理。</w:t>
      </w:r>
    </w:p>
    <w:p>
      <w:r>
        <w:pict>
          <v:rect style="width:0;height:1.5pt" o:hralign="center" o:hrstd="t" o:hr="t"/>
        </w:pict>
      </w:r>
    </w:p>
    <w:bookmarkEnd w:id="31"/>
    <w:bookmarkStart w:id="32" w:name="报告及结果导出"/>
    <w:p>
      <w:pPr>
        <w:pStyle w:val="Heading2"/>
      </w:pPr>
      <w:r>
        <w:t>7. 精简审查结果导出</w:t>
      </w:r>
    </w:p>
    <w:p>
      <w:pPr>
        <w:pStyle w:val="FirstParagraph"/>
      </w:pPr>
      <w:r>
        <w:rPr>
          <w:rFonts w:hint="eastAsia"/>
        </w:rPr>
        <w:t xml:space="preserve">系统支持生成：</w:t>
      </w:r>
    </w:p>
    <w:p>
      <w:pPr>
        <w:pStyle w:val="Compact"/>
        <w:numPr>
          <w:ilvl w:val="0"/>
          <w:numId w:val="1011"/>
        </w:numPr>
      </w:pPr>
      <w:r>
        <w:t>项目审查汇总；</w:t>
      </w:r>
    </w:p>
    <w:p>
      <w:pPr>
        <w:pStyle w:val="Compact"/>
        <w:numPr>
          <w:ilvl w:val="0"/>
          <w:numId w:val="1011"/>
        </w:numPr>
      </w:pPr>
      <w:r>
        <w:t>合同解析结果（包含时间节点和关键条款）；</w:t>
      </w:r>
    </w:p>
    <w:p>
      <w:pPr>
        <w:pStyle w:val="Compact"/>
        <w:numPr>
          <w:ilvl w:val="0"/>
          <w:numId w:val="1011"/>
        </w:numPr>
      </w:pPr>
      <w:r>
        <w:t>设备清单及差异（清单行直接携带差异结论）；</w:t>
      </w:r>
    </w:p>
    <w:p>
      <w:pPr>
        <w:pStyle w:val="Compact"/>
        <w:numPr>
          <w:ilvl w:val="0"/>
          <w:numId w:val="1011"/>
        </w:numPr>
      </w:pPr>
      <w:r>
        <w:t>时间及收入计划复核；</w:t>
      </w:r>
    </w:p>
    <w:p>
      <w:pPr>
        <w:pStyle w:val="Compact"/>
        <w:numPr>
          <w:ilvl w:val="0"/>
          <w:numId w:val="1011"/>
        </w:numPr>
      </w:pPr>
      <w:r>
        <w:t>实施内容差异（仅在存在数据时生成）；</w:t>
      </w:r>
    </w:p>
    <w:p>
      <w:pPr>
        <w:pStyle w:val="Compact"/>
        <w:numPr>
          <w:ilvl w:val="0"/>
          <w:numId w:val="1011"/>
        </w:numPr>
      </w:pPr>
      <w:r>
        <w:t>待复核及人工纠正；</w:t>
      </w:r>
    </w:p>
    <w:p>
      <w:pPr>
        <w:pStyle w:val="Compact"/>
        <w:numPr>
          <w:ilvl w:val="0"/>
          <w:numId w:val="1011"/>
        </w:numPr>
      </w:pPr>
      <w:r>
        <w:t>不再生成与合同解析结果重复的独立时间轴工作表；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待人工复核清单；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合同审查报告；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系统运行日志。</w:t>
      </w:r>
    </w:p>
    <w:p>
      <w:pPr>
        <w:pStyle w:val="FirstParagraph"/>
      </w:pPr>
      <w:r>
        <w:t>当前版本稳定输出Excel和JSON；Word、PDF报告可在后续报告模板模块中扩展。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56" w:name="三第一层合同文档解析与证据定位层"/>
    <w:p>
      <w:pPr>
        <w:pStyle w:val="Heading1"/>
      </w:pPr>
      <w:r>
        <w:rPr>
          <w:rFonts w:hint="eastAsia"/>
        </w:rPr>
        <w:t xml:space="preserve">三、第一层：合同文档解析与证据定位层</w:t>
      </w:r>
    </w:p>
    <w:bookmarkStart w:id="34" w:name="本层目标"/>
    <w:p>
      <w:pPr>
        <w:pStyle w:val="Heading2"/>
      </w:pPr>
      <w:r>
        <w:t xml:space="preserve">1. </w:t>
      </w:r>
      <w:r>
        <w:rPr>
          <w:rFonts w:hint="eastAsia"/>
        </w:rPr>
        <w:t xml:space="preserve">本层目标</w:t>
      </w:r>
    </w:p>
    <w:p>
      <w:pPr>
        <w:pStyle w:val="FirstParagraph"/>
      </w:pPr>
      <w:r>
        <w:rPr>
          <w:rFonts w:hint="eastAsia"/>
        </w:rPr>
        <w:t xml:space="preserve">合同文档解析与证据定位层是整个系统的数据基础层，负责将每个项目的前向合同和后向合同PDF转换为统一、稳定、可追溯的合同证据数据。</w:t>
      </w:r>
    </w:p>
    <w:p>
      <w:pPr>
        <w:pStyle w:val="BodyText"/>
      </w:pPr>
      <w:r>
        <w:rPr>
          <w:rFonts w:hint="eastAsia"/>
        </w:rPr>
        <w:t xml:space="preserve">本层主要解决：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PDF内容能否完整、准确读取；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正文和表格能否正确恢复；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合同条款能否按照页码和层级切分；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每项提取结果能否定位到原始合同；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同一合同重复运行时，基础解析结果是否保持一致。</w:t>
      </w:r>
    </w:p>
    <w:p>
      <w:pPr>
        <w:pStyle w:val="FirstParagraph"/>
      </w:pPr>
      <w:r>
        <w:rPr>
          <w:rFonts w:hint="eastAsia"/>
        </w:rPr>
        <w:t xml:space="preserve">本层不判断前后向合同是否一致，也不生成最终风险结论。</w:t>
      </w:r>
    </w:p>
    <w:p>
      <w:r>
        <w:pict>
          <v:rect style="width:0;height:1.5pt" o:hralign="center" o:hrstd="t" o:hr="t"/>
        </w:pict>
      </w:r>
    </w:p>
    <w:bookmarkEnd w:id="34"/>
    <w:bookmarkStart w:id="35" w:name="输入文件组织方式"/>
    <w:p>
      <w:pPr>
        <w:pStyle w:val="Heading2"/>
      </w:pPr>
      <w:r>
        <w:t xml:space="preserve">2. </w:t>
      </w:r>
      <w:r>
        <w:rPr>
          <w:rFonts w:hint="eastAsia"/>
        </w:rPr>
        <w:t xml:space="preserve">输入文件组织方式</w:t>
      </w:r>
    </w:p>
    <w:p>
      <w:pPr>
        <w:pStyle w:val="FirstParagraph"/>
      </w:pPr>
      <w:r>
        <w:t>系统输入采用项目级固定目录结构，一级目录名称为前向合同编号：</w:t>
      </w:r>
    </w:p>
    <w:p>
      <w:pPr>
        <w:pStyle w:val="SourceCode"/>
      </w:pPr>
      <w:r>
        <w:t>合同根目录/</w:t>
        <w:br/>
        <w:t>└─ 前向合同编号/</w:t>
        <w:br/>
        <w:t xml:space="preserve">   ├─ 前向/</w:t>
        <w:br/>
        <w:t xml:space="preserve">   │  ├─ 前向主合同.pdf</w:t>
        <w:br/>
        <w:t xml:space="preserve">   │  └─ 前向附件.pdf</w:t>
        <w:br/>
        <w:t xml:space="preserve">   ├─ 后向/</w:t>
        <w:br/>
        <w:t xml:space="preserve">   │  ├─ 后向合同A.pdf</w:t>
        <w:br/>
        <w:t xml:space="preserve">   │  └─ 后向合同B.pdf</w:t>
        <w:br/>
        <w:t xml:space="preserve">   └─ 收入收款计划/</w:t>
        <w:br/>
        <w:t xml:space="preserve">      └─ 收入收款计划.xls 或 .xlsx</w:t>
      </w:r>
    </w:p>
    <w:p>
      <w:pPr>
        <w:pStyle w:val="FirstParagraph"/>
      </w:pPr>
      <w:r>
        <w:rPr>
          <w:rFonts w:hint="eastAsia"/>
        </w:rPr>
        <w:t xml:space="preserve">系统按照以下规则识别项目及合同：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合同根目录下每个一级子文件夹对应一个项目；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一级子文件夹名称作为项目编码；</w:t>
      </w:r>
    </w:p>
    <w:p>
      <w:pPr>
        <w:pStyle w:val="Compact"/>
        <w:numPr>
          <w:ilvl w:val="0"/>
          <w:numId w:val="1013"/>
        </w:numPr>
      </w:pPr>
      <w:r>
        <w:t>前向目录中的PDF合并作为该项目的前向合同证据集合；</w:t>
      </w:r>
    </w:p>
    <w:p>
      <w:pPr>
        <w:pStyle w:val="Compact"/>
        <w:numPr>
          <w:ilvl w:val="0"/>
          <w:numId w:val="1013"/>
        </w:numPr>
      </w:pPr>
      <w:r>
        <w:t>后向目录中的每份PDF作为独立后向合同，允许一个项目存在多份后向合同；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项目编码按照文本格式保存，保留前导零；</w:t>
      </w:r>
    </w:p>
    <w:p>
      <w:pPr>
        <w:pStyle w:val="Compact"/>
        <w:numPr>
          <w:ilvl w:val="0"/>
          <w:numId w:val="1013"/>
        </w:numPr>
      </w:pPr>
      <w:r>
        <w:t>一个项目编码对应一组前向文件、零至多份后向合同，以及可选收入/收款计划文件；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原始PDF只读使用，不修改、覆盖、移动或重命名。</w:t>
      </w:r>
    </w:p>
    <w:p>
      <w:pPr>
        <w:pStyle w:val="FirstParagraph"/>
      </w:pPr>
      <w:r>
        <w:t>合同正文、技术规范、设备清单、补充协议和报价表可分别上传至对应方向目录，系统按方向形成证据集合：</w:t>
      </w:r>
    </w:p>
    <w:p>
      <w:pPr>
        <w:pStyle w:val="Compact"/>
        <w:numPr>
          <w:ilvl w:val="0"/>
          <w:numId w:val="1014"/>
        </w:numPr>
      </w:pPr>
      <w:r>
        <w:t>前向相关文件放入“前向”目录；</w:t>
      </w:r>
    </w:p>
    <w:p>
      <w:pPr>
        <w:pStyle w:val="Compact"/>
        <w:numPr>
          <w:ilvl w:val="0"/>
          <w:numId w:val="1014"/>
        </w:numPr>
      </w:pPr>
      <w:r>
        <w:t>后向合同及附件放入“后向”目录；收入/收款计划放入同名目录。</w:t>
      </w:r>
    </w:p>
    <w:p>
      <w:pPr>
        <w:pStyle w:val="FirstParagraph"/>
      </w:pPr>
      <w:r>
        <w:rPr>
          <w:rFonts w:hint="eastAsia"/>
        </w:rPr>
        <w:t xml:space="preserve">PDF内部应按照有效文件顺序排列，避免系统无法确定补充协议和正文的效力关系。</w:t>
      </w:r>
    </w:p>
    <w:p>
      <w:r>
        <w:pict>
          <v:rect style="width:0;height:1.5pt" o:hralign="center" o:hrstd="t" o:hr="t"/>
        </w:pict>
      </w:r>
    </w:p>
    <w:bookmarkEnd w:id="35"/>
    <w:bookmarkStart w:id="38" w:name="项目目录枚举与完整性校验"/>
    <w:p>
      <w:pPr>
        <w:pStyle w:val="Heading2"/>
      </w:pPr>
      <w:r>
        <w:t xml:space="preserve">3. </w:t>
      </w:r>
      <w:r>
        <w:rPr>
          <w:rFonts w:hint="eastAsia"/>
        </w:rPr>
        <w:t xml:space="preserve">项目目录枚举与完整性校验</w:t>
      </w:r>
    </w:p>
    <w:p>
      <w:pPr>
        <w:pStyle w:val="FirstParagraph"/>
      </w:pPr>
      <w:r>
        <w:rPr>
          <w:rFonts w:hint="eastAsia"/>
        </w:rPr>
        <w:t xml:space="preserve">系统扫描合同根目录下全部一级子文件夹，将每个文件夹建立为一个项目任务。</w:t>
      </w:r>
    </w:p>
    <w:p>
      <w:pPr>
        <w:pStyle w:val="BodyText"/>
      </w:pPr>
      <w:r>
        <w:rPr>
          <w:rFonts w:hint="eastAsia"/>
        </w:rPr>
        <w:t xml:space="preserve">每个项目记录：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项目编码；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项目目录；</w:t>
      </w:r>
    </w:p>
    <w:p>
      <w:pPr>
        <w:pStyle w:val="Compact"/>
        <w:numPr>
          <w:ilvl w:val="0"/>
          <w:numId w:val="1015"/>
        </w:numPr>
      </w:pPr>
      <w:r>
        <w:t>前向合同及附件路径列表；</w:t>
      </w:r>
    </w:p>
    <w:p>
      <w:pPr>
        <w:pStyle w:val="Compact"/>
        <w:numPr>
          <w:ilvl w:val="0"/>
          <w:numId w:val="1015"/>
        </w:numPr>
      </w:pPr>
      <w:r>
        <w:t>后向合同路径列表；</w:t>
      </w:r>
    </w:p>
    <w:p>
      <w:pPr>
        <w:pStyle w:val="Compact"/>
      </w:pPr>
      <w:r>
        <w:t>收入/收款计划文件路径列表；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前向合同状态；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后向合同状态；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项目整体状态；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最近处理时间。</w:t>
      </w:r>
    </w:p>
    <w:bookmarkStart w:id="36" w:name="完整性检查"/>
    <w:p>
      <w:pPr>
        <w:pStyle w:val="Heading3"/>
      </w:pPr>
      <w:r>
        <w:t xml:space="preserve">3.1 </w:t>
      </w:r>
      <w:r>
        <w:rPr>
          <w:rFonts w:hint="eastAsia"/>
        </w:rPr>
        <w:t xml:space="preserve">完整性检查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前向、后向合同均存在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正常进入解析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缺少前向合同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标记“缺少前向合同”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缺少后向合同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标记“缺少后向合同”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两份合同均缺失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项目处理失败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文件无法打开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记录文件异常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PDF加密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进入人工处理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PDF损坏或页数为0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标记解析失败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项目目录存在其他PDF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默认不处理并记录提示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缺少任意一份合同的项目不执行第三层前后向对比，但可以解析已存在的单份合同。</w:t>
      </w:r>
    </w:p>
    <w:bookmarkEnd w:id="36"/>
    <w:bookmarkStart w:id="37" w:name="合同方向辅助校验"/>
    <w:p>
      <w:pPr>
        <w:pStyle w:val="Heading3"/>
      </w:pPr>
      <w:r>
        <w:t xml:space="preserve">3.2 </w:t>
      </w:r>
      <w:r>
        <w:rPr>
          <w:rFonts w:hint="eastAsia"/>
        </w:rPr>
        <w:t xml:space="preserve">合同方向辅助校验</w:t>
      </w:r>
    </w:p>
    <w:p>
      <w:pPr>
        <w:pStyle w:val="FirstParagraph"/>
      </w:pPr>
      <w:r>
        <w:rPr>
          <w:rFonts w:hint="eastAsia"/>
        </w:rPr>
        <w:t xml:space="preserve">前后向方向以文件名为准，但系统仍可根据合同主体进行辅助检查。</w:t>
      </w:r>
    </w:p>
    <w:p>
      <w:pPr>
        <w:pStyle w:val="BodyText"/>
      </w:pPr>
      <w:r>
        <w:rPr>
          <w:rFonts w:hint="eastAsia"/>
        </w:rPr>
        <w:t xml:space="preserve">前向合同通常表现为：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本方是乙方、承建方、服务方或卖方；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对方是客户、建设单位或采购方；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合同描述本方对客户的交付义务。</w:t>
      </w:r>
    </w:p>
    <w:p>
      <w:pPr>
        <w:pStyle w:val="FirstParagraph"/>
      </w:pPr>
      <w:r>
        <w:rPr>
          <w:rFonts w:hint="eastAsia"/>
        </w:rPr>
        <w:t xml:space="preserve">后向合同通常表现为：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本方是甲方、采购方、发包方或买方；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对方是供应商、承包商或分包单位；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合同描述供应商对本方的供货或实施义务。</w:t>
      </w:r>
    </w:p>
    <w:p>
      <w:pPr>
        <w:pStyle w:val="FirstParagraph"/>
      </w:pPr>
      <w:r>
        <w:rPr>
          <w:rFonts w:hint="eastAsia"/>
        </w:rPr>
        <w:t xml:space="preserve">如合同主体关系与文件方向明显不符，系统提示：</w:t>
      </w:r>
    </w:p>
    <w:p>
      <w:pPr>
        <w:pStyle w:val="SourceCode"/>
      </w:pPr>
      <w:r>
        <w:rPr>
          <w:rStyle w:val="VerbatimChar"/>
          <w:rFonts w:hint="eastAsia"/>
        </w:rPr>
        <w:t xml:space="preserve">合同方向疑似异常，请人工确认。</w:t>
      </w:r>
    </w:p>
    <w:p>
      <w:pPr>
        <w:pStyle w:val="FirstParagraph"/>
      </w:pPr>
      <w:r>
        <w:rPr>
          <w:rFonts w:hint="eastAsia"/>
        </w:rPr>
        <w:t xml:space="preserve">系统不自动交换文件方向。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文件登记与版本识别"/>
    <w:p>
      <w:pPr>
        <w:pStyle w:val="Heading2"/>
      </w:pPr>
      <w:r>
        <w:t xml:space="preserve">4. </w:t>
      </w:r>
      <w:r>
        <w:rPr>
          <w:rFonts w:hint="eastAsia"/>
        </w:rPr>
        <w:t xml:space="preserve">文件登记与版本识别</w:t>
      </w:r>
    </w:p>
    <w:p>
      <w:pPr>
        <w:pStyle w:val="FirstParagraph"/>
      </w:pPr>
      <w:r>
        <w:rPr>
          <w:rFonts w:hint="eastAsia"/>
        </w:rPr>
        <w:t xml:space="preserve">系统分别记录前向和后向合同的：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项目编码；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合同方向；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文件名称；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文件路径；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文件大小；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修改时间；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PDF页数；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SHA-256文件哈希；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文本层状态；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OCR状态；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解析状态；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解析版本；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最后处理时间。</w:t>
      </w:r>
    </w:p>
    <w:p>
      <w:pPr>
        <w:pStyle w:val="FirstParagraph"/>
      </w:pP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"project_code"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"PRJ20260001"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"contract_direction"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"前向"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"file_name"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"前向合同.pdf"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"file_hash"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"SHA256值"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"parse_status"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"已完成"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文件哈希作为是否重新解析的主要依据。</w:t>
      </w:r>
    </w:p>
    <w:p>
      <w:r>
        <w:pict>
          <v:rect style="width:0;height:1.5pt" o:hralign="center" o:hrstd="t" o:hr="t"/>
        </w:pict>
      </w:r>
    </w:p>
    <w:bookmarkEnd w:id="39"/>
    <w:bookmarkStart w:id="44" w:name="断点续跑及增量处理"/>
    <w:p>
      <w:pPr>
        <w:pStyle w:val="Heading2"/>
      </w:pPr>
      <w:r>
        <w:t xml:space="preserve">5. </w:t>
      </w:r>
      <w:r>
        <w:rPr>
          <w:rFonts w:hint="eastAsia"/>
        </w:rPr>
        <w:t xml:space="preserve">断点续跑及增量处理</w:t>
      </w:r>
    </w:p>
    <w:p>
      <w:pPr>
        <w:pStyle w:val="FirstParagraph"/>
      </w:pPr>
      <w:r>
        <w:rPr>
          <w:rFonts w:hint="eastAsia"/>
        </w:rPr>
        <w:t xml:space="preserve">系统默认启用断点续跑。</w:t>
      </w:r>
    </w:p>
    <w:bookmarkStart w:id="40" w:name="两份合同均未变化"/>
    <w:p>
      <w:pPr>
        <w:pStyle w:val="Heading3"/>
      </w:pPr>
      <w:r>
        <w:rPr>
          <w:rFonts w:hint="eastAsia"/>
        </w:rPr>
        <w:t xml:space="preserve">两份合同均未变化</w:t>
      </w:r>
    </w:p>
    <w:p>
      <w:pPr>
        <w:pStyle w:val="SourceCode"/>
      </w:pPr>
      <w:r>
        <w:rPr>
          <w:rStyle w:val="VerbatimChar"/>
          <w:rFonts w:hint="eastAsia"/>
        </w:rPr>
        <w:t xml:space="preserve">复用前向解析结果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  <w:rFonts w:hint="eastAsia"/>
        </w:rPr>
        <w:t xml:space="preserve">复用后向解析结果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  <w:rFonts w:hint="eastAsia"/>
        </w:rPr>
        <w:t xml:space="preserve">复用或重新执行规则对比</w:t>
      </w:r>
    </w:p>
    <w:bookmarkEnd w:id="40"/>
    <w:bookmarkStart w:id="41" w:name="仅前向合同变化"/>
    <w:p>
      <w:pPr>
        <w:pStyle w:val="Heading3"/>
      </w:pPr>
      <w:r>
        <w:rPr>
          <w:rFonts w:hint="eastAsia"/>
        </w:rPr>
        <w:t xml:space="preserve">仅前向合同变化</w:t>
      </w:r>
    </w:p>
    <w:p>
      <w:pPr>
        <w:pStyle w:val="SourceCode"/>
      </w:pPr>
      <w:r>
        <w:rPr>
          <w:rStyle w:val="VerbatimChar"/>
          <w:rFonts w:hint="eastAsia"/>
        </w:rPr>
        <w:t xml:space="preserve">重新解析前向合同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  <w:rFonts w:hint="eastAsia"/>
        </w:rPr>
        <w:t xml:space="preserve">复用后向解析结果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  <w:rFonts w:hint="eastAsia"/>
        </w:rPr>
        <w:t xml:space="preserve">重新执行前后向对比</w:t>
      </w:r>
    </w:p>
    <w:bookmarkEnd w:id="41"/>
    <w:bookmarkStart w:id="42" w:name="仅后向合同变化"/>
    <w:p>
      <w:pPr>
        <w:pStyle w:val="Heading3"/>
      </w:pPr>
      <w:r>
        <w:rPr>
          <w:rFonts w:hint="eastAsia"/>
        </w:rPr>
        <w:t xml:space="preserve">仅后向合同变化</w:t>
      </w:r>
    </w:p>
    <w:p>
      <w:pPr>
        <w:pStyle w:val="SourceCode"/>
      </w:pPr>
      <w:r>
        <w:rPr>
          <w:rStyle w:val="VerbatimChar"/>
          <w:rFonts w:hint="eastAsia"/>
        </w:rPr>
        <w:t xml:space="preserve">复用前向解析结果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  <w:rFonts w:hint="eastAsia"/>
        </w:rPr>
        <w:t xml:space="preserve">重新解析后向合同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  <w:rFonts w:hint="eastAsia"/>
        </w:rPr>
        <w:t xml:space="preserve">重新执行前后向对比</w:t>
      </w:r>
    </w:p>
    <w:bookmarkEnd w:id="42"/>
    <w:bookmarkStart w:id="43" w:name="两份合同均变化"/>
    <w:p>
      <w:pPr>
        <w:pStyle w:val="Heading3"/>
      </w:pPr>
      <w:r>
        <w:rPr>
          <w:rFonts w:hint="eastAsia"/>
        </w:rPr>
        <w:t xml:space="preserve">两份合同均变化</w:t>
      </w:r>
    </w:p>
    <w:p>
      <w:pPr>
        <w:pStyle w:val="SourceCode"/>
      </w:pPr>
      <w:r>
        <w:rPr>
          <w:rStyle w:val="VerbatimChar"/>
          <w:rFonts w:hint="eastAsia"/>
        </w:rPr>
        <w:t xml:space="preserve">重新解析两份合同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  <w:rFonts w:hint="eastAsia"/>
        </w:rPr>
        <w:t xml:space="preserve">重新执行全部对比</w:t>
      </w:r>
    </w:p>
    <w:p>
      <w:pPr>
        <w:pStyle w:val="FirstParagraph"/>
      </w:pPr>
      <w:r>
        <w:rPr>
          <w:rFonts w:hint="eastAsia"/>
        </w:rPr>
        <w:t xml:space="preserve">每处理完一个项目立即保存检查点。单个项目失败不得中断整个批次。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pdf文本层检测"/>
    <w:p>
      <w:pPr>
        <w:pStyle w:val="Heading2"/>
      </w:pPr>
      <w:r>
        <w:t xml:space="preserve">6. </w:t>
      </w:r>
      <w:r>
        <w:rPr>
          <w:rFonts w:hint="eastAsia"/>
        </w:rPr>
        <w:t xml:space="preserve">PDF文本层检测</w:t>
      </w:r>
    </w:p>
    <w:p>
      <w:pPr>
        <w:pStyle w:val="FirstParagraph"/>
      </w:pPr>
      <w:r>
        <w:rPr>
          <w:rFonts w:hint="eastAsia"/>
        </w:rPr>
        <w:t xml:space="preserve">系统逐页检查PDF原生文本是否可用。</w:t>
      </w:r>
    </w:p>
    <w:p>
      <w:pPr>
        <w:pStyle w:val="BodyText"/>
      </w:pPr>
      <w:r>
        <w:rPr>
          <w:rFonts w:hint="eastAsia"/>
        </w:rPr>
        <w:t xml:space="preserve">优先使用：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PyMuPDF；</w:t>
      </w:r>
    </w:p>
    <w:p>
      <w:pPr>
        <w:pStyle w:val="Compact"/>
        <w:numPr>
          <w:ilvl w:val="0"/>
          <w:numId w:val="1019"/>
        </w:numPr>
      </w:pPr>
      <w:r>
        <w:t>pypdf；</w:t>
      </w:r>
    </w:p>
    <w:p>
      <w:pPr>
        <w:pStyle w:val="Compact"/>
        <w:numPr>
          <w:ilvl w:val="0"/>
          <w:numId w:val="1019"/>
        </w:numPr>
      </w:pPr>
      <w:r>
        <w:t>原生文本字符数及中文比例阈值规则；</w:t>
      </w:r>
    </w:p>
    <w:p>
      <w:pPr>
        <w:pStyle w:val="Compact"/>
        <w:numPr>
          <w:ilvl w:val="0"/>
          <w:numId w:val="1019"/>
        </w:numPr>
      </w:pPr>
      <w:r>
        <w:t>原生文本不足时自动切换至页面图像OCR。</w:t>
      </w:r>
    </w:p>
    <w:p>
      <w:pPr>
        <w:pStyle w:val="FirstParagraph"/>
      </w:pPr>
      <w:r>
        <w:rPr>
          <w:rFonts w:hint="eastAsia"/>
        </w:rPr>
        <w:t xml:space="preserve">每页检查：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字符数是否异常少；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是否存在乱码或不可见字符；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中文字符比例是否合理；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文字顺序是否错乱；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是否存在异常空格；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关键区域是否为图片；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表格是否因文本层错位而无法恢复。</w:t>
      </w:r>
    </w:p>
    <w:p>
      <w:pPr>
        <w:pStyle w:val="FirstParagraph"/>
      </w:pPr>
      <w:r>
        <w:rPr>
          <w:rFonts w:hint="eastAsia"/>
        </w:rPr>
        <w:t xml:space="preserve">页面处理状态分为：</w:t>
      </w:r>
    </w:p>
    <w:p>
      <w:pPr>
        <w:pStyle w:val="SourceCode"/>
      </w:pPr>
      <w:r>
        <w:rPr>
          <w:rStyle w:val="VerbatimChar"/>
          <w:rFonts w:hint="eastAsia"/>
        </w:rPr>
        <w:t xml:space="preserve">原生文本可用</w:t>
      </w:r>
      <w:r>
        <w:br/>
      </w:r>
      <w:r>
        <w:rPr>
          <w:rStyle w:val="VerbatimChar"/>
          <w:rFonts w:hint="eastAsia"/>
        </w:rPr>
        <w:t xml:space="preserve">原生文本可用但需复核</w:t>
      </w:r>
      <w:r>
        <w:br/>
      </w:r>
      <w:r>
        <w:rPr>
          <w:rStyle w:val="VerbatimChar"/>
          <w:rFonts w:hint="eastAsia"/>
        </w:rPr>
        <w:t xml:space="preserve">必须OCR</w:t>
      </w:r>
      <w:r>
        <w:br/>
      </w:r>
      <w:r>
        <w:rPr>
          <w:rStyle w:val="VerbatimChar"/>
          <w:rFonts w:hint="eastAsia"/>
        </w:rPr>
        <w:t xml:space="preserve">页面异常无法识别</w:t>
      </w:r>
    </w:p>
    <w:p>
      <w:pPr>
        <w:pStyle w:val="FirstParagraph"/>
      </w:pPr>
      <w:r>
        <w:rPr>
          <w:rFonts w:hint="eastAsia"/>
        </w:rPr>
        <w:t xml:space="preserve">即使文本层可用，涉及以下字段的页面仍需重点复核：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合同金额；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工期；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日期；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设备数量；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付款比例；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质保期限；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违约金比例；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型号和技术参数。</w:t>
      </w:r>
    </w:p>
    <w:p>
      <w:r>
        <w:pict>
          <v:rect style="width:0;height:1.5pt" o:hralign="center" o:hrstd="t" o:hr="t"/>
        </w:pict>
      </w:r>
    </w:p>
    <w:bookmarkEnd w:id="45"/>
    <w:bookmarkStart w:id="49" w:name="高精度ocr"/>
    <w:p>
      <w:pPr>
        <w:pStyle w:val="Heading2"/>
      </w:pPr>
      <w:r>
        <w:t xml:space="preserve">7. </w:t>
      </w:r>
      <w:r>
        <w:rPr>
          <w:rFonts w:hint="eastAsia"/>
        </w:rPr>
        <w:t xml:space="preserve">高精度OCR</w:t>
      </w:r>
    </w:p>
    <w:p>
      <w:pPr>
        <w:pStyle w:val="FirstParagraph"/>
      </w:pPr>
      <w:r>
        <w:rPr>
          <w:rFonts w:hint="eastAsia"/>
        </w:rPr>
        <w:t xml:space="preserve">对扫描件、图片型页面、乱码页和复杂表格页执行OCR。</w:t>
      </w:r>
    </w:p>
    <w:p>
      <w:pPr>
        <w:pStyle w:val="BodyText"/>
      </w:pPr>
      <w:r>
        <w:t>当前版本采用：</w:t>
      </w:r>
    </w:p>
    <w:p>
      <w:pPr>
        <w:pStyle w:val="Compact"/>
        <w:numPr>
          <w:ilvl w:val="0"/>
          <w:numId w:val="1022"/>
        </w:numPr>
      </w:pPr>
      <w:r>
        <w:t>RapidOCR ONNX Runtime中文模型；</w:t>
      </w:r>
    </w:p>
    <w:p>
      <w:pPr>
        <w:pStyle w:val="Compact"/>
        <w:numPr>
          <w:ilvl w:val="0"/>
          <w:numId w:val="1022"/>
        </w:numPr>
      </w:pPr>
      <w:r>
        <w:t>PyMuPDF页面栅格化及原生文本读取；</w:t>
      </w:r>
    </w:p>
    <w:p>
      <w:pPr>
        <w:pStyle w:val="Compact"/>
        <w:numPr>
          <w:ilvl w:val="0"/>
          <w:numId w:val="1022"/>
        </w:numPr>
      </w:pPr>
      <w:r>
        <w:t>Pillow图像增强及红章遮挡日期局部处理；</w:t>
      </w:r>
    </w:p>
    <w:p>
      <w:pPr>
        <w:pStyle w:val="Compact"/>
        <w:numPr>
          <w:ilvl w:val="0"/>
          <w:numId w:val="1022"/>
        </w:numPr>
      </w:pPr>
      <w:r>
        <w:t>OCR结果按页缓存，并保留识别方法、置信度和错误状态。</w:t>
      </w:r>
    </w:p>
    <w:bookmarkStart w:id="46" w:name="图像预处理"/>
    <w:p>
      <w:pPr>
        <w:pStyle w:val="Heading3"/>
      </w:pPr>
      <w:r>
        <w:t xml:space="preserve">7.1 </w:t>
      </w:r>
      <w:r>
        <w:rPr>
          <w:rFonts w:hint="eastAsia"/>
        </w:rPr>
        <w:t xml:space="preserve">图像预处理</w:t>
      </w:r>
    </w:p>
    <w:p>
      <w:pPr>
        <w:pStyle w:val="FirstParagraph"/>
      </w:pPr>
      <w:r>
        <w:rPr>
          <w:rFonts w:hint="eastAsia"/>
        </w:rPr>
        <w:t xml:space="preserve">普通页面以300</w:t>
      </w:r>
      <w:r>
        <w:t xml:space="preserve"> </w:t>
      </w:r>
      <w:r>
        <w:rPr>
          <w:rFonts w:hint="eastAsia"/>
        </w:rPr>
        <w:t xml:space="preserve">DPI渲染。</w:t>
      </w:r>
    </w:p>
    <w:p>
      <w:pPr>
        <w:pStyle w:val="BodyText"/>
      </w:pPr>
      <w:r>
        <w:rPr>
          <w:rFonts w:hint="eastAsia"/>
        </w:rPr>
        <w:t xml:space="preserve">小字、低清晰度、印章遮挡和复杂表格页面可提高至400</w:t>
      </w:r>
      <w:r>
        <w:t xml:space="preserve"> </w:t>
      </w:r>
      <w:r>
        <w:rPr>
          <w:rFonts w:hint="eastAsia"/>
        </w:rPr>
        <w:t xml:space="preserve">DPI，并执行：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页面旋转检测；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倾斜校正；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图像去噪；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对比度增强；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灰度化或二值化；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表格线处理；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双栏顺序识别；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局部区域切块；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印章覆盖区域增强。</w:t>
      </w:r>
    </w:p>
    <w:bookmarkEnd w:id="46"/>
    <w:bookmarkStart w:id="47" w:name="全文识别"/>
    <w:p>
      <w:pPr>
        <w:pStyle w:val="Heading3"/>
      </w:pPr>
      <w:r>
        <w:t xml:space="preserve">7.2 </w:t>
      </w:r>
      <w:r>
        <w:rPr>
          <w:rFonts w:hint="eastAsia"/>
        </w:rPr>
        <w:t xml:space="preserve">全文识别</w:t>
      </w:r>
    </w:p>
    <w:p>
      <w:pPr>
        <w:pStyle w:val="FirstParagraph"/>
      </w:pPr>
      <w:r>
        <w:rPr>
          <w:rFonts w:hint="eastAsia"/>
        </w:rPr>
        <w:t xml:space="preserve">OCR必须覆盖：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合同正文；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PDF中合并的补充协议；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技术附件；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设备清单；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报价表；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进度计划；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其他有效内容。</w:t>
      </w:r>
    </w:p>
    <w:p>
      <w:pPr>
        <w:pStyle w:val="FirstParagraph"/>
      </w:pPr>
      <w:r>
        <w:rPr>
          <w:rFonts w:hint="eastAsia"/>
        </w:rPr>
        <w:t xml:space="preserve">不得只OCR首页，也不得只读取前若干页。</w:t>
      </w:r>
    </w:p>
    <w:bookmarkEnd w:id="47"/>
    <w:bookmarkStart w:id="48" w:name="关键内容二次识别"/>
    <w:p>
      <w:pPr>
        <w:pStyle w:val="Heading3"/>
      </w:pPr>
      <w:r>
        <w:t xml:space="preserve">7.3 </w:t>
      </w:r>
      <w:r>
        <w:rPr>
          <w:rFonts w:hint="eastAsia"/>
        </w:rPr>
        <w:t xml:space="preserve">关键内容二次识别</w:t>
      </w:r>
    </w:p>
    <w:p>
      <w:pPr>
        <w:pStyle w:val="FirstParagraph"/>
      </w:pPr>
      <w:r>
        <w:rPr>
          <w:rFonts w:hint="eastAsia"/>
        </w:rPr>
        <w:t xml:space="preserve">以下字段需要二次校验：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合同编号；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合同金额；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工期数值；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日期；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设备数量；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型号；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百分比；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违约金比例；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质保期限。</w:t>
      </w:r>
    </w:p>
    <w:p>
      <w:pPr>
        <w:pStyle w:val="FirstParagraph"/>
      </w:pPr>
      <w:r>
        <w:rPr>
          <w:rFonts w:hint="eastAsia"/>
        </w:rPr>
        <w:t xml:space="preserve">校验方式包括：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原生文本与OCR结果比较；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同一区域不同参数重复识别；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局部提高分辨率重新识别；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结合条款前后文核验；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冲突时进入人工复核。</w:t>
      </w:r>
    </w:p>
    <w:p>
      <w:pPr>
        <w:pStyle w:val="FirstParagraph"/>
      </w:pPr>
      <w:r>
        <w:rPr>
          <w:rFonts w:hint="eastAsia"/>
        </w:rPr>
        <w:t xml:space="preserve">默认采用本地OCR和本地处理。未经明确授权，不将合同内容上传至外部服务。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页面版面及证据块解析"/>
    <w:p>
      <w:pPr>
        <w:pStyle w:val="Heading2"/>
      </w:pPr>
      <w:r>
        <w:t xml:space="preserve">8. </w:t>
      </w:r>
      <w:r>
        <w:rPr>
          <w:rFonts w:hint="eastAsia"/>
        </w:rPr>
        <w:t xml:space="preserve">页面版面及证据块解析</w:t>
      </w:r>
    </w:p>
    <w:p>
      <w:pPr>
        <w:pStyle w:val="FirstParagraph"/>
      </w:pPr>
      <w:r>
        <w:rPr>
          <w:rFonts w:hint="eastAsia"/>
        </w:rPr>
        <w:t xml:space="preserve">原生文本或OCR完成后，系统将页面拆分为证据块。</w:t>
      </w:r>
    </w:p>
    <w:p>
      <w:pPr>
        <w:pStyle w:val="BodyText"/>
      </w:pPr>
      <w:r>
        <w:rPr>
          <w:rFonts w:hint="eastAsia"/>
        </w:rPr>
        <w:t xml:space="preserve">证据块类型包括：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合同标题；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普通正文；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条款标题；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条款正文；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列表；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设备表格；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报价表格；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付款计划；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进度计划；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页眉页脚；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签章区域；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图片说明。</w:t>
      </w:r>
    </w:p>
    <w:p>
      <w:pPr>
        <w:pStyle w:val="FirstParagraph"/>
      </w:pPr>
      <w:r>
        <w:rPr>
          <w:rFonts w:hint="eastAsia"/>
        </w:rPr>
        <w:t xml:space="preserve">证据块示例：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"evidence_id"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"EV2026000126"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"project_code"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"PRJ20260001"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"contract_direction"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"前向"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"file_name"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"前向合同.pdf"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"pdf_page"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"block_type"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"clause"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"clause_number"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"7.3"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"clause_title"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"设备到货"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"乙方应在收到甲方通知后30个自然日内完成设备到货。"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"bbox"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82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164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235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"extract_method"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"OCR"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"ocr_confidence"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0.96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其中：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PDF页码从1开始；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页面坐标用于原文高亮；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证据编号用于关联结构化字段及风险结果。</w:t>
      </w:r>
    </w:p>
    <w:p>
      <w:r>
        <w:pict>
          <v:rect style="width:0;height:1.5pt" o:hralign="center" o:hrstd="t" o:hr="t"/>
        </w:pict>
      </w:r>
    </w:p>
    <w:bookmarkEnd w:id="50"/>
    <w:bookmarkStart w:id="51" w:name="合同条款切分"/>
    <w:p>
      <w:pPr>
        <w:pStyle w:val="Heading2"/>
      </w:pPr>
      <w:r>
        <w:t xml:space="preserve">9. </w:t>
      </w:r>
      <w:r>
        <w:rPr>
          <w:rFonts w:hint="eastAsia"/>
        </w:rPr>
        <w:t xml:space="preserve">合同条款切分</w:t>
      </w:r>
    </w:p>
    <w:p>
      <w:pPr>
        <w:pStyle w:val="FirstParagraph"/>
      </w:pPr>
      <w:r>
        <w:rPr>
          <w:rFonts w:hint="eastAsia"/>
        </w:rPr>
        <w:t xml:space="preserve">系统根据编号、标题、字号、缩进及段落结构建立合同条款树。</w:t>
      </w:r>
    </w:p>
    <w:p>
      <w:pPr>
        <w:pStyle w:val="BodyText"/>
      </w:pPr>
      <w:r>
        <w:rPr>
          <w:rFonts w:hint="eastAsia"/>
        </w:rPr>
        <w:t xml:space="preserve">支持识别：</w:t>
      </w:r>
    </w:p>
    <w:p>
      <w:pPr>
        <w:pStyle w:val="SourceCode"/>
      </w:pPr>
      <w:r>
        <w:rPr>
          <w:rStyle w:val="VerbatimChar"/>
          <w:rFonts w:hint="eastAsia"/>
        </w:rPr>
        <w:t xml:space="preserve">第一条</w:t>
      </w:r>
      <w:r>
        <w:br/>
      </w:r>
      <w:r>
        <w:rPr>
          <w:rStyle w:val="VerbatimChar"/>
          <w:rFonts w:hint="eastAsia"/>
        </w:rPr>
        <w:t xml:space="preserve">一、</w:t>
      </w:r>
      <w:r>
        <w:br/>
      </w:r>
      <w:r>
        <w:rPr>
          <w:rStyle w:val="VerbatimChar"/>
          <w:rFonts w:hint="eastAsia"/>
        </w:rPr>
        <w:t xml:space="preserve">（一）</w:t>
      </w:r>
      <w:r>
        <w:br/>
      </w:r>
      <w:r>
        <w:rPr>
          <w:rStyle w:val="VerbatimChar"/>
        </w:rPr>
        <w:t xml:space="preserve">1.</w:t>
      </w:r>
      <w:r>
        <w:br/>
      </w:r>
      <w:r>
        <w:rPr>
          <w:rStyle w:val="VerbatimChar"/>
        </w:rPr>
        <w:t xml:space="preserve">1.1</w:t>
      </w:r>
      <w:r>
        <w:br/>
      </w:r>
      <w:r>
        <w:rPr>
          <w:rStyle w:val="VerbatimChar"/>
        </w:rPr>
        <w:t xml:space="preserve">1.1.1</w:t>
      </w:r>
      <w:r>
        <w:br/>
      </w:r>
      <w:r>
        <w:rPr>
          <w:rStyle w:val="VerbatimChar"/>
          <w:rFonts w:hint="eastAsia"/>
        </w:rPr>
        <w:t xml:space="preserve">第（一）项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  <w:rFonts w:hint="eastAsia"/>
        </w:rPr>
        <w:t xml:space="preserve">第五条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项目实施</w:t>
      </w:r>
      <w:r>
        <w:br/>
      </w:r>
      <w:r>
        <w:rPr>
          <w:rStyle w:val="VerbatimChar"/>
        </w:rPr>
        <w:t xml:space="preserve">├─ 5.1 </w:t>
      </w:r>
      <w:r>
        <w:rPr>
          <w:rStyle w:val="VerbatimChar"/>
          <w:rFonts w:hint="eastAsia"/>
        </w:rPr>
        <w:t xml:space="preserve">项目开工</w:t>
      </w:r>
      <w:r>
        <w:br/>
      </w:r>
      <w:r>
        <w:rPr>
          <w:rStyle w:val="VerbatimChar"/>
        </w:rPr>
        <w:t xml:space="preserve">├─ 5.2 </w:t>
      </w:r>
      <w:r>
        <w:rPr>
          <w:rStyle w:val="VerbatimChar"/>
          <w:rFonts w:hint="eastAsia"/>
        </w:rPr>
        <w:t xml:space="preserve">设备到货</w:t>
      </w:r>
      <w:r>
        <w:br/>
      </w:r>
      <w:r>
        <w:rPr>
          <w:rStyle w:val="VerbatimChar"/>
        </w:rPr>
        <w:t xml:space="preserve">├─ 5.3 </w:t>
      </w:r>
      <w:r>
        <w:rPr>
          <w:rStyle w:val="VerbatimChar"/>
          <w:rFonts w:hint="eastAsia"/>
        </w:rPr>
        <w:t xml:space="preserve">安装调试</w:t>
      </w:r>
      <w:r>
        <w:br/>
      </w:r>
      <w:r>
        <w:rPr>
          <w:rStyle w:val="VerbatimChar"/>
        </w:rPr>
        <w:t xml:space="preserve">└─ 5.4 </w:t>
      </w:r>
      <w:r>
        <w:rPr>
          <w:rStyle w:val="VerbatimChar"/>
          <w:rFonts w:hint="eastAsia"/>
        </w:rPr>
        <w:t xml:space="preserve">项目验收</w:t>
      </w:r>
    </w:p>
    <w:p>
      <w:pPr>
        <w:pStyle w:val="FirstParagraph"/>
      </w:pPr>
      <w:r>
        <w:rPr>
          <w:rFonts w:hint="eastAsia"/>
        </w:rPr>
        <w:t xml:space="preserve">合同没有标准编号时，可结合字体加粗、字号变化、缩进、段落间距和语义进行辅助切分。</w:t>
      </w:r>
    </w:p>
    <w:p>
      <w:pPr>
        <w:pStyle w:val="BodyText"/>
      </w:pPr>
      <w:r>
        <w:rPr>
          <w:rFonts w:hint="eastAsia"/>
        </w:rPr>
        <w:t xml:space="preserve">同一条款跨页时，应合并为一个逻辑条款，同时保留每一段的原始页码和坐标。</w:t>
      </w:r>
    </w:p>
    <w:p>
      <w:r>
        <w:pict>
          <v:rect style="width:0;height:1.5pt" o:hralign="center" o:hrstd="t" o:hr="t"/>
        </w:pict>
      </w:r>
    </w:p>
    <w:bookmarkEnd w:id="51"/>
    <w:bookmarkStart w:id="52" w:name="表格结构恢复"/>
    <w:p>
      <w:pPr>
        <w:pStyle w:val="Heading2"/>
      </w:pPr>
      <w:r>
        <w:t xml:space="preserve">10. </w:t>
      </w:r>
      <w:r>
        <w:rPr>
          <w:rFonts w:hint="eastAsia"/>
        </w:rPr>
        <w:t xml:space="preserve">表格结构恢复</w:t>
      </w:r>
    </w:p>
    <w:p>
      <w:pPr>
        <w:pStyle w:val="FirstParagraph"/>
      </w:pPr>
      <w:r>
        <w:rPr>
          <w:rFonts w:hint="eastAsia"/>
        </w:rPr>
        <w:t xml:space="preserve">系统重点识别：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设备材料清单；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软件授权清单；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工程量清单；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服务内容表；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报价表；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付款计划；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项目进度表；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验收指标表。</w:t>
      </w:r>
    </w:p>
    <w:p>
      <w:pPr>
        <w:pStyle w:val="FirstParagraph"/>
      </w:pPr>
      <w:r>
        <w:rPr>
          <w:rFonts w:hint="eastAsia"/>
        </w:rPr>
        <w:t xml:space="preserve">每张表格保留：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表格名称；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合同方向；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起始和结束页码；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表头；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行列关系；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合并单元格；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单元格原文；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单元格坐标；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OCR置信度。</w:t>
      </w:r>
    </w:p>
    <w:p>
      <w:pPr>
        <w:pStyle w:val="FirstParagraph"/>
      </w:pP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"table_type"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"equipment_list"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"contract_direction"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"前向"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"start_page"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"end_page"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"序号"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"设备名称"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"品牌"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"型号"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"单位"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"数量"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"技术要求"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"rows"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"设备名称"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"核心交换机"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"品牌"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"华为"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"型号"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"S6730"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"单位"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"台"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"数量"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"技术要求"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"不少于48个万兆端口"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跨页表格根据重复表头、序号连续性和列位置进行拼接。</w:t>
      </w:r>
    </w:p>
    <w:p>
      <w:r>
        <w:pict>
          <v:rect style="width:0;height:1.5pt" o:hralign="center" o:hrstd="t" o:hr="t"/>
        </w:pict>
      </w:r>
    </w:p>
    <w:bookmarkEnd w:id="52"/>
    <w:bookmarkStart w:id="53" w:name="原文证据生成"/>
    <w:p>
      <w:pPr>
        <w:pStyle w:val="Heading2"/>
      </w:pPr>
      <w:r>
        <w:t xml:space="preserve">11. </w:t>
      </w:r>
      <w:r>
        <w:rPr>
          <w:rFonts w:hint="eastAsia"/>
        </w:rPr>
        <w:t xml:space="preserve">原文证据生成</w:t>
      </w:r>
    </w:p>
    <w:p>
      <w:pPr>
        <w:pStyle w:val="FirstParagraph"/>
      </w:pPr>
      <w:r>
        <w:rPr>
          <w:rFonts w:hint="eastAsia"/>
        </w:rPr>
        <w:t xml:space="preserve">所有非空结构化字段必须有关联证据。</w:t>
      </w:r>
    </w:p>
    <w:p>
      <w:pPr>
        <w:pStyle w:val="BodyText"/>
      </w:pPr>
      <w:r>
        <w:rPr>
          <w:rFonts w:hint="eastAsia"/>
        </w:rPr>
        <w:t xml:space="preserve">证据通常包括：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命中句；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前一句；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后一句；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条款标题；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表格名称或表头。</w:t>
      </w:r>
    </w:p>
    <w:p>
      <w:pPr>
        <w:pStyle w:val="FirstParagraph"/>
      </w:pPr>
      <w:r>
        <w:rPr>
          <w:rFonts w:hint="eastAsia"/>
        </w:rPr>
        <w:t xml:space="preserve">例如提取“工期120个日历日”时，应同时保留：</w:t>
      </w:r>
    </w:p>
    <w:p>
      <w:pPr>
        <w:pStyle w:val="SourceCode"/>
      </w:pPr>
      <w:r>
        <w:rPr>
          <w:rStyle w:val="VerbatimChar"/>
          <w:rFonts w:hint="eastAsia"/>
        </w:rPr>
        <w:t xml:space="preserve">第6.2条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项目工期：</w:t>
      </w:r>
      <w:r>
        <w:br/>
      </w:r>
      <w:r>
        <w:rPr>
          <w:rStyle w:val="VerbatimChar"/>
          <w:rFonts w:hint="eastAsia"/>
        </w:rPr>
        <w:t xml:space="preserve">本项目以甲方正式下达的开工令为起点。</w:t>
      </w:r>
      <w:r>
        <w:br/>
      </w:r>
      <w:r>
        <w:rPr>
          <w:rStyle w:val="VerbatimChar"/>
          <w:rFonts w:hint="eastAsia"/>
        </w:rPr>
        <w:t xml:space="preserve">乙方应自收到开工令之日起120个日历日内完成全部建设及调试工作。</w:t>
      </w:r>
      <w:r>
        <w:br/>
      </w:r>
      <w:r>
        <w:rPr>
          <w:rStyle w:val="VerbatimChar"/>
          <w:rFonts w:hint="eastAsia"/>
        </w:rPr>
        <w:t xml:space="preserve">因甲方原因导致现场不具备施工条件的，工期相应顺延。</w:t>
      </w:r>
    </w:p>
    <w:p>
      <w:pPr>
        <w:pStyle w:val="FirstParagraph"/>
      </w:pPr>
      <w:r>
        <w:rPr>
          <w:rFonts w:hint="eastAsia"/>
        </w:rPr>
        <w:t xml:space="preserve">这样可以避免只提取工期数值而遗漏起算条件和顺延条件。</w:t>
      </w:r>
    </w:p>
    <w:p>
      <w:pPr>
        <w:pStyle w:val="BodyText"/>
      </w:pPr>
      <w:r>
        <w:rPr>
          <w:rFonts w:hint="eastAsia"/>
        </w:rPr>
        <w:t xml:space="preserve">字段证据记录至少包含：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项目编码；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合同方向；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字段名称；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提取值；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来源文件；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PDF页码；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条款编号或表格名称；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原文证据；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提取方式；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OCR置信度；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字段置信度；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冲突说明；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是否需人工复核。</w:t>
      </w:r>
    </w:p>
    <w:p>
      <w:r>
        <w:pict>
          <v:rect style="width:0;height:1.5pt" o:hralign="center" o:hrstd="t" o:hr="t"/>
        </w:pict>
      </w:r>
    </w:p>
    <w:bookmarkEnd w:id="53"/>
    <w:bookmarkStart w:id="54" w:name="第一层人工复核"/>
    <w:p>
      <w:pPr>
        <w:pStyle w:val="Heading2"/>
      </w:pPr>
      <w:r>
        <w:t xml:space="preserve">12. </w:t>
      </w:r>
      <w:r>
        <w:rPr>
          <w:rFonts w:hint="eastAsia"/>
        </w:rPr>
        <w:t xml:space="preserve">第一层人工复核</w:t>
      </w:r>
    </w:p>
    <w:p>
      <w:pPr>
        <w:pStyle w:val="FirstParagraph"/>
      </w:pPr>
      <w:r>
        <w:rPr>
          <w:rFonts w:hint="eastAsia"/>
        </w:rPr>
        <w:t xml:space="preserve">以下情况进入人工复核：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PDF缺页、损坏或加密；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OCR关键页面置信度低；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文件实际内容与合同方向疑似不符；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合同中引用附件但附件未合并；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表格跨页无法恢复；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关键数字存在多个OCR结果；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工期、交货期或验收期限存在冲突；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识别到手写修改；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印章遮挡关键条款；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页面存在裁切；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PDF中疑似混入其他项目合同。</w:t>
      </w:r>
    </w:p>
    <w:p>
      <w:r>
        <w:pict>
          <v:rect style="width:0;height:1.5pt" o:hralign="center" o:hrstd="t" o:hr="t"/>
        </w:pict>
      </w:r>
    </w:p>
    <w:bookmarkEnd w:id="54"/>
    <w:bookmarkStart w:id="55" w:name="第一层输出"/>
    <w:p>
      <w:pPr>
        <w:pStyle w:val="Heading2"/>
      </w:pPr>
      <w:r>
        <w:t xml:space="preserve">13. </w:t>
      </w:r>
      <w:r>
        <w:rPr>
          <w:rFonts w:hint="eastAsia"/>
        </w:rPr>
        <w:t xml:space="preserve">第一层输出</w:t>
      </w:r>
    </w:p>
    <w:p>
      <w:pPr>
        <w:pStyle w:val="FirstParagraph"/>
      </w:pPr>
      <w:r>
        <w:rPr>
          <w:rFonts w:hint="eastAsia"/>
        </w:rPr>
        <w:t xml:space="preserve">第一层向第二层输出：</w:t>
      </w:r>
    </w:p>
    <w:p>
      <w:pPr>
        <w:pStyle w:val="SourceCode"/>
      </w:pPr>
      <w:r>
        <w:rPr>
          <w:rStyle w:val="VerbatimChar"/>
        </w:rPr>
        <w:t xml:space="preserve">project_file</w:t>
      </w:r>
      <w:r>
        <w:br/>
      </w:r>
      <w:r>
        <w:rPr>
          <w:rStyle w:val="VerbatimChar"/>
        </w:rPr>
        <w:t xml:space="preserve">document_page</w:t>
      </w:r>
      <w:r>
        <w:br/>
      </w:r>
      <w:r>
        <w:rPr>
          <w:rStyle w:val="VerbatimChar"/>
        </w:rPr>
        <w:t xml:space="preserve">document_block</w:t>
      </w:r>
      <w:r>
        <w:br/>
      </w:r>
      <w:r>
        <w:rPr>
          <w:rStyle w:val="VerbatimChar"/>
        </w:rPr>
        <w:t xml:space="preserve">contract_clause</w:t>
      </w:r>
      <w:r>
        <w:br/>
      </w:r>
      <w:r>
        <w:rPr>
          <w:rStyle w:val="VerbatimChar"/>
        </w:rPr>
        <w:t xml:space="preserve">contract_table</w:t>
      </w:r>
      <w:r>
        <w:br/>
      </w:r>
      <w:r>
        <w:rPr>
          <w:rStyle w:val="VerbatimChar"/>
        </w:rPr>
        <w:t xml:space="preserve">contract_table_cell</w:t>
      </w:r>
      <w:r>
        <w:br/>
      </w:r>
      <w:r>
        <w:rPr>
          <w:rStyle w:val="VerbatimChar"/>
        </w:rPr>
        <w:t xml:space="preserve">contract_evidence</w:t>
      </w:r>
      <w:r>
        <w:br/>
      </w:r>
      <w:r>
        <w:rPr>
          <w:rStyle w:val="VerbatimChar"/>
        </w:rPr>
        <w:t xml:space="preserve">document_parse_task</w:t>
      </w:r>
      <w:r>
        <w:br/>
      </w:r>
      <w:r>
        <w:rPr>
          <w:rStyle w:val="VerbatimChar"/>
        </w:rPr>
        <w:t xml:space="preserve">document_review_issue</w:t>
      </w:r>
    </w:p>
    <w:p>
      <w:pPr>
        <w:pStyle w:val="FirstParagraph"/>
      </w:pPr>
      <w:r>
        <w:rPr>
          <w:rFonts w:hint="eastAsia"/>
        </w:rPr>
        <w:t xml:space="preserve">同时可生成文件化结果：</w:t>
      </w:r>
    </w:p>
    <w:p>
      <w:pPr>
        <w:pStyle w:val="SourceCode"/>
      </w:pPr>
      <w:r>
        <w:rPr>
          <w:rStyle w:val="VerbatimChar"/>
          <w:rFonts w:hint="eastAsia"/>
        </w:rPr>
        <w:t xml:space="preserve">系统处理结果/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项目解析汇总.xlsx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字段证据.xlsx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待人工复核.xlsx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运行日志.txt</w:t>
      </w:r>
      <w:r>
        <w:br/>
      </w:r>
      <w:r>
        <w:rPr>
          <w:rStyle w:val="VerbatimChar"/>
        </w:rPr>
        <w:t xml:space="preserve">└─ </w:t>
      </w:r>
      <w:r>
        <w:rPr>
          <w:rStyle w:val="VerbatimChar"/>
          <w:rFonts w:hint="eastAsia"/>
        </w:rPr>
        <w:t xml:space="preserve">项目明细/</w:t>
      </w:r>
      <w:r>
        <w:br/>
      </w:r>
      <w:r>
        <w:rPr>
          <w:rStyle w:val="VerbatimChar"/>
        </w:rPr>
        <w:t xml:space="preserve">   └─ </w:t>
      </w:r>
      <w:r>
        <w:rPr>
          <w:rStyle w:val="VerbatimChar"/>
          <w:rFonts w:hint="eastAsia"/>
        </w:rPr>
        <w:t xml:space="preserve">项目编码/</w:t>
      </w:r>
      <w:r>
        <w:br/>
      </w:r>
      <w:r>
        <w:rPr>
          <w:rStyle w:val="VerbatimChar"/>
        </w:rPr>
        <w:t xml:space="preserve">      ├─ </w:t>
      </w:r>
      <w:r>
        <w:rPr>
          <w:rStyle w:val="VerbatimChar"/>
          <w:rFonts w:hint="eastAsia"/>
        </w:rPr>
        <w:t xml:space="preserve">前向合同解析结果.json</w:t>
      </w:r>
      <w:r>
        <w:br/>
      </w:r>
      <w:r>
        <w:rPr>
          <w:rStyle w:val="VerbatimChar"/>
        </w:rPr>
        <w:t xml:space="preserve">      └─ </w:t>
      </w:r>
      <w:r>
        <w:rPr>
          <w:rStyle w:val="VerbatimChar"/>
          <w:rFonts w:hint="eastAsia"/>
        </w:rPr>
        <w:t xml:space="preserve">后向合同解析结果.json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80" w:name="四第二层合同内容结构化与标准化层"/>
    <w:p>
      <w:pPr>
        <w:pStyle w:val="Heading1"/>
      </w:pPr>
      <w:r>
        <w:rPr>
          <w:rFonts w:hint="eastAsia"/>
        </w:rPr>
        <w:t xml:space="preserve">四、第二层：合同内容结构化与标准化层</w:t>
      </w:r>
    </w:p>
    <w:bookmarkStart w:id="57" w:name="本层目标-1"/>
    <w:p>
      <w:pPr>
        <w:pStyle w:val="Heading2"/>
      </w:pPr>
      <w:r>
        <w:t xml:space="preserve">1. </w:t>
      </w:r>
      <w:r>
        <w:rPr>
          <w:rFonts w:hint="eastAsia"/>
        </w:rPr>
        <w:t xml:space="preserve">本层目标</w:t>
      </w:r>
    </w:p>
    <w:p>
      <w:pPr>
        <w:pStyle w:val="FirstParagraph"/>
      </w:pPr>
      <w:r>
        <w:rPr>
          <w:rFonts w:hint="eastAsia"/>
        </w:rPr>
        <w:t xml:space="preserve">第二层将第一层形成的条款、表格和证据块转换为程序可以直接比较的结构化数据。</w:t>
      </w:r>
    </w:p>
    <w:p>
      <w:pPr>
        <w:pStyle w:val="BodyText"/>
      </w:pPr>
      <w:r>
        <w:t>当前版本的确定性结构化引擎负责：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合同自然语言理解；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字段提取；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内容分类；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同义表达归一；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起算条件识别；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实施内容映射；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责任主体识别；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原文证据关联。</w:t>
      </w:r>
    </w:p>
    <w:p>
      <w:pPr>
        <w:pStyle w:val="FirstParagraph"/>
      </w:pPr>
      <w:r>
        <w:t>结构化引擎仅提取和标准化；是否满足前向要求由第三层程序规则判断。</w:t>
      </w:r>
    </w:p>
    <w:p>
      <w:r>
        <w:pict>
          <v:rect style="width:0;height:1.5pt" o:hralign="center" o:hrstd="t" o:hr="t"/>
        </w:pict>
      </w:r>
    </w:p>
    <w:bookmarkEnd w:id="57"/>
    <w:bookmarkStart w:id="58" w:name="提取原则"/>
    <w:p>
      <w:pPr>
        <w:pStyle w:val="Heading2"/>
      </w:pPr>
      <w:r>
        <w:t xml:space="preserve">2. </w:t>
      </w:r>
      <w:r>
        <w:rPr>
          <w:rFonts w:hint="eastAsia"/>
        </w:rPr>
        <w:t xml:space="preserve">提取原则</w:t>
      </w:r>
    </w:p>
    <w:p>
      <w:pPr>
        <w:pStyle w:val="FirstParagraph"/>
      </w:pPr>
      <w:r>
        <w:rPr>
          <w:rFonts w:hint="eastAsia"/>
        </w:rPr>
        <w:t xml:space="preserve">系统必须遵守：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只提取合同明确约定的内容；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未明确的字段保持为空；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不根据行业经验补全；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不将付款节点推断为到货或验收节点；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不将“计划、预计、建议”自动视为刚性期限；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所有非空字段必须关联原文证据；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不确定时进入人工复核，不强行输出结论。</w:t>
      </w:r>
    </w:p>
    <w:p>
      <w:r>
        <w:pict>
          <v:rect style="width:0;height:1.5pt" o:hralign="center" o:hrstd="t" o:hr="t"/>
        </w:pict>
      </w:r>
    </w:p>
    <w:bookmarkEnd w:id="58"/>
    <w:bookmarkStart w:id="59" w:name="分任务提取"/>
    <w:p>
      <w:pPr>
        <w:pStyle w:val="Heading2"/>
      </w:pPr>
      <w:r>
        <w:t xml:space="preserve">3. </w:t>
      </w:r>
      <w:r>
        <w:rPr>
          <w:rFonts w:hint="eastAsia"/>
        </w:rPr>
        <w:t xml:space="preserve">分任务提取</w:t>
      </w:r>
    </w:p>
    <w:p>
      <w:pPr>
        <w:pStyle w:val="FirstParagraph"/>
      </w:pPr>
      <w:r>
        <w:t>结构化任务按字段和证据类型拆分执行，不允许单次综合输出替代可追溯的字段提取。</w:t>
      </w:r>
    </w:p>
    <w:p>
      <w:pPr>
        <w:pStyle w:val="BodyText"/>
      </w:pPr>
      <w:r>
        <w:rPr>
          <w:rFonts w:hint="eastAsia"/>
        </w:rPr>
        <w:t xml:space="preserve">应拆分为：</w:t>
      </w:r>
    </w:p>
    <w:p>
      <w:pPr>
        <w:pStyle w:val="SourceCode"/>
      </w:pPr>
      <w:r>
        <w:t>任务一：合同基本信息提取</w:t>
        <w:br/>
        <w:t>任务二：合同性质判定</w:t>
        <w:br/>
        <w:t>任务三：采购设备、服务对象及现场备件清单提取</w:t>
        <w:br/>
        <w:t>任务四：工期、服务期及时间节点提取</w:t>
        <w:br/>
        <w:t>任务五：收入/收款计划期间提取</w:t>
        <w:br/>
        <w:t>任务六：实施内容及责任提取</w:t>
        <w:br/>
        <w:t>任务七：验收、质保和违约条款提取</w:t>
      </w:r>
    </w:p>
    <w:p>
      <w:pPr>
        <w:pStyle w:val="FirstParagraph"/>
      </w:pPr>
      <w:r>
        <w:rPr>
          <w:rFonts w:hint="eastAsia"/>
        </w:rPr>
        <w:t xml:space="preserve">前向合同和后向合同分别提取，使用相同字段结构。</w:t>
      </w:r>
    </w:p>
    <w:p>
      <w:r>
        <w:pict>
          <v:rect style="width:0;height:1.5pt" o:hralign="center" o:hrstd="t" o:hr="t"/>
        </w:pict>
      </w:r>
    </w:p>
    <w:bookmarkEnd w:id="59"/>
    <w:bookmarkStart w:id="60" w:name="合同基本信息"/>
    <w:p>
      <w:pPr>
        <w:pStyle w:val="Heading2"/>
      </w:pPr>
      <w:r>
        <w:t xml:space="preserve">4. </w:t>
      </w:r>
      <w:r>
        <w:rPr>
          <w:rFonts w:hint="eastAsia"/>
        </w:rPr>
        <w:t xml:space="preserve">合同基本信息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"project_code"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"PRJ20260001"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"contract_direction"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"前向"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"contract_number"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"contract_name"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"party_a"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"party_b"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"sign_date"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"effective_date"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"evidence_ids"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金额统一转换为人民币元，日期统一转换为</w:t>
      </w:r>
      <w:r>
        <w:rPr>
          <w:rStyle w:val="VerbatimChar"/>
        </w:rPr>
        <w:t xml:space="preserve">YYYY-MM-DD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原始金额和日期表达仍需保留。</w:t>
      </w:r>
    </w:p>
    <w:p>
      <w:r>
        <w:pict>
          <v:rect style="width:0;height:1.5pt" o:hralign="center" o:hrstd="t" o:hr="t"/>
        </w:pict>
      </w:r>
    </w:p>
    <w:bookmarkEnd w:id="60"/>
    <w:bookmarkStart w:id="63" w:name="合同性质判定"/>
    <w:p>
      <w:pPr>
        <w:pStyle w:val="Heading2"/>
      </w:pPr>
      <w:r>
        <w:t xml:space="preserve">5. </w:t>
      </w:r>
      <w:r>
        <w:rPr>
          <w:rFonts w:hint="eastAsia"/>
        </w:rPr>
        <w:t xml:space="preserve">合同性质判定</w:t>
      </w:r>
    </w:p>
    <w:p>
      <w:pPr>
        <w:pStyle w:val="FirstParagraph"/>
      </w:pPr>
      <w:r>
        <w:rPr>
          <w:rFonts w:hint="eastAsia"/>
        </w:rPr>
        <w:t xml:space="preserve">合同性质统一为：</w:t>
      </w:r>
    </w:p>
    <w:p>
      <w:pPr>
        <w:pStyle w:val="SourceCode"/>
      </w:pPr>
      <w:r>
        <w:rPr>
          <w:rStyle w:val="VerbatimChar"/>
          <w:rFonts w:hint="eastAsia"/>
        </w:rPr>
        <w:t xml:space="preserve">运维类</w:t>
      </w:r>
      <w:r>
        <w:br/>
      </w:r>
      <w:r>
        <w:rPr>
          <w:rStyle w:val="VerbatimChar"/>
          <w:rFonts w:hint="eastAsia"/>
        </w:rPr>
        <w:t xml:space="preserve">集成实施类</w:t>
      </w:r>
      <w:r>
        <w:br/>
      </w:r>
      <w:r>
        <w:rPr>
          <w:rStyle w:val="VerbatimChar"/>
          <w:rFonts w:hint="eastAsia"/>
        </w:rPr>
        <w:t xml:space="preserve">无法确定</w:t>
      </w:r>
    </w:p>
    <w:bookmarkStart w:id="61" w:name="运维类"/>
    <w:p>
      <w:pPr>
        <w:pStyle w:val="Heading3"/>
      </w:pPr>
      <w:r>
        <w:rPr>
          <w:rFonts w:hint="eastAsia"/>
        </w:rPr>
        <w:t xml:space="preserve">运维类</w:t>
      </w:r>
    </w:p>
    <w:p>
      <w:pPr>
        <w:pStyle w:val="FirstParagraph"/>
      </w:pPr>
      <w:r>
        <w:rPr>
          <w:rFonts w:hint="eastAsia"/>
        </w:rPr>
        <w:t xml:space="preserve">主要义务为：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运维；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维护；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巡检；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驻场；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故障处理；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抢修；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技术支持；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持续性运行保障。</w:t>
      </w:r>
    </w:p>
    <w:bookmarkEnd w:id="61"/>
    <w:bookmarkStart w:id="62" w:name="集成实施类"/>
    <w:p>
      <w:pPr>
        <w:pStyle w:val="Heading3"/>
      </w:pPr>
      <w:r>
        <w:rPr>
          <w:rFonts w:hint="eastAsia"/>
        </w:rPr>
        <w:t xml:space="preserve">集成实施类</w:t>
      </w:r>
    </w:p>
    <w:p>
      <w:pPr>
        <w:pStyle w:val="FirstParagraph"/>
      </w:pPr>
      <w:r>
        <w:rPr>
          <w:rFonts w:hint="eastAsia"/>
        </w:rPr>
        <w:t xml:space="preserve">主要形成新的交付成果，包括：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设备供货；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安装；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部署；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调试；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系统集成；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软件实施；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数据治理；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工程施工；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上线及验收。</w:t>
      </w:r>
    </w:p>
    <w:p>
      <w:pPr>
        <w:pStyle w:val="FirstParagraph"/>
      </w:pPr>
      <w:r>
        <w:t>运维类仍提取明确服务期、维保/服务对象和现场备件，并执行资源覆盖及收入收款计划复核；不执行建设工期和实施责任差异规则。</w:t>
      </w:r>
    </w:p>
    <w:p>
      <w:pPr>
        <w:pStyle w:val="BodyText"/>
      </w:pPr>
      <w:r>
        <w:rPr>
          <w:rFonts w:hint="eastAsia"/>
        </w:rPr>
        <w:t xml:space="preserve">无法可靠判断时进入人工复核。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5" w:name="设备材料清单结构化"/>
    <w:p>
      <w:pPr>
        <w:pStyle w:val="Heading2"/>
      </w:pPr>
      <w:r>
        <w:t>6. 设备、材料、服务对象及备件清单结构化</w:t>
      </w:r>
    </w:p>
    <w:p>
      <w:pPr>
        <w:pStyle w:val="FirstParagraph"/>
      </w:pPr>
      <w:r>
        <w:t>每项采购交付物、维保/服务对象或现场备件统一转换为：</w:t>
      </w:r>
    </w:p>
    <w:p>
      <w:pPr>
        <w:pStyle w:val="SourceCode"/>
      </w:pPr>
      <w:r>
        <w:t>{</w:t>
        <w:br/>
        <w:t xml:space="preserve">  "list_type": "采购交付清单",</w:t>
        <w:br/>
        <w:t xml:space="preserve">  "category": "网络设备",</w:t>
        <w:br/>
        <w:t xml:space="preserve">  "standard_name": "核心交换机",</w:t>
        <w:br/>
        <w:t xml:space="preserve">  "original_name": "万兆数据中心核心交换设备",</w:t>
        <w:br/>
        <w:t xml:space="preserve">  "brand": "华为",</w:t>
        <w:br/>
        <w:t xml:space="preserve">  "model": "S6730",</w:t>
        <w:br/>
        <w:t xml:space="preserve">  "unit": "台",</w:t>
        <w:br/>
        <w:t xml:space="preserve">  "quantity": 2,</w:t>
        <w:br/>
        <w:t xml:space="preserve">  "technical_parameters": {</w:t>
        <w:br/>
        <w:t xml:space="preserve">    "port_count": 48,</w:t>
        <w:br/>
        <w:t xml:space="preserve">    "port_rate": "10G"</w:t>
        <w:br/>
        <w:t xml:space="preserve">  },</w:t>
        <w:br/>
        <w:t xml:space="preserve">  "contract_direction": "前向",</w:t>
        <w:br/>
        <w:t xml:space="preserve">  "evidence_id": "EV000126",</w:t>
        <w:br/>
        <w:t xml:space="preserve">  "confidence": 0.96</w:t>
        <w:br/>
        <w:t>}</w:t>
      </w:r>
    </w:p>
    <w:bookmarkStart w:id="64" w:name="标准化顺序"/>
    <w:p>
      <w:pPr>
        <w:pStyle w:val="Heading3"/>
      </w:pPr>
      <w:r>
        <w:rPr>
          <w:rFonts w:hint="eastAsia"/>
        </w:rPr>
        <w:t xml:space="preserve">标准化顺序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标准词典精确匹配；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品牌型号库匹配；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关键词规则匹配；</w:t>
      </w:r>
    </w:p>
    <w:p>
      <w:pPr>
        <w:pStyle w:val="Compact"/>
        <w:numPr>
          <w:ilvl w:val="0"/>
          <w:numId w:val="1038"/>
        </w:numPr>
      </w:pPr>
      <w:r>
        <w:t>可选大模型语义映射（当前版本关闭）；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人工复核。</w:t>
      </w:r>
    </w:p>
    <w:p>
      <w:pPr>
        <w:pStyle w:val="FirstParagraph"/>
      </w:pPr>
      <w:r>
        <w:rPr>
          <w:rFonts w:hint="eastAsia"/>
        </w:rPr>
        <w:t xml:space="preserve">人工确认的映射进入标准名称库，后续优先通过程序直接匹配。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工期及时间节点结构化"/>
    <w:p>
      <w:pPr>
        <w:pStyle w:val="Heading2"/>
      </w:pPr>
      <w:r>
        <w:t xml:space="preserve">7. </w:t>
      </w:r>
      <w:r>
        <w:rPr>
          <w:rFonts w:hint="eastAsia"/>
        </w:rPr>
        <w:t xml:space="preserve">工期及时间节点结构化</w:t>
      </w:r>
    </w:p>
    <w:p>
      <w:pPr>
        <w:pStyle w:val="FirstParagraph"/>
      </w:pPr>
      <w:r>
        <w:rPr>
          <w:rFonts w:hint="eastAsia"/>
        </w:rPr>
        <w:t xml:space="preserve">工期统一结构为：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"duration_value"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"duration_unit"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"自然日"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"start_condition_type"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"收到开工令"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"start_condition_text"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"自收到甲方开工令之日起"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"start_date"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"completion_node"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"项目完工"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"fixed_deadline"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"evidence_id"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"EV000238"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起算条件统一映射为：</w:t>
      </w:r>
    </w:p>
    <w:p>
      <w:pPr>
        <w:pStyle w:val="SourceCode"/>
      </w:pPr>
      <w:r>
        <w:rPr>
          <w:rStyle w:val="VerbatimChar"/>
          <w:rFonts w:hint="eastAsia"/>
        </w:rPr>
        <w:t xml:space="preserve">合同签订</w:t>
      </w:r>
      <w:r>
        <w:br/>
      </w:r>
      <w:r>
        <w:rPr>
          <w:rStyle w:val="VerbatimChar"/>
          <w:rFonts w:hint="eastAsia"/>
        </w:rPr>
        <w:t xml:space="preserve">合同生效</w:t>
      </w:r>
      <w:r>
        <w:br/>
      </w:r>
      <w:r>
        <w:rPr>
          <w:rStyle w:val="VerbatimChar"/>
          <w:rFonts w:hint="eastAsia"/>
        </w:rPr>
        <w:t xml:space="preserve">合同归档</w:t>
      </w:r>
      <w:r>
        <w:br/>
      </w:r>
      <w:r>
        <w:rPr>
          <w:rStyle w:val="VerbatimChar"/>
          <w:rFonts w:hint="eastAsia"/>
        </w:rPr>
        <w:t xml:space="preserve">收到订单</w:t>
      </w:r>
      <w:r>
        <w:br/>
      </w:r>
      <w:r>
        <w:rPr>
          <w:rStyle w:val="VerbatimChar"/>
          <w:rFonts w:hint="eastAsia"/>
        </w:rPr>
        <w:t xml:space="preserve">收到开工令</w:t>
      </w:r>
      <w:r>
        <w:br/>
      </w:r>
      <w:r>
        <w:rPr>
          <w:rStyle w:val="VerbatimChar"/>
          <w:rFonts w:hint="eastAsia"/>
        </w:rPr>
        <w:t xml:space="preserve">收到甲方通知</w:t>
      </w:r>
      <w:r>
        <w:br/>
      </w:r>
      <w:r>
        <w:rPr>
          <w:rStyle w:val="VerbatimChar"/>
          <w:rFonts w:hint="eastAsia"/>
        </w:rPr>
        <w:t xml:space="preserve">收到预付款</w:t>
      </w:r>
      <w:r>
        <w:br/>
      </w:r>
      <w:r>
        <w:rPr>
          <w:rStyle w:val="VerbatimChar"/>
          <w:rFonts w:hint="eastAsia"/>
        </w:rPr>
        <w:t xml:space="preserve">现场具备施工条件</w:t>
      </w:r>
      <w:r>
        <w:br/>
      </w:r>
      <w:r>
        <w:rPr>
          <w:rStyle w:val="VerbatimChar"/>
          <w:rFonts w:hint="eastAsia"/>
        </w:rPr>
        <w:t xml:space="preserve">设备进场</w:t>
      </w:r>
      <w:r>
        <w:br/>
      </w:r>
      <w:r>
        <w:rPr>
          <w:rStyle w:val="VerbatimChar"/>
          <w:rFonts w:hint="eastAsia"/>
        </w:rPr>
        <w:t xml:space="preserve">固定日期</w:t>
      </w:r>
      <w:r>
        <w:br/>
      </w:r>
      <w:r>
        <w:rPr>
          <w:rStyle w:val="VerbatimChar"/>
          <w:rFonts w:hint="eastAsia"/>
        </w:rPr>
        <w:t xml:space="preserve">没有明确</w:t>
      </w:r>
      <w:r>
        <w:br/>
      </w:r>
      <w:r>
        <w:rPr>
          <w:rStyle w:val="VerbatimChar"/>
          <w:rFonts w:hint="eastAsia"/>
        </w:rPr>
        <w:t xml:space="preserve">其他</w:t>
      </w:r>
    </w:p>
    <w:p>
      <w:pPr>
        <w:pStyle w:val="FirstParagraph"/>
      </w:pPr>
      <w:r>
        <w:rPr>
          <w:rFonts w:hint="eastAsia"/>
        </w:rPr>
        <w:t xml:space="preserve">同时提取：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开工时间；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到货时间；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安装完成时间；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软件部署完成时间；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调试完成时间；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上线时间；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试运行时间；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初验时间；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终验时间；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整体交付时间；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质保期限；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其他明确节点。</w:t>
      </w:r>
    </w:p>
    <w:p>
      <w:pPr>
        <w:pStyle w:val="FirstParagraph"/>
      </w:pPr>
      <w:r>
        <w:rPr>
          <w:rFonts w:hint="eastAsia"/>
        </w:rPr>
        <w:t xml:space="preserve">绝对日期、相对期限和条件期限分别保存，不强行混为同一种表达。</w:t>
      </w:r>
    </w:p>
    <w:p>
      <w:r>
        <w:pict>
          <v:rect style="width:0;height:1.5pt" o:hralign="center" o:hrstd="t" o:hr="t"/>
        </w:pict>
      </w:r>
    </w:p>
    <w:bookmarkEnd w:id="66"/>
    <w:bookmarkStart w:id="71" w:name="实施内容结构化"/>
    <w:p>
      <w:pPr>
        <w:pStyle w:val="Heading2"/>
      </w:pPr>
      <w:r>
        <w:t xml:space="preserve">8. </w:t>
      </w:r>
      <w:r>
        <w:rPr>
          <w:rFonts w:hint="eastAsia"/>
        </w:rPr>
        <w:t xml:space="preserve">实施内容结构化</w:t>
      </w:r>
    </w:p>
    <w:p>
      <w:pPr>
        <w:pStyle w:val="FirstParagraph"/>
      </w:pPr>
      <w:r>
        <w:rPr>
          <w:rFonts w:hint="eastAsia"/>
        </w:rPr>
        <w:t xml:space="preserve">系统建立标准实施内容库。</w:t>
      </w:r>
    </w:p>
    <w:bookmarkStart w:id="67" w:name="设备实施类"/>
    <w:p>
      <w:pPr>
        <w:pStyle w:val="Heading3"/>
      </w:pPr>
      <w:r>
        <w:rPr>
          <w:rFonts w:hint="eastAsia"/>
        </w:rPr>
        <w:t xml:space="preserve">设备实施类</w:t>
      </w:r>
    </w:p>
    <w:p>
      <w:pPr>
        <w:pStyle w:val="SourceCode"/>
      </w:pPr>
      <w:r>
        <w:rPr>
          <w:rStyle w:val="VerbatimChar"/>
          <w:rFonts w:hint="eastAsia"/>
        </w:rPr>
        <w:t xml:space="preserve">供货</w:t>
      </w:r>
      <w:r>
        <w:br/>
      </w:r>
      <w:r>
        <w:rPr>
          <w:rStyle w:val="VerbatimChar"/>
          <w:rFonts w:hint="eastAsia"/>
        </w:rPr>
        <w:t xml:space="preserve">运输</w:t>
      </w:r>
      <w:r>
        <w:br/>
      </w:r>
      <w:r>
        <w:rPr>
          <w:rStyle w:val="VerbatimChar"/>
          <w:rFonts w:hint="eastAsia"/>
        </w:rPr>
        <w:t xml:space="preserve">卸货</w:t>
      </w:r>
      <w:r>
        <w:br/>
      </w:r>
      <w:r>
        <w:rPr>
          <w:rStyle w:val="VerbatimChar"/>
          <w:rFonts w:hint="eastAsia"/>
        </w:rPr>
        <w:t xml:space="preserve">保管</w:t>
      </w:r>
      <w:r>
        <w:br/>
      </w:r>
      <w:r>
        <w:rPr>
          <w:rStyle w:val="VerbatimChar"/>
          <w:rFonts w:hint="eastAsia"/>
        </w:rPr>
        <w:t xml:space="preserve">上架</w:t>
      </w:r>
      <w:r>
        <w:br/>
      </w:r>
      <w:r>
        <w:rPr>
          <w:rStyle w:val="VerbatimChar"/>
          <w:rFonts w:hint="eastAsia"/>
        </w:rPr>
        <w:t xml:space="preserve">安装</w:t>
      </w:r>
      <w:r>
        <w:br/>
      </w:r>
      <w:r>
        <w:rPr>
          <w:rStyle w:val="VerbatimChar"/>
          <w:rFonts w:hint="eastAsia"/>
        </w:rPr>
        <w:t xml:space="preserve">通电</w:t>
      </w:r>
      <w:r>
        <w:br/>
      </w:r>
      <w:r>
        <w:rPr>
          <w:rStyle w:val="VerbatimChar"/>
          <w:rFonts w:hint="eastAsia"/>
        </w:rPr>
        <w:t xml:space="preserve">设备调试</w:t>
      </w:r>
      <w:r>
        <w:br/>
      </w:r>
      <w:r>
        <w:rPr>
          <w:rStyle w:val="VerbatimChar"/>
          <w:rFonts w:hint="eastAsia"/>
        </w:rPr>
        <w:t xml:space="preserve">系统联调</w:t>
      </w:r>
      <w:r>
        <w:br/>
      </w:r>
      <w:r>
        <w:rPr>
          <w:rStyle w:val="VerbatimChar"/>
          <w:rFonts w:hint="eastAsia"/>
        </w:rPr>
        <w:t xml:space="preserve">旧设备拆除</w:t>
      </w:r>
    </w:p>
    <w:bookmarkEnd w:id="67"/>
    <w:bookmarkStart w:id="68" w:name="工程施工类"/>
    <w:p>
      <w:pPr>
        <w:pStyle w:val="Heading3"/>
      </w:pPr>
      <w:r>
        <w:rPr>
          <w:rFonts w:hint="eastAsia"/>
        </w:rPr>
        <w:t xml:space="preserve">工程施工类</w:t>
      </w:r>
    </w:p>
    <w:p>
      <w:pPr>
        <w:pStyle w:val="SourceCode"/>
      </w:pPr>
      <w:r>
        <w:rPr>
          <w:rStyle w:val="VerbatimChar"/>
          <w:rFonts w:hint="eastAsia"/>
        </w:rPr>
        <w:t xml:space="preserve">桥架施工</w:t>
      </w:r>
      <w:r>
        <w:br/>
      </w:r>
      <w:r>
        <w:rPr>
          <w:rStyle w:val="VerbatimChar"/>
          <w:rFonts w:hint="eastAsia"/>
        </w:rPr>
        <w:t xml:space="preserve">管线施工</w:t>
      </w:r>
      <w:r>
        <w:br/>
      </w:r>
      <w:r>
        <w:rPr>
          <w:rStyle w:val="VerbatimChar"/>
          <w:rFonts w:hint="eastAsia"/>
        </w:rPr>
        <w:t xml:space="preserve">线缆敷设</w:t>
      </w:r>
      <w:r>
        <w:br/>
      </w:r>
      <w:r>
        <w:rPr>
          <w:rStyle w:val="VerbatimChar"/>
          <w:rFonts w:hint="eastAsia"/>
        </w:rPr>
        <w:t xml:space="preserve">光纤熔接</w:t>
      </w:r>
      <w:r>
        <w:br/>
      </w:r>
      <w:r>
        <w:rPr>
          <w:rStyle w:val="VerbatimChar"/>
          <w:rFonts w:hint="eastAsia"/>
        </w:rPr>
        <w:t xml:space="preserve">配电施工</w:t>
      </w:r>
      <w:r>
        <w:br/>
      </w:r>
      <w:r>
        <w:rPr>
          <w:rStyle w:val="VerbatimChar"/>
          <w:rFonts w:hint="eastAsia"/>
        </w:rPr>
        <w:t xml:space="preserve">防雷接地</w:t>
      </w:r>
      <w:r>
        <w:br/>
      </w:r>
      <w:r>
        <w:rPr>
          <w:rStyle w:val="VerbatimChar"/>
          <w:rFonts w:hint="eastAsia"/>
        </w:rPr>
        <w:t xml:space="preserve">机房改造</w:t>
      </w:r>
      <w:r>
        <w:br/>
      </w:r>
      <w:r>
        <w:rPr>
          <w:rStyle w:val="VerbatimChar"/>
          <w:rFonts w:hint="eastAsia"/>
        </w:rPr>
        <w:t xml:space="preserve">土建恢复</w:t>
      </w:r>
      <w:r>
        <w:br/>
      </w:r>
      <w:r>
        <w:rPr>
          <w:rStyle w:val="VerbatimChar"/>
          <w:rFonts w:hint="eastAsia"/>
        </w:rPr>
        <w:t xml:space="preserve">标识标签</w:t>
      </w:r>
    </w:p>
    <w:bookmarkEnd w:id="68"/>
    <w:bookmarkStart w:id="69" w:name="软件实施类"/>
    <w:p>
      <w:pPr>
        <w:pStyle w:val="Heading3"/>
      </w:pPr>
      <w:r>
        <w:rPr>
          <w:rFonts w:hint="eastAsia"/>
        </w:rPr>
        <w:t xml:space="preserve">软件实施类</w:t>
      </w:r>
    </w:p>
    <w:p>
      <w:pPr>
        <w:pStyle w:val="SourceCode"/>
      </w:pPr>
      <w:r>
        <w:rPr>
          <w:rStyle w:val="VerbatimChar"/>
          <w:rFonts w:hint="eastAsia"/>
        </w:rPr>
        <w:t xml:space="preserve">软件部署</w:t>
      </w:r>
      <w:r>
        <w:br/>
      </w:r>
      <w:r>
        <w:rPr>
          <w:rStyle w:val="VerbatimChar"/>
          <w:rFonts w:hint="eastAsia"/>
        </w:rPr>
        <w:t xml:space="preserve">环境搭建</w:t>
      </w:r>
      <w:r>
        <w:br/>
      </w:r>
      <w:r>
        <w:rPr>
          <w:rStyle w:val="VerbatimChar"/>
          <w:rFonts w:hint="eastAsia"/>
        </w:rPr>
        <w:t xml:space="preserve">功能配置</w:t>
      </w:r>
      <w:r>
        <w:br/>
      </w:r>
      <w:r>
        <w:rPr>
          <w:rStyle w:val="VerbatimChar"/>
          <w:rFonts w:hint="eastAsia"/>
        </w:rPr>
        <w:t xml:space="preserve">接口开发</w:t>
      </w:r>
      <w:r>
        <w:br/>
      </w:r>
      <w:r>
        <w:rPr>
          <w:rStyle w:val="VerbatimChar"/>
          <w:rFonts w:hint="eastAsia"/>
        </w:rPr>
        <w:t xml:space="preserve">系统集成</w:t>
      </w:r>
      <w:r>
        <w:br/>
      </w:r>
      <w:r>
        <w:rPr>
          <w:rStyle w:val="VerbatimChar"/>
          <w:rFonts w:hint="eastAsia"/>
        </w:rPr>
        <w:t xml:space="preserve">数据迁移</w:t>
      </w:r>
      <w:r>
        <w:br/>
      </w:r>
      <w:r>
        <w:rPr>
          <w:rStyle w:val="VerbatimChar"/>
          <w:rFonts w:hint="eastAsia"/>
        </w:rPr>
        <w:t xml:space="preserve">数据治理</w:t>
      </w:r>
      <w:r>
        <w:br/>
      </w:r>
      <w:r>
        <w:rPr>
          <w:rStyle w:val="VerbatimChar"/>
          <w:rFonts w:hint="eastAsia"/>
        </w:rPr>
        <w:t xml:space="preserve">系统测试</w:t>
      </w:r>
      <w:r>
        <w:br/>
      </w:r>
      <w:r>
        <w:rPr>
          <w:rStyle w:val="VerbatimChar"/>
          <w:rFonts w:hint="eastAsia"/>
        </w:rPr>
        <w:t xml:space="preserve">安全加固</w:t>
      </w:r>
    </w:p>
    <w:bookmarkEnd w:id="69"/>
    <w:bookmarkStart w:id="70" w:name="项目交付类"/>
    <w:p>
      <w:pPr>
        <w:pStyle w:val="Heading3"/>
      </w:pPr>
      <w:r>
        <w:rPr>
          <w:rFonts w:hint="eastAsia"/>
        </w:rPr>
        <w:t xml:space="preserve">项目交付类</w:t>
      </w:r>
    </w:p>
    <w:p>
      <w:pPr>
        <w:pStyle w:val="SourceCode"/>
      </w:pPr>
      <w:r>
        <w:rPr>
          <w:rStyle w:val="VerbatimChar"/>
          <w:rFonts w:hint="eastAsia"/>
        </w:rPr>
        <w:t xml:space="preserve">方案设计</w:t>
      </w:r>
      <w:r>
        <w:br/>
      </w:r>
      <w:r>
        <w:rPr>
          <w:rStyle w:val="VerbatimChar"/>
          <w:rFonts w:hint="eastAsia"/>
        </w:rPr>
        <w:t xml:space="preserve">深化设计</w:t>
      </w:r>
      <w:r>
        <w:br/>
      </w:r>
      <w:r>
        <w:rPr>
          <w:rStyle w:val="VerbatimChar"/>
          <w:rFonts w:hint="eastAsia"/>
        </w:rPr>
        <w:t xml:space="preserve">项目管理</w:t>
      </w:r>
      <w:r>
        <w:br/>
      </w:r>
      <w:r>
        <w:rPr>
          <w:rStyle w:val="VerbatimChar"/>
          <w:rFonts w:hint="eastAsia"/>
        </w:rPr>
        <w:t xml:space="preserve">培训</w:t>
      </w:r>
      <w:r>
        <w:br/>
      </w:r>
      <w:r>
        <w:rPr>
          <w:rStyle w:val="VerbatimChar"/>
          <w:rFonts w:hint="eastAsia"/>
        </w:rPr>
        <w:t xml:space="preserve">试运行</w:t>
      </w:r>
      <w:r>
        <w:br/>
      </w:r>
      <w:r>
        <w:rPr>
          <w:rStyle w:val="VerbatimChar"/>
          <w:rFonts w:hint="eastAsia"/>
        </w:rPr>
        <w:t xml:space="preserve">初验配合</w:t>
      </w:r>
      <w:r>
        <w:br/>
      </w:r>
      <w:r>
        <w:rPr>
          <w:rStyle w:val="VerbatimChar"/>
          <w:rFonts w:hint="eastAsia"/>
        </w:rPr>
        <w:t xml:space="preserve">终验配合</w:t>
      </w:r>
      <w:r>
        <w:br/>
      </w:r>
      <w:r>
        <w:rPr>
          <w:rStyle w:val="VerbatimChar"/>
          <w:rFonts w:hint="eastAsia"/>
        </w:rPr>
        <w:t xml:space="preserve">竣工资料</w:t>
      </w:r>
      <w:r>
        <w:br/>
      </w:r>
      <w:r>
        <w:rPr>
          <w:rStyle w:val="VerbatimChar"/>
          <w:rFonts w:hint="eastAsia"/>
        </w:rPr>
        <w:t xml:space="preserve">结算资料</w:t>
      </w:r>
      <w:r>
        <w:br/>
      </w:r>
      <w:r>
        <w:rPr>
          <w:rStyle w:val="VerbatimChar"/>
          <w:rFonts w:hint="eastAsia"/>
        </w:rPr>
        <w:t xml:space="preserve">售后服务</w:t>
      </w:r>
      <w:r>
        <w:br/>
      </w:r>
      <w:r>
        <w:rPr>
          <w:rStyle w:val="VerbatimChar"/>
          <w:rFonts w:hint="eastAsia"/>
        </w:rPr>
        <w:t xml:space="preserve">质保服务</w:t>
      </w:r>
    </w:p>
    <w:p>
      <w:pPr>
        <w:pStyle w:val="FirstParagraph"/>
      </w:pPr>
      <w:r>
        <w:rPr>
          <w:rFonts w:hint="eastAsia"/>
        </w:rPr>
        <w:t xml:space="preserve">每项实施内容结构如下：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"scope_item"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"数据迁移"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"responsibility"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"负责完成"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"object"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"原系统全部历史业务数据"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"scope_limit"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"全部"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"acceptance_requirement"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"迁移数据完整、准确"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"contract_direction"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"前向"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"original_text"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"乙方负责完成原系统全部历史数据迁移工作。"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"evidence_id"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"EV000315"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0.93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2" w:name="责任程度标准化"/>
    <w:p>
      <w:pPr>
        <w:pStyle w:val="Heading2"/>
      </w:pPr>
      <w:r>
        <w:t xml:space="preserve">9. </w:t>
      </w:r>
      <w:r>
        <w:rPr>
          <w:rFonts w:hint="eastAsia"/>
        </w:rPr>
        <w:t xml:space="preserve">责任程度标准化</w:t>
      </w:r>
    </w:p>
    <w:p>
      <w:pPr>
        <w:pStyle w:val="FirstParagraph"/>
      </w:pPr>
      <w:r>
        <w:rPr>
          <w:rFonts w:hint="eastAsia"/>
        </w:rPr>
        <w:t xml:space="preserve">责任程度统一为：</w:t>
      </w:r>
    </w:p>
    <w:p>
      <w:pPr>
        <w:pStyle w:val="SourceCode"/>
      </w:pPr>
      <w:r>
        <w:rPr>
          <w:rStyle w:val="VerbatimChar"/>
          <w:rFonts w:hint="eastAsia"/>
        </w:rPr>
        <w:t xml:space="preserve">负责完成</w:t>
      </w:r>
      <w:r>
        <w:br/>
      </w:r>
      <w:r>
        <w:rPr>
          <w:rStyle w:val="VerbatimChar"/>
          <w:rFonts w:hint="eastAsia"/>
        </w:rPr>
        <w:t xml:space="preserve">组织实施</w:t>
      </w:r>
      <w:r>
        <w:br/>
      </w:r>
      <w:r>
        <w:rPr>
          <w:rStyle w:val="VerbatimChar"/>
          <w:rFonts w:hint="eastAsia"/>
        </w:rPr>
        <w:t xml:space="preserve">承担</w:t>
      </w:r>
      <w:r>
        <w:br/>
      </w:r>
      <w:r>
        <w:rPr>
          <w:rStyle w:val="VerbatimChar"/>
          <w:rFonts w:hint="eastAsia"/>
        </w:rPr>
        <w:t xml:space="preserve">提供</w:t>
      </w:r>
      <w:r>
        <w:br/>
      </w:r>
      <w:r>
        <w:rPr>
          <w:rStyle w:val="VerbatimChar"/>
          <w:rFonts w:hint="eastAsia"/>
        </w:rPr>
        <w:t xml:space="preserve">配合</w:t>
      </w:r>
      <w:r>
        <w:br/>
      </w:r>
      <w:r>
        <w:rPr>
          <w:rStyle w:val="VerbatimChar"/>
          <w:rFonts w:hint="eastAsia"/>
        </w:rPr>
        <w:t xml:space="preserve">协助</w:t>
      </w:r>
      <w:r>
        <w:br/>
      </w:r>
      <w:r>
        <w:rPr>
          <w:rStyle w:val="VerbatimChar"/>
          <w:rFonts w:hint="eastAsia"/>
        </w:rPr>
        <w:t xml:space="preserve">不明确</w:t>
      </w:r>
    </w:p>
    <w:p>
      <w:pPr>
        <w:pStyle w:val="FirstParagraph"/>
      </w:pPr>
      <w:r>
        <w:rPr>
          <w:rFonts w:hint="eastAsia"/>
        </w:rPr>
        <w:t xml:space="preserve">配置责任强度：</w:t>
      </w:r>
    </w:p>
    <w:p>
      <w:pPr>
        <w:pStyle w:val="SourceCode"/>
      </w:pPr>
      <w:r>
        <w:rPr>
          <w:rStyle w:val="VerbatimChar"/>
          <w:rFonts w:hint="eastAsia"/>
        </w:rPr>
        <w:t xml:space="preserve">负责完成</w:t>
      </w:r>
      <w:r>
        <w:rPr>
          <w:rStyle w:val="VerbatimChar"/>
        </w:rPr>
        <w:t xml:space="preserve"> = 6</w:t>
      </w:r>
      <w:r>
        <w:br/>
      </w:r>
      <w:r>
        <w:rPr>
          <w:rStyle w:val="VerbatimChar"/>
          <w:rFonts w:hint="eastAsia"/>
        </w:rPr>
        <w:t xml:space="preserve">组织实施</w:t>
      </w:r>
      <w:r>
        <w:rPr>
          <w:rStyle w:val="VerbatimChar"/>
        </w:rPr>
        <w:t xml:space="preserve"> = 5</w:t>
      </w:r>
      <w:r>
        <w:br/>
      </w:r>
      <w:r>
        <w:rPr>
          <w:rStyle w:val="VerbatimChar"/>
          <w:rFonts w:hint="eastAsia"/>
        </w:rPr>
        <w:t xml:space="preserve">承担</w:t>
      </w:r>
      <w:r>
        <w:rPr>
          <w:rStyle w:val="VerbatimChar"/>
        </w:rPr>
        <w:t xml:space="preserve"> = 5</w:t>
      </w:r>
      <w:r>
        <w:br/>
      </w:r>
      <w:r>
        <w:rPr>
          <w:rStyle w:val="VerbatimChar"/>
          <w:rFonts w:hint="eastAsia"/>
        </w:rPr>
        <w:t xml:space="preserve">提供</w:t>
      </w:r>
      <w:r>
        <w:rPr>
          <w:rStyle w:val="VerbatimChar"/>
        </w:rPr>
        <w:t xml:space="preserve"> = 4</w:t>
      </w:r>
      <w:r>
        <w:br/>
      </w:r>
      <w:r>
        <w:rPr>
          <w:rStyle w:val="VerbatimChar"/>
          <w:rFonts w:hint="eastAsia"/>
        </w:rPr>
        <w:t xml:space="preserve">配合</w:t>
      </w:r>
      <w:r>
        <w:rPr>
          <w:rStyle w:val="VerbatimChar"/>
        </w:rPr>
        <w:t xml:space="preserve"> = 2</w:t>
      </w:r>
      <w:r>
        <w:br/>
      </w:r>
      <w:r>
        <w:rPr>
          <w:rStyle w:val="VerbatimChar"/>
          <w:rFonts w:hint="eastAsia"/>
        </w:rPr>
        <w:t xml:space="preserve">协助</w:t>
      </w:r>
      <w:r>
        <w:rPr>
          <w:rStyle w:val="VerbatimChar"/>
        </w:rPr>
        <w:t xml:space="preserve"> = 1</w:t>
      </w:r>
      <w:r>
        <w:br/>
      </w:r>
      <w:r>
        <w:rPr>
          <w:rStyle w:val="VerbatimChar"/>
          <w:rFonts w:hint="eastAsia"/>
        </w:rPr>
        <w:t xml:space="preserve">不明确</w:t>
      </w:r>
      <w:r>
        <w:rPr>
          <w:rStyle w:val="VerbatimChar"/>
        </w:rPr>
        <w:t xml:space="preserve"> = 0</w:t>
      </w:r>
    </w:p>
    <w:p>
      <w:pPr>
        <w:pStyle w:val="FirstParagraph"/>
      </w:pPr>
      <w:r>
        <w:rPr>
          <w:rFonts w:hint="eastAsia"/>
        </w:rPr>
        <w:t xml:space="preserve">责任强度用于第三层判断后向责任是否被弱化。</w:t>
      </w:r>
    </w:p>
    <w:p>
      <w:r>
        <w:pict>
          <v:rect style="width:0;height:1.5pt" o:hralign="center" o:hrstd="t" o:hr="t"/>
        </w:pict>
      </w:r>
    </w:p>
    <w:bookmarkEnd w:id="72"/>
    <w:bookmarkStart w:id="73" w:name="关键条款结构化"/>
    <w:p>
      <w:pPr>
        <w:pStyle w:val="Heading2"/>
      </w:pPr>
      <w:r>
        <w:t xml:space="preserve">10. </w:t>
      </w:r>
      <w:r>
        <w:rPr>
          <w:rFonts w:hint="eastAsia"/>
        </w:rPr>
        <w:t xml:space="preserve">关键条款结构化</w:t>
      </w:r>
    </w:p>
    <w:p>
      <w:pPr>
        <w:pStyle w:val="FirstParagraph"/>
      </w:pPr>
      <w:r>
        <w:rPr>
          <w:rFonts w:hint="eastAsia"/>
        </w:rPr>
        <w:t xml:space="preserve">系统提取：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付款节点；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验收条件；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质保期限；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违约责任；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延期和顺延条件；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变更、暂停和复工条件；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资料交付义务；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保密和安全责任；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售后服务。</w:t>
      </w:r>
    </w:p>
    <w:p>
      <w:pPr>
        <w:pStyle w:val="FirstParagraph"/>
      </w:pPr>
      <w:r>
        <w:rPr>
          <w:rFonts w:hint="eastAsia"/>
        </w:rPr>
        <w:t xml:space="preserve">例如质保条款：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"clause_type"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"质保"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"start_condition"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"终验合格"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"duration_unit"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"月"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"responsible_party"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"乙方"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"evidence_id"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"EV000421"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3"/>
    <w:bookmarkStart w:id="74" w:name="模型输出约束"/>
    <w:p>
      <w:pPr>
        <w:pStyle w:val="Heading2"/>
      </w:pPr>
      <w:r>
        <w:t>11. 结构化输出约束</w:t>
      </w:r>
    </w:p>
    <w:p>
      <w:pPr>
        <w:pStyle w:val="FirstParagraph"/>
      </w:pPr>
      <w:r>
        <w:t>确定性功能函数和可选大模型接口必须使用同一固定JSON Schema输出。</w:t>
      </w:r>
    </w:p>
    <w:p>
      <w:pPr>
        <w:pStyle w:val="BodyText"/>
      </w:pPr>
      <w:r>
        <w:rPr>
          <w:rFonts w:hint="eastAsia"/>
        </w:rPr>
        <w:t xml:space="preserve">不允许：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自行增加字段；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修改枚举值；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用自然语言替代结构字段；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在无证据时输出字段值；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将推测结果写成确定事实。</w:t>
      </w:r>
    </w:p>
    <w:p>
      <w:pPr>
        <w:pStyle w:val="FirstParagraph"/>
      </w:pPr>
      <w:r>
        <w:t>每次结构化解析必须记录：</w:t>
      </w:r>
    </w:p>
    <w:p>
      <w:pPr>
        <w:pStyle w:val="Compact"/>
        <w:numPr>
          <w:ilvl w:val="0"/>
          <w:numId w:val="1042"/>
        </w:numPr>
      </w:pPr>
      <w:r>
        <w:t>OCR引擎名称；</w:t>
      </w:r>
    </w:p>
    <w:p>
      <w:pPr>
        <w:pStyle w:val="Compact"/>
        <w:numPr>
          <w:ilvl w:val="0"/>
          <w:numId w:val="1042"/>
        </w:numPr>
      </w:pPr>
      <w:r>
        <w:t>OCR引擎及解析版本；</w:t>
      </w:r>
    </w:p>
    <w:p>
      <w:pPr>
        <w:pStyle w:val="Compact"/>
        <w:numPr>
          <w:ilvl w:val="0"/>
          <w:numId w:val="1042"/>
        </w:numPr>
      </w:pPr>
      <w:r>
        <w:t>可选Prompt版本（未启用时为空）；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Schema版本；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执行时间；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输入证据块；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原始输出；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校验状态。</w:t>
      </w:r>
    </w:p>
    <w:p>
      <w:r>
        <w:pict>
          <v:rect style="width:0;height:1.5pt" o:hralign="center" o:hrstd="t" o:hr="t"/>
        </w:pict>
      </w:r>
    </w:p>
    <w:bookmarkEnd w:id="74"/>
    <w:bookmarkStart w:id="78" w:name="数据校验"/>
    <w:p>
      <w:pPr>
        <w:pStyle w:val="Heading2"/>
      </w:pPr>
      <w:r>
        <w:t xml:space="preserve">12. </w:t>
      </w:r>
      <w:r>
        <w:rPr>
          <w:rFonts w:hint="eastAsia"/>
        </w:rPr>
        <w:t xml:space="preserve">数据校验</w:t>
      </w:r>
    </w:p>
    <w:bookmarkStart w:id="75" w:name="格式校验"/>
    <w:p>
      <w:pPr>
        <w:pStyle w:val="Heading3"/>
      </w:pPr>
      <w:r>
        <w:rPr>
          <w:rFonts w:hint="eastAsia"/>
        </w:rPr>
        <w:t xml:space="preserve">格式校验</w:t>
      </w:r>
    </w:p>
    <w:p>
      <w:pPr>
        <w:pStyle w:val="FirstParagraph"/>
      </w:pPr>
      <w:r>
        <w:rPr>
          <w:rFonts w:hint="eastAsia"/>
        </w:rPr>
        <w:t xml:space="preserve">程序检查：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日期是否合法；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数量是否为数字；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金额是否可转换；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单位是否有效；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枚举值是否合法；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必填字段是否缺失。</w:t>
      </w:r>
    </w:p>
    <w:bookmarkEnd w:id="75"/>
    <w:bookmarkStart w:id="76" w:name="证据校验"/>
    <w:p>
      <w:pPr>
        <w:pStyle w:val="Heading3"/>
      </w:pPr>
      <w:r>
        <w:rPr>
          <w:rFonts w:hint="eastAsia"/>
        </w:rPr>
        <w:t xml:space="preserve">证据校验</w:t>
      </w:r>
    </w:p>
    <w:p>
      <w:pPr>
        <w:pStyle w:val="FirstParagraph"/>
      </w:pPr>
      <w:r>
        <w:rPr>
          <w:rFonts w:hint="eastAsia"/>
        </w:rPr>
        <w:t xml:space="preserve">程序检查：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是否关联证据编号；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原文是否包含对应名称或数值；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页码是否存在；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合同方向是否正确；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提取结果是否超出原文。</w:t>
      </w:r>
    </w:p>
    <w:bookmarkEnd w:id="76"/>
    <w:bookmarkStart w:id="77" w:name="二次模型校验"/>
    <w:p>
      <w:pPr>
        <w:pStyle w:val="Heading3"/>
      </w:pPr>
      <w:r>
        <w:t>确定性二次校验</w:t>
      </w:r>
    </w:p>
    <w:p>
      <w:pPr>
        <w:pStyle w:val="FirstParagraph"/>
      </w:pPr>
      <w:r>
        <w:rPr>
          <w:rFonts w:hint="eastAsia"/>
        </w:rPr>
        <w:t xml:space="preserve">对以下关键字段执行独立校验：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合同金额；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工期；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工期起算条件；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到货节点；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验收节点；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设备数量；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质保期限。</w:t>
      </w:r>
    </w:p>
    <w:p>
      <w:pPr>
        <w:pStyle w:val="FirstParagraph"/>
      </w:pPr>
      <w:r>
        <w:rPr>
          <w:rFonts w:hint="eastAsia"/>
        </w:rPr>
        <w:t xml:space="preserve">提取结果与校验结果冲突时，进入人工复核。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79" w:name="第二层输出"/>
    <w:p>
      <w:pPr>
        <w:pStyle w:val="Heading2"/>
      </w:pPr>
      <w:r>
        <w:t xml:space="preserve">13. </w:t>
      </w:r>
      <w:r>
        <w:rPr>
          <w:rFonts w:hint="eastAsia"/>
        </w:rPr>
        <w:t xml:space="preserve">第二层输出</w:t>
      </w:r>
    </w:p>
    <w:p>
      <w:pPr>
        <w:pStyle w:val="FirstParagraph"/>
      </w:pPr>
      <w:r>
        <w:rPr>
          <w:rFonts w:hint="eastAsia"/>
        </w:rPr>
        <w:t xml:space="preserve">第二层形成：</w:t>
      </w:r>
    </w:p>
    <w:p>
      <w:pPr>
        <w:pStyle w:val="SourceCode"/>
      </w:pPr>
      <w:r>
        <w:rPr>
          <w:rStyle w:val="VerbatimChar"/>
        </w:rPr>
        <w:t xml:space="preserve">contract_basic_info</w:t>
      </w:r>
      <w:r>
        <w:br/>
      </w:r>
      <w:r>
        <w:rPr>
          <w:rStyle w:val="VerbatimChar"/>
        </w:rPr>
        <w:t xml:space="preserve">contract_item</w:t>
      </w:r>
      <w:r>
        <w:br/>
      </w:r>
      <w:r>
        <w:rPr>
          <w:rStyle w:val="VerbatimChar"/>
        </w:rPr>
        <w:t xml:space="preserve">contract_time_node</w:t>
      </w:r>
      <w:r>
        <w:br/>
      </w:r>
      <w:r>
        <w:rPr>
          <w:rStyle w:val="VerbatimChar"/>
        </w:rPr>
        <w:t xml:space="preserve">contract_scope</w:t>
      </w:r>
      <w:r>
        <w:br/>
      </w:r>
      <w:r>
        <w:rPr>
          <w:rStyle w:val="VerbatimChar"/>
        </w:rPr>
        <w:t xml:space="preserve">contract_payment</w:t>
      </w:r>
      <w:r>
        <w:br/>
      </w:r>
      <w:r>
        <w:rPr>
          <w:rStyle w:val="VerbatimChar"/>
        </w:rPr>
        <w:t xml:space="preserve">contract_acceptance</w:t>
      </w:r>
      <w:r>
        <w:br/>
      </w:r>
      <w:r>
        <w:rPr>
          <w:rStyle w:val="VerbatimChar"/>
        </w:rPr>
        <w:t xml:space="preserve">contract_warranty</w:t>
      </w:r>
      <w:r>
        <w:br/>
      </w:r>
      <w:r>
        <w:rPr>
          <w:rStyle w:val="VerbatimChar"/>
        </w:rPr>
        <w:t xml:space="preserve">contract_liability</w:t>
      </w:r>
      <w:r>
        <w:br/>
      </w:r>
      <w:r>
        <w:rPr>
          <w:rStyle w:val="VerbatimChar"/>
        </w:rPr>
        <w:t xml:space="preserve">contract_field_evidence</w:t>
      </w:r>
      <w:r>
        <w:br/>
      </w:r>
      <w:r>
        <w:rPr>
          <w:rStyle w:val="VerbatimChar"/>
        </w:rPr>
        <w:t xml:space="preserve">contract_field_review</w:t>
      </w:r>
    </w:p>
    <w:p>
      <w:pPr>
        <w:pStyle w:val="FirstParagraph"/>
      </w:pPr>
      <w:r>
        <w:t>通过人工确认的字段保存为纠正记录；后续重新计算时优先覆盖自动提取结果，不覆盖原始OCR证据。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114" w:name="五第三层程序化对比与风险判定层"/>
    <w:p>
      <w:pPr>
        <w:pStyle w:val="Heading1"/>
      </w:pPr>
      <w:r>
        <w:rPr>
          <w:rFonts w:hint="eastAsia"/>
        </w:rPr>
        <w:t xml:space="preserve">五、第三层：程序化对比与风险判定层</w:t>
      </w:r>
    </w:p>
    <w:bookmarkStart w:id="81" w:name="本层目标-2"/>
    <w:p>
      <w:pPr>
        <w:pStyle w:val="Heading2"/>
      </w:pPr>
      <w:r>
        <w:t xml:space="preserve">1. </w:t>
      </w:r>
      <w:r>
        <w:rPr>
          <w:rFonts w:hint="eastAsia"/>
        </w:rPr>
        <w:t xml:space="preserve">本层目标</w:t>
      </w:r>
    </w:p>
    <w:p>
      <w:pPr>
        <w:pStyle w:val="FirstParagraph"/>
      </w:pPr>
      <w:r>
        <w:rPr>
          <w:rFonts w:hint="eastAsia"/>
        </w:rPr>
        <w:t xml:space="preserve">第三层基于第二层结构化数据，通过固定程序规则完成前后向合同对比。</w:t>
      </w:r>
    </w:p>
    <w:p>
      <w:pPr>
        <w:pStyle w:val="BodyText"/>
      </w:pPr>
      <w:r>
        <w:rPr>
          <w:rFonts w:hint="eastAsia"/>
        </w:rPr>
        <w:t xml:space="preserve">本层不使用大模型自由判断，确保：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输入相同则结果相同；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每项结论都有明确规则；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风险结果可解释；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规则可以版本管理；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系统可以执行回归测试。</w:t>
      </w:r>
    </w:p>
    <w:p>
      <w:r>
        <w:pict>
          <v:rect style="width:0;height:1.5pt" o:hralign="center" o:hrstd="t" o:hr="t"/>
        </w:pict>
      </w:r>
    </w:p>
    <w:bookmarkEnd w:id="81"/>
    <w:bookmarkStart w:id="88" w:name="设备材料清单对比"/>
    <w:p>
      <w:pPr>
        <w:pStyle w:val="Heading2"/>
      </w:pPr>
      <w:r>
        <w:t>2. 设备、材料、服务对象及备件清单对比</w:t>
      </w:r>
    </w:p>
    <w:bookmarkStart w:id="82" w:name="对比原则"/>
    <w:p>
      <w:pPr>
        <w:pStyle w:val="Heading3"/>
      </w:pPr>
      <w:r>
        <w:t xml:space="preserve">2.1 </w:t>
      </w:r>
      <w:r>
        <w:rPr>
          <w:rFonts w:hint="eastAsia"/>
        </w:rPr>
        <w:t xml:space="preserve">对比原则</w:t>
      </w:r>
    </w:p>
    <w:p>
      <w:pPr>
        <w:pStyle w:val="FirstParagraph"/>
      </w:pPr>
      <w:r>
        <w:rPr>
          <w:rFonts w:hint="eastAsia"/>
        </w:rPr>
        <w:t xml:space="preserve">前向合同中承诺交付的清单项，应全部包含在后向合同清单中：</w:t>
      </w:r>
    </w:p>
    <w:p>
      <w:pPr>
        <w:pStyle w:val="SourceCode"/>
      </w:pPr>
      <w:r>
        <w:rPr>
          <w:rStyle w:val="VerbatimChar"/>
          <w:rFonts w:hint="eastAsia"/>
        </w:rPr>
        <w:t xml:space="preserve">前向交付清单</w:t>
      </w:r>
      <w:r>
        <w:rPr>
          <w:rStyle w:val="VerbatimChar"/>
        </w:rPr>
        <w:t xml:space="preserve"> ⊆ </w:t>
      </w:r>
      <w:r>
        <w:rPr>
          <w:rStyle w:val="VerbatimChar"/>
          <w:rFonts w:hint="eastAsia"/>
        </w:rPr>
        <w:t xml:space="preserve">后向采购清单</w:t>
      </w:r>
    </w:p>
    <w:bookmarkEnd w:id="82"/>
    <w:bookmarkStart w:id="83" w:name="匹配顺序"/>
    <w:p>
      <w:pPr>
        <w:pStyle w:val="Heading3"/>
      </w:pPr>
      <w:r>
        <w:t xml:space="preserve">2.2 </w:t>
      </w:r>
      <w:r>
        <w:rPr>
          <w:rFonts w:hint="eastAsia"/>
        </w:rPr>
        <w:t xml:space="preserve">匹配顺序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型号完全一致；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标准名称、品牌、型号一致；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标准名称和关键技术参数一致；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标准名称一致且后向规格明确更高；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名称相似但无法确定，进入人工复核。</w:t>
      </w:r>
    </w:p>
    <w:bookmarkEnd w:id="83"/>
    <w:bookmarkStart w:id="84" w:name="数量对比"/>
    <w:p>
      <w:pPr>
        <w:pStyle w:val="Heading3"/>
      </w:pPr>
      <w:r>
        <w:t xml:space="preserve">2.3 </w:t>
      </w:r>
      <w:r>
        <w:rPr>
          <w:rFonts w:hint="eastAsia"/>
        </w:rPr>
        <w:t xml:space="preserve">数量对比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backward_quantity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forward_quantity: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"数量满足"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shortage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forward_quantity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backward_quantity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"数量不足"</w:t>
      </w:r>
    </w:p>
    <w:bookmarkEnd w:id="84"/>
    <w:bookmarkStart w:id="85" w:name="规格对比"/>
    <w:p>
      <w:pPr>
        <w:pStyle w:val="Heading3"/>
      </w:pPr>
      <w:r>
        <w:t xml:space="preserve">2.4 </w:t>
      </w:r>
      <w:r>
        <w:rPr>
          <w:rFonts w:hint="eastAsia"/>
        </w:rPr>
        <w:t xml:space="preserve">规格对比</w:t>
      </w:r>
    </w:p>
    <w:p>
      <w:pPr>
        <w:pStyle w:val="FirstParagraph"/>
      </w:pPr>
      <w:r>
        <w:rPr>
          <w:rFonts w:hint="eastAsia"/>
        </w:rPr>
        <w:t xml:space="preserve">根据参数类型设置规则：</w:t>
      </w:r>
    </w:p>
    <w:p>
      <w:pPr>
        <w:pStyle w:val="SourceCode"/>
      </w:pPr>
      <w:r>
        <w:rPr>
          <w:rStyle w:val="VerbatimChar"/>
          <w:rFonts w:hint="eastAsia"/>
        </w:rPr>
        <w:t xml:space="preserve">端口数：后向</w:t>
      </w:r>
      <w:r>
        <w:rPr>
          <w:rStyle w:val="VerbatimChar"/>
        </w:rPr>
        <w:t xml:space="preserve"> ≥ </w:t>
      </w:r>
      <w:r>
        <w:rPr>
          <w:rStyle w:val="VerbatimChar"/>
          <w:rFonts w:hint="eastAsia"/>
        </w:rPr>
        <w:t xml:space="preserve">前向</w:t>
      </w:r>
      <w:r>
        <w:br/>
      </w:r>
      <w:r>
        <w:rPr>
          <w:rStyle w:val="VerbatimChar"/>
          <w:rFonts w:hint="eastAsia"/>
        </w:rPr>
        <w:t xml:space="preserve">带宽：后向</w:t>
      </w:r>
      <w:r>
        <w:rPr>
          <w:rStyle w:val="VerbatimChar"/>
        </w:rPr>
        <w:t xml:space="preserve"> ≥ </w:t>
      </w:r>
      <w:r>
        <w:rPr>
          <w:rStyle w:val="VerbatimChar"/>
          <w:rFonts w:hint="eastAsia"/>
        </w:rPr>
        <w:t xml:space="preserve">前向</w:t>
      </w:r>
      <w:r>
        <w:br/>
      </w:r>
      <w:r>
        <w:rPr>
          <w:rStyle w:val="VerbatimChar"/>
          <w:rFonts w:hint="eastAsia"/>
        </w:rPr>
        <w:t xml:space="preserve">容量：后向</w:t>
      </w:r>
      <w:r>
        <w:rPr>
          <w:rStyle w:val="VerbatimChar"/>
        </w:rPr>
        <w:t xml:space="preserve"> ≥ </w:t>
      </w:r>
      <w:r>
        <w:rPr>
          <w:rStyle w:val="VerbatimChar"/>
          <w:rFonts w:hint="eastAsia"/>
        </w:rPr>
        <w:t xml:space="preserve">前向</w:t>
      </w:r>
      <w:r>
        <w:br/>
      </w:r>
      <w:r>
        <w:rPr>
          <w:rStyle w:val="VerbatimChar"/>
          <w:rFonts w:hint="eastAsia"/>
        </w:rPr>
        <w:t xml:space="preserve">存储空间：后向</w:t>
      </w:r>
      <w:r>
        <w:rPr>
          <w:rStyle w:val="VerbatimChar"/>
        </w:rPr>
        <w:t xml:space="preserve"> ≥ </w:t>
      </w:r>
      <w:r>
        <w:rPr>
          <w:rStyle w:val="VerbatimChar"/>
          <w:rFonts w:hint="eastAsia"/>
        </w:rPr>
        <w:t xml:space="preserve">前向</w:t>
      </w:r>
      <w:r>
        <w:br/>
      </w:r>
      <w:r>
        <w:rPr>
          <w:rStyle w:val="VerbatimChar"/>
          <w:rFonts w:hint="eastAsia"/>
        </w:rPr>
        <w:t xml:space="preserve">授权数量：后向</w:t>
      </w:r>
      <w:r>
        <w:rPr>
          <w:rStyle w:val="VerbatimChar"/>
        </w:rPr>
        <w:t xml:space="preserve"> ≥ </w:t>
      </w:r>
      <w:r>
        <w:rPr>
          <w:rStyle w:val="VerbatimChar"/>
          <w:rFonts w:hint="eastAsia"/>
        </w:rPr>
        <w:t xml:space="preserve">前向</w:t>
      </w:r>
      <w:r>
        <w:br/>
      </w:r>
      <w:r>
        <w:rPr>
          <w:rStyle w:val="VerbatimChar"/>
          <w:rFonts w:hint="eastAsia"/>
        </w:rPr>
        <w:t xml:space="preserve">授权期限：后向</w:t>
      </w:r>
      <w:r>
        <w:rPr>
          <w:rStyle w:val="VerbatimChar"/>
        </w:rPr>
        <w:t xml:space="preserve"> ≥ </w:t>
      </w:r>
      <w:r>
        <w:rPr>
          <w:rStyle w:val="VerbatimChar"/>
          <w:rFonts w:hint="eastAsia"/>
        </w:rPr>
        <w:t xml:space="preserve">前向</w:t>
      </w:r>
      <w:r>
        <w:br/>
      </w:r>
      <w:r>
        <w:rPr>
          <w:rStyle w:val="VerbatimChar"/>
          <w:rFonts w:hint="eastAsia"/>
        </w:rPr>
        <w:t xml:space="preserve">性能等级：后向不得低于前向</w:t>
      </w:r>
    </w:p>
    <w:bookmarkEnd w:id="85"/>
    <w:bookmarkStart w:id="86" w:name="输出状态"/>
    <w:p>
      <w:pPr>
        <w:pStyle w:val="Heading3"/>
      </w:pPr>
      <w:r>
        <w:t xml:space="preserve">2.5 </w:t>
      </w:r>
      <w:r>
        <w:rPr>
          <w:rFonts w:hint="eastAsia"/>
        </w:rPr>
        <w:t xml:space="preserve">输出状态</w:t>
      </w:r>
    </w:p>
    <w:p>
      <w:pPr>
        <w:pStyle w:val="SourceCode"/>
      </w:pPr>
      <w:r>
        <w:rPr>
          <w:rStyle w:val="VerbatimChar"/>
          <w:rFonts w:hint="eastAsia"/>
        </w:rPr>
        <w:t xml:space="preserve">完全覆盖</w:t>
      </w:r>
      <w:r>
        <w:br/>
      </w:r>
      <w:r>
        <w:rPr>
          <w:rStyle w:val="VerbatimChar"/>
          <w:rFonts w:hint="eastAsia"/>
        </w:rPr>
        <w:t xml:space="preserve">数量不足</w:t>
      </w:r>
      <w:r>
        <w:br/>
      </w:r>
      <w:r>
        <w:rPr>
          <w:rStyle w:val="VerbatimChar"/>
          <w:rFonts w:hint="eastAsia"/>
        </w:rPr>
        <w:t xml:space="preserve">规格不足</w:t>
      </w:r>
      <w:r>
        <w:br/>
      </w:r>
      <w:r>
        <w:rPr>
          <w:rStyle w:val="VerbatimChar"/>
          <w:rFonts w:hint="eastAsia"/>
        </w:rPr>
        <w:t xml:space="preserve">后向未采购</w:t>
      </w:r>
      <w:r>
        <w:br/>
      </w:r>
      <w:r>
        <w:rPr>
          <w:rStyle w:val="VerbatimChar"/>
          <w:rFonts w:hint="eastAsia"/>
        </w:rPr>
        <w:t xml:space="preserve">疑似匹配</w:t>
      </w:r>
      <w:r>
        <w:br/>
      </w:r>
      <w:r>
        <w:rPr>
          <w:rStyle w:val="VerbatimChar"/>
          <w:rFonts w:hint="eastAsia"/>
        </w:rPr>
        <w:t xml:space="preserve">单位无法换算</w:t>
      </w:r>
      <w:r>
        <w:br/>
      </w:r>
      <w:r>
        <w:rPr>
          <w:rStyle w:val="VerbatimChar"/>
          <w:rFonts w:hint="eastAsia"/>
        </w:rPr>
        <w:t xml:space="preserve">后向新增</w:t>
      </w:r>
    </w:p>
    <w:bookmarkEnd w:id="86"/>
    <w:bookmarkStart w:id="87" w:name="输出字段"/>
    <w:p>
      <w:pPr>
        <w:pStyle w:val="Heading3"/>
      </w:pPr>
      <w:r>
        <w:t xml:space="preserve">2.6 </w:t>
      </w:r>
      <w:r>
        <w:rPr>
          <w:rFonts w:hint="eastAsia"/>
        </w:rPr>
        <w:t xml:space="preserve">输出字段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前向清单项；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前向品牌型号；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前向数量；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前向技术要求；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后向匹配项；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后向品牌型号；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后向数量；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后向技术参数；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名称匹配结果；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规格判断；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数量判断；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差异说明；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前向证据；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后向证据；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风险等级。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6" w:name="工期衔接对比-1"/>
    <w:p>
      <w:pPr>
        <w:pStyle w:val="Heading2"/>
      </w:pPr>
      <w:r>
        <w:t xml:space="preserve">3. </w:t>
      </w:r>
      <w:r>
        <w:rPr>
          <w:rFonts w:hint="eastAsia"/>
        </w:rPr>
        <w:t xml:space="preserve">工期衔接对比</w:t>
      </w:r>
    </w:p>
    <w:bookmarkStart w:id="89" w:name="对比原则-1"/>
    <w:p>
      <w:pPr>
        <w:pStyle w:val="Heading3"/>
      </w:pPr>
      <w:r>
        <w:t xml:space="preserve">3.1 </w:t>
      </w:r>
      <w:r>
        <w:rPr>
          <w:rFonts w:hint="eastAsia"/>
        </w:rPr>
        <w:t xml:space="preserve">对比原则</w:t>
      </w:r>
    </w:p>
    <w:p>
      <w:pPr>
        <w:pStyle w:val="FirstParagraph"/>
      </w:pPr>
      <w:r>
        <w:rPr>
          <w:rFonts w:hint="eastAsia"/>
        </w:rPr>
        <w:t xml:space="preserve">后向合同需要在前向合同履约期限之前完成必要的供货和实施工作。</w:t>
      </w:r>
    </w:p>
    <w:p>
      <w:pPr>
        <w:pStyle w:val="BodyText"/>
      </w:pPr>
      <w:r>
        <w:rPr>
          <w:rFonts w:hint="eastAsia"/>
        </w:rPr>
        <w:t xml:space="preserve">不能只比较合同天数，必须比较实际时间区间。</w:t>
      </w:r>
    </w:p>
    <w:bookmarkEnd w:id="89"/>
    <w:bookmarkStart w:id="90" w:name="前向完成日期"/>
    <w:p>
      <w:pPr>
        <w:pStyle w:val="Heading3"/>
      </w:pPr>
      <w:r>
        <w:t xml:space="preserve">3.2 </w:t>
      </w:r>
      <w:r>
        <w:rPr>
          <w:rFonts w:hint="eastAsia"/>
        </w:rPr>
        <w:t xml:space="preserve">前向完成日期</w:t>
      </w:r>
    </w:p>
    <w:p>
      <w:pPr>
        <w:pStyle w:val="SourceCode"/>
      </w:pPr>
      <w:r>
        <w:rPr>
          <w:rStyle w:val="VerbatimChar"/>
          <w:rFonts w:hint="eastAsia"/>
        </w:rPr>
        <w:t xml:space="preserve">前向最晚完成日期</w:t>
      </w:r>
      <w:r>
        <w:br/>
      </w:r>
      <w:r>
        <w:rPr>
          <w:rStyle w:val="VerbatimChar"/>
        </w:rPr>
        <w:t xml:space="preserve">= </w:t>
      </w:r>
      <w:r>
        <w:rPr>
          <w:rStyle w:val="VerbatimChar"/>
          <w:rFonts w:hint="eastAsia"/>
        </w:rPr>
        <w:t xml:space="preserve">前向实际起算日期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前向合同工期</w:t>
      </w:r>
    </w:p>
    <w:p>
      <w:pPr>
        <w:pStyle w:val="FirstParagraph"/>
      </w:pPr>
      <w:r>
        <w:rPr>
          <w:rFonts w:hint="eastAsia"/>
        </w:rPr>
        <w:t xml:space="preserve">前向起算日期优先级：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开工令日期；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合同明确固定日期；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甲方书面通知日期；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项目台账实际开工日期；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合同签订或生效日期；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无法确定。</w:t>
      </w:r>
    </w:p>
    <w:bookmarkEnd w:id="90"/>
    <w:bookmarkStart w:id="91" w:name="后向完成日期"/>
    <w:p>
      <w:pPr>
        <w:pStyle w:val="Heading3"/>
      </w:pPr>
      <w:r>
        <w:t xml:space="preserve">3.3 </w:t>
      </w:r>
      <w:r>
        <w:rPr>
          <w:rFonts w:hint="eastAsia"/>
        </w:rPr>
        <w:t xml:space="preserve">后向完成日期</w:t>
      </w:r>
    </w:p>
    <w:p>
      <w:pPr>
        <w:pStyle w:val="SourceCode"/>
      </w:pPr>
      <w:r>
        <w:rPr>
          <w:rStyle w:val="VerbatimChar"/>
          <w:rFonts w:hint="eastAsia"/>
        </w:rPr>
        <w:t xml:space="preserve">后向预计完成日期</w:t>
      </w:r>
      <w:r>
        <w:br/>
      </w:r>
      <w:r>
        <w:rPr>
          <w:rStyle w:val="VerbatimChar"/>
        </w:rPr>
        <w:t xml:space="preserve">= </w:t>
      </w:r>
      <w:r>
        <w:rPr>
          <w:rStyle w:val="VerbatimChar"/>
          <w:rFonts w:hint="eastAsia"/>
        </w:rPr>
        <w:t xml:space="preserve">后向实际起算日期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后向合同工期</w:t>
      </w:r>
    </w:p>
    <w:p>
      <w:pPr>
        <w:pStyle w:val="FirstParagraph"/>
      </w:pPr>
      <w:r>
        <w:rPr>
          <w:rFonts w:hint="eastAsia"/>
        </w:rPr>
        <w:t xml:space="preserve">后向起算日期同样需要根据合同约定和实际触发时间确定。</w:t>
      </w:r>
    </w:p>
    <w:bookmarkEnd w:id="91"/>
    <w:bookmarkStart w:id="92" w:name="安全缓冲期"/>
    <w:p>
      <w:pPr>
        <w:pStyle w:val="Heading3"/>
      </w:pPr>
      <w:r>
        <w:t xml:space="preserve">3.4 </w:t>
      </w:r>
      <w:r>
        <w:rPr>
          <w:rFonts w:hint="eastAsia"/>
        </w:rPr>
        <w:t xml:space="preserve">安全缓冲期</w:t>
      </w:r>
    </w:p>
    <w:p>
      <w:pPr>
        <w:pStyle w:val="FirstParagraph"/>
      </w:pPr>
      <w:r>
        <w:rPr>
          <w:rFonts w:hint="eastAsia"/>
        </w:rPr>
        <w:t xml:space="preserve">系统根据项目类型配置内部缓冲期：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设备采购类：预留验货、运输及安装时间；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施工类：预留整改和验收时间；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软件类：预留测试和试运行时间；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综合集成类：预留联调、整改和资料编制时间。</w:t>
      </w:r>
    </w:p>
    <w:p>
      <w:pPr>
        <w:pStyle w:val="SourceCode"/>
      </w:pPr>
      <w:r>
        <w:rPr>
          <w:rStyle w:val="VerbatimChar"/>
          <w:rFonts w:hint="eastAsia"/>
        </w:rPr>
        <w:t xml:space="preserve">前向内部控制完成日期</w:t>
      </w:r>
      <w:r>
        <w:br/>
      </w:r>
      <w:r>
        <w:rPr>
          <w:rStyle w:val="VerbatimChar"/>
        </w:rPr>
        <w:t xml:space="preserve">= </w:t>
      </w:r>
      <w:r>
        <w:rPr>
          <w:rStyle w:val="VerbatimChar"/>
          <w:rFonts w:hint="eastAsia"/>
        </w:rPr>
        <w:t xml:space="preserve">前向最晚完成日期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安全缓冲期</w:t>
      </w:r>
    </w:p>
    <w:bookmarkEnd w:id="92"/>
    <w:bookmarkStart w:id="93" w:name="判断逻辑"/>
    <w:p>
      <w:pPr>
        <w:pStyle w:val="Heading3"/>
      </w:pPr>
      <w:r>
        <w:t xml:space="preserve">3.5 </w:t>
      </w:r>
      <w:r>
        <w:rPr>
          <w:rFonts w:hint="eastAsia"/>
        </w:rPr>
        <w:t xml:space="preserve">判断逻辑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backward_finish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forward_control_finish: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"工期满足"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backward_finish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forward_latest_finish: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"工期紧张"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"明确来不及"</w:t>
      </w:r>
    </w:p>
    <w:p>
      <w:pPr>
        <w:pStyle w:val="FirstParagraph"/>
      </w:pPr>
      <w:r>
        <w:rPr>
          <w:rFonts w:hint="eastAsia"/>
        </w:rPr>
        <w:t xml:space="preserve">工期缺口：</w:t>
      </w:r>
    </w:p>
    <w:p>
      <w:pPr>
        <w:pStyle w:val="SourceCode"/>
      </w:pPr>
      <w:r>
        <w:rPr>
          <w:rStyle w:val="VerbatimChar"/>
          <w:rFonts w:hint="eastAsia"/>
        </w:rPr>
        <w:t xml:space="preserve">工期缺口</w:t>
      </w:r>
      <w:r>
        <w:br/>
      </w:r>
      <w:r>
        <w:rPr>
          <w:rStyle w:val="VerbatimChar"/>
        </w:rPr>
        <w:t xml:space="preserve">= </w:t>
      </w:r>
      <w:r>
        <w:rPr>
          <w:rStyle w:val="VerbatimChar"/>
          <w:rFonts w:hint="eastAsia"/>
        </w:rPr>
        <w:t xml:space="preserve">后向预计完成日期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前向内部控制完成日期</w:t>
      </w:r>
    </w:p>
    <w:bookmarkEnd w:id="93"/>
    <w:bookmarkStart w:id="94" w:name="无法计算的情况"/>
    <w:p>
      <w:pPr>
        <w:pStyle w:val="Heading3"/>
      </w:pPr>
      <w:r>
        <w:t xml:space="preserve">3.6 </w:t>
      </w:r>
      <w:r>
        <w:rPr>
          <w:rFonts w:hint="eastAsia"/>
        </w:rPr>
        <w:t xml:space="preserve">无法计算的情况</w:t>
      </w:r>
    </w:p>
    <w:p>
      <w:pPr>
        <w:pStyle w:val="FirstParagraph"/>
      </w:pPr>
      <w:r>
        <w:rPr>
          <w:rFonts w:hint="eastAsia"/>
        </w:rPr>
        <w:t xml:space="preserve">缺少以下任一必要条件时，不得输出“工期满足”：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前向起算条件；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前向实际起算日期；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前向工期；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后向起算条件；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后向实际起算日期；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后向工期。</w:t>
      </w:r>
    </w:p>
    <w:p>
      <w:pPr>
        <w:pStyle w:val="FirstParagraph"/>
      </w:pPr>
      <w:r>
        <w:rPr>
          <w:rFonts w:hint="eastAsia"/>
        </w:rPr>
        <w:t xml:space="preserve">系统输出：</w:t>
      </w:r>
    </w:p>
    <w:p>
      <w:pPr>
        <w:pStyle w:val="SourceCode"/>
      </w:pPr>
      <w:r>
        <w:rPr>
          <w:rStyle w:val="VerbatimChar"/>
          <w:rFonts w:hint="eastAsia"/>
        </w:rPr>
        <w:t xml:space="preserve">缺少起算依据，暂无法计算。</w:t>
      </w:r>
    </w:p>
    <w:bookmarkEnd w:id="94"/>
    <w:bookmarkStart w:id="95" w:name="输出字段-1"/>
    <w:p>
      <w:pPr>
        <w:pStyle w:val="Heading3"/>
      </w:pPr>
      <w:r>
        <w:t xml:space="preserve">3.7 </w:t>
      </w:r>
      <w:r>
        <w:rPr>
          <w:rFonts w:hint="eastAsia"/>
        </w:rPr>
        <w:t xml:space="preserve">输出字段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前向工期原文；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前向起算条件；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前向实际起算日期；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前向合同工期；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前向最晚完成日期；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后向工期原文；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后向起算条件；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后向实际起算日期；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后向合同工期；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后向预计完成日期；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安全缓冲期；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工期缺口；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判断结果；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风险说明；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前后向证据。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103" w:name="实施内容覆盖对比"/>
    <w:p>
      <w:pPr>
        <w:pStyle w:val="Heading3"/>
      </w:pPr>
      <w:r>
        <w:t>3.8 收入/收款计划复核</w:t>
      </w:r>
    </w:p>
    <w:p>
      <w:pPr>
        <w:pStyle w:val="FirstParagraph"/>
      </w:pPr>
      <w:r>
        <w:t>系统读取Excel 2003 SpreadsheetML格式的.xls、标准.xlsx或.xml计划文件。收入计划使用“起始日期、终止日期”，收款计划使用“合同履约起始日期、合同履约截止日期”。</w:t>
      </w:r>
    </w:p>
    <w:p>
      <w:pPr>
        <w:pStyle w:val="Compact"/>
      </w:pPr>
      <w:r>
        <w:t>按计划类型汇总全部有效行，取最早开始日期和最晚截止日期，与前向合同履约起止日期比较；</w:t>
      </w:r>
    </w:p>
    <w:p>
      <w:pPr>
        <w:pStyle w:val="Compact"/>
      </w:pPr>
      <w:r>
        <w:t>完全相同输出“完全一致”；默认偏差不超过31天输出“基本一致，需复核偏差”；超过容差输出风险提示；</w:t>
      </w:r>
    </w:p>
    <w:p>
      <w:pPr>
        <w:pStyle w:val="Compact"/>
      </w:pPr>
      <w:r>
        <w:t>合同或计划缺少可确定日期时保持空值并进入人工复核，不根据签约日期或行业经验补推。</w:t>
      </w:r>
    </w:p>
    <w:p>
      <w:pPr>
        <w:pStyle w:val="Heading2"/>
      </w:pPr>
      <w:r>
        <w:t xml:space="preserve">4. </w:t>
      </w:r>
      <w:r>
        <w:rPr>
          <w:rFonts w:hint="eastAsia"/>
        </w:rPr>
        <w:t xml:space="preserve">实施内容覆盖对比</w:t>
      </w:r>
    </w:p>
    <w:bookmarkStart w:id="97" w:name="对比原则-2"/>
    <w:p>
      <w:pPr>
        <w:pStyle w:val="Heading3"/>
      </w:pPr>
      <w:r>
        <w:t xml:space="preserve">4.1 </w:t>
      </w:r>
      <w:r>
        <w:rPr>
          <w:rFonts w:hint="eastAsia"/>
        </w:rPr>
        <w:t xml:space="preserve">对比原则</w:t>
      </w:r>
    </w:p>
    <w:p>
      <w:pPr>
        <w:pStyle w:val="FirstParagraph"/>
      </w:pPr>
      <w:r>
        <w:rPr>
          <w:rFonts w:hint="eastAsia"/>
        </w:rPr>
        <w:t xml:space="preserve">前向合同承诺完成的实施内容，应全部在后向合同中得到承接：</w:t>
      </w:r>
    </w:p>
    <w:p>
      <w:pPr>
        <w:pStyle w:val="SourceCode"/>
      </w:pPr>
      <w:r>
        <w:rPr>
          <w:rStyle w:val="VerbatimChar"/>
          <w:rFonts w:hint="eastAsia"/>
        </w:rPr>
        <w:t xml:space="preserve">前向实施内容</w:t>
      </w:r>
      <w:r>
        <w:rPr>
          <w:rStyle w:val="VerbatimChar"/>
        </w:rPr>
        <w:t xml:space="preserve"> ⊆ </w:t>
      </w:r>
      <w:r>
        <w:rPr>
          <w:rStyle w:val="VerbatimChar"/>
          <w:rFonts w:hint="eastAsia"/>
        </w:rPr>
        <w:t xml:space="preserve">后向实施内容</w:t>
      </w:r>
    </w:p>
    <w:bookmarkEnd w:id="97"/>
    <w:bookmarkStart w:id="98" w:name="集合比较"/>
    <w:p>
      <w:pPr>
        <w:pStyle w:val="Heading3"/>
      </w:pPr>
      <w:r>
        <w:t xml:space="preserve">4.2 </w:t>
      </w:r>
      <w:r>
        <w:rPr>
          <w:rFonts w:hint="eastAsia"/>
        </w:rPr>
        <w:t xml:space="preserve">集合比较</w:t>
      </w:r>
    </w:p>
    <w:p>
      <w:pPr>
        <w:pStyle w:val="SourceCode"/>
      </w:pPr>
      <w:r>
        <w:rPr>
          <w:rStyle w:val="NormalTok"/>
        </w:rPr>
        <w:t xml:space="preserve">missing_scope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forward_scope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backward_scope</w:t>
      </w:r>
      <w:r>
        <w:br/>
      </w:r>
      <w:r>
        <w:rPr>
          <w:rStyle w:val="NormalTok"/>
        </w:rPr>
        <w:t xml:space="preserve">extra_scope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backward_scope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forward_scope</w:t>
      </w:r>
    </w:p>
    <w:p>
      <w:pPr>
        <w:pStyle w:val="FirstParagraph"/>
      </w:pPr>
      <w:r>
        <w:rPr>
          <w:rFonts w:hint="eastAsia"/>
        </w:rPr>
        <w:t xml:space="preserve">其中：</w:t>
      </w:r>
    </w:p>
    <w:p>
      <w:pPr>
        <w:pStyle w:val="Compact"/>
        <w:numPr>
          <w:ilvl w:val="0"/>
          <w:numId w:val="1053"/>
        </w:numPr>
      </w:pPr>
      <w:r>
        <w:rPr>
          <w:rStyle w:val="VerbatimChar"/>
        </w:rPr>
        <w:t xml:space="preserve">missing_scope</w:t>
      </w:r>
      <w:r>
        <w:rPr>
          <w:rFonts w:hint="eastAsia"/>
        </w:rPr>
        <w:t xml:space="preserve">为后向缺失内容；</w:t>
      </w:r>
    </w:p>
    <w:p>
      <w:pPr>
        <w:pStyle w:val="Compact"/>
        <w:numPr>
          <w:ilvl w:val="0"/>
          <w:numId w:val="1053"/>
        </w:numPr>
      </w:pPr>
      <w:r>
        <w:rPr>
          <w:rStyle w:val="VerbatimChar"/>
        </w:rPr>
        <w:t xml:space="preserve">extra_scope</w:t>
      </w:r>
      <w:r>
        <w:rPr>
          <w:rFonts w:hint="eastAsia"/>
        </w:rPr>
        <w:t xml:space="preserve">为后向新增内容，通常不构成风险。</w:t>
      </w:r>
    </w:p>
    <w:bookmarkEnd w:id="98"/>
    <w:bookmarkStart w:id="99" w:name="责任程度比较"/>
    <w:p>
      <w:pPr>
        <w:pStyle w:val="Heading3"/>
      </w:pPr>
      <w:r>
        <w:t xml:space="preserve">4.3 </w:t>
      </w:r>
      <w:r>
        <w:rPr>
          <w:rFonts w:hint="eastAsia"/>
        </w:rPr>
        <w:t xml:space="preserve">责任程度比较</w:t>
      </w:r>
    </w:p>
    <w:p>
      <w:pPr>
        <w:pStyle w:val="FirstParagraph"/>
      </w:pPr>
      <w:r>
        <w:rPr>
          <w:rFonts w:hint="eastAsia"/>
        </w:rPr>
        <w:t xml:space="preserve">同一工作事项不仅要判断是否存在，还要比较责任程度。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  <w:rFonts w:hint="eastAsia"/>
        </w:rPr>
        <w:t xml:space="preserve">前向：乙方负责完成数据迁移</w:t>
      </w:r>
      <w:r>
        <w:br/>
      </w:r>
      <w:r>
        <w:rPr>
          <w:rStyle w:val="VerbatimChar"/>
          <w:rFonts w:hint="eastAsia"/>
        </w:rPr>
        <w:t xml:space="preserve">后向：供应商配合数据迁移</w:t>
      </w:r>
    </w:p>
    <w:p>
      <w:pPr>
        <w:pStyle w:val="FirstParagraph"/>
      </w:pPr>
      <w:r>
        <w:rPr>
          <w:rFonts w:hint="eastAsia"/>
        </w:rPr>
        <w:t xml:space="preserve">程序判断：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backward_responsibility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forward_responsibility: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"责任覆盖"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"责任弱化"</w:t>
      </w:r>
    </w:p>
    <w:bookmarkEnd w:id="99"/>
    <w:bookmarkStart w:id="100" w:name="工作对象及范围比较"/>
    <w:p>
      <w:pPr>
        <w:pStyle w:val="Heading3"/>
      </w:pPr>
      <w:r>
        <w:t xml:space="preserve">4.4 </w:t>
      </w:r>
      <w:r>
        <w:rPr>
          <w:rFonts w:hint="eastAsia"/>
        </w:rPr>
        <w:t xml:space="preserve">工作对象及范围比较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  <w:rFonts w:hint="eastAsia"/>
        </w:rPr>
        <w:t xml:space="preserve">前向：完成全部历史数据迁移</w:t>
      </w:r>
      <w:r>
        <w:br/>
      </w:r>
      <w:r>
        <w:rPr>
          <w:rStyle w:val="VerbatimChar"/>
          <w:rFonts w:hint="eastAsia"/>
        </w:rPr>
        <w:t xml:space="preserve">后向：完成客户基础数据迁移</w:t>
      </w:r>
    </w:p>
    <w:p>
      <w:pPr>
        <w:pStyle w:val="FirstParagraph"/>
      </w:pPr>
      <w:r>
        <w:rPr>
          <w:rFonts w:hint="eastAsia"/>
        </w:rPr>
        <w:t xml:space="preserve">虽然都包含“数据迁移”，但后向工作对象只覆盖部分范围，应判定为“实施范围不足”。</w:t>
      </w:r>
    </w:p>
    <w:p>
      <w:pPr>
        <w:pStyle w:val="BodyText"/>
      </w:pPr>
      <w:r>
        <w:rPr>
          <w:rFonts w:hint="eastAsia"/>
        </w:rPr>
        <w:t xml:space="preserve">比较维度包括：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工作类型；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工作对象；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数量或范围；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责任程度；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完成标准；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验收要求。</w:t>
      </w:r>
    </w:p>
    <w:bookmarkEnd w:id="100"/>
    <w:bookmarkStart w:id="101" w:name="输出状态-1"/>
    <w:p>
      <w:pPr>
        <w:pStyle w:val="Heading3"/>
      </w:pPr>
      <w:r>
        <w:t xml:space="preserve">4.5 </w:t>
      </w:r>
      <w:r>
        <w:rPr>
          <w:rFonts w:hint="eastAsia"/>
        </w:rPr>
        <w:t xml:space="preserve">输出状态</w:t>
      </w:r>
    </w:p>
    <w:p>
      <w:pPr>
        <w:pStyle w:val="SourceCode"/>
      </w:pPr>
      <w:r>
        <w:rPr>
          <w:rStyle w:val="VerbatimChar"/>
          <w:rFonts w:hint="eastAsia"/>
        </w:rPr>
        <w:t xml:space="preserve">完全覆盖</w:t>
      </w:r>
      <w:r>
        <w:br/>
      </w:r>
      <w:r>
        <w:rPr>
          <w:rStyle w:val="VerbatimChar"/>
          <w:rFonts w:hint="eastAsia"/>
        </w:rPr>
        <w:t xml:space="preserve">实施内容缺失</w:t>
      </w:r>
      <w:r>
        <w:br/>
      </w:r>
      <w:r>
        <w:rPr>
          <w:rStyle w:val="VerbatimChar"/>
          <w:rFonts w:hint="eastAsia"/>
        </w:rPr>
        <w:t xml:space="preserve">实施范围不足</w:t>
      </w:r>
      <w:r>
        <w:br/>
      </w:r>
      <w:r>
        <w:rPr>
          <w:rStyle w:val="VerbatimChar"/>
          <w:rFonts w:hint="eastAsia"/>
        </w:rPr>
        <w:t xml:space="preserve">责任程度弱化</w:t>
      </w:r>
      <w:r>
        <w:br/>
      </w:r>
      <w:r>
        <w:rPr>
          <w:rStyle w:val="VerbatimChar"/>
          <w:rFonts w:hint="eastAsia"/>
        </w:rPr>
        <w:t xml:space="preserve">验收标准缺失</w:t>
      </w:r>
      <w:r>
        <w:br/>
      </w:r>
      <w:r>
        <w:rPr>
          <w:rStyle w:val="VerbatimChar"/>
          <w:rFonts w:hint="eastAsia"/>
        </w:rPr>
        <w:t xml:space="preserve">疑似覆盖待复核</w:t>
      </w:r>
      <w:r>
        <w:br/>
      </w:r>
      <w:r>
        <w:rPr>
          <w:rStyle w:val="VerbatimChar"/>
          <w:rFonts w:hint="eastAsia"/>
        </w:rPr>
        <w:t xml:space="preserve">后向新增内容</w:t>
      </w:r>
    </w:p>
    <w:bookmarkEnd w:id="101"/>
    <w:bookmarkStart w:id="102" w:name="输出字段-2"/>
    <w:p>
      <w:pPr>
        <w:pStyle w:val="Heading3"/>
      </w:pPr>
      <w:r>
        <w:t xml:space="preserve">4.6 </w:t>
      </w:r>
      <w:r>
        <w:rPr>
          <w:rFonts w:hint="eastAsia"/>
        </w:rPr>
        <w:t xml:space="preserve">输出字段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标准实施项；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前向原文；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前向工作对象；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前向责任程度；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前向完成标准；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后向对应内容；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后向工作对象；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后向责任程度；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后向完成标准；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覆盖结果；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差异类型；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风险说明；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前后向证据。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8" w:name="其他关键条款对比"/>
    <w:p>
      <w:pPr>
        <w:pStyle w:val="Heading2"/>
      </w:pPr>
      <w:r>
        <w:t xml:space="preserve">5. </w:t>
      </w:r>
      <w:r>
        <w:rPr>
          <w:rFonts w:hint="eastAsia"/>
        </w:rPr>
        <w:t xml:space="preserve">其他关键条款对比</w:t>
      </w:r>
    </w:p>
    <w:p>
      <w:pPr>
        <w:pStyle w:val="FirstParagraph"/>
      </w:pPr>
      <w:r>
        <w:rPr>
          <w:rFonts w:hint="eastAsia"/>
        </w:rPr>
        <w:t xml:space="preserve">系统后续可以增加以下规则。</w:t>
      </w:r>
    </w:p>
    <w:bookmarkStart w:id="104" w:name="质保覆盖"/>
    <w:p>
      <w:pPr>
        <w:pStyle w:val="Heading3"/>
      </w:pPr>
      <w:r>
        <w:rPr>
          <w:rFonts w:hint="eastAsia"/>
        </w:rPr>
        <w:t xml:space="preserve">质保覆盖</w:t>
      </w:r>
    </w:p>
    <w:p>
      <w:pPr>
        <w:pStyle w:val="SourceCode"/>
      </w:pPr>
      <w:r>
        <w:rPr>
          <w:rStyle w:val="VerbatimChar"/>
          <w:rFonts w:hint="eastAsia"/>
        </w:rPr>
        <w:t xml:space="preserve">后向质保结束时间不得早于前向质保结束时间。</w:t>
      </w:r>
    </w:p>
    <w:bookmarkEnd w:id="104"/>
    <w:bookmarkStart w:id="105" w:name="验收条件传导"/>
    <w:p>
      <w:pPr>
        <w:pStyle w:val="Heading3"/>
      </w:pPr>
      <w:r>
        <w:rPr>
          <w:rFonts w:hint="eastAsia"/>
        </w:rPr>
        <w:t xml:space="preserve">验收条件传导</w:t>
      </w:r>
    </w:p>
    <w:p>
      <w:pPr>
        <w:pStyle w:val="FirstParagraph"/>
      </w:pPr>
      <w:r>
        <w:rPr>
          <w:rFonts w:hint="eastAsia"/>
        </w:rPr>
        <w:t xml:space="preserve">前向合同要求的验收材料、测试指标和验收标准，应在后向合同中有所承接。</w:t>
      </w:r>
    </w:p>
    <w:bookmarkEnd w:id="105"/>
    <w:bookmarkStart w:id="106" w:name="违约责任传导"/>
    <w:p>
      <w:pPr>
        <w:pStyle w:val="Heading3"/>
      </w:pPr>
      <w:r>
        <w:rPr>
          <w:rFonts w:hint="eastAsia"/>
        </w:rPr>
        <w:t xml:space="preserve">违约责任传导</w:t>
      </w:r>
    </w:p>
    <w:p>
      <w:pPr>
        <w:pStyle w:val="FirstParagraph"/>
      </w:pPr>
      <w:r>
        <w:rPr>
          <w:rFonts w:hint="eastAsia"/>
        </w:rPr>
        <w:t xml:space="preserve">前向存在明确延期、质量或验收违约责任，而后向未设置相应责任时，提示责任未传导。</w:t>
      </w:r>
    </w:p>
    <w:bookmarkEnd w:id="106"/>
    <w:bookmarkStart w:id="107" w:name="付款及垫资风险"/>
    <w:p>
      <w:pPr>
        <w:pStyle w:val="Heading3"/>
      </w:pPr>
      <w:r>
        <w:rPr>
          <w:rFonts w:hint="eastAsia"/>
        </w:rPr>
        <w:t xml:space="preserve">付款及垫资风险</w:t>
      </w:r>
    </w:p>
    <w:p>
      <w:pPr>
        <w:pStyle w:val="FirstParagraph"/>
      </w:pPr>
      <w:r>
        <w:rPr>
          <w:rFonts w:hint="eastAsia"/>
        </w:rPr>
        <w:t xml:space="preserve">后向付款节点明显早于前向回款节点时，提示资金占用或垫资风险。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12" w:name="风险等级"/>
    <w:p>
      <w:pPr>
        <w:pStyle w:val="Heading2"/>
      </w:pPr>
      <w:r>
        <w:t xml:space="preserve">6. </w:t>
      </w:r>
      <w:r>
        <w:rPr>
          <w:rFonts w:hint="eastAsia"/>
        </w:rPr>
        <w:t xml:space="preserve">风险等级</w:t>
      </w:r>
    </w:p>
    <w:bookmarkStart w:id="109" w:name="高风险"/>
    <w:p>
      <w:pPr>
        <w:pStyle w:val="Heading3"/>
      </w:pPr>
      <w:r>
        <w:rPr>
          <w:rFonts w:hint="eastAsia"/>
        </w:rPr>
        <w:t xml:space="preserve">高风险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前向核心设备在后向合同中完全缺失；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后向工期明确晚于前向期限；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核心实施内容缺失；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后向质保无法覆盖前向责任；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前向重大违约责任未向后向传导。</w:t>
      </w:r>
    </w:p>
    <w:bookmarkEnd w:id="109"/>
    <w:bookmarkStart w:id="110" w:name="中风险"/>
    <w:p>
      <w:pPr>
        <w:pStyle w:val="Heading3"/>
      </w:pPr>
      <w:r>
        <w:rPr>
          <w:rFonts w:hint="eastAsia"/>
        </w:rPr>
        <w:t xml:space="preserve">中风险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设备数量或规格不足；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工期缓冲不足；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实施责任弱化；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实施对象范围不足；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验收标准不完整；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前后向起算条件不一致。</w:t>
      </w:r>
    </w:p>
    <w:bookmarkEnd w:id="110"/>
    <w:bookmarkStart w:id="111" w:name="待确认"/>
    <w:p>
      <w:pPr>
        <w:pStyle w:val="Heading3"/>
      </w:pPr>
      <w:r>
        <w:rPr>
          <w:rFonts w:hint="eastAsia"/>
        </w:rPr>
        <w:t xml:space="preserve">待确认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名称疑似匹配；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单位无法换算；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合同约定存在歧义；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缺少实际开工日期；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OCR或模型结果存在冲突。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3" w:name="规则版本管理"/>
    <w:p>
      <w:pPr>
        <w:pStyle w:val="Heading2"/>
      </w:pPr>
      <w:r>
        <w:t xml:space="preserve">7. </w:t>
      </w:r>
      <w:r>
        <w:rPr>
          <w:rFonts w:hint="eastAsia"/>
        </w:rPr>
        <w:t xml:space="preserve">规则版本管理</w:t>
      </w:r>
    </w:p>
    <w:p>
      <w:pPr>
        <w:pStyle w:val="FirstParagraph"/>
      </w:pPr>
      <w:r>
        <w:rPr>
          <w:rFonts w:hint="eastAsia"/>
        </w:rPr>
        <w:t xml:space="preserve">每条程序规则记录：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规则编号；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规则名称；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适用场景；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判断条件；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风险等级；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启用状态；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规则版本；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生效时间；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修改人；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修改说明。</w:t>
      </w:r>
    </w:p>
    <w:p>
      <w:pPr>
        <w:pStyle w:val="FirstParagraph"/>
      </w:pPr>
      <w:r>
        <w:rPr>
          <w:rFonts w:hint="eastAsia"/>
        </w:rPr>
        <w:t xml:space="preserve">每次运行结果关联具体规则版本，保证历史结果可追溯。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21" w:name="六系统页面设计"/>
    <w:p>
      <w:pPr>
        <w:pStyle w:val="Heading1"/>
      </w:pPr>
      <w:r>
        <w:rPr>
          <w:rFonts w:hint="eastAsia"/>
        </w:rPr>
        <w:t xml:space="preserve">六、系统页面设计</w:t>
      </w:r>
    </w:p>
    <w:bookmarkStart w:id="115" w:name="系统首页"/>
    <w:p>
      <w:pPr>
        <w:pStyle w:val="Heading2"/>
      </w:pPr>
      <w:r>
        <w:t xml:space="preserve">1. </w:t>
      </w:r>
      <w:r>
        <w:rPr>
          <w:rFonts w:hint="eastAsia"/>
        </w:rPr>
        <w:t xml:space="preserve">系统首页</w:t>
      </w:r>
    </w:p>
    <w:p>
      <w:pPr>
        <w:pStyle w:val="FirstParagraph"/>
      </w:pPr>
      <w:r>
        <w:rPr>
          <w:rFonts w:hint="eastAsia"/>
        </w:rPr>
        <w:t xml:space="preserve">展示：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项目总数；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已完成解析项目数；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已完成对比项目数；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解析失败项目数；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高风险项目数；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设备缺项数量；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工期风险数量；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实施内容缺项数量；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待人工复核数量。</w:t>
      </w:r>
    </w:p>
    <w:p>
      <w:r>
        <w:pict>
          <v:rect style="width:0;height:1.5pt" o:hralign="center" o:hrstd="t" o:hr="t"/>
        </w:pict>
      </w:r>
    </w:p>
    <w:bookmarkEnd w:id="115"/>
    <w:bookmarkStart w:id="116" w:name="项目列表"/>
    <w:p>
      <w:pPr>
        <w:pStyle w:val="Heading2"/>
      </w:pPr>
      <w:r>
        <w:t xml:space="preserve">2. </w:t>
      </w:r>
      <w:r>
        <w:rPr>
          <w:rFonts w:hint="eastAsia"/>
        </w:rPr>
        <w:t xml:space="preserve">项目列表</w:t>
      </w:r>
    </w:p>
    <w:p>
      <w:pPr>
        <w:pStyle w:val="FirstParagraph"/>
      </w:pPr>
      <w:r>
        <w:rPr>
          <w:rFonts w:hint="eastAsia"/>
        </w:rPr>
        <w:t xml:space="preserve">展示：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项目编码；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前向合同状态；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后向合同状态；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设备清单对比状态；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工期对比状态；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实施内容对比状态；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风险等级；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待复核数量；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最后处理时间。</w:t>
      </w:r>
    </w:p>
    <w:p>
      <w:r>
        <w:pict>
          <v:rect style="width:0;height:1.5pt" o:hralign="center" o:hrstd="t" o:hr="t"/>
        </w:pict>
      </w:r>
    </w:p>
    <w:bookmarkEnd w:id="116"/>
    <w:bookmarkStart w:id="117" w:name="合同解析页面"/>
    <w:p>
      <w:pPr>
        <w:pStyle w:val="Heading2"/>
      </w:pPr>
      <w:r>
        <w:t xml:space="preserve">3. </w:t>
      </w:r>
      <w:r>
        <w:rPr>
          <w:rFonts w:hint="eastAsia"/>
        </w:rPr>
        <w:t xml:space="preserve">合同解析页面</w:t>
      </w:r>
    </w:p>
    <w:p>
      <w:pPr>
        <w:pStyle w:val="FirstParagraph"/>
      </w:pPr>
      <w:r>
        <w:rPr>
          <w:rFonts w:hint="eastAsia"/>
        </w:rPr>
        <w:t xml:space="preserve">左右查看前向、后向合同，展示：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PDF原文；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OCR结果；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条款树；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表格数据；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结构化字段；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页码和高亮位置；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提取置信度；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人工修正入口。</w:t>
      </w:r>
    </w:p>
    <w:p>
      <w:r>
        <w:pict>
          <v:rect style="width:0;height:1.5pt" o:hralign="center" o:hrstd="t" o:hr="t"/>
        </w:pict>
      </w:r>
    </w:p>
    <w:bookmarkEnd w:id="117"/>
    <w:bookmarkStart w:id="118" w:name="前后向对比页面"/>
    <w:p>
      <w:pPr>
        <w:pStyle w:val="Heading2"/>
      </w:pPr>
      <w:r>
        <w:t xml:space="preserve">4. </w:t>
      </w:r>
      <w:r>
        <w:rPr>
          <w:rFonts w:hint="eastAsia"/>
        </w:rPr>
        <w:t xml:space="preserve">前后向对比页面</w:t>
      </w:r>
    </w:p>
    <w:p>
      <w:pPr>
        <w:pStyle w:val="FirstParagraph"/>
      </w:pPr>
      <w:r>
        <w:rPr>
          <w:rFonts w:hint="eastAsia"/>
        </w:rPr>
        <w:t xml:space="preserve">分为三个页签：</w:t>
      </w:r>
    </w:p>
    <w:p>
      <w:pPr>
        <w:pStyle w:val="SourceCode"/>
      </w:pPr>
      <w:r>
        <w:t>设备/服务对象及备件对比</w:t>
        <w:br/>
        <w:t>时间节点及收入收款计划复核</w:t>
        <w:br/>
        <w:t>实施内容对比</w:t>
      </w:r>
    </w:p>
    <w:p>
      <w:pPr>
        <w:pStyle w:val="FirstParagraph"/>
      </w:pPr>
      <w:r>
        <w:rPr>
          <w:rFonts w:hint="eastAsia"/>
        </w:rPr>
        <w:t xml:space="preserve">每项差异均可点击查看前向和后向原文证据。</w:t>
      </w:r>
    </w:p>
    <w:p>
      <w:r>
        <w:pict>
          <v:rect style="width:0;height:1.5pt" o:hralign="center" o:hrstd="t" o:hr="t"/>
        </w:pict>
      </w:r>
    </w:p>
    <w:bookmarkEnd w:id="118"/>
    <w:bookmarkStart w:id="119" w:name="项目时间轴页面"/>
    <w:p>
      <w:pPr>
        <w:pStyle w:val="Heading2"/>
      </w:pPr>
      <w:r>
        <w:t>5. 时间及收入收款计划复核页面</w:t>
      </w:r>
    </w:p>
    <w:p>
      <w:pPr>
        <w:pStyle w:val="FirstParagraph"/>
      </w:pPr>
      <w:r>
        <w:t>集中展示合同履约节点与计划期间，并突出显示：</w:t>
      </w:r>
    </w:p>
    <w:p>
      <w:pPr>
        <w:pStyle w:val="Compact"/>
        <w:numPr>
          <w:ilvl w:val="0"/>
          <w:numId w:val="1063"/>
        </w:numPr>
      </w:pPr>
      <w:r>
        <w:t>收入/收款计划相对合同履约期的开始及截止偏差；</w:t>
      </w:r>
    </w:p>
    <w:p>
      <w:pPr>
        <w:pStyle w:val="Compact"/>
        <w:numPr>
          <w:ilvl w:val="0"/>
          <w:numId w:val="1063"/>
        </w:numPr>
      </w:pPr>
      <w:r>
        <w:t>前向或后向合同未约定到货、初验、终验节点；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起算条件不一致；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实际日期缺失；</w:t>
      </w:r>
    </w:p>
    <w:p>
      <w:pPr>
        <w:pStyle w:val="Compact"/>
        <w:numPr>
          <w:ilvl w:val="0"/>
          <w:numId w:val="1063"/>
        </w:numPr>
      </w:pPr>
      <w:r>
        <w:t>工期缺口及计划日期超出容差。</w:t>
      </w:r>
    </w:p>
    <w:p>
      <w:r>
        <w:pict>
          <v:rect style="width:0;height:1.5pt" o:hralign="center" o:hrstd="t" o:hr="t"/>
        </w:pict>
      </w:r>
    </w:p>
    <w:bookmarkEnd w:id="119"/>
    <w:bookmarkStart w:id="120" w:name="人工复核页面"/>
    <w:p>
      <w:pPr>
        <w:pStyle w:val="Heading2"/>
      </w:pPr>
      <w:r>
        <w:t xml:space="preserve">6. </w:t>
      </w:r>
      <w:r>
        <w:rPr>
          <w:rFonts w:hint="eastAsia"/>
        </w:rPr>
        <w:t xml:space="preserve">人工复核页面</w:t>
      </w:r>
    </w:p>
    <w:p>
      <w:pPr>
        <w:pStyle w:val="FirstParagraph"/>
      </w:pPr>
      <w:r>
        <w:rPr>
          <w:rFonts w:hint="eastAsia"/>
        </w:rPr>
        <w:t xml:space="preserve">集中处理：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OCR异常；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关键字段冲突；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设备疑似匹配；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组合单位；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实施内容语义歧义；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时间起算依据缺失；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合同方向疑似异常；</w:t>
      </w:r>
    </w:p>
    <w:p>
      <w:pPr>
        <w:pStyle w:val="Compact"/>
        <w:numPr>
          <w:ilvl w:val="0"/>
          <w:numId w:val="1064"/>
        </w:numPr>
      </w:pPr>
      <w:r>
        <w:t>自动提取与人工纠正或二次校验结果冲突。</w:t>
      </w:r>
    </w:p>
    <w:p>
      <w:r>
        <w:pict>
          <v:rect style="width:0;height:1.5pt" o:hralign="center" o:hrstd="t" o:hr="t"/>
        </w:pict>
      </w:r>
    </w:p>
    <w:bookmarkEnd w:id="120"/>
    <w:bookmarkEnd w:id="121"/>
    <w:bookmarkStart w:id="127" w:name="七技术实现架构"/>
    <w:p>
      <w:pPr>
        <w:pStyle w:val="Heading1"/>
      </w:pPr>
      <w:r>
        <w:rPr>
          <w:rFonts w:hint="eastAsia"/>
        </w:rPr>
        <w:t xml:space="preserve">七、技术实现架构</w:t>
      </w:r>
    </w:p>
    <w:bookmarkStart w:id="122" w:name="后端"/>
    <w:p>
      <w:pPr>
        <w:pStyle w:val="Heading2"/>
      </w:pPr>
      <w:r>
        <w:t xml:space="preserve">1. </w:t>
      </w:r>
      <w:r>
        <w:rPr>
          <w:rFonts w:hint="eastAsia"/>
        </w:rPr>
        <w:t xml:space="preserve">后端</w:t>
      </w:r>
    </w:p>
    <w:p>
      <w:pPr>
        <w:pStyle w:val="FirstParagraph"/>
      </w:pPr>
      <w:r>
        <w:t>当前版本采用：</w:t>
      </w:r>
    </w:p>
    <w:p>
      <w:pPr>
        <w:pStyle w:val="SourceCode"/>
      </w:pPr>
      <w:r>
        <w:t>Python</w:t>
        <w:br/>
        <w:t>FastAPI</w:t>
        <w:br/>
        <w:t>Pydantic / dataclasses</w:t>
        <w:br/>
        <w:t>SQLite</w:t>
        <w:br/>
        <w:t>FastAPI BackgroundTasks</w:t>
        <w:br/>
        <w:t>openpyxl / SpreadsheetML解析器</w:t>
      </w:r>
    </w:p>
    <w:p>
      <w:pPr>
        <w:pStyle w:val="FirstParagraph"/>
      </w:pPr>
      <w:r>
        <w:rPr>
          <w:rFonts w:hint="eastAsia"/>
        </w:rPr>
        <w:t xml:space="preserve">其中：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FastAPI提供上传、解析、查询、对比和导出接口；</w:t>
      </w:r>
    </w:p>
    <w:p>
      <w:pPr>
        <w:pStyle w:val="Compact"/>
        <w:numPr>
          <w:ilvl w:val="0"/>
          <w:numId w:val="1065"/>
        </w:numPr>
      </w:pPr>
      <w:r>
        <w:t>Pydantic及dataclasses约束结构化输出；</w:t>
      </w:r>
    </w:p>
    <w:p>
      <w:pPr>
        <w:pStyle w:val="Compact"/>
        <w:numPr>
          <w:ilvl w:val="0"/>
          <w:numId w:val="1065"/>
        </w:numPr>
      </w:pPr>
      <w:r>
        <w:t>FastAPI BackgroundTasks执行上传后的本地解析和审查任务；</w:t>
      </w:r>
    </w:p>
    <w:p>
      <w:pPr>
        <w:pStyle w:val="Compact"/>
        <w:numPr>
          <w:ilvl w:val="0"/>
          <w:numId w:val="1065"/>
        </w:numPr>
      </w:pPr>
      <w:r>
        <w:t>SQLite保存项目、任务、结构化结果、纠正记录和规则版本；文件系统保存OCR缓存与项目明细；</w:t>
      </w:r>
    </w:p>
    <w:p>
      <w:pPr>
        <w:pStyle w:val="Compact"/>
        <w:numPr>
          <w:ilvl w:val="0"/>
          <w:numId w:val="1065"/>
        </w:numPr>
      </w:pPr>
      <w:r>
        <w:t>当前版本直接使用SQLite存储层；规模化部署时可迁移至SQLAlchemy和PostgreSQL。</w:t>
      </w:r>
    </w:p>
    <w:p>
      <w:r>
        <w:pict>
          <v:rect style="width:0;height:1.5pt" o:hralign="center" o:hrstd="t" o:hr="t"/>
        </w:pict>
      </w:r>
    </w:p>
    <w:bookmarkEnd w:id="122"/>
    <w:bookmarkStart w:id="123" w:name="数据库"/>
    <w:p>
      <w:pPr>
        <w:pStyle w:val="Heading2"/>
      </w:pPr>
      <w:r>
        <w:t xml:space="preserve">2. </w:t>
      </w:r>
      <w:r>
        <w:rPr>
          <w:rFonts w:hint="eastAsia"/>
        </w:rPr>
        <w:t xml:space="preserve">数据库</w:t>
      </w:r>
    </w:p>
    <w:p>
      <w:pPr>
        <w:pStyle w:val="FirstParagraph"/>
      </w:pPr>
      <w:r>
        <w:t>当前本地版本采用SQLite，存储：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项目信息；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文件信息；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PDF页面；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条款和表格；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原文证据；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结构化字段；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设备清单；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时间节点；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实施内容；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对比结果；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风险结果；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人工复核记录；</w:t>
      </w:r>
    </w:p>
    <w:p>
      <w:pPr>
        <w:pStyle w:val="Compact"/>
        <w:numPr>
          <w:ilvl w:val="0"/>
          <w:numId w:val="1066"/>
        </w:numPr>
      </w:pPr>
      <w:r>
        <w:t>OCR、解析规则及风险规则版本。</w:t>
      </w:r>
    </w:p>
    <w:p>
      <w:pPr>
        <w:pStyle w:val="FirstParagraph"/>
      </w:pPr>
      <w:r>
        <w:t>PDF、OCR缓存、页面增强结果和JSON明细存储于本地文件系统；集中部署时可迁移至MinIO。</w:t>
      </w:r>
    </w:p>
    <w:p>
      <w:r>
        <w:pict>
          <v:rect style="width:0;height:1.5pt" o:hralign="center" o:hrstd="t" o:hr="t"/>
        </w:pict>
      </w:r>
    </w:p>
    <w:bookmarkEnd w:id="123"/>
    <w:bookmarkStart w:id="124" w:name="文档处理"/>
    <w:p>
      <w:pPr>
        <w:pStyle w:val="Heading2"/>
      </w:pPr>
      <w:r>
        <w:t xml:space="preserve">3. </w:t>
      </w:r>
      <w:r>
        <w:rPr>
          <w:rFonts w:hint="eastAsia"/>
        </w:rPr>
        <w:t xml:space="preserve">文档处理</w:t>
      </w:r>
    </w:p>
    <w:p>
      <w:pPr>
        <w:pStyle w:val="FirstParagraph"/>
      </w:pPr>
      <w:r>
        <w:t>当前版本采用：</w:t>
      </w:r>
    </w:p>
    <w:p>
      <w:pPr>
        <w:pStyle w:val="SourceCode"/>
      </w:pPr>
      <w:r>
        <w:t>PyMuPDF</w:t>
        <w:br/>
        <w:t>pypdf</w:t>
        <w:br/>
        <w:t>RapidOCR ONNX Runtime</w:t>
        <w:br/>
        <w:t>Pillow</w:t>
        <w:br/>
        <w:t>300DPI整页OCR</w:t>
        <w:br/>
        <w:t>600DPI签章日期局部增强</w:t>
      </w:r>
    </w:p>
    <w:p>
      <w:r>
        <w:pict>
          <v:rect style="width:0;height:1.5pt" o:hralign="center" o:hrstd="t" o:hr="t"/>
        </w:pict>
      </w:r>
    </w:p>
    <w:bookmarkEnd w:id="124"/>
    <w:bookmarkStart w:id="125" w:name="大模型调用"/>
    <w:p>
      <w:pPr>
        <w:pStyle w:val="Heading2"/>
      </w:pPr>
      <w:r>
        <w:t>4. 大模型扩展接口（当前版本未启用）</w:t>
      </w:r>
    </w:p>
    <w:p>
      <w:pPr>
        <w:pStyle w:val="FirstParagraph"/>
      </w:pPr>
      <w:r>
        <w:t>当前生产版本不调用大模型。后续如启用语义增强，接口必须具备：</w:t>
      </w:r>
    </w:p>
    <w:p>
      <w:pPr>
        <w:pStyle w:val="Compact"/>
        <w:numPr>
          <w:ilvl w:val="0"/>
          <w:numId w:val="1067"/>
        </w:numPr>
      </w:pPr>
      <w:r>
        <w:t>固定Prompt及模型版本；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固定JSON</w:t>
      </w:r>
      <w:r>
        <w:t xml:space="preserve"> </w:t>
      </w:r>
      <w:r>
        <w:rPr>
          <w:rFonts w:hint="eastAsia"/>
        </w:rPr>
        <w:t xml:space="preserve">Schema；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低随机性；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分任务执行；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原文证据强制返回；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失败重试；</w:t>
      </w:r>
    </w:p>
    <w:p>
      <w:pPr>
        <w:pStyle w:val="Compact"/>
        <w:numPr>
          <w:ilvl w:val="0"/>
          <w:numId w:val="1067"/>
        </w:numPr>
      </w:pPr>
      <w:r>
        <w:t>结果缓存且不得覆盖原始OCR证据；</w:t>
      </w:r>
    </w:p>
    <w:p>
      <w:pPr>
        <w:pStyle w:val="Compact"/>
        <w:numPr>
          <w:ilvl w:val="0"/>
          <w:numId w:val="1067"/>
        </w:numPr>
      </w:pPr>
      <w:r>
        <w:t>模型、Prompt和Schema版本记录；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提取和校验分离。</w:t>
      </w:r>
    </w:p>
    <w:p>
      <w:r>
        <w:pict>
          <v:rect style="width:0;height:1.5pt" o:hralign="center" o:hrstd="t" o:hr="t"/>
        </w:pict>
      </w:r>
    </w:p>
    <w:bookmarkEnd w:id="125"/>
    <w:bookmarkStart w:id="126" w:name="前端"/>
    <w:p>
      <w:pPr>
        <w:pStyle w:val="Heading2"/>
      </w:pPr>
      <w:r>
        <w:t xml:space="preserve">5. </w:t>
      </w:r>
      <w:r>
        <w:rPr>
          <w:rFonts w:hint="eastAsia"/>
        </w:rPr>
        <w:t xml:space="preserve">前端</w:t>
      </w:r>
    </w:p>
    <w:p>
      <w:pPr>
        <w:pStyle w:val="FirstParagraph"/>
      </w:pPr>
      <w:r>
        <w:t>当前版本采用FastAPI内置HTML/CSS/JavaScript页面；规模化版本可迁移至Vue或React，实现：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项目列表；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合同原文查看；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条款高亮；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表格查看；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左右合同对比；</w:t>
      </w:r>
    </w:p>
    <w:p>
      <w:pPr>
        <w:pStyle w:val="Compact"/>
        <w:numPr>
          <w:ilvl w:val="0"/>
          <w:numId w:val="1068"/>
        </w:numPr>
      </w:pPr>
      <w:r>
        <w:t>时间及收入收款计划复核；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风险看板；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人工复核；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报告导出。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Start w:id="128" w:name="八一致性保障机制"/>
    <w:p>
      <w:pPr>
        <w:pStyle w:val="Heading1"/>
      </w:pPr>
      <w:r>
        <w:rPr>
          <w:rFonts w:hint="eastAsia"/>
        </w:rPr>
        <w:t xml:space="preserve">八、一致性保障机制</w:t>
      </w:r>
    </w:p>
    <w:p>
      <w:pPr>
        <w:pStyle w:val="FirstParagraph"/>
      </w:pPr>
      <w:r>
        <w:rPr>
          <w:rFonts w:hint="eastAsia"/>
        </w:rPr>
        <w:t xml:space="preserve">为解决同一合同多次执行结果不一致的问题，系统设置：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文件哈希唯一识别；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OCR结果固化；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条款切分结果缓存；</w:t>
      </w:r>
    </w:p>
    <w:p>
      <w:pPr>
        <w:pStyle w:val="Compact"/>
        <w:numPr>
          <w:ilvl w:val="0"/>
          <w:numId w:val="1069"/>
        </w:numPr>
      </w:pPr>
      <w:r>
        <w:t>结构化输出采用固定Schema；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提取和风险判断分离；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最终结论由程序规则生成；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人工确认结果锁定；</w:t>
      </w:r>
    </w:p>
    <w:p>
      <w:pPr>
        <w:pStyle w:val="Compact"/>
        <w:numPr>
          <w:ilvl w:val="0"/>
          <w:numId w:val="1069"/>
        </w:numPr>
      </w:pPr>
      <w:r>
        <w:t>解析规则、可选Prompt/模型和风险规则均版本化；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同一输入优先复用历史解析结果；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建立人工标注测试集并执行回归测试。</w:t>
      </w:r>
    </w:p>
    <w:p>
      <w:r>
        <w:pict>
          <v:rect style="width:0;height:1.5pt" o:hralign="center" o:hrstd="t" o:hr="t"/>
        </w:pict>
      </w:r>
    </w:p>
    <w:bookmarkEnd w:id="128"/>
    <w:bookmarkStart w:id="129" w:name="九系统评估指标"/>
    <w:p>
      <w:pPr>
        <w:pStyle w:val="Heading1"/>
      </w:pPr>
      <w:r>
        <w:rPr>
          <w:rFonts w:hint="eastAsia"/>
        </w:rPr>
        <w:t xml:space="preserve">九、系统评估指标</w:t>
      </w:r>
    </w:p>
    <w:p>
      <w:pPr>
        <w:pStyle w:val="FirstParagraph"/>
      </w:pPr>
      <w:r>
        <w:rPr>
          <w:rFonts w:hint="eastAsia"/>
        </w:rPr>
        <w:t xml:space="preserve">建议设置：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PDF成功解析率；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OCR关键字段准确率；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条款切分准确率；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设备清单召回率；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设备匹配准确率；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时间节点召回率；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工期计算准确率；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实施内容识别准确率；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原文证据准确率；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重复执行一致率；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人工复核率；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无依据生成率。</w:t>
      </w:r>
    </w:p>
    <w:p>
      <w:pPr>
        <w:pStyle w:val="FirstParagraph"/>
      </w:pPr>
      <w:r>
        <w:rPr>
          <w:rFonts w:hint="eastAsia"/>
        </w:rPr>
        <w:t xml:space="preserve">其中，重复执行一致率是系统稳定性的核心指标。</w:t>
      </w:r>
    </w:p>
    <w:p>
      <w:r>
        <w:pict>
          <v:rect style="width:0;height:1.5pt" o:hralign="center" o:hrstd="t" o:hr="t"/>
        </w:pict>
      </w:r>
    </w:p>
    <w:bookmarkEnd w:id="129"/>
    <w:bookmarkStart w:id="130" w:name="十系统建设成果"/>
    <w:p>
      <w:pPr>
        <w:pStyle w:val="Heading1"/>
      </w:pPr>
      <w:r>
        <w:rPr>
          <w:rFonts w:hint="eastAsia"/>
        </w:rPr>
        <w:t xml:space="preserve">十、系统建设成果</w:t>
      </w:r>
    </w:p>
    <w:p>
      <w:pPr>
        <w:pStyle w:val="FirstParagraph"/>
      </w:pPr>
      <w:r>
        <w:rPr>
          <w:rFonts w:hint="eastAsia"/>
        </w:rPr>
        <w:t xml:space="preserve">系统建成后，可形成以下能力：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按固定目录批量读取项目合同；</w:t>
      </w:r>
    </w:p>
    <w:p>
      <w:pPr>
        <w:pStyle w:val="Compact"/>
        <w:numPr>
          <w:ilvl w:val="0"/>
          <w:numId w:val="1071"/>
        </w:numPr>
      </w:pPr>
      <w:r>
        <w:t>自动识别一组前向文件和多份后向合同；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自动执行高精度OCR和条款解析；</w:t>
      </w:r>
    </w:p>
    <w:p>
      <w:pPr>
        <w:pStyle w:val="Compact"/>
        <w:numPr>
          <w:ilvl w:val="0"/>
          <w:numId w:val="1071"/>
        </w:numPr>
      </w:pPr>
      <w:r>
        <w:t>自动提取采购设备、维保对象、现场备件、工期节点和实施内容；</w:t>
      </w:r>
    </w:p>
    <w:p>
      <w:pPr>
        <w:pStyle w:val="Compact"/>
        <w:numPr>
          <w:ilvl w:val="0"/>
          <w:numId w:val="1071"/>
        </w:numPr>
      </w:pPr>
      <w:r>
        <w:t>自动复核合同履约期与收入/收款计划期间；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自动判断前向设备是否被后向完整覆盖；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自动计算后向工期能否满足前向要求；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自动识别实施内容缺失、范围不足和责任弱化；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自动定位风险对应的页码和合同原文；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自动生成差异清单和合同审查报告；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通过人工复核和标准词库持续提升准确率；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通过缓存、版本控制和程序规则保证结果稳定。</w:t>
      </w:r>
    </w:p>
    <w:p>
      <w:pPr>
        <w:pStyle w:val="FirstParagraph"/>
      </w:pPr>
      <w:r>
        <w:t>本系统最终形成的不是单一合同提取Skill，而是一套以合同证据数据为基础、以本地确定性解析为当前生产实现、以程序规则作为风险判断核心，并可按需接入大模型增强的合同智能审查平台。</w:t>
      </w:r>
    </w:p>
    <w:p>
      <w:pPr>
        <w:pStyle w:val="BodyText"/>
      </w:pPr>
      <w:r>
        <w:rPr>
          <w:rFonts w:hint="eastAsia"/>
        </w:rPr>
        <w:t xml:space="preserve">原Skill可以继续作为系统的批量执行入口，但其职责调整为调用统一的合同解析、结构化提取和规则对比服务。Web系统、批处理脚本、企业微信智能体或其他应用均调用同一套底层数据和规则，从而保证不同入口的输出口径统一、结果稳定且可追溯。</w:t>
      </w:r>
    </w:p>
    <w:bookmarkEnd w:id="130"/>
    <w:sectPr>
      <w:footnotePr>
        <w:numRestart w:val="eachSect"/>
      </w:footnotePr>
      <w:pgSz w:w="11906" w:h="16838"/>
      <w:pgMar w:left="1440" w:right="1440" w:top="1440" w:bottom="1440" w:header="720" w:footer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0">
    <w:abstractNumId w:val="991"/>
  </w:num>
  <w:num w:numId="10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