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NOTICE OF EVIDENCE AVAILABILITY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Legal Counsel and Stakeholders of Subdistrict 1, San Luis Valley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Bxthre3 Inc. | Office of Sovereign Infrastructure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March 29,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Provisioning of Quantifiable Conservation Validation (QCV) for June 29th Water Trial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Evidentiary Gap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anticipation of the upcoming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29th Water 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has become evident that traditional "probabilistic" water models and simple sensor logs will be insufficient to meet the heightened burden of proof for resource conservation. Current systems provide estimates; the court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Certainty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Bxthre3 Solution: Deterministic Proof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Bxthre3 Inc. has successfully deployed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protocol. Unlike standard IoT systems, our infrastructure utilizes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Asynchronous Logic Delegation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bridge the "Connectivity Gap."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 officially announcing the availability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Quantifiable Conservation Validation (QCV)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report. This document is derived from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ledger, which cryptographically chains "Manifest Intent" to "Field Execution."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Utility Tiers &amp; "Resolution Pops"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Fidelity-on-Demand (FoD)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allows stakeholders to provision the specific level of certainty required for their legal defense: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Observational 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High-resolution (1m) terrestrial truth to identify sub-surface moisture pockets invisible to satellite providers.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Cognitive 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Bayesian predictive modeling and Kriging-weighted trends to prove optimized resource allocation.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Actuation 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Hashed, timestamped proof of autonomous valve modulation and flow-rate adherence.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Immediate Compliance Retainers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infrastructure readiness and baseline data ingestion for the June 29th window, Bxthre3 is now accepting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Retainers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Stakeholders who secure a retainer before [Date] will be prioritized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deployment, ensuring that their "Librarian" (Oracle) and "Scientist" (Zo) clusters are fully synchronized to produce a certified QCV for the court.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Conclusion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Estimates will lose in court. Deterministic truth will win. Bxthre3 Inc. provides the infrastructure of truth.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Inquiries: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[Contact Information]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Sovereign Asset Transfer (SAT) Manifest v1.0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