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Specification: DEM Packet Schema (Worksheet v1.0)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internally referred to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is a JSON-serialized logic package generated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 (Zo)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transmitted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 (Hub)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schema ensures that the Hub has all necessary "Cognitive Utility" to perform autonomous actuations without cloud pings.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Header Block (Metadata &amp; Security)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DEM packet begins with a metadata header to ensure authenticity and temporal relevance.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"manifest_id": "DEM-2026-06-29-SLV-001",</w:t>
        <w:br w:type="textWrapping"/>
        <w:t xml:space="preserve">  "gateway_id": "HUB-7742-MV",</w:t>
        <w:br w:type="textWrapping"/>
        <w:t xml:space="preserve">  "timestamp_created": "2026-06-28T22:00:00Z",</w:t>
        <w:br w:type="textWrapping"/>
        <w:t xml:space="preserve">  "valid_from": "2026-06-29T00:00:00Z",</w:t>
        <w:br w:type="textWrapping"/>
        <w:t xml:space="preserve">  "valid_until": "2026-06-29T23:59:59Z",</w:t>
        <w:br w:type="textWrapping"/>
        <w:t xml:space="preserve">  "firmware_req": "v2.4.1",</w:t>
        <w:br w:type="textWrapping"/>
        <w:t xml:space="preserve">  "auth_hash": "sha256:e3b0c44298fc1c149afbf4c8996fb92427ae41e4649b934ca495991b7852b855"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Environmental Context (The Virtual Grid)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section contains the distilled outputs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Query Engine (SQE)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models, providing the Hub with a localized "Environmental Map."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"context": {</w:t>
        <w:br w:type="textWrapping"/>
        <w:t xml:space="preserve">  "field_id": "SECTION-12-NORTH",</w:t>
        <w:br w:type="textWrapping"/>
        <w:t xml:space="preserve">  "soil_variability_index": 0.84,</w:t>
        <w:br w:type="textWrapping"/>
        <w:t xml:space="preserve">  "kriging_weights": [0.12, 0.45, 0.22, 0.21],</w:t>
        <w:br w:type="textWrapping"/>
        <w:t xml:space="preserve">  "predicted_et_rate": 0.28,</w:t>
        <w:br w:type="textWrapping"/>
        <w:t xml:space="preserve">  "baseline_moisture_target": 32.5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Decision Logic (The Asynchronous Tree)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core "Worksheet." It defines a series of deterministic rules based on inputs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"logic_tree": {</w:t>
        <w:br w:type="textWrapping"/>
        <w:t xml:space="preserve">  "primary_input": "TE-MOISTURE-01",</w:t>
        <w:br w:type="textWrapping"/>
        <w:t xml:space="preserve">  "secondary_input": "TE-FLOW-04",</w:t>
        <w:br w:type="textWrapping"/>
        <w:t xml:space="preserve">  "rules": [</w:t>
        <w:br w:type="textWrapping"/>
        <w:t xml:space="preserve">    {</w:t>
        <w:br w:type="textWrapping"/>
        <w:t xml:space="preserve">      "condition": "if moisture &lt; 28.0 AND humidity &gt; 15%",</w:t>
        <w:br w:type="textWrapping"/>
        <w:t xml:space="preserve">      "action": "OPEN_VALVE_A",</w:t>
        <w:br w:type="textWrapping"/>
        <w:t xml:space="preserve">      "duration_minutes": 45,</w:t>
        <w:br w:type="textWrapping"/>
        <w:t xml:space="preserve">      "contingency": "IF flow_rate &lt; 5gpm THEN CLOSE_VALVE_A AND ALERT_ERR_04"</w:t>
        <w:br w:type="textWrapping"/>
        <w:t xml:space="preserve">    },</w:t>
        <w:br w:type="textWrapping"/>
        <w:t xml:space="preserve">    {</w:t>
        <w:br w:type="textWrapping"/>
        <w:t xml:space="preserve">      "condition": "if moisture &gt; 35.0",</w:t>
        <w:br w:type="textWrapping"/>
        <w:t xml:space="preserve">      "action": "CLOSE_ALL_VALVES",</w:t>
        <w:br w:type="textWrapping"/>
        <w:t xml:space="preserve">      "priority": "HIGH"</w:t>
        <w:br w:type="textWrapping"/>
        <w:t xml:space="preserve">    }</w:t>
        <w:br w:type="textWrapping"/>
        <w:t xml:space="preserve">  ],</w:t>
        <w:br w:type="textWrapping"/>
        <w:t xml:space="preserve">  "safe_state": "ALL_VALVES_CLOSED"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Provenance &amp; Audit Ledger (IRP Hooks)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satisfy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 (Quantifiable Conservation Validation)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Hub must log every state change against these specific pointers.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"audit_requirements": {</w:t>
        <w:br w:type="textWrapping"/>
        <w:t xml:space="preserve">  "log_frequency_ms": 60000,</w:t>
        <w:br w:type="textWrapping"/>
        <w:t xml:space="preserve">  "required_telemetry": ["VWC", "EC", "FLOW", "BATT"],</w:t>
        <w:br w:type="textWrapping"/>
        <w:t xml:space="preserve">  "provenance_token": "IRP-TOKEN-9982-AX"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Serialization Standards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Compressed JSON (GZIP) for transmission; parsed into local memory-mapped structures on the Hub.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AES-256-GCM using the hardware-specific Private Key established during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